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693732" w14:textId="75983E1B" w:rsidR="00367175" w:rsidRPr="00367175" w:rsidRDefault="00367175" w:rsidP="00367175">
      <w:pPr>
        <w:jc w:val="center"/>
        <w:rPr>
          <w:b/>
          <w:bCs/>
          <w:sz w:val="36"/>
          <w:szCs w:val="36"/>
        </w:rPr>
      </w:pPr>
      <w:r w:rsidRPr="00367175">
        <w:rPr>
          <w:b/>
          <w:bCs/>
          <w:sz w:val="36"/>
          <w:szCs w:val="36"/>
        </w:rPr>
        <w:t>MSc Public Health and Social Care in Practice</w:t>
      </w:r>
    </w:p>
    <w:p w14:paraId="73529A79" w14:textId="7BEF02D5" w:rsidR="00367175" w:rsidRPr="00367175" w:rsidRDefault="00367175" w:rsidP="00367175">
      <w:pPr>
        <w:jc w:val="center"/>
        <w:rPr>
          <w:b/>
          <w:bCs/>
          <w:sz w:val="36"/>
          <w:szCs w:val="36"/>
        </w:rPr>
      </w:pPr>
      <w:r w:rsidRPr="00367175">
        <w:rPr>
          <w:b/>
          <w:bCs/>
          <w:sz w:val="36"/>
          <w:szCs w:val="36"/>
        </w:rPr>
        <w:t>Module Code – LCHS7006</w:t>
      </w:r>
    </w:p>
    <w:p w14:paraId="64D849B3" w14:textId="186A389C" w:rsidR="00367175" w:rsidRPr="00367175" w:rsidRDefault="00367175" w:rsidP="00367175">
      <w:pPr>
        <w:jc w:val="center"/>
        <w:rPr>
          <w:b/>
          <w:bCs/>
          <w:sz w:val="36"/>
          <w:szCs w:val="36"/>
        </w:rPr>
      </w:pPr>
      <w:r w:rsidRPr="00367175">
        <w:rPr>
          <w:b/>
          <w:bCs/>
          <w:sz w:val="36"/>
          <w:szCs w:val="36"/>
        </w:rPr>
        <w:t>Module Name – Quality Assurance and Service Improvements</w:t>
      </w:r>
    </w:p>
    <w:p w14:paraId="34DD51B2" w14:textId="77777777" w:rsidR="00367175" w:rsidRPr="00367175" w:rsidRDefault="00367175" w:rsidP="00367175">
      <w:pPr>
        <w:jc w:val="center"/>
        <w:rPr>
          <w:b/>
          <w:bCs/>
          <w:sz w:val="36"/>
          <w:szCs w:val="36"/>
        </w:rPr>
      </w:pPr>
    </w:p>
    <w:p w14:paraId="2BB7F020" w14:textId="1C9124C1" w:rsidR="00367175" w:rsidRPr="00367175" w:rsidRDefault="00367175" w:rsidP="00367175">
      <w:pPr>
        <w:jc w:val="center"/>
        <w:rPr>
          <w:b/>
          <w:bCs/>
          <w:sz w:val="36"/>
          <w:szCs w:val="36"/>
        </w:rPr>
      </w:pPr>
      <w:r w:rsidRPr="00367175">
        <w:rPr>
          <w:b/>
          <w:bCs/>
          <w:sz w:val="36"/>
          <w:szCs w:val="36"/>
        </w:rPr>
        <w:t>Component 2: Service Improvement Report</w:t>
      </w:r>
    </w:p>
    <w:p w14:paraId="185CD9EB" w14:textId="77777777" w:rsidR="00367175" w:rsidRPr="00367175" w:rsidRDefault="00367175" w:rsidP="00367175">
      <w:pPr>
        <w:jc w:val="center"/>
        <w:rPr>
          <w:b/>
          <w:bCs/>
          <w:sz w:val="36"/>
          <w:szCs w:val="36"/>
        </w:rPr>
      </w:pPr>
    </w:p>
    <w:p w14:paraId="2E35C4F1" w14:textId="048B9464" w:rsidR="00367175" w:rsidRPr="00367175" w:rsidRDefault="00367175" w:rsidP="00367175">
      <w:pPr>
        <w:jc w:val="center"/>
        <w:rPr>
          <w:b/>
          <w:bCs/>
          <w:sz w:val="36"/>
          <w:szCs w:val="36"/>
        </w:rPr>
      </w:pPr>
      <w:r w:rsidRPr="00367175">
        <w:rPr>
          <w:b/>
          <w:bCs/>
          <w:sz w:val="36"/>
          <w:szCs w:val="36"/>
        </w:rPr>
        <w:t>Student Name – Harsh pal</w:t>
      </w:r>
    </w:p>
    <w:p w14:paraId="0EDA17BD" w14:textId="6202F21B" w:rsidR="00367175" w:rsidRPr="00367175" w:rsidRDefault="00367175" w:rsidP="00367175">
      <w:pPr>
        <w:jc w:val="center"/>
        <w:rPr>
          <w:b/>
          <w:bCs/>
          <w:sz w:val="36"/>
          <w:szCs w:val="36"/>
        </w:rPr>
      </w:pPr>
      <w:r w:rsidRPr="00367175">
        <w:rPr>
          <w:b/>
          <w:bCs/>
          <w:sz w:val="36"/>
          <w:szCs w:val="36"/>
        </w:rPr>
        <w:t>Student ID – 2432312</w:t>
      </w:r>
    </w:p>
    <w:p w14:paraId="7888C5CF" w14:textId="3435A1A0" w:rsidR="00367175" w:rsidRPr="00367175" w:rsidRDefault="00367175" w:rsidP="00367175">
      <w:pPr>
        <w:jc w:val="center"/>
        <w:rPr>
          <w:b/>
          <w:bCs/>
          <w:sz w:val="36"/>
          <w:szCs w:val="36"/>
        </w:rPr>
      </w:pPr>
      <w:r w:rsidRPr="00367175">
        <w:rPr>
          <w:b/>
          <w:bCs/>
          <w:sz w:val="36"/>
          <w:szCs w:val="36"/>
        </w:rPr>
        <w:t>Submission Date – 27/11/2025</w:t>
      </w:r>
    </w:p>
    <w:p w14:paraId="2FD574FC" w14:textId="510E9405" w:rsidR="00803317" w:rsidRPr="00803317" w:rsidRDefault="00803317" w:rsidP="00803317">
      <w:pPr>
        <w:pStyle w:val="Heading2"/>
        <w:rPr>
          <w:rFonts w:ascii="Arial" w:hAnsi="Arial" w:cs="Arial"/>
          <w:sz w:val="22"/>
          <w:szCs w:val="22"/>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07FA2E7F" w14:textId="77777777" w:rsidR="00803317" w:rsidRDefault="00803317">
      <w:pPr>
        <w:rPr>
          <w:rFonts w:ascii="Arial" w:eastAsiaTheme="majorEastAsia" w:hAnsi="Arial" w:cs="Arial"/>
          <w:color w:val="2F5496" w:themeColor="accent1" w:themeShade="BF"/>
          <w:kern w:val="0"/>
          <w:lang w:val="en-US"/>
          <w14:ligatures w14:val="none"/>
        </w:rPr>
      </w:pPr>
    </w:p>
    <w:p w14:paraId="7749C941" w14:textId="77777777" w:rsidR="00803317" w:rsidRDefault="00803317">
      <w:pPr>
        <w:rPr>
          <w:rFonts w:ascii="Arial" w:eastAsiaTheme="majorEastAsia" w:hAnsi="Arial" w:cs="Arial"/>
          <w:color w:val="2F5496" w:themeColor="accent1" w:themeShade="BF"/>
          <w:kern w:val="0"/>
          <w:lang w:val="en-US"/>
          <w14:ligatures w14:val="none"/>
        </w:rPr>
      </w:pPr>
    </w:p>
    <w:p w14:paraId="681C0859" w14:textId="77777777" w:rsidR="00803317" w:rsidRDefault="00803317">
      <w:pPr>
        <w:rPr>
          <w:rFonts w:ascii="Arial" w:eastAsiaTheme="majorEastAsia" w:hAnsi="Arial" w:cs="Arial"/>
          <w:color w:val="2F5496" w:themeColor="accent1" w:themeShade="BF"/>
          <w:kern w:val="0"/>
          <w:lang w:val="en-US"/>
          <w14:ligatures w14:val="none"/>
        </w:rPr>
      </w:pPr>
    </w:p>
    <w:p w14:paraId="423058A9" w14:textId="77777777" w:rsidR="00803317" w:rsidRDefault="00803317">
      <w:pPr>
        <w:rPr>
          <w:rFonts w:ascii="Arial" w:eastAsiaTheme="majorEastAsia" w:hAnsi="Arial" w:cs="Arial"/>
          <w:color w:val="2F5496" w:themeColor="accent1" w:themeShade="BF"/>
          <w:kern w:val="0"/>
          <w:lang w:val="en-US"/>
          <w14:ligatures w14:val="none"/>
        </w:rPr>
      </w:pPr>
    </w:p>
    <w:p w14:paraId="733064BC" w14:textId="77777777" w:rsidR="00803317" w:rsidRDefault="00803317">
      <w:pPr>
        <w:rPr>
          <w:rFonts w:ascii="Arial" w:eastAsiaTheme="majorEastAsia" w:hAnsi="Arial" w:cs="Arial"/>
          <w:color w:val="2F5496" w:themeColor="accent1" w:themeShade="BF"/>
          <w:kern w:val="0"/>
          <w:lang w:val="en-US"/>
          <w14:ligatures w14:val="none"/>
        </w:rPr>
      </w:pPr>
    </w:p>
    <w:p w14:paraId="59C07F14" w14:textId="77777777" w:rsidR="00803317" w:rsidRDefault="00803317">
      <w:pPr>
        <w:rPr>
          <w:rFonts w:ascii="Arial" w:eastAsiaTheme="majorEastAsia" w:hAnsi="Arial" w:cs="Arial"/>
          <w:color w:val="2F5496" w:themeColor="accent1" w:themeShade="BF"/>
          <w:kern w:val="0"/>
          <w:lang w:val="en-US"/>
          <w14:ligatures w14:val="none"/>
        </w:rPr>
      </w:pPr>
    </w:p>
    <w:p w14:paraId="24BDDDA4" w14:textId="77777777" w:rsidR="00803317" w:rsidRDefault="00803317">
      <w:pPr>
        <w:rPr>
          <w:rFonts w:ascii="Arial" w:eastAsiaTheme="majorEastAsia" w:hAnsi="Arial" w:cs="Arial"/>
          <w:color w:val="2F5496" w:themeColor="accent1" w:themeShade="BF"/>
          <w:kern w:val="0"/>
          <w:lang w:val="en-US"/>
          <w14:ligatures w14:val="none"/>
        </w:rPr>
      </w:pPr>
    </w:p>
    <w:p w14:paraId="498CABC3" w14:textId="7299E2D2" w:rsidR="00B227DF" w:rsidRPr="00B227DF" w:rsidRDefault="00B227DF" w:rsidP="00B227DF">
      <w:pPr>
        <w:spacing w:line="360" w:lineRule="auto"/>
        <w:rPr>
          <w:rFonts w:ascii="Arial" w:hAnsi="Arial" w:cs="Arial"/>
          <w:b/>
          <w:bCs/>
        </w:rPr>
      </w:pPr>
    </w:p>
    <w:p w14:paraId="149F8B87" w14:textId="77777777" w:rsidR="00B227DF" w:rsidRPr="00B227DF" w:rsidRDefault="00B227DF" w:rsidP="00B227DF">
      <w:pPr>
        <w:spacing w:line="360" w:lineRule="auto"/>
        <w:rPr>
          <w:rFonts w:ascii="Arial" w:hAnsi="Arial" w:cs="Arial"/>
          <w:b/>
          <w:bCs/>
        </w:rPr>
      </w:pPr>
      <w:r w:rsidRPr="00B227DF">
        <w:rPr>
          <w:rFonts w:ascii="Arial" w:hAnsi="Arial" w:cs="Arial"/>
          <w:b/>
          <w:bCs/>
        </w:rPr>
        <w:br w:type="page"/>
      </w:r>
    </w:p>
    <w:p w14:paraId="46F6129D" w14:textId="50E7C955" w:rsidR="00B227DF" w:rsidRPr="00B227DF" w:rsidRDefault="00B227DF" w:rsidP="00B227DF">
      <w:pPr>
        <w:pStyle w:val="Heading1"/>
        <w:spacing w:line="360" w:lineRule="auto"/>
        <w:rPr>
          <w:rFonts w:ascii="Arial" w:hAnsi="Arial" w:cs="Arial"/>
          <w:sz w:val="22"/>
          <w:szCs w:val="22"/>
        </w:rPr>
      </w:pPr>
      <w:bookmarkStart w:id="0" w:name="_Toc215158506"/>
      <w:r w:rsidRPr="00B227DF">
        <w:rPr>
          <w:rFonts w:ascii="Arial" w:hAnsi="Arial" w:cs="Arial"/>
          <w:sz w:val="22"/>
          <w:szCs w:val="22"/>
        </w:rPr>
        <w:lastRenderedPageBreak/>
        <w:t>Introduction</w:t>
      </w:r>
      <w:bookmarkEnd w:id="0"/>
    </w:p>
    <w:p w14:paraId="19FCE577" w14:textId="77777777" w:rsidR="008F68A9" w:rsidRPr="008F68A9" w:rsidRDefault="008F68A9" w:rsidP="008F68A9">
      <w:pPr>
        <w:spacing w:line="360" w:lineRule="auto"/>
        <w:rPr>
          <w:rFonts w:ascii="Arial" w:hAnsi="Arial" w:cs="Arial"/>
        </w:rPr>
      </w:pPr>
      <w:r w:rsidRPr="008F68A9">
        <w:rPr>
          <w:rFonts w:ascii="Arial" w:hAnsi="Arial" w:cs="Arial"/>
        </w:rPr>
        <w:t>One widely cited example of such a systemic failure is the Bristol Royal Infirmary (BRI) paediatric cardiac surgery scandal, often referred to as ‘one of the greatest scandals in the history of the NHS' and an episode that</w:t>
      </w:r>
      <w:r w:rsidRPr="008F68A9">
        <w:rPr>
          <w:rFonts w:ascii="Arial" w:hAnsi="Arial" w:cs="Arial"/>
        </w:rPr>
        <w:t> </w:t>
      </w:r>
      <w:r w:rsidRPr="008F68A9">
        <w:rPr>
          <w:rFonts w:ascii="Arial" w:hAnsi="Arial" w:cs="Arial"/>
        </w:rPr>
        <w:t>changed clinical governance. Mortality rates for some paediatric cardiac procedures at BRI were substantially</w:t>
      </w:r>
      <w:r w:rsidRPr="008F68A9">
        <w:rPr>
          <w:rFonts w:ascii="Arial" w:hAnsi="Arial" w:cs="Arial"/>
        </w:rPr>
        <w:t> </w:t>
      </w:r>
      <w:r w:rsidRPr="008F68A9">
        <w:rPr>
          <w:rFonts w:ascii="Arial" w:hAnsi="Arial" w:cs="Arial"/>
        </w:rPr>
        <w:t>higher than those in similar centres between 1984 and 1995, but concerns went unaddressed for many years. He concluded that “unnecessary risk was attached to the care of children” and avoidable deaths had been caused not</w:t>
      </w:r>
      <w:r w:rsidRPr="008F68A9">
        <w:rPr>
          <w:rFonts w:ascii="Arial" w:hAnsi="Arial" w:cs="Arial"/>
        </w:rPr>
        <w:t> </w:t>
      </w:r>
      <w:r w:rsidRPr="008F68A9">
        <w:rPr>
          <w:rFonts w:ascii="Arial" w:hAnsi="Arial" w:cs="Arial"/>
        </w:rPr>
        <w:t>by isolated mistakes, but systemic errors (Bristol Royal Infirmary Inquiry, 2001; Department of Health, 2002). The</w:t>
      </w:r>
      <w:r w:rsidRPr="008F68A9">
        <w:rPr>
          <w:rFonts w:ascii="Arial" w:hAnsi="Arial" w:cs="Arial"/>
        </w:rPr>
        <w:t> </w:t>
      </w:r>
      <w:r w:rsidRPr="008F68A9">
        <w:rPr>
          <w:rFonts w:ascii="Arial" w:hAnsi="Arial" w:cs="Arial"/>
        </w:rPr>
        <w:t>case therefore became a byword for what can result when there is an absence of clinical performance, governance and culture to ensure the safety of patients.</w:t>
      </w:r>
    </w:p>
    <w:p w14:paraId="7A4026F5" w14:textId="3F468F95" w:rsidR="00337C46" w:rsidRPr="00337C46" w:rsidRDefault="008F68A9" w:rsidP="00337C46">
      <w:pPr>
        <w:spacing w:line="360" w:lineRule="auto"/>
        <w:rPr>
          <w:rFonts w:ascii="Arial" w:hAnsi="Arial" w:cs="Arial"/>
        </w:rPr>
      </w:pPr>
      <w:r w:rsidRPr="008F68A9">
        <w:rPr>
          <w:rFonts w:ascii="Arial" w:hAnsi="Arial" w:cs="Arial"/>
        </w:rPr>
        <w:t>The Inquiry highlighted a number of problems: to work at the limits of paediatric expertise</w:t>
      </w:r>
      <w:r w:rsidRPr="008F68A9">
        <w:rPr>
          <w:rFonts w:ascii="Arial" w:hAnsi="Arial" w:cs="Arial"/>
        </w:rPr>
        <w:t> </w:t>
      </w:r>
      <w:r w:rsidRPr="008F68A9">
        <w:rPr>
          <w:rFonts w:ascii="Arial" w:hAnsi="Arial" w:cs="Arial"/>
        </w:rPr>
        <w:t>was conducted under-performance had not been identified due to inadequate checking and benchmarking procedures in place, lines of accountability within hospital trust boards were weak; clarity around roles, responsibilities and accountability was less than optimal, reporting had been ineffective, and staff as well as parents did not feel heard (Coulter, 2002; Walshe and Offen, 2001). Subsequently, the introduction of better audit and then the advent of establishment of clinical governance</w:t>
      </w:r>
      <w:r w:rsidRPr="008F68A9">
        <w:rPr>
          <w:rFonts w:ascii="Arial" w:hAnsi="Arial" w:cs="Arial"/>
        </w:rPr>
        <w:t> </w:t>
      </w:r>
      <w:r w:rsidRPr="008F68A9">
        <w:rPr>
          <w:rFonts w:ascii="Arial" w:hAnsi="Arial" w:cs="Arial"/>
        </w:rPr>
        <w:t>were associated with improved paediatric cardiac outcomes nationally (Espuny Pujol et al., 2022; HQIP / NICOR, 2022). But further scandals, including Mid Staffordshire (Francis, 2013) and recent findings from the NHS Staff Survey (NHS Staff Survey, 2024; Patient</w:t>
      </w:r>
      <w:r w:rsidRPr="008F68A9">
        <w:rPr>
          <w:rFonts w:ascii="Arial" w:hAnsi="Arial" w:cs="Arial"/>
        </w:rPr>
        <w:t> </w:t>
      </w:r>
      <w:r w:rsidRPr="008F68A9">
        <w:rPr>
          <w:rFonts w:ascii="Arial" w:hAnsi="Arial" w:cs="Arial"/>
        </w:rPr>
        <w:t>Safety Learning, 2025), suggest that cultural and system failures have not yet been effectively addressed.</w:t>
      </w:r>
    </w:p>
    <w:p w14:paraId="0A237147" w14:textId="45C134FE" w:rsidR="00337C46" w:rsidRPr="00337C46" w:rsidRDefault="00327376" w:rsidP="00337C46">
      <w:pPr>
        <w:spacing w:line="360" w:lineRule="auto"/>
        <w:rPr>
          <w:rFonts w:ascii="Arial" w:hAnsi="Arial" w:cs="Arial"/>
        </w:rPr>
      </w:pPr>
      <w:r w:rsidRPr="00327376">
        <w:rPr>
          <w:rFonts w:ascii="Arial" w:hAnsi="Arial" w:cs="Arial"/>
        </w:rPr>
        <w:t>This report uses the Bristol case to</w:t>
      </w:r>
      <w:r w:rsidRPr="00327376">
        <w:rPr>
          <w:rFonts w:ascii="Arial" w:hAnsi="Arial" w:cs="Arial"/>
        </w:rPr>
        <w:t> </w:t>
      </w:r>
      <w:r w:rsidRPr="00327376">
        <w:rPr>
          <w:rFonts w:ascii="Arial" w:hAnsi="Arial" w:cs="Arial"/>
        </w:rPr>
        <w:t>illustrate a significant quality and safety failure in health care. The core problem is described as a mixture</w:t>
      </w:r>
      <w:r w:rsidRPr="00327376">
        <w:rPr>
          <w:rFonts w:ascii="Arial" w:hAnsi="Arial" w:cs="Arial"/>
        </w:rPr>
        <w:t> </w:t>
      </w:r>
      <w:r w:rsidRPr="00327376">
        <w:rPr>
          <w:rFonts w:ascii="Arial" w:hAnsi="Arial" w:cs="Arial"/>
        </w:rPr>
        <w:t>of high mortality, poor clinical governance, lack of adequate measurement or focus on safety and a culture which failed to promote openness or learning. To analyse this, the report applies several theoretical frameworks. For this</w:t>
      </w:r>
      <w:r w:rsidRPr="00327376">
        <w:rPr>
          <w:rFonts w:ascii="Arial" w:hAnsi="Arial" w:cs="Arial"/>
        </w:rPr>
        <w:t> </w:t>
      </w:r>
      <w:r w:rsidRPr="00327376">
        <w:rPr>
          <w:rFonts w:ascii="Arial" w:hAnsi="Arial" w:cs="Arial"/>
        </w:rPr>
        <w:t>purpose we rely on Donabedian’s structure– process–outcome framework to categorise failures systematically (Donabedian, 1988; 2005). Root-cause analysis (RCA) tools such as the Fishbone (cause-and-effect) diagram and 5 Whys are subsequently applied to investigate deeper causes (Ishikawa, 1986; IHI, n.d.-a; IHI, n.d.-b). Safety measurement and monitoring ideas, most notably Vincent, Burnett and</w:t>
      </w:r>
      <w:r>
        <w:rPr>
          <w:rFonts w:ascii="Arial" w:hAnsi="Arial" w:cs="Arial"/>
        </w:rPr>
        <w:t xml:space="preserve"> </w:t>
      </w:r>
      <w:r w:rsidRPr="00327376">
        <w:rPr>
          <w:rFonts w:ascii="Arial" w:hAnsi="Arial" w:cs="Arial"/>
        </w:rPr>
        <w:t>Carthey’s (2014) framework of safety metrics in high-risk organisations can be used to critique how Bristol did not establish a complete understanding of risk. These findings are placed in the broader context of NHS patient safety</w:t>
      </w:r>
      <w:r w:rsidR="00203A7C">
        <w:rPr>
          <w:rFonts w:ascii="Arial" w:hAnsi="Arial" w:cs="Arial"/>
        </w:rPr>
        <w:t xml:space="preserve"> u</w:t>
      </w:r>
      <w:r w:rsidRPr="00327376">
        <w:rPr>
          <w:rFonts w:ascii="Arial" w:hAnsi="Arial" w:cs="Arial"/>
        </w:rPr>
        <w:t>sing a SWOT analysis (NHS England, 2019; WHO, 2021).</w:t>
      </w:r>
    </w:p>
    <w:p w14:paraId="0CBD7668" w14:textId="7EC0C732" w:rsidR="00337C46" w:rsidRPr="00337C46" w:rsidRDefault="00327376" w:rsidP="00337C46">
      <w:pPr>
        <w:spacing w:line="360" w:lineRule="auto"/>
        <w:rPr>
          <w:rFonts w:ascii="Arial" w:hAnsi="Arial" w:cs="Arial"/>
        </w:rPr>
      </w:pPr>
      <w:r w:rsidRPr="00327376">
        <w:rPr>
          <w:rFonts w:ascii="Arial" w:hAnsi="Arial" w:cs="Arial"/>
        </w:rPr>
        <w:lastRenderedPageBreak/>
        <w:t>The second objective is to propose practical, evidence-based recommendations. These take the form of quality improvement methodologies that are well established including Plan–Do–Study–Act (PDSA) cycles, Lean thinking and</w:t>
      </w:r>
      <w:r w:rsidRPr="00327376">
        <w:rPr>
          <w:rFonts w:ascii="Arial" w:hAnsi="Arial" w:cs="Arial"/>
        </w:rPr>
        <w:t> </w:t>
      </w:r>
      <w:r w:rsidRPr="00327376">
        <w:rPr>
          <w:rFonts w:ascii="Arial" w:hAnsi="Arial" w:cs="Arial"/>
        </w:rPr>
        <w:t>elements of Six Sigma (Langley et al., 2009; Taylor et al., 2014; Graban, 2016; Antony and Kumar, 2012; Taner, Sezen and Antony, 2007). The</w:t>
      </w:r>
      <w:r w:rsidRPr="00327376">
        <w:rPr>
          <w:rFonts w:ascii="Arial" w:hAnsi="Arial" w:cs="Arial"/>
        </w:rPr>
        <w:t> </w:t>
      </w:r>
      <w:r w:rsidRPr="00327376">
        <w:rPr>
          <w:rFonts w:ascii="Arial" w:hAnsi="Arial" w:cs="Arial"/>
        </w:rPr>
        <w:t>modern day context for such suggestions is represented by existing policy architecture including the NHS Patient Safety Strategy, Patient Safety Incident Response Framework (PSIRF) and the Being Fair tool (NHS England, 2019; NHS England, 2021</w:t>
      </w:r>
      <w:r w:rsidR="00203A7C">
        <w:rPr>
          <w:rFonts w:ascii="Arial" w:hAnsi="Arial" w:cs="Arial"/>
        </w:rPr>
        <w:t>a</w:t>
      </w:r>
      <w:r w:rsidRPr="00327376">
        <w:rPr>
          <w:rFonts w:ascii="Arial" w:hAnsi="Arial" w:cs="Arial"/>
        </w:rPr>
        <w:t>;</w:t>
      </w:r>
      <w:r w:rsidR="00203A7C">
        <w:rPr>
          <w:rFonts w:ascii="Arial" w:hAnsi="Arial" w:cs="Arial"/>
        </w:rPr>
        <w:t xml:space="preserve"> </w:t>
      </w:r>
      <w:r w:rsidR="00203A7C" w:rsidRPr="00203A7C">
        <w:rPr>
          <w:rFonts w:ascii="Arial" w:hAnsi="Arial" w:cs="Arial"/>
        </w:rPr>
        <w:t>NHS Confederation</w:t>
      </w:r>
      <w:r w:rsidR="00203A7C">
        <w:rPr>
          <w:rFonts w:ascii="Arial" w:hAnsi="Arial" w:cs="Arial"/>
        </w:rPr>
        <w:t xml:space="preserve">, </w:t>
      </w:r>
      <w:r w:rsidR="00203A7C" w:rsidRPr="00203A7C">
        <w:rPr>
          <w:rFonts w:ascii="Arial" w:hAnsi="Arial" w:cs="Arial"/>
        </w:rPr>
        <w:t>2019</w:t>
      </w:r>
      <w:r w:rsidR="00203A7C">
        <w:rPr>
          <w:rFonts w:ascii="Arial" w:hAnsi="Arial" w:cs="Arial"/>
        </w:rPr>
        <w:t>;</w:t>
      </w:r>
      <w:r w:rsidRPr="00327376">
        <w:rPr>
          <w:rFonts w:ascii="Arial" w:hAnsi="Arial" w:cs="Arial"/>
        </w:rPr>
        <w:t xml:space="preserve"> NHS England, n.d.).</w:t>
      </w:r>
    </w:p>
    <w:p w14:paraId="56D6341B" w14:textId="19A7C775" w:rsidR="00B227DF" w:rsidRPr="00327376" w:rsidRDefault="00327376" w:rsidP="00B227DF">
      <w:pPr>
        <w:spacing w:line="360" w:lineRule="auto"/>
        <w:rPr>
          <w:rFonts w:ascii="Arial" w:hAnsi="Arial" w:cs="Arial"/>
        </w:rPr>
      </w:pPr>
      <w:r w:rsidRPr="00327376">
        <w:rPr>
          <w:rFonts w:ascii="Arial" w:hAnsi="Arial" w:cs="Arial"/>
        </w:rPr>
        <w:t>Overall, the report argues that Bristol is a failure of structure, process, measurement and culture at several</w:t>
      </w:r>
      <w:r w:rsidRPr="00327376">
        <w:rPr>
          <w:rFonts w:ascii="Arial" w:hAnsi="Arial" w:cs="Arial"/>
        </w:rPr>
        <w:t> </w:t>
      </w:r>
      <w:r w:rsidRPr="00327376">
        <w:rPr>
          <w:rFonts w:ascii="Arial" w:hAnsi="Arial" w:cs="Arial"/>
        </w:rPr>
        <w:t>levels. Using the available theoretical models and lessons from previous reforms, it seeks to demonstrate how common quality problems can be diagnosed more before they become acute and high-risk services can be designed or managed with greater safety in</w:t>
      </w:r>
      <w:r w:rsidRPr="00327376">
        <w:rPr>
          <w:rFonts w:ascii="Arial" w:hAnsi="Arial" w:cs="Arial"/>
        </w:rPr>
        <w:t> </w:t>
      </w:r>
      <w:r w:rsidRPr="00327376">
        <w:rPr>
          <w:rFonts w:ascii="Arial" w:hAnsi="Arial" w:cs="Arial"/>
        </w:rPr>
        <w:t>the future.</w:t>
      </w:r>
    </w:p>
    <w:p w14:paraId="4182BD02" w14:textId="77777777" w:rsidR="00FD432C" w:rsidRDefault="00FD432C" w:rsidP="00337C46">
      <w:pPr>
        <w:spacing w:line="360" w:lineRule="auto"/>
        <w:rPr>
          <w:rFonts w:ascii="Arial" w:hAnsi="Arial" w:cs="Arial"/>
          <w:b/>
          <w:bCs/>
        </w:rPr>
      </w:pPr>
    </w:p>
    <w:p w14:paraId="046566E4" w14:textId="3BD3A58C" w:rsidR="00337C46" w:rsidRPr="00337C46" w:rsidRDefault="00337C46" w:rsidP="00337C46">
      <w:pPr>
        <w:spacing w:line="360" w:lineRule="auto"/>
        <w:rPr>
          <w:rFonts w:ascii="Arial" w:hAnsi="Arial" w:cs="Arial"/>
          <w:b/>
          <w:bCs/>
        </w:rPr>
      </w:pPr>
      <w:r w:rsidRPr="00337C46">
        <w:rPr>
          <w:rFonts w:ascii="Arial" w:hAnsi="Arial" w:cs="Arial"/>
          <w:b/>
          <w:bCs/>
        </w:rPr>
        <w:t>1. Overview of the quality failure</w:t>
      </w:r>
    </w:p>
    <w:p w14:paraId="4128E257" w14:textId="0CB4E0AC" w:rsidR="00337C46" w:rsidRPr="00337C46" w:rsidRDefault="006368D0" w:rsidP="00337C46">
      <w:pPr>
        <w:spacing w:line="360" w:lineRule="auto"/>
        <w:rPr>
          <w:rFonts w:ascii="Arial" w:hAnsi="Arial" w:cs="Arial"/>
        </w:rPr>
      </w:pPr>
      <w:r w:rsidRPr="006368D0">
        <w:rPr>
          <w:rFonts w:ascii="Arial" w:hAnsi="Arial" w:cs="Arial"/>
        </w:rPr>
        <w:t>As the Bristol case has been characterised, a “very public failure” because all three poor clinical outcomes, weak governance and substantial damage to reputation were present in this large disaster (Walshe and Offen, 2001). For more than a decade mortality rates for some paediatric cardiac surgery at BRI were substantially higher than that in other units, but local and national mechanisms failed to intervene (Bristol Royal Infirmary Inquiry, 2001). Analyses of national data indicate that there were better outcomes following the Inquiry, and transparency and audit for congenital heart disease services became more routine (Espuny Pujol et al., 2022; HQIP / NICOR, 2022). This is consistent with the belief that weak systems of measurement and oversight, rather than simply individual performance, were at the heart of the failure.</w:t>
      </w:r>
    </w:p>
    <w:p w14:paraId="587FEF35" w14:textId="0ADDF979" w:rsidR="00337C46" w:rsidRPr="00337C46" w:rsidRDefault="003F6E3D" w:rsidP="00337C46">
      <w:pPr>
        <w:spacing w:line="360" w:lineRule="auto"/>
        <w:rPr>
          <w:rFonts w:ascii="Arial" w:hAnsi="Arial" w:cs="Arial"/>
        </w:rPr>
      </w:pPr>
      <w:r w:rsidRPr="003F6E3D">
        <w:rPr>
          <w:rFonts w:ascii="Arial" w:hAnsi="Arial" w:cs="Arial"/>
        </w:rPr>
        <w:t>The Inquiry also highlighted deficiencies in how patients and families were</w:t>
      </w:r>
      <w:r>
        <w:rPr>
          <w:rFonts w:ascii="Arial" w:hAnsi="Arial" w:cs="Arial"/>
        </w:rPr>
        <w:t xml:space="preserve"> </w:t>
      </w:r>
      <w:r w:rsidRPr="003F6E3D">
        <w:rPr>
          <w:rFonts w:ascii="Arial" w:hAnsi="Arial" w:cs="Arial"/>
        </w:rPr>
        <w:t>involved. Parents concern about high death rates and lack</w:t>
      </w:r>
      <w:r w:rsidRPr="003F6E3D">
        <w:rPr>
          <w:rFonts w:ascii="Arial" w:hAnsi="Arial" w:cs="Arial"/>
        </w:rPr>
        <w:t> </w:t>
      </w:r>
      <w:r w:rsidRPr="003F6E3D">
        <w:rPr>
          <w:rFonts w:ascii="Arial" w:hAnsi="Arial" w:cs="Arial"/>
        </w:rPr>
        <w:t>of communication were frequently ignored, with information instead being in the hands of senior clinicians (Coulter, 2002). More junior staff were disempowered from questioning</w:t>
      </w:r>
      <w:r w:rsidRPr="003F6E3D">
        <w:rPr>
          <w:rFonts w:ascii="Arial" w:hAnsi="Arial" w:cs="Arial"/>
        </w:rPr>
        <w:t> </w:t>
      </w:r>
      <w:r w:rsidRPr="003F6E3D">
        <w:rPr>
          <w:rFonts w:ascii="Arial" w:hAnsi="Arial" w:cs="Arial"/>
        </w:rPr>
        <w:t>consultants in a “club” of loyalty and reputations over candour (Bristol Royal Infirmary Inquiry, 2001; Francis, 2015). These attributes render Bristol a strong ‘case’ through which to</w:t>
      </w:r>
      <w:r w:rsidRPr="003F6E3D">
        <w:rPr>
          <w:rFonts w:ascii="Arial" w:hAnsi="Arial" w:cs="Arial"/>
        </w:rPr>
        <w:t> </w:t>
      </w:r>
      <w:r w:rsidRPr="003F6E3D">
        <w:rPr>
          <w:rFonts w:ascii="Arial" w:hAnsi="Arial" w:cs="Arial"/>
        </w:rPr>
        <w:t>explore the interplay between culture, governance and data interact to shape care quality.</w:t>
      </w:r>
    </w:p>
    <w:p w14:paraId="3F08A8A8" w14:textId="77777777" w:rsidR="00337C46" w:rsidRPr="00337C46" w:rsidRDefault="00337C46" w:rsidP="00337C46">
      <w:pPr>
        <w:spacing w:line="360" w:lineRule="auto"/>
        <w:rPr>
          <w:rFonts w:ascii="Arial" w:hAnsi="Arial" w:cs="Arial"/>
          <w:b/>
          <w:bCs/>
        </w:rPr>
      </w:pPr>
      <w:r w:rsidRPr="00337C46">
        <w:rPr>
          <w:rFonts w:ascii="Arial" w:hAnsi="Arial" w:cs="Arial"/>
          <w:b/>
          <w:bCs/>
        </w:rPr>
        <w:t>2. Donabedian’s structure–process–outcome model</w:t>
      </w:r>
    </w:p>
    <w:p w14:paraId="4A3B1E28" w14:textId="335E00E1" w:rsidR="00337C46" w:rsidRPr="00337C46" w:rsidRDefault="00337C46" w:rsidP="00337C46">
      <w:pPr>
        <w:spacing w:line="360" w:lineRule="auto"/>
        <w:rPr>
          <w:rFonts w:ascii="Arial" w:hAnsi="Arial" w:cs="Arial"/>
        </w:rPr>
      </w:pPr>
      <w:r w:rsidRPr="00337C46">
        <w:rPr>
          <w:rFonts w:ascii="Arial" w:hAnsi="Arial" w:cs="Arial"/>
        </w:rPr>
        <w:lastRenderedPageBreak/>
        <w:t xml:space="preserve">Donabedian’s model provides a structured way to analyse quality by distinguishing between </w:t>
      </w:r>
      <w:r w:rsidRPr="00337C46">
        <w:rPr>
          <w:rFonts w:ascii="Arial" w:hAnsi="Arial" w:cs="Arial"/>
          <w:b/>
          <w:bCs/>
        </w:rPr>
        <w:t>structure</w:t>
      </w:r>
      <w:r w:rsidRPr="00337C46">
        <w:rPr>
          <w:rFonts w:ascii="Arial" w:hAnsi="Arial" w:cs="Arial"/>
        </w:rPr>
        <w:t xml:space="preserve"> (the environment in which care occurs), </w:t>
      </w:r>
      <w:r w:rsidRPr="00337C46">
        <w:rPr>
          <w:rFonts w:ascii="Arial" w:hAnsi="Arial" w:cs="Arial"/>
          <w:b/>
          <w:bCs/>
        </w:rPr>
        <w:t>process</w:t>
      </w:r>
      <w:r w:rsidRPr="00337C46">
        <w:rPr>
          <w:rFonts w:ascii="Arial" w:hAnsi="Arial" w:cs="Arial"/>
        </w:rPr>
        <w:t xml:space="preserve"> (what is </w:t>
      </w:r>
      <w:r w:rsidR="00FB70DC" w:rsidRPr="00337C46">
        <w:rPr>
          <w:rFonts w:ascii="Arial" w:hAnsi="Arial" w:cs="Arial"/>
        </w:rPr>
        <w:t>done</w:t>
      </w:r>
      <w:r w:rsidRPr="00337C46">
        <w:rPr>
          <w:rFonts w:ascii="Arial" w:hAnsi="Arial" w:cs="Arial"/>
        </w:rPr>
        <w:t xml:space="preserve">) and </w:t>
      </w:r>
      <w:r w:rsidRPr="00337C46">
        <w:rPr>
          <w:rFonts w:ascii="Arial" w:hAnsi="Arial" w:cs="Arial"/>
          <w:b/>
          <w:bCs/>
        </w:rPr>
        <w:t>outcome</w:t>
      </w:r>
      <w:r w:rsidRPr="00337C46">
        <w:rPr>
          <w:rFonts w:ascii="Arial" w:hAnsi="Arial" w:cs="Arial"/>
        </w:rPr>
        <w:t xml:space="preserve"> (the results for patients) (Donabedian, 1988; 2005). Table 1 summarises how these domains apply to Bristol.</w:t>
      </w:r>
    </w:p>
    <w:p w14:paraId="5900B84D" w14:textId="77777777" w:rsidR="00337C46" w:rsidRPr="00337C46" w:rsidRDefault="00337C46" w:rsidP="006368D0">
      <w:pPr>
        <w:spacing w:line="360" w:lineRule="auto"/>
        <w:jc w:val="center"/>
        <w:rPr>
          <w:rFonts w:ascii="Arial" w:hAnsi="Arial" w:cs="Arial"/>
          <w:b/>
          <w:bCs/>
        </w:rPr>
      </w:pPr>
      <w:r w:rsidRPr="00337C46">
        <w:rPr>
          <w:rFonts w:ascii="Arial" w:hAnsi="Arial" w:cs="Arial"/>
          <w:b/>
          <w:bCs/>
        </w:rPr>
        <w:t>Table 1. Application of the Donabedian Model to the Bristol Royal Infirmary Quality Failure</w:t>
      </w:r>
    </w:p>
    <w:tbl>
      <w:tblPr>
        <w:tblStyle w:val="TableGrid"/>
        <w:tblW w:w="0" w:type="auto"/>
        <w:tblLook w:val="04A0" w:firstRow="1" w:lastRow="0" w:firstColumn="1" w:lastColumn="0" w:noHBand="0" w:noVBand="1"/>
      </w:tblPr>
      <w:tblGrid>
        <w:gridCol w:w="1194"/>
        <w:gridCol w:w="3966"/>
        <w:gridCol w:w="3856"/>
      </w:tblGrid>
      <w:tr w:rsidR="00337C46" w:rsidRPr="00337C46" w14:paraId="6103CE5E" w14:textId="77777777" w:rsidTr="006368D0">
        <w:tc>
          <w:tcPr>
            <w:tcW w:w="0" w:type="auto"/>
            <w:hideMark/>
          </w:tcPr>
          <w:p w14:paraId="0BAB3EAA" w14:textId="77777777" w:rsidR="00337C46" w:rsidRPr="00337C46" w:rsidRDefault="00337C46" w:rsidP="00337C46">
            <w:pPr>
              <w:spacing w:after="160" w:line="360" w:lineRule="auto"/>
              <w:rPr>
                <w:rFonts w:ascii="Arial" w:hAnsi="Arial" w:cs="Arial"/>
                <w:b/>
                <w:bCs/>
              </w:rPr>
            </w:pPr>
            <w:r w:rsidRPr="00337C46">
              <w:rPr>
                <w:rFonts w:ascii="Arial" w:hAnsi="Arial" w:cs="Arial"/>
                <w:b/>
                <w:bCs/>
              </w:rPr>
              <w:t>Domain</w:t>
            </w:r>
          </w:p>
        </w:tc>
        <w:tc>
          <w:tcPr>
            <w:tcW w:w="0" w:type="auto"/>
            <w:hideMark/>
          </w:tcPr>
          <w:p w14:paraId="438FA752" w14:textId="77777777" w:rsidR="00337C46" w:rsidRPr="00337C46" w:rsidRDefault="00337C46" w:rsidP="00337C46">
            <w:pPr>
              <w:spacing w:after="160" w:line="360" w:lineRule="auto"/>
              <w:rPr>
                <w:rFonts w:ascii="Arial" w:hAnsi="Arial" w:cs="Arial"/>
                <w:b/>
                <w:bCs/>
              </w:rPr>
            </w:pPr>
            <w:r w:rsidRPr="00337C46">
              <w:rPr>
                <w:rFonts w:ascii="Arial" w:hAnsi="Arial" w:cs="Arial"/>
                <w:b/>
                <w:bCs/>
              </w:rPr>
              <w:t>BRI Example</w:t>
            </w:r>
          </w:p>
        </w:tc>
        <w:tc>
          <w:tcPr>
            <w:tcW w:w="0" w:type="auto"/>
            <w:hideMark/>
          </w:tcPr>
          <w:p w14:paraId="7912CB07" w14:textId="77777777" w:rsidR="00337C46" w:rsidRPr="00337C46" w:rsidRDefault="00337C46" w:rsidP="00337C46">
            <w:pPr>
              <w:spacing w:after="160" w:line="360" w:lineRule="auto"/>
              <w:rPr>
                <w:rFonts w:ascii="Arial" w:hAnsi="Arial" w:cs="Arial"/>
                <w:b/>
                <w:bCs/>
              </w:rPr>
            </w:pPr>
            <w:r w:rsidRPr="00337C46">
              <w:rPr>
                <w:rFonts w:ascii="Arial" w:hAnsi="Arial" w:cs="Arial"/>
                <w:b/>
                <w:bCs/>
              </w:rPr>
              <w:t>Impact / Explanation</w:t>
            </w:r>
          </w:p>
        </w:tc>
      </w:tr>
      <w:tr w:rsidR="00337C46" w:rsidRPr="00337C46" w14:paraId="095D90F5" w14:textId="77777777" w:rsidTr="006368D0">
        <w:tc>
          <w:tcPr>
            <w:tcW w:w="0" w:type="auto"/>
            <w:hideMark/>
          </w:tcPr>
          <w:p w14:paraId="6A10CBAE" w14:textId="77777777" w:rsidR="00337C46" w:rsidRPr="00337C46" w:rsidRDefault="00337C46" w:rsidP="00337C46">
            <w:pPr>
              <w:spacing w:after="160" w:line="360" w:lineRule="auto"/>
              <w:rPr>
                <w:rFonts w:ascii="Arial" w:hAnsi="Arial" w:cs="Arial"/>
              </w:rPr>
            </w:pPr>
            <w:r w:rsidRPr="00337C46">
              <w:rPr>
                <w:rFonts w:ascii="Arial" w:hAnsi="Arial" w:cs="Arial"/>
                <w:b/>
                <w:bCs/>
              </w:rPr>
              <w:t>Structure</w:t>
            </w:r>
          </w:p>
        </w:tc>
        <w:tc>
          <w:tcPr>
            <w:tcW w:w="0" w:type="auto"/>
            <w:hideMark/>
          </w:tcPr>
          <w:p w14:paraId="2162C2C1" w14:textId="77777777" w:rsidR="00337C46" w:rsidRPr="00337C46" w:rsidRDefault="00337C46" w:rsidP="00337C46">
            <w:pPr>
              <w:spacing w:after="160" w:line="360" w:lineRule="auto"/>
              <w:rPr>
                <w:rFonts w:ascii="Arial" w:hAnsi="Arial" w:cs="Arial"/>
              </w:rPr>
            </w:pPr>
            <w:r w:rsidRPr="00337C46">
              <w:rPr>
                <w:rFonts w:ascii="Arial" w:hAnsi="Arial" w:cs="Arial"/>
              </w:rPr>
              <w:t>Limited paediatric expertise; weak clinical governance; poor board oversight; no routine national audit.</w:t>
            </w:r>
          </w:p>
        </w:tc>
        <w:tc>
          <w:tcPr>
            <w:tcW w:w="0" w:type="auto"/>
            <w:hideMark/>
          </w:tcPr>
          <w:p w14:paraId="64D63935" w14:textId="77777777" w:rsidR="00337C46" w:rsidRPr="00337C46" w:rsidRDefault="00337C46" w:rsidP="00337C46">
            <w:pPr>
              <w:spacing w:after="160" w:line="360" w:lineRule="auto"/>
              <w:rPr>
                <w:rFonts w:ascii="Arial" w:hAnsi="Arial" w:cs="Arial"/>
              </w:rPr>
            </w:pPr>
            <w:r w:rsidRPr="00337C46">
              <w:rPr>
                <w:rFonts w:ascii="Arial" w:hAnsi="Arial" w:cs="Arial"/>
              </w:rPr>
              <w:t>Structural weaknesses meant that poor performance could persist without early detection or challenge.</w:t>
            </w:r>
          </w:p>
        </w:tc>
      </w:tr>
      <w:tr w:rsidR="00337C46" w:rsidRPr="00337C46" w14:paraId="0690D452" w14:textId="77777777" w:rsidTr="006368D0">
        <w:tc>
          <w:tcPr>
            <w:tcW w:w="0" w:type="auto"/>
            <w:hideMark/>
          </w:tcPr>
          <w:p w14:paraId="658EAD4A" w14:textId="77777777" w:rsidR="00337C46" w:rsidRPr="00337C46" w:rsidRDefault="00337C46" w:rsidP="00337C46">
            <w:pPr>
              <w:spacing w:after="160" w:line="360" w:lineRule="auto"/>
              <w:rPr>
                <w:rFonts w:ascii="Arial" w:hAnsi="Arial" w:cs="Arial"/>
              </w:rPr>
            </w:pPr>
            <w:r w:rsidRPr="00337C46">
              <w:rPr>
                <w:rFonts w:ascii="Arial" w:hAnsi="Arial" w:cs="Arial"/>
                <w:b/>
                <w:bCs/>
              </w:rPr>
              <w:t>Process</w:t>
            </w:r>
          </w:p>
        </w:tc>
        <w:tc>
          <w:tcPr>
            <w:tcW w:w="0" w:type="auto"/>
            <w:hideMark/>
          </w:tcPr>
          <w:p w14:paraId="2D9AE91E" w14:textId="77777777" w:rsidR="00337C46" w:rsidRPr="00337C46" w:rsidRDefault="00337C46" w:rsidP="00337C46">
            <w:pPr>
              <w:spacing w:after="160" w:line="360" w:lineRule="auto"/>
              <w:rPr>
                <w:rFonts w:ascii="Arial" w:hAnsi="Arial" w:cs="Arial"/>
              </w:rPr>
            </w:pPr>
            <w:r w:rsidRPr="00337C46">
              <w:rPr>
                <w:rFonts w:ascii="Arial" w:hAnsi="Arial" w:cs="Arial"/>
              </w:rPr>
              <w:t>No routine mortality audit; minimal benchmarking; concerns ignored; ineffective MDT communication.</w:t>
            </w:r>
          </w:p>
        </w:tc>
        <w:tc>
          <w:tcPr>
            <w:tcW w:w="0" w:type="auto"/>
            <w:hideMark/>
          </w:tcPr>
          <w:p w14:paraId="2AEDF9B1" w14:textId="77777777" w:rsidR="00337C46" w:rsidRPr="00337C46" w:rsidRDefault="00337C46" w:rsidP="00337C46">
            <w:pPr>
              <w:spacing w:after="160" w:line="360" w:lineRule="auto"/>
              <w:rPr>
                <w:rFonts w:ascii="Arial" w:hAnsi="Arial" w:cs="Arial"/>
              </w:rPr>
            </w:pPr>
            <w:r w:rsidRPr="00337C46">
              <w:rPr>
                <w:rFonts w:ascii="Arial" w:hAnsi="Arial" w:cs="Arial"/>
              </w:rPr>
              <w:t>Daily clinical and governance processes failed to generate learning or trigger corrective action.</w:t>
            </w:r>
          </w:p>
        </w:tc>
      </w:tr>
      <w:tr w:rsidR="00337C46" w:rsidRPr="00337C46" w14:paraId="0FF04BC6" w14:textId="77777777" w:rsidTr="006368D0">
        <w:tc>
          <w:tcPr>
            <w:tcW w:w="0" w:type="auto"/>
            <w:hideMark/>
          </w:tcPr>
          <w:p w14:paraId="7D2DF92B" w14:textId="77777777" w:rsidR="00337C46" w:rsidRPr="00337C46" w:rsidRDefault="00337C46" w:rsidP="00337C46">
            <w:pPr>
              <w:spacing w:after="160" w:line="360" w:lineRule="auto"/>
              <w:rPr>
                <w:rFonts w:ascii="Arial" w:hAnsi="Arial" w:cs="Arial"/>
              </w:rPr>
            </w:pPr>
            <w:r w:rsidRPr="00337C46">
              <w:rPr>
                <w:rFonts w:ascii="Arial" w:hAnsi="Arial" w:cs="Arial"/>
                <w:b/>
                <w:bCs/>
              </w:rPr>
              <w:t>Outcome</w:t>
            </w:r>
          </w:p>
        </w:tc>
        <w:tc>
          <w:tcPr>
            <w:tcW w:w="0" w:type="auto"/>
            <w:hideMark/>
          </w:tcPr>
          <w:p w14:paraId="67BCED57" w14:textId="77777777" w:rsidR="00337C46" w:rsidRPr="00337C46" w:rsidRDefault="00337C46" w:rsidP="00337C46">
            <w:pPr>
              <w:spacing w:after="160" w:line="360" w:lineRule="auto"/>
              <w:rPr>
                <w:rFonts w:ascii="Arial" w:hAnsi="Arial" w:cs="Arial"/>
              </w:rPr>
            </w:pPr>
            <w:r w:rsidRPr="00337C46">
              <w:rPr>
                <w:rFonts w:ascii="Arial" w:hAnsi="Arial" w:cs="Arial"/>
              </w:rPr>
              <w:t>Excess paediatric mortality; harm to families; loss of trust; reputational damage.</w:t>
            </w:r>
          </w:p>
        </w:tc>
        <w:tc>
          <w:tcPr>
            <w:tcW w:w="0" w:type="auto"/>
            <w:hideMark/>
          </w:tcPr>
          <w:p w14:paraId="55EA1339" w14:textId="77777777" w:rsidR="00337C46" w:rsidRPr="00337C46" w:rsidRDefault="00337C46" w:rsidP="00337C46">
            <w:pPr>
              <w:spacing w:after="160" w:line="360" w:lineRule="auto"/>
              <w:rPr>
                <w:rFonts w:ascii="Arial" w:hAnsi="Arial" w:cs="Arial"/>
              </w:rPr>
            </w:pPr>
            <w:r w:rsidRPr="00337C46">
              <w:rPr>
                <w:rFonts w:ascii="Arial" w:hAnsi="Arial" w:cs="Arial"/>
              </w:rPr>
              <w:t>Visible mortality was accompanied by wider emotional, organisational and reputational harm.</w:t>
            </w:r>
          </w:p>
        </w:tc>
      </w:tr>
    </w:tbl>
    <w:p w14:paraId="1097AB25" w14:textId="53E8D58E" w:rsidR="00337C46" w:rsidRPr="00337C46" w:rsidRDefault="00045CCE" w:rsidP="00337C46">
      <w:pPr>
        <w:spacing w:line="360" w:lineRule="auto"/>
        <w:rPr>
          <w:rFonts w:ascii="Arial" w:hAnsi="Arial" w:cs="Arial"/>
        </w:rPr>
      </w:pPr>
      <w:r w:rsidRPr="00045CCE">
        <w:rPr>
          <w:rFonts w:ascii="Arial" w:hAnsi="Arial" w:cs="Arial"/>
        </w:rPr>
        <w:t>In terms of its structure,</w:t>
      </w:r>
      <w:r w:rsidRPr="00045CCE">
        <w:rPr>
          <w:rFonts w:ascii="Arial" w:hAnsi="Arial" w:cs="Arial"/>
        </w:rPr>
        <w:t> </w:t>
      </w:r>
      <w:r w:rsidRPr="00045CCE">
        <w:rPr>
          <w:rFonts w:ascii="Arial" w:hAnsi="Arial" w:cs="Arial"/>
        </w:rPr>
        <w:t>the unit was not staffed to flexible paediatric specialist levels, and it did not function in a mature governance environment. Boards were unused to examining clinical outcomes in detail and systematic audit and comparison with national norms</w:t>
      </w:r>
      <w:r w:rsidRPr="00045CCE">
        <w:rPr>
          <w:rFonts w:ascii="Arial" w:hAnsi="Arial" w:cs="Arial"/>
        </w:rPr>
        <w:t> </w:t>
      </w:r>
      <w:r w:rsidRPr="00045CCE">
        <w:rPr>
          <w:rFonts w:ascii="Arial" w:hAnsi="Arial" w:cs="Arial"/>
        </w:rPr>
        <w:t>was still in gestation (Scally and Donaldson, 1998). At process level, there</w:t>
      </w:r>
      <w:r w:rsidRPr="00045CCE">
        <w:rPr>
          <w:rFonts w:ascii="Arial" w:hAnsi="Arial" w:cs="Arial"/>
        </w:rPr>
        <w:t> </w:t>
      </w:r>
      <w:r w:rsidRPr="00045CCE">
        <w:rPr>
          <w:rFonts w:ascii="Arial" w:hAnsi="Arial" w:cs="Arial"/>
        </w:rPr>
        <w:t>was weak feedback of mortality and morbidity data, with no turning of outcome data into actionable analysis. Staff and parents’ issues were dealt with informally, sometimes not magnifying them further following examination (Coulter, 2002; Bristol Royal Infirmary Inquiry, 2001).</w:t>
      </w:r>
    </w:p>
    <w:p w14:paraId="258D7778" w14:textId="07D6A8F2" w:rsidR="00337C46" w:rsidRPr="00337C46" w:rsidRDefault="00045CCE" w:rsidP="00337C46">
      <w:pPr>
        <w:spacing w:line="360" w:lineRule="auto"/>
        <w:rPr>
          <w:rFonts w:ascii="Arial" w:hAnsi="Arial" w:cs="Arial"/>
        </w:rPr>
      </w:pPr>
      <w:r w:rsidRPr="00045CCE">
        <w:rPr>
          <w:rFonts w:ascii="Arial" w:hAnsi="Arial" w:cs="Arial"/>
        </w:rPr>
        <w:t>The consequences</w:t>
      </w:r>
      <w:r w:rsidRPr="00045CCE">
        <w:rPr>
          <w:rFonts w:ascii="Arial" w:hAnsi="Arial" w:cs="Arial"/>
        </w:rPr>
        <w:t> </w:t>
      </w:r>
      <w:r w:rsidRPr="00045CCE">
        <w:rPr>
          <w:rFonts w:ascii="Arial" w:hAnsi="Arial" w:cs="Arial"/>
        </w:rPr>
        <w:t>not only involved lost lives and complications, but also long-term psychological damage for families and a loss of confidence in the NHS. It also highlighted weaknesses in professional self-regulation and governance, prompting comprehensive changes to practice (Kohn, Corrigan and Donaldson, 2000; Francis, 2013). Although Donabedian’s</w:t>
      </w:r>
      <w:r w:rsidRPr="00045CCE">
        <w:rPr>
          <w:rFonts w:ascii="Arial" w:hAnsi="Arial" w:cs="Arial"/>
        </w:rPr>
        <w:t> </w:t>
      </w:r>
      <w:r w:rsidRPr="00045CCE">
        <w:rPr>
          <w:rFonts w:ascii="Arial" w:hAnsi="Arial" w:cs="Arial"/>
        </w:rPr>
        <w:t>model is open to critique</w:t>
      </w:r>
      <w:r w:rsidR="00756F23">
        <w:rPr>
          <w:rFonts w:ascii="Arial" w:hAnsi="Arial" w:cs="Arial"/>
        </w:rPr>
        <w:t xml:space="preserve"> (critique says </w:t>
      </w:r>
      <w:r w:rsidR="00756F23" w:rsidRPr="00756F23">
        <w:rPr>
          <w:rFonts w:ascii="Arial" w:hAnsi="Arial" w:cs="Arial"/>
        </w:rPr>
        <w:t>it underplays culture or feedback loops</w:t>
      </w:r>
      <w:r w:rsidR="00756F23">
        <w:rPr>
          <w:rFonts w:ascii="Arial" w:hAnsi="Arial" w:cs="Arial"/>
        </w:rPr>
        <w:t>)</w:t>
      </w:r>
      <w:r w:rsidRPr="00045CCE">
        <w:rPr>
          <w:rFonts w:ascii="Arial" w:hAnsi="Arial" w:cs="Arial"/>
        </w:rPr>
        <w:t xml:space="preserve"> for its perceived linear form the linearity in this case highlights that poor outcomes were due to structural and process failure.</w:t>
      </w:r>
    </w:p>
    <w:p w14:paraId="3F2D05F1" w14:textId="77777777" w:rsidR="00337C46" w:rsidRPr="00337C46" w:rsidRDefault="00337C46" w:rsidP="00337C46">
      <w:pPr>
        <w:spacing w:line="360" w:lineRule="auto"/>
        <w:rPr>
          <w:rFonts w:ascii="Arial" w:hAnsi="Arial" w:cs="Arial"/>
          <w:b/>
          <w:bCs/>
        </w:rPr>
      </w:pPr>
      <w:r w:rsidRPr="00337C46">
        <w:rPr>
          <w:rFonts w:ascii="Arial" w:hAnsi="Arial" w:cs="Arial"/>
          <w:b/>
          <w:bCs/>
        </w:rPr>
        <w:t>3. Root cause analysis: Fishbone and 5 Whys</w:t>
      </w:r>
    </w:p>
    <w:p w14:paraId="54A77E55" w14:textId="3BDCE7E9" w:rsidR="00337C46" w:rsidRDefault="00FB5C6E" w:rsidP="00955BA7">
      <w:pPr>
        <w:spacing w:line="360" w:lineRule="auto"/>
        <w:rPr>
          <w:rFonts w:ascii="Arial" w:hAnsi="Arial" w:cs="Arial"/>
        </w:rPr>
      </w:pPr>
      <w:r w:rsidRPr="00FB5C6E">
        <w:rPr>
          <w:rFonts w:ascii="Arial" w:hAnsi="Arial" w:cs="Arial"/>
        </w:rPr>
        <w:lastRenderedPageBreak/>
        <w:t xml:space="preserve">Root-cause analysis tools help to explore how the multiple factors combined to produce the Bristol failure. A Fishbone </w:t>
      </w:r>
      <w:r w:rsidR="00955BA7">
        <w:rPr>
          <w:rFonts w:ascii="Arial" w:hAnsi="Arial" w:cs="Arial"/>
        </w:rPr>
        <w:t>table</w:t>
      </w:r>
      <w:r w:rsidRPr="00FB5C6E">
        <w:rPr>
          <w:rFonts w:ascii="Arial" w:hAnsi="Arial" w:cs="Arial"/>
        </w:rPr>
        <w:t xml:space="preserve"> groups contributing causes under headings such as People, Process, Management, Environment and Equipment (Ishikawa, 1986; IHI, n.d.-a).</w:t>
      </w:r>
    </w:p>
    <w:p w14:paraId="3379E59F" w14:textId="02EFB553" w:rsidR="00955BA7" w:rsidRPr="00955BA7" w:rsidRDefault="00955BA7" w:rsidP="00955BA7">
      <w:pPr>
        <w:spacing w:line="360" w:lineRule="auto"/>
        <w:jc w:val="center"/>
        <w:rPr>
          <w:rFonts w:ascii="Arial" w:hAnsi="Arial" w:cs="Arial"/>
          <w:b/>
          <w:bCs/>
        </w:rPr>
      </w:pPr>
      <w:r w:rsidRPr="00955BA7">
        <w:rPr>
          <w:rFonts w:ascii="Arial" w:hAnsi="Arial" w:cs="Arial"/>
          <w:b/>
          <w:bCs/>
        </w:rPr>
        <w:t>Table</w:t>
      </w:r>
      <w:r>
        <w:rPr>
          <w:rFonts w:ascii="Arial" w:hAnsi="Arial" w:cs="Arial"/>
          <w:b/>
          <w:bCs/>
        </w:rPr>
        <w:t xml:space="preserve"> 2</w:t>
      </w:r>
      <w:r w:rsidRPr="00955BA7">
        <w:rPr>
          <w:rFonts w:ascii="Arial" w:hAnsi="Arial" w:cs="Arial"/>
          <w:b/>
          <w:bCs/>
        </w:rPr>
        <w:t>: Fishbone Analysis – Excess Mortality in Paediatric Cardiac Surgery at Bristol</w:t>
      </w:r>
    </w:p>
    <w:tbl>
      <w:tblPr>
        <w:tblStyle w:val="TableGrid"/>
        <w:tblW w:w="0" w:type="auto"/>
        <w:tblLook w:val="04A0" w:firstRow="1" w:lastRow="0" w:firstColumn="1" w:lastColumn="0" w:noHBand="0" w:noVBand="1"/>
      </w:tblPr>
      <w:tblGrid>
        <w:gridCol w:w="2254"/>
        <w:gridCol w:w="6762"/>
      </w:tblGrid>
      <w:tr w:rsidR="00955BA7" w:rsidRPr="00955BA7" w14:paraId="10439F78" w14:textId="77777777" w:rsidTr="00955BA7">
        <w:tc>
          <w:tcPr>
            <w:tcW w:w="0" w:type="auto"/>
            <w:hideMark/>
          </w:tcPr>
          <w:p w14:paraId="666AC785" w14:textId="77777777" w:rsidR="00955BA7" w:rsidRPr="00955BA7" w:rsidRDefault="00955BA7" w:rsidP="00955BA7">
            <w:pPr>
              <w:spacing w:after="160" w:line="360" w:lineRule="auto"/>
              <w:jc w:val="center"/>
              <w:rPr>
                <w:rFonts w:ascii="Arial" w:hAnsi="Arial" w:cs="Arial"/>
                <w:b/>
                <w:bCs/>
              </w:rPr>
            </w:pPr>
            <w:r w:rsidRPr="00955BA7">
              <w:rPr>
                <w:rFonts w:ascii="Arial" w:hAnsi="Arial" w:cs="Arial"/>
                <w:b/>
                <w:bCs/>
              </w:rPr>
              <w:t>Category (Main “Bone”)</w:t>
            </w:r>
          </w:p>
        </w:tc>
        <w:tc>
          <w:tcPr>
            <w:tcW w:w="0" w:type="auto"/>
            <w:hideMark/>
          </w:tcPr>
          <w:p w14:paraId="29753374" w14:textId="77777777" w:rsidR="00955BA7" w:rsidRPr="00955BA7" w:rsidRDefault="00955BA7" w:rsidP="00955BA7">
            <w:pPr>
              <w:spacing w:after="160" w:line="360" w:lineRule="auto"/>
              <w:jc w:val="center"/>
              <w:rPr>
                <w:rFonts w:ascii="Arial" w:hAnsi="Arial" w:cs="Arial"/>
                <w:b/>
                <w:bCs/>
              </w:rPr>
            </w:pPr>
            <w:r w:rsidRPr="00955BA7">
              <w:rPr>
                <w:rFonts w:ascii="Arial" w:hAnsi="Arial" w:cs="Arial"/>
                <w:b/>
                <w:bCs/>
              </w:rPr>
              <w:t>Contributory Factors (Sub-causes)</w:t>
            </w:r>
          </w:p>
        </w:tc>
      </w:tr>
      <w:tr w:rsidR="00955BA7" w:rsidRPr="00955BA7" w14:paraId="7568A263" w14:textId="77777777" w:rsidTr="00955BA7">
        <w:tc>
          <w:tcPr>
            <w:tcW w:w="0" w:type="auto"/>
            <w:hideMark/>
          </w:tcPr>
          <w:p w14:paraId="0D496629" w14:textId="77777777" w:rsidR="00955BA7" w:rsidRPr="00955BA7" w:rsidRDefault="00955BA7" w:rsidP="00955BA7">
            <w:pPr>
              <w:spacing w:after="160" w:line="360" w:lineRule="auto"/>
              <w:jc w:val="center"/>
              <w:rPr>
                <w:rFonts w:ascii="Arial" w:hAnsi="Arial" w:cs="Arial"/>
              </w:rPr>
            </w:pPr>
            <w:r w:rsidRPr="00955BA7">
              <w:rPr>
                <w:rFonts w:ascii="Arial" w:hAnsi="Arial" w:cs="Arial"/>
                <w:b/>
                <w:bCs/>
              </w:rPr>
              <w:t>People</w:t>
            </w:r>
          </w:p>
        </w:tc>
        <w:tc>
          <w:tcPr>
            <w:tcW w:w="0" w:type="auto"/>
            <w:hideMark/>
          </w:tcPr>
          <w:p w14:paraId="53E0E2C6" w14:textId="77777777" w:rsidR="00955BA7" w:rsidRPr="00955BA7" w:rsidRDefault="00955BA7" w:rsidP="00955BA7">
            <w:pPr>
              <w:spacing w:after="160" w:line="360" w:lineRule="auto"/>
              <w:jc w:val="center"/>
              <w:rPr>
                <w:rFonts w:ascii="Arial" w:hAnsi="Arial" w:cs="Arial"/>
              </w:rPr>
            </w:pPr>
            <w:r w:rsidRPr="00955BA7">
              <w:rPr>
                <w:rFonts w:ascii="Arial" w:hAnsi="Arial" w:cs="Arial"/>
              </w:rPr>
              <w:t xml:space="preserve">• Limited paediatric cardiac expertise in the surgical team </w:t>
            </w:r>
            <w:r w:rsidRPr="00955BA7">
              <w:rPr>
                <w:rFonts w:ascii="Arial" w:hAnsi="Arial" w:cs="Arial"/>
              </w:rPr>
              <w:br/>
              <w:t xml:space="preserve">• Overconfidence of senior clinicians and reluctance to seek support </w:t>
            </w:r>
            <w:r w:rsidRPr="00955BA7">
              <w:rPr>
                <w:rFonts w:ascii="Arial" w:hAnsi="Arial" w:cs="Arial"/>
              </w:rPr>
              <w:br/>
              <w:t xml:space="preserve">• Multidisciplinary team communication gaps (surgeons, anaesthetists, ICU, nurses) </w:t>
            </w:r>
            <w:r w:rsidRPr="00955BA7">
              <w:rPr>
                <w:rFonts w:ascii="Arial" w:hAnsi="Arial" w:cs="Arial"/>
              </w:rPr>
              <w:br/>
              <w:t>• Inadequate training, supervision and mentoring for junior staff</w:t>
            </w:r>
          </w:p>
        </w:tc>
      </w:tr>
      <w:tr w:rsidR="00955BA7" w:rsidRPr="00955BA7" w14:paraId="3CDB196A" w14:textId="77777777" w:rsidTr="00955BA7">
        <w:tc>
          <w:tcPr>
            <w:tcW w:w="0" w:type="auto"/>
            <w:hideMark/>
          </w:tcPr>
          <w:p w14:paraId="4A2AB5B6" w14:textId="77777777" w:rsidR="00955BA7" w:rsidRPr="00955BA7" w:rsidRDefault="00955BA7" w:rsidP="00955BA7">
            <w:pPr>
              <w:spacing w:after="160" w:line="360" w:lineRule="auto"/>
              <w:jc w:val="center"/>
              <w:rPr>
                <w:rFonts w:ascii="Arial" w:hAnsi="Arial" w:cs="Arial"/>
              </w:rPr>
            </w:pPr>
            <w:r w:rsidRPr="00955BA7">
              <w:rPr>
                <w:rFonts w:ascii="Arial" w:hAnsi="Arial" w:cs="Arial"/>
                <w:b/>
                <w:bCs/>
              </w:rPr>
              <w:t>Process</w:t>
            </w:r>
          </w:p>
        </w:tc>
        <w:tc>
          <w:tcPr>
            <w:tcW w:w="0" w:type="auto"/>
            <w:hideMark/>
          </w:tcPr>
          <w:p w14:paraId="6389E9CC" w14:textId="77777777" w:rsidR="00955BA7" w:rsidRPr="00955BA7" w:rsidRDefault="00955BA7" w:rsidP="00955BA7">
            <w:pPr>
              <w:spacing w:after="160" w:line="360" w:lineRule="auto"/>
              <w:jc w:val="center"/>
              <w:rPr>
                <w:rFonts w:ascii="Arial" w:hAnsi="Arial" w:cs="Arial"/>
              </w:rPr>
            </w:pPr>
            <w:r w:rsidRPr="00955BA7">
              <w:rPr>
                <w:rFonts w:ascii="Arial" w:hAnsi="Arial" w:cs="Arial"/>
              </w:rPr>
              <w:t xml:space="preserve">• No routine, structured mortality and morbidity audit </w:t>
            </w:r>
            <w:r w:rsidRPr="00955BA7">
              <w:rPr>
                <w:rFonts w:ascii="Arial" w:hAnsi="Arial" w:cs="Arial"/>
              </w:rPr>
              <w:br/>
              <w:t xml:space="preserve">• Minimal benchmarking of outcomes with other paediatric cardiac centres </w:t>
            </w:r>
            <w:r w:rsidRPr="00955BA7">
              <w:rPr>
                <w:rFonts w:ascii="Arial" w:hAnsi="Arial" w:cs="Arial"/>
              </w:rPr>
              <w:br/>
              <w:t xml:space="preserve">• Poor escalation pathways for clinical and safety concerns raised by staff or families </w:t>
            </w:r>
            <w:r w:rsidRPr="00955BA7">
              <w:rPr>
                <w:rFonts w:ascii="Arial" w:hAnsi="Arial" w:cs="Arial"/>
              </w:rPr>
              <w:br/>
              <w:t xml:space="preserve">• Inconsistent case selection processes (treating very high-risk cases locally rather than referring) </w:t>
            </w:r>
            <w:r w:rsidRPr="00955BA7">
              <w:rPr>
                <w:rFonts w:ascii="Arial" w:hAnsi="Arial" w:cs="Arial"/>
              </w:rPr>
              <w:br/>
              <w:t>• Lack of standardised protocols and checklists for complex procedures</w:t>
            </w:r>
          </w:p>
        </w:tc>
      </w:tr>
      <w:tr w:rsidR="00955BA7" w:rsidRPr="00955BA7" w14:paraId="7CAACF41" w14:textId="77777777" w:rsidTr="00955BA7">
        <w:tc>
          <w:tcPr>
            <w:tcW w:w="0" w:type="auto"/>
            <w:hideMark/>
          </w:tcPr>
          <w:p w14:paraId="3C6ADD56" w14:textId="77777777" w:rsidR="00955BA7" w:rsidRPr="00955BA7" w:rsidRDefault="00955BA7" w:rsidP="00955BA7">
            <w:pPr>
              <w:spacing w:after="160" w:line="360" w:lineRule="auto"/>
              <w:jc w:val="center"/>
              <w:rPr>
                <w:rFonts w:ascii="Arial" w:hAnsi="Arial" w:cs="Arial"/>
              </w:rPr>
            </w:pPr>
            <w:r w:rsidRPr="00955BA7">
              <w:rPr>
                <w:rFonts w:ascii="Arial" w:hAnsi="Arial" w:cs="Arial"/>
                <w:b/>
                <w:bCs/>
              </w:rPr>
              <w:t>Management</w:t>
            </w:r>
          </w:p>
        </w:tc>
        <w:tc>
          <w:tcPr>
            <w:tcW w:w="0" w:type="auto"/>
            <w:hideMark/>
          </w:tcPr>
          <w:p w14:paraId="6ABA004F" w14:textId="77777777" w:rsidR="00955BA7" w:rsidRPr="00955BA7" w:rsidRDefault="00955BA7" w:rsidP="00955BA7">
            <w:pPr>
              <w:spacing w:after="160" w:line="360" w:lineRule="auto"/>
              <w:jc w:val="center"/>
              <w:rPr>
                <w:rFonts w:ascii="Arial" w:hAnsi="Arial" w:cs="Arial"/>
              </w:rPr>
            </w:pPr>
            <w:r w:rsidRPr="00955BA7">
              <w:rPr>
                <w:rFonts w:ascii="Arial" w:hAnsi="Arial" w:cs="Arial"/>
              </w:rPr>
              <w:t xml:space="preserve">• Hierarchical “club” culture dominated by a small group of senior clinicians </w:t>
            </w:r>
            <w:r w:rsidRPr="00955BA7">
              <w:rPr>
                <w:rFonts w:ascii="Arial" w:hAnsi="Arial" w:cs="Arial"/>
              </w:rPr>
              <w:br/>
              <w:t xml:space="preserve">• Board and senior management unaware of, or slow to respond to, emerging risk signals </w:t>
            </w:r>
            <w:r w:rsidRPr="00955BA7">
              <w:rPr>
                <w:rFonts w:ascii="Arial" w:hAnsi="Arial" w:cs="Arial"/>
              </w:rPr>
              <w:br/>
              <w:t xml:space="preserve">• Defensive response to criticism from staff, parents and external reviewers </w:t>
            </w:r>
            <w:r w:rsidRPr="00955BA7">
              <w:rPr>
                <w:rFonts w:ascii="Arial" w:hAnsi="Arial" w:cs="Arial"/>
              </w:rPr>
              <w:br/>
              <w:t xml:space="preserve">• Reputation and institutional loyalty prioritised over transparency and learning </w:t>
            </w:r>
            <w:r w:rsidRPr="00955BA7">
              <w:rPr>
                <w:rFonts w:ascii="Arial" w:hAnsi="Arial" w:cs="Arial"/>
              </w:rPr>
              <w:br/>
              <w:t>• Weak clinical governance structures and unclear accountability for quality and safety</w:t>
            </w:r>
          </w:p>
        </w:tc>
      </w:tr>
      <w:tr w:rsidR="00955BA7" w:rsidRPr="00955BA7" w14:paraId="6164F16E" w14:textId="77777777" w:rsidTr="00955BA7">
        <w:tc>
          <w:tcPr>
            <w:tcW w:w="0" w:type="auto"/>
            <w:hideMark/>
          </w:tcPr>
          <w:p w14:paraId="3FDDFAC8" w14:textId="77777777" w:rsidR="00955BA7" w:rsidRPr="00955BA7" w:rsidRDefault="00955BA7" w:rsidP="00955BA7">
            <w:pPr>
              <w:spacing w:after="160" w:line="360" w:lineRule="auto"/>
              <w:jc w:val="center"/>
              <w:rPr>
                <w:rFonts w:ascii="Arial" w:hAnsi="Arial" w:cs="Arial"/>
              </w:rPr>
            </w:pPr>
            <w:r w:rsidRPr="00955BA7">
              <w:rPr>
                <w:rFonts w:ascii="Arial" w:hAnsi="Arial" w:cs="Arial"/>
                <w:b/>
                <w:bCs/>
              </w:rPr>
              <w:t>Environment / Systems</w:t>
            </w:r>
          </w:p>
        </w:tc>
        <w:tc>
          <w:tcPr>
            <w:tcW w:w="0" w:type="auto"/>
            <w:hideMark/>
          </w:tcPr>
          <w:p w14:paraId="41EAA266" w14:textId="77777777" w:rsidR="00955BA7" w:rsidRPr="00955BA7" w:rsidRDefault="00955BA7" w:rsidP="00955BA7">
            <w:pPr>
              <w:spacing w:after="160" w:line="360" w:lineRule="auto"/>
              <w:jc w:val="center"/>
              <w:rPr>
                <w:rFonts w:ascii="Arial" w:hAnsi="Arial" w:cs="Arial"/>
              </w:rPr>
            </w:pPr>
            <w:r w:rsidRPr="00955BA7">
              <w:rPr>
                <w:rFonts w:ascii="Arial" w:hAnsi="Arial" w:cs="Arial"/>
              </w:rPr>
              <w:t xml:space="preserve">• Fragmented data systems and poor integration with national audit programmes </w:t>
            </w:r>
            <w:r w:rsidRPr="00955BA7">
              <w:rPr>
                <w:rFonts w:ascii="Arial" w:hAnsi="Arial" w:cs="Arial"/>
              </w:rPr>
              <w:br/>
              <w:t xml:space="preserve">• Limited involvement of families and patient representatives in </w:t>
            </w:r>
            <w:r w:rsidRPr="00955BA7">
              <w:rPr>
                <w:rFonts w:ascii="Arial" w:hAnsi="Arial" w:cs="Arial"/>
              </w:rPr>
              <w:lastRenderedPageBreak/>
              <w:t xml:space="preserve">governance and service design </w:t>
            </w:r>
            <w:r w:rsidRPr="00955BA7">
              <w:rPr>
                <w:rFonts w:ascii="Arial" w:hAnsi="Arial" w:cs="Arial"/>
              </w:rPr>
              <w:br/>
              <w:t xml:space="preserve">• High complexity and demand for specialist surgery with limited specialist capacity </w:t>
            </w:r>
            <w:r w:rsidRPr="00955BA7">
              <w:rPr>
                <w:rFonts w:ascii="Arial" w:hAnsi="Arial" w:cs="Arial"/>
              </w:rPr>
              <w:br/>
              <w:t>• Wider NHS culture at the time emphasising professional autonomy over scrutiny and open reporting</w:t>
            </w:r>
          </w:p>
        </w:tc>
      </w:tr>
    </w:tbl>
    <w:p w14:paraId="7F21729A" w14:textId="2B62E606" w:rsidR="00337C46" w:rsidRPr="00337C46" w:rsidRDefault="00337C46" w:rsidP="00337C46">
      <w:pPr>
        <w:spacing w:line="360" w:lineRule="auto"/>
        <w:rPr>
          <w:rFonts w:ascii="Arial" w:hAnsi="Arial" w:cs="Arial"/>
        </w:rPr>
      </w:pPr>
      <w:r w:rsidRPr="00337C46">
        <w:rPr>
          <w:rFonts w:ascii="Arial" w:hAnsi="Arial" w:cs="Arial"/>
        </w:rPr>
        <w:lastRenderedPageBreak/>
        <w:t xml:space="preserve">                              </w:t>
      </w:r>
    </w:p>
    <w:p w14:paraId="7341FCD7" w14:textId="0C1F3B71" w:rsidR="004E2726" w:rsidRPr="00955BA7" w:rsidRDefault="00337C46" w:rsidP="00955BA7">
      <w:pPr>
        <w:spacing w:line="360" w:lineRule="auto"/>
        <w:rPr>
          <w:rFonts w:ascii="Arial" w:hAnsi="Arial" w:cs="Arial"/>
        </w:rPr>
      </w:pPr>
      <w:r w:rsidRPr="00337C46">
        <w:rPr>
          <w:rFonts w:ascii="Arial" w:hAnsi="Arial" w:cs="Arial"/>
        </w:rPr>
        <w:t>The 5 Whys technique complements this by unpacking one causal chain (IHI, n.d.-b). Table 2 summarises a simplified 5 Whys analysis.</w:t>
      </w:r>
    </w:p>
    <w:p w14:paraId="60450423" w14:textId="7186EAEA" w:rsidR="00337C46" w:rsidRPr="00337C46" w:rsidRDefault="00337C46" w:rsidP="006368D0">
      <w:pPr>
        <w:spacing w:line="360" w:lineRule="auto"/>
        <w:jc w:val="center"/>
        <w:rPr>
          <w:rFonts w:ascii="Arial" w:hAnsi="Arial" w:cs="Arial"/>
          <w:b/>
          <w:bCs/>
        </w:rPr>
      </w:pPr>
      <w:r w:rsidRPr="00337C46">
        <w:rPr>
          <w:rFonts w:ascii="Arial" w:hAnsi="Arial" w:cs="Arial"/>
          <w:b/>
          <w:bCs/>
        </w:rPr>
        <w:t xml:space="preserve">Table </w:t>
      </w:r>
      <w:r w:rsidR="00955BA7">
        <w:rPr>
          <w:rFonts w:ascii="Arial" w:hAnsi="Arial" w:cs="Arial"/>
          <w:b/>
          <w:bCs/>
        </w:rPr>
        <w:t>3</w:t>
      </w:r>
      <w:r w:rsidRPr="00337C46">
        <w:rPr>
          <w:rFonts w:ascii="Arial" w:hAnsi="Arial" w:cs="Arial"/>
          <w:b/>
          <w:bCs/>
        </w:rPr>
        <w:t>. 5 Whys Analysis of Excess Mortality at Bristol</w:t>
      </w:r>
    </w:p>
    <w:tbl>
      <w:tblPr>
        <w:tblStyle w:val="TableGrid"/>
        <w:tblW w:w="0" w:type="auto"/>
        <w:tblLook w:val="04A0" w:firstRow="1" w:lastRow="0" w:firstColumn="1" w:lastColumn="0" w:noHBand="0" w:noVBand="1"/>
      </w:tblPr>
      <w:tblGrid>
        <w:gridCol w:w="855"/>
        <w:gridCol w:w="8161"/>
      </w:tblGrid>
      <w:tr w:rsidR="00337C46" w:rsidRPr="00337C46" w14:paraId="6A1EBF7B" w14:textId="77777777" w:rsidTr="006368D0">
        <w:tc>
          <w:tcPr>
            <w:tcW w:w="0" w:type="auto"/>
            <w:hideMark/>
          </w:tcPr>
          <w:p w14:paraId="52BC9ADD" w14:textId="77777777" w:rsidR="00337C46" w:rsidRPr="00337C46" w:rsidRDefault="00337C46" w:rsidP="00337C46">
            <w:pPr>
              <w:spacing w:after="160" w:line="360" w:lineRule="auto"/>
              <w:rPr>
                <w:rFonts w:ascii="Arial" w:hAnsi="Arial" w:cs="Arial"/>
                <w:b/>
                <w:bCs/>
              </w:rPr>
            </w:pPr>
            <w:r w:rsidRPr="00337C46">
              <w:rPr>
                <w:rFonts w:ascii="Arial" w:hAnsi="Arial" w:cs="Arial"/>
                <w:b/>
                <w:bCs/>
              </w:rPr>
              <w:t>Why #</w:t>
            </w:r>
          </w:p>
        </w:tc>
        <w:tc>
          <w:tcPr>
            <w:tcW w:w="0" w:type="auto"/>
            <w:hideMark/>
          </w:tcPr>
          <w:p w14:paraId="288DFC8F" w14:textId="77777777" w:rsidR="00337C46" w:rsidRPr="00337C46" w:rsidRDefault="00337C46" w:rsidP="00337C46">
            <w:pPr>
              <w:spacing w:after="160" w:line="360" w:lineRule="auto"/>
              <w:rPr>
                <w:rFonts w:ascii="Arial" w:hAnsi="Arial" w:cs="Arial"/>
                <w:b/>
                <w:bCs/>
              </w:rPr>
            </w:pPr>
            <w:r w:rsidRPr="00337C46">
              <w:rPr>
                <w:rFonts w:ascii="Arial" w:hAnsi="Arial" w:cs="Arial"/>
                <w:b/>
                <w:bCs/>
              </w:rPr>
              <w:t>Reason Identified</w:t>
            </w:r>
          </w:p>
        </w:tc>
      </w:tr>
      <w:tr w:rsidR="00337C46" w:rsidRPr="00337C46" w14:paraId="07F24799" w14:textId="77777777" w:rsidTr="006368D0">
        <w:tc>
          <w:tcPr>
            <w:tcW w:w="0" w:type="auto"/>
            <w:hideMark/>
          </w:tcPr>
          <w:p w14:paraId="38A4C11A" w14:textId="77777777" w:rsidR="00337C46" w:rsidRPr="00337C46" w:rsidRDefault="00337C46" w:rsidP="00337C46">
            <w:pPr>
              <w:spacing w:after="160" w:line="360" w:lineRule="auto"/>
              <w:rPr>
                <w:rFonts w:ascii="Arial" w:hAnsi="Arial" w:cs="Arial"/>
              </w:rPr>
            </w:pPr>
            <w:r w:rsidRPr="00337C46">
              <w:rPr>
                <w:rFonts w:ascii="Arial" w:hAnsi="Arial" w:cs="Arial"/>
              </w:rPr>
              <w:t>1</w:t>
            </w:r>
          </w:p>
        </w:tc>
        <w:tc>
          <w:tcPr>
            <w:tcW w:w="0" w:type="auto"/>
            <w:hideMark/>
          </w:tcPr>
          <w:p w14:paraId="2390E01C" w14:textId="77777777" w:rsidR="00337C46" w:rsidRPr="00337C46" w:rsidRDefault="00337C46" w:rsidP="00337C46">
            <w:pPr>
              <w:spacing w:after="160" w:line="360" w:lineRule="auto"/>
              <w:rPr>
                <w:rFonts w:ascii="Arial" w:hAnsi="Arial" w:cs="Arial"/>
              </w:rPr>
            </w:pPr>
            <w:r w:rsidRPr="00337C46">
              <w:rPr>
                <w:rFonts w:ascii="Arial" w:hAnsi="Arial" w:cs="Arial"/>
              </w:rPr>
              <w:t>Mortality rates for some procedures were higher than in other centres.</w:t>
            </w:r>
          </w:p>
        </w:tc>
      </w:tr>
      <w:tr w:rsidR="00337C46" w:rsidRPr="00337C46" w14:paraId="49E46D30" w14:textId="77777777" w:rsidTr="006368D0">
        <w:tc>
          <w:tcPr>
            <w:tcW w:w="0" w:type="auto"/>
            <w:hideMark/>
          </w:tcPr>
          <w:p w14:paraId="74B17F9C" w14:textId="77777777" w:rsidR="00337C46" w:rsidRPr="00337C46" w:rsidRDefault="00337C46" w:rsidP="00337C46">
            <w:pPr>
              <w:spacing w:after="160" w:line="360" w:lineRule="auto"/>
              <w:rPr>
                <w:rFonts w:ascii="Arial" w:hAnsi="Arial" w:cs="Arial"/>
              </w:rPr>
            </w:pPr>
            <w:r w:rsidRPr="00337C46">
              <w:rPr>
                <w:rFonts w:ascii="Arial" w:hAnsi="Arial" w:cs="Arial"/>
              </w:rPr>
              <w:t>2</w:t>
            </w:r>
          </w:p>
        </w:tc>
        <w:tc>
          <w:tcPr>
            <w:tcW w:w="0" w:type="auto"/>
            <w:hideMark/>
          </w:tcPr>
          <w:p w14:paraId="58798B5E" w14:textId="77777777" w:rsidR="00337C46" w:rsidRPr="00337C46" w:rsidRDefault="00337C46" w:rsidP="00337C46">
            <w:pPr>
              <w:spacing w:after="160" w:line="360" w:lineRule="auto"/>
              <w:rPr>
                <w:rFonts w:ascii="Arial" w:hAnsi="Arial" w:cs="Arial"/>
              </w:rPr>
            </w:pPr>
            <w:r w:rsidRPr="00337C46">
              <w:rPr>
                <w:rFonts w:ascii="Arial" w:hAnsi="Arial" w:cs="Arial"/>
              </w:rPr>
              <w:t>Poor performance was not detected or acted upon early.</w:t>
            </w:r>
          </w:p>
        </w:tc>
      </w:tr>
      <w:tr w:rsidR="00337C46" w:rsidRPr="00337C46" w14:paraId="45B889AD" w14:textId="77777777" w:rsidTr="006368D0">
        <w:tc>
          <w:tcPr>
            <w:tcW w:w="0" w:type="auto"/>
            <w:hideMark/>
          </w:tcPr>
          <w:p w14:paraId="5B3DB4AF" w14:textId="77777777" w:rsidR="00337C46" w:rsidRPr="00337C46" w:rsidRDefault="00337C46" w:rsidP="00337C46">
            <w:pPr>
              <w:spacing w:after="160" w:line="360" w:lineRule="auto"/>
              <w:rPr>
                <w:rFonts w:ascii="Arial" w:hAnsi="Arial" w:cs="Arial"/>
              </w:rPr>
            </w:pPr>
            <w:r w:rsidRPr="00337C46">
              <w:rPr>
                <w:rFonts w:ascii="Arial" w:hAnsi="Arial" w:cs="Arial"/>
              </w:rPr>
              <w:t>3</w:t>
            </w:r>
          </w:p>
        </w:tc>
        <w:tc>
          <w:tcPr>
            <w:tcW w:w="0" w:type="auto"/>
            <w:hideMark/>
          </w:tcPr>
          <w:p w14:paraId="69498D24" w14:textId="77777777" w:rsidR="00337C46" w:rsidRPr="00337C46" w:rsidRDefault="00337C46" w:rsidP="00337C46">
            <w:pPr>
              <w:spacing w:after="160" w:line="360" w:lineRule="auto"/>
              <w:rPr>
                <w:rFonts w:ascii="Arial" w:hAnsi="Arial" w:cs="Arial"/>
              </w:rPr>
            </w:pPr>
            <w:r w:rsidRPr="00337C46">
              <w:rPr>
                <w:rFonts w:ascii="Arial" w:hAnsi="Arial" w:cs="Arial"/>
              </w:rPr>
              <w:t>Effective audit and benchmarking systems were not in place.</w:t>
            </w:r>
          </w:p>
        </w:tc>
      </w:tr>
      <w:tr w:rsidR="00337C46" w:rsidRPr="00337C46" w14:paraId="38CE6B3F" w14:textId="77777777" w:rsidTr="006368D0">
        <w:tc>
          <w:tcPr>
            <w:tcW w:w="0" w:type="auto"/>
            <w:hideMark/>
          </w:tcPr>
          <w:p w14:paraId="53868564" w14:textId="77777777" w:rsidR="00337C46" w:rsidRPr="00337C46" w:rsidRDefault="00337C46" w:rsidP="00337C46">
            <w:pPr>
              <w:spacing w:after="160" w:line="360" w:lineRule="auto"/>
              <w:rPr>
                <w:rFonts w:ascii="Arial" w:hAnsi="Arial" w:cs="Arial"/>
              </w:rPr>
            </w:pPr>
            <w:r w:rsidRPr="00337C46">
              <w:rPr>
                <w:rFonts w:ascii="Arial" w:hAnsi="Arial" w:cs="Arial"/>
              </w:rPr>
              <w:t>4</w:t>
            </w:r>
          </w:p>
        </w:tc>
        <w:tc>
          <w:tcPr>
            <w:tcW w:w="0" w:type="auto"/>
            <w:hideMark/>
          </w:tcPr>
          <w:p w14:paraId="6AB83B78" w14:textId="77777777" w:rsidR="00337C46" w:rsidRPr="00337C46" w:rsidRDefault="00337C46" w:rsidP="00337C46">
            <w:pPr>
              <w:spacing w:after="160" w:line="360" w:lineRule="auto"/>
              <w:rPr>
                <w:rFonts w:ascii="Arial" w:hAnsi="Arial" w:cs="Arial"/>
              </w:rPr>
            </w:pPr>
            <w:r w:rsidRPr="00337C46">
              <w:rPr>
                <w:rFonts w:ascii="Arial" w:hAnsi="Arial" w:cs="Arial"/>
              </w:rPr>
              <w:t>Staff concerns were not escalated due to hierarchical, defensive culture.</w:t>
            </w:r>
          </w:p>
        </w:tc>
      </w:tr>
      <w:tr w:rsidR="00337C46" w:rsidRPr="00337C46" w14:paraId="5F9292CD" w14:textId="77777777" w:rsidTr="006368D0">
        <w:tc>
          <w:tcPr>
            <w:tcW w:w="0" w:type="auto"/>
            <w:hideMark/>
          </w:tcPr>
          <w:p w14:paraId="61F52501" w14:textId="77777777" w:rsidR="00337C46" w:rsidRPr="00337C46" w:rsidRDefault="00337C46" w:rsidP="00337C46">
            <w:pPr>
              <w:spacing w:after="160" w:line="360" w:lineRule="auto"/>
              <w:rPr>
                <w:rFonts w:ascii="Arial" w:hAnsi="Arial" w:cs="Arial"/>
              </w:rPr>
            </w:pPr>
            <w:r w:rsidRPr="00337C46">
              <w:rPr>
                <w:rFonts w:ascii="Arial" w:hAnsi="Arial" w:cs="Arial"/>
              </w:rPr>
              <w:t>5</w:t>
            </w:r>
          </w:p>
        </w:tc>
        <w:tc>
          <w:tcPr>
            <w:tcW w:w="0" w:type="auto"/>
            <w:hideMark/>
          </w:tcPr>
          <w:p w14:paraId="14997E65" w14:textId="77777777" w:rsidR="00337C46" w:rsidRPr="00337C46" w:rsidRDefault="00337C46" w:rsidP="00337C46">
            <w:pPr>
              <w:spacing w:after="160" w:line="360" w:lineRule="auto"/>
              <w:rPr>
                <w:rFonts w:ascii="Arial" w:hAnsi="Arial" w:cs="Arial"/>
              </w:rPr>
            </w:pPr>
            <w:r w:rsidRPr="00337C46">
              <w:rPr>
                <w:rFonts w:ascii="Arial" w:hAnsi="Arial" w:cs="Arial"/>
              </w:rPr>
              <w:t>Leadership prioritised local reputation and autonomy over transparency and learning.</w:t>
            </w:r>
          </w:p>
        </w:tc>
      </w:tr>
    </w:tbl>
    <w:p w14:paraId="15169F76" w14:textId="77777777" w:rsidR="00337C46" w:rsidRPr="00337C46" w:rsidRDefault="00337C46" w:rsidP="00337C46">
      <w:pPr>
        <w:spacing w:line="360" w:lineRule="auto"/>
        <w:rPr>
          <w:rFonts w:ascii="Arial" w:hAnsi="Arial" w:cs="Arial"/>
        </w:rPr>
      </w:pPr>
      <w:r w:rsidRPr="00337C46">
        <w:rPr>
          <w:rFonts w:ascii="Arial" w:hAnsi="Arial" w:cs="Arial"/>
        </w:rPr>
        <w:t>These methods inevitably simplify a complex reality and can give a misleading impression of a single “root cause”. In practice, the Bristol failure fits Reason’s view of multiple “latent conditions” across the system aligning to create a window for disaster (Reason, 2000). Nonetheless, the Fishbone and 5 Whys frameworks are valuable because they shift attention from individual blame to system design, governance and culture.</w:t>
      </w:r>
    </w:p>
    <w:p w14:paraId="1FF0354E" w14:textId="77777777" w:rsidR="00337C46" w:rsidRPr="00337C46" w:rsidRDefault="00337C46" w:rsidP="00337C46">
      <w:pPr>
        <w:spacing w:line="360" w:lineRule="auto"/>
        <w:rPr>
          <w:rFonts w:ascii="Arial" w:hAnsi="Arial" w:cs="Arial"/>
          <w:b/>
          <w:bCs/>
        </w:rPr>
      </w:pPr>
      <w:r w:rsidRPr="00337C46">
        <w:rPr>
          <w:rFonts w:ascii="Arial" w:hAnsi="Arial" w:cs="Arial"/>
          <w:b/>
          <w:bCs/>
        </w:rPr>
        <w:t>4. Safety measurement, monitoring and culture</w:t>
      </w:r>
    </w:p>
    <w:p w14:paraId="5D39B718" w14:textId="2DD89F62" w:rsidR="00337C46" w:rsidRPr="00337C46" w:rsidRDefault="00CB0628" w:rsidP="00337C46">
      <w:pPr>
        <w:spacing w:line="360" w:lineRule="auto"/>
        <w:rPr>
          <w:rFonts w:ascii="Arial" w:hAnsi="Arial" w:cs="Arial"/>
        </w:rPr>
      </w:pPr>
      <w:r w:rsidRPr="00CB0628">
        <w:rPr>
          <w:rFonts w:ascii="Arial" w:hAnsi="Arial" w:cs="Arial"/>
        </w:rPr>
        <w:t>Vincent, Burnett and Carthey (2014) advocate</w:t>
      </w:r>
      <w:r w:rsidRPr="00CB0628">
        <w:rPr>
          <w:rFonts w:ascii="Arial" w:hAnsi="Arial" w:cs="Arial"/>
        </w:rPr>
        <w:t> </w:t>
      </w:r>
      <w:r w:rsidRPr="00CB0628">
        <w:rPr>
          <w:rFonts w:ascii="Arial" w:hAnsi="Arial" w:cs="Arial"/>
        </w:rPr>
        <w:t>that organizations should ensure safety in five levels: past harm, reliability of processes, sensitivity to operations, anticipation and preparedness, and integration and learning. Most of these dimensions at Bristol were low. Mortality statistics were available but not done so reliably nor benchmarked; process failure was not measured, and there was a narrow focus on operational concerns expressed by staff and families (Bristol Royal Infirmary Inquiry, 2001; Coulter, 2002).</w:t>
      </w:r>
    </w:p>
    <w:p w14:paraId="0A31F1AF" w14:textId="44A6BBCE" w:rsidR="00337C46" w:rsidRPr="00337C46" w:rsidRDefault="00CB0628" w:rsidP="00337C46">
      <w:pPr>
        <w:spacing w:line="360" w:lineRule="auto"/>
        <w:rPr>
          <w:rFonts w:ascii="Arial" w:hAnsi="Arial" w:cs="Arial"/>
        </w:rPr>
      </w:pPr>
      <w:r w:rsidRPr="00CB0628">
        <w:rPr>
          <w:rFonts w:ascii="Arial" w:hAnsi="Arial" w:cs="Arial"/>
        </w:rPr>
        <w:t>In a post-Bristol period, the NHS began to develop mechanisms for patient safety. The NHS Patient Safety Strategy provides a national framework based on safer culture,</w:t>
      </w:r>
      <w:r w:rsidRPr="00CB0628">
        <w:rPr>
          <w:rFonts w:ascii="Arial" w:hAnsi="Arial" w:cs="Arial"/>
        </w:rPr>
        <w:t> </w:t>
      </w:r>
      <w:r w:rsidRPr="00CB0628">
        <w:rPr>
          <w:rFonts w:ascii="Arial" w:hAnsi="Arial" w:cs="Arial"/>
        </w:rPr>
        <w:t xml:space="preserve">safer systems </w:t>
      </w:r>
      <w:r w:rsidRPr="00CB0628">
        <w:rPr>
          <w:rFonts w:ascii="Arial" w:hAnsi="Arial" w:cs="Arial"/>
        </w:rPr>
        <w:lastRenderedPageBreak/>
        <w:t>and safer patients (NHS England, 2019; 2021</w:t>
      </w:r>
      <w:r w:rsidR="00203A7C">
        <w:rPr>
          <w:rFonts w:ascii="Arial" w:hAnsi="Arial" w:cs="Arial"/>
        </w:rPr>
        <w:t>a</w:t>
      </w:r>
      <w:r w:rsidRPr="00CB0628">
        <w:rPr>
          <w:rFonts w:ascii="Arial" w:hAnsi="Arial" w:cs="Arial"/>
        </w:rPr>
        <w:t>). The Patient Safety Incident Response Framework (PSIRF) and local mechanism such as North Bristol’s PSIRP intend to develop more proportionate, learning focused approaches following incidents which avoid simply attributing them to individuals through fault finding by design (North Bristol NHS Trust, 2023).</w:t>
      </w:r>
    </w:p>
    <w:p w14:paraId="39117182" w14:textId="4919D302" w:rsidR="00337C46" w:rsidRPr="00337C46" w:rsidRDefault="0098378D" w:rsidP="00337C46">
      <w:pPr>
        <w:spacing w:line="360" w:lineRule="auto"/>
        <w:rPr>
          <w:rFonts w:ascii="Arial" w:hAnsi="Arial" w:cs="Arial"/>
        </w:rPr>
      </w:pPr>
      <w:r w:rsidRPr="0098378D">
        <w:rPr>
          <w:rFonts w:ascii="Arial" w:hAnsi="Arial" w:cs="Arial"/>
        </w:rPr>
        <w:t>But surveys and commentary</w:t>
      </w:r>
      <w:r w:rsidRPr="0098378D">
        <w:rPr>
          <w:rFonts w:ascii="Arial" w:hAnsi="Arial" w:cs="Arial"/>
        </w:rPr>
        <w:t> </w:t>
      </w:r>
      <w:r w:rsidRPr="0098378D">
        <w:rPr>
          <w:rFonts w:ascii="Arial" w:hAnsi="Arial" w:cs="Arial"/>
        </w:rPr>
        <w:t>indicate that the culture is still delicate in many places.</w:t>
      </w:r>
      <w:r w:rsidR="00337C46" w:rsidRPr="00337C46">
        <w:rPr>
          <w:rFonts w:ascii="Arial" w:hAnsi="Arial" w:cs="Arial"/>
        </w:rPr>
        <w:t xml:space="preserve"> </w:t>
      </w:r>
      <w:r w:rsidRPr="0098378D">
        <w:rPr>
          <w:rFonts w:ascii="Arial" w:hAnsi="Arial" w:cs="Arial"/>
        </w:rPr>
        <w:t>Staff reports the ongoing fear of speaking up and a perception of blame (NHS Staff Survey, 2024; Patient Safety Learning, 2025). Reviews of safety culture interventions indicate that there are some beneficial effects, but also that the success of sustained change is difficult without wider organisational endorsement (Weaver et al., 2013</w:t>
      </w:r>
      <w:r w:rsidR="00203A7C">
        <w:rPr>
          <w:rFonts w:ascii="Arial" w:hAnsi="Arial" w:cs="Arial"/>
        </w:rPr>
        <w:t xml:space="preserve">; </w:t>
      </w:r>
      <w:r w:rsidR="00203A7C" w:rsidRPr="00203A7C">
        <w:rPr>
          <w:rFonts w:ascii="Arial" w:hAnsi="Arial" w:cs="Arial"/>
        </w:rPr>
        <w:t>NHS England</w:t>
      </w:r>
      <w:r w:rsidR="00203A7C">
        <w:rPr>
          <w:rFonts w:ascii="Arial" w:hAnsi="Arial" w:cs="Arial"/>
        </w:rPr>
        <w:t xml:space="preserve">, </w:t>
      </w:r>
      <w:r w:rsidR="00203A7C" w:rsidRPr="00203A7C">
        <w:rPr>
          <w:rFonts w:ascii="Arial" w:hAnsi="Arial" w:cs="Arial"/>
        </w:rPr>
        <w:t>2023</w:t>
      </w:r>
      <w:r w:rsidRPr="0098378D">
        <w:rPr>
          <w:rFonts w:ascii="Arial" w:hAnsi="Arial" w:cs="Arial"/>
        </w:rPr>
        <w:t>). Tools like the Being Fair framework are intended to support organisations to find the right equilibrium between accountability and</w:t>
      </w:r>
      <w:r w:rsidRPr="0098378D">
        <w:rPr>
          <w:rFonts w:ascii="Arial" w:hAnsi="Arial" w:cs="Arial"/>
        </w:rPr>
        <w:t> </w:t>
      </w:r>
      <w:r w:rsidRPr="0098378D">
        <w:rPr>
          <w:rFonts w:ascii="Arial" w:hAnsi="Arial" w:cs="Arial"/>
        </w:rPr>
        <w:t>learning (NHS England, n.d.; Francis, 2015).</w:t>
      </w:r>
    </w:p>
    <w:p w14:paraId="6D3C6523" w14:textId="77777777" w:rsidR="00337C46" w:rsidRPr="00337C46" w:rsidRDefault="00337C46" w:rsidP="00337C46">
      <w:pPr>
        <w:spacing w:line="360" w:lineRule="auto"/>
        <w:rPr>
          <w:rFonts w:ascii="Arial" w:hAnsi="Arial" w:cs="Arial"/>
          <w:b/>
          <w:bCs/>
        </w:rPr>
      </w:pPr>
      <w:r w:rsidRPr="00337C46">
        <w:rPr>
          <w:rFonts w:ascii="Arial" w:hAnsi="Arial" w:cs="Arial"/>
          <w:b/>
          <w:bCs/>
        </w:rPr>
        <w:t>5. SWOT analysis of NHS safety governance</w:t>
      </w:r>
    </w:p>
    <w:p w14:paraId="4100D28C" w14:textId="77777777" w:rsidR="00337C46" w:rsidRPr="00337C46" w:rsidRDefault="00337C46" w:rsidP="00337C46">
      <w:pPr>
        <w:spacing w:line="360" w:lineRule="auto"/>
        <w:rPr>
          <w:rFonts w:ascii="Arial" w:hAnsi="Arial" w:cs="Arial"/>
        </w:rPr>
      </w:pPr>
      <w:r w:rsidRPr="00337C46">
        <w:rPr>
          <w:rFonts w:ascii="Arial" w:hAnsi="Arial" w:cs="Arial"/>
        </w:rPr>
        <w:t>A SWOT analysis helps to connect Bristol’s lessons with current strengths and weaknesses in NHS safety governance and service improvement (NHS England, 2019; WHO, 2021). Table 3 summarises the main points.</w:t>
      </w:r>
    </w:p>
    <w:p w14:paraId="579A0ED0" w14:textId="6D966044" w:rsidR="00337C46" w:rsidRPr="00337C46" w:rsidRDefault="00337C46" w:rsidP="00955BA7">
      <w:pPr>
        <w:spacing w:line="360" w:lineRule="auto"/>
        <w:jc w:val="center"/>
        <w:rPr>
          <w:rFonts w:ascii="Arial" w:hAnsi="Arial" w:cs="Arial"/>
          <w:b/>
          <w:bCs/>
        </w:rPr>
      </w:pPr>
      <w:r w:rsidRPr="00337C46">
        <w:rPr>
          <w:rFonts w:ascii="Arial" w:hAnsi="Arial" w:cs="Arial"/>
          <w:b/>
          <w:bCs/>
        </w:rPr>
        <w:t xml:space="preserve">Table </w:t>
      </w:r>
      <w:r w:rsidR="00955BA7">
        <w:rPr>
          <w:rFonts w:ascii="Arial" w:hAnsi="Arial" w:cs="Arial"/>
          <w:b/>
          <w:bCs/>
        </w:rPr>
        <w:t>4</w:t>
      </w:r>
      <w:r w:rsidRPr="00337C46">
        <w:rPr>
          <w:rFonts w:ascii="Arial" w:hAnsi="Arial" w:cs="Arial"/>
          <w:b/>
          <w:bCs/>
        </w:rPr>
        <w:t>. SWOT Analysis of NHS Patient Safety and Quality Governance (Post-Bristol)</w:t>
      </w:r>
    </w:p>
    <w:tbl>
      <w:tblPr>
        <w:tblStyle w:val="TableGrid"/>
        <w:tblW w:w="0" w:type="auto"/>
        <w:tblLook w:val="04A0" w:firstRow="1" w:lastRow="0" w:firstColumn="1" w:lastColumn="0" w:noHBand="0" w:noVBand="1"/>
      </w:tblPr>
      <w:tblGrid>
        <w:gridCol w:w="1659"/>
        <w:gridCol w:w="7357"/>
      </w:tblGrid>
      <w:tr w:rsidR="00337C46" w:rsidRPr="00337C46" w14:paraId="6A82421C" w14:textId="77777777" w:rsidTr="00CB0628">
        <w:tc>
          <w:tcPr>
            <w:tcW w:w="0" w:type="auto"/>
            <w:hideMark/>
          </w:tcPr>
          <w:p w14:paraId="4C37261E" w14:textId="77777777" w:rsidR="00337C46" w:rsidRPr="00337C46" w:rsidRDefault="00337C46" w:rsidP="00337C46">
            <w:pPr>
              <w:spacing w:after="160" w:line="360" w:lineRule="auto"/>
              <w:rPr>
                <w:rFonts w:ascii="Arial" w:hAnsi="Arial" w:cs="Arial"/>
                <w:b/>
                <w:bCs/>
              </w:rPr>
            </w:pPr>
            <w:r w:rsidRPr="00337C46">
              <w:rPr>
                <w:rFonts w:ascii="Arial" w:hAnsi="Arial" w:cs="Arial"/>
                <w:b/>
                <w:bCs/>
              </w:rPr>
              <w:t>Category</w:t>
            </w:r>
          </w:p>
        </w:tc>
        <w:tc>
          <w:tcPr>
            <w:tcW w:w="0" w:type="auto"/>
            <w:hideMark/>
          </w:tcPr>
          <w:p w14:paraId="7ABE1D98" w14:textId="77777777" w:rsidR="00337C46" w:rsidRPr="00337C46" w:rsidRDefault="00337C46" w:rsidP="00337C46">
            <w:pPr>
              <w:spacing w:after="160" w:line="360" w:lineRule="auto"/>
              <w:rPr>
                <w:rFonts w:ascii="Arial" w:hAnsi="Arial" w:cs="Arial"/>
                <w:b/>
                <w:bCs/>
              </w:rPr>
            </w:pPr>
            <w:r w:rsidRPr="00337C46">
              <w:rPr>
                <w:rFonts w:ascii="Arial" w:hAnsi="Arial" w:cs="Arial"/>
                <w:b/>
                <w:bCs/>
              </w:rPr>
              <w:t>Key Points</w:t>
            </w:r>
          </w:p>
        </w:tc>
      </w:tr>
      <w:tr w:rsidR="00337C46" w:rsidRPr="00337C46" w14:paraId="1CA156FC" w14:textId="77777777" w:rsidTr="00CB0628">
        <w:tc>
          <w:tcPr>
            <w:tcW w:w="0" w:type="auto"/>
            <w:hideMark/>
          </w:tcPr>
          <w:p w14:paraId="222F099C" w14:textId="77777777" w:rsidR="00337C46" w:rsidRPr="00337C46" w:rsidRDefault="00337C46" w:rsidP="00337C46">
            <w:pPr>
              <w:spacing w:after="160" w:line="360" w:lineRule="auto"/>
              <w:rPr>
                <w:rFonts w:ascii="Arial" w:hAnsi="Arial" w:cs="Arial"/>
              </w:rPr>
            </w:pPr>
            <w:r w:rsidRPr="00337C46">
              <w:rPr>
                <w:rFonts w:ascii="Arial" w:hAnsi="Arial" w:cs="Arial"/>
                <w:b/>
                <w:bCs/>
              </w:rPr>
              <w:t>Strengths</w:t>
            </w:r>
          </w:p>
        </w:tc>
        <w:tc>
          <w:tcPr>
            <w:tcW w:w="0" w:type="auto"/>
            <w:hideMark/>
          </w:tcPr>
          <w:p w14:paraId="01906C8F" w14:textId="77777777" w:rsidR="00337C46" w:rsidRPr="00337C46" w:rsidRDefault="00337C46" w:rsidP="00337C46">
            <w:pPr>
              <w:spacing w:after="160" w:line="360" w:lineRule="auto"/>
              <w:rPr>
                <w:rFonts w:ascii="Arial" w:hAnsi="Arial" w:cs="Arial"/>
              </w:rPr>
            </w:pPr>
            <w:r w:rsidRPr="00337C46">
              <w:rPr>
                <w:rFonts w:ascii="Arial" w:hAnsi="Arial" w:cs="Arial"/>
              </w:rPr>
              <w:t>National safety frameworks (NHS Patient Safety Strategy, PSIRF); strong clinical audits (e.g. NCHDA); clearer board accountability; emphasis on transparency and learning.</w:t>
            </w:r>
          </w:p>
        </w:tc>
      </w:tr>
      <w:tr w:rsidR="00337C46" w:rsidRPr="00337C46" w14:paraId="793E818D" w14:textId="77777777" w:rsidTr="00CB0628">
        <w:tc>
          <w:tcPr>
            <w:tcW w:w="0" w:type="auto"/>
            <w:hideMark/>
          </w:tcPr>
          <w:p w14:paraId="7492BB64" w14:textId="77777777" w:rsidR="00337C46" w:rsidRPr="00337C46" w:rsidRDefault="00337C46" w:rsidP="00337C46">
            <w:pPr>
              <w:spacing w:after="160" w:line="360" w:lineRule="auto"/>
              <w:rPr>
                <w:rFonts w:ascii="Arial" w:hAnsi="Arial" w:cs="Arial"/>
              </w:rPr>
            </w:pPr>
            <w:r w:rsidRPr="00337C46">
              <w:rPr>
                <w:rFonts w:ascii="Arial" w:hAnsi="Arial" w:cs="Arial"/>
                <w:b/>
                <w:bCs/>
              </w:rPr>
              <w:t>Weaknesses</w:t>
            </w:r>
          </w:p>
        </w:tc>
        <w:tc>
          <w:tcPr>
            <w:tcW w:w="0" w:type="auto"/>
            <w:hideMark/>
          </w:tcPr>
          <w:p w14:paraId="3C2BD95C" w14:textId="77777777" w:rsidR="00337C46" w:rsidRPr="00337C46" w:rsidRDefault="00337C46" w:rsidP="00337C46">
            <w:pPr>
              <w:spacing w:after="160" w:line="360" w:lineRule="auto"/>
              <w:rPr>
                <w:rFonts w:ascii="Arial" w:hAnsi="Arial" w:cs="Arial"/>
              </w:rPr>
            </w:pPr>
            <w:r w:rsidRPr="00337C46">
              <w:rPr>
                <w:rFonts w:ascii="Arial" w:hAnsi="Arial" w:cs="Arial"/>
              </w:rPr>
              <w:t>Variable implementation between trusts; persistent hierarchy and fear of blame; fragmented data systems; limited analytic capacity and time.</w:t>
            </w:r>
          </w:p>
        </w:tc>
      </w:tr>
      <w:tr w:rsidR="00337C46" w:rsidRPr="00337C46" w14:paraId="5E8F85DE" w14:textId="77777777" w:rsidTr="00CB0628">
        <w:tc>
          <w:tcPr>
            <w:tcW w:w="0" w:type="auto"/>
            <w:hideMark/>
          </w:tcPr>
          <w:p w14:paraId="6DFCE3F9" w14:textId="77777777" w:rsidR="00337C46" w:rsidRPr="00337C46" w:rsidRDefault="00337C46" w:rsidP="00337C46">
            <w:pPr>
              <w:spacing w:after="160" w:line="360" w:lineRule="auto"/>
              <w:rPr>
                <w:rFonts w:ascii="Arial" w:hAnsi="Arial" w:cs="Arial"/>
              </w:rPr>
            </w:pPr>
            <w:r w:rsidRPr="00337C46">
              <w:rPr>
                <w:rFonts w:ascii="Arial" w:hAnsi="Arial" w:cs="Arial"/>
                <w:b/>
                <w:bCs/>
              </w:rPr>
              <w:t>Opportunities</w:t>
            </w:r>
          </w:p>
        </w:tc>
        <w:tc>
          <w:tcPr>
            <w:tcW w:w="0" w:type="auto"/>
            <w:hideMark/>
          </w:tcPr>
          <w:p w14:paraId="19C2BB13" w14:textId="77777777" w:rsidR="00337C46" w:rsidRPr="00337C46" w:rsidRDefault="00337C46" w:rsidP="00337C46">
            <w:pPr>
              <w:spacing w:after="160" w:line="360" w:lineRule="auto"/>
              <w:rPr>
                <w:rFonts w:ascii="Arial" w:hAnsi="Arial" w:cs="Arial"/>
              </w:rPr>
            </w:pPr>
            <w:r w:rsidRPr="00337C46">
              <w:rPr>
                <w:rFonts w:ascii="Arial" w:hAnsi="Arial" w:cs="Arial"/>
              </w:rPr>
              <w:t>Use of real-time dashboards; applying Lean, PDSA and Six Sigma; better use of national audit data; stronger involvement of staff and families.</w:t>
            </w:r>
          </w:p>
        </w:tc>
      </w:tr>
      <w:tr w:rsidR="00337C46" w:rsidRPr="00337C46" w14:paraId="520D48E2" w14:textId="77777777" w:rsidTr="00CB0628">
        <w:tc>
          <w:tcPr>
            <w:tcW w:w="0" w:type="auto"/>
            <w:hideMark/>
          </w:tcPr>
          <w:p w14:paraId="430F77CE" w14:textId="77777777" w:rsidR="00337C46" w:rsidRPr="00337C46" w:rsidRDefault="00337C46" w:rsidP="00337C46">
            <w:pPr>
              <w:spacing w:after="160" w:line="360" w:lineRule="auto"/>
              <w:rPr>
                <w:rFonts w:ascii="Arial" w:hAnsi="Arial" w:cs="Arial"/>
              </w:rPr>
            </w:pPr>
            <w:r w:rsidRPr="00337C46">
              <w:rPr>
                <w:rFonts w:ascii="Arial" w:hAnsi="Arial" w:cs="Arial"/>
                <w:b/>
                <w:bCs/>
              </w:rPr>
              <w:t>Threats</w:t>
            </w:r>
          </w:p>
        </w:tc>
        <w:tc>
          <w:tcPr>
            <w:tcW w:w="0" w:type="auto"/>
            <w:hideMark/>
          </w:tcPr>
          <w:p w14:paraId="4373F1BA" w14:textId="77777777" w:rsidR="00337C46" w:rsidRPr="00337C46" w:rsidRDefault="00337C46" w:rsidP="00337C46">
            <w:pPr>
              <w:spacing w:after="160" w:line="360" w:lineRule="auto"/>
              <w:rPr>
                <w:rFonts w:ascii="Arial" w:hAnsi="Arial" w:cs="Arial"/>
              </w:rPr>
            </w:pPr>
            <w:r w:rsidRPr="00337C46">
              <w:rPr>
                <w:rFonts w:ascii="Arial" w:hAnsi="Arial" w:cs="Arial"/>
              </w:rPr>
              <w:t>Workforce shortages and burnout; financial pressures; risk of superficial compliance; political pressure for quick fixes.</w:t>
            </w:r>
          </w:p>
        </w:tc>
      </w:tr>
    </w:tbl>
    <w:p w14:paraId="665E1590" w14:textId="6BF9FFC6" w:rsidR="00B227DF" w:rsidRDefault="0098378D" w:rsidP="00B227DF">
      <w:pPr>
        <w:spacing w:line="360" w:lineRule="auto"/>
        <w:rPr>
          <w:rFonts w:ascii="Arial" w:hAnsi="Arial" w:cs="Arial"/>
        </w:rPr>
      </w:pPr>
      <w:r w:rsidRPr="0098378D">
        <w:rPr>
          <w:rFonts w:ascii="Arial" w:hAnsi="Arial" w:cs="Arial"/>
        </w:rPr>
        <w:t>This analysis indicates that</w:t>
      </w:r>
      <w:r w:rsidRPr="0098378D">
        <w:rPr>
          <w:rFonts w:ascii="Arial" w:hAnsi="Arial" w:cs="Arial"/>
        </w:rPr>
        <w:t> </w:t>
      </w:r>
      <w:r w:rsidRPr="0098378D">
        <w:rPr>
          <w:rFonts w:ascii="Arial" w:hAnsi="Arial" w:cs="Arial"/>
        </w:rPr>
        <w:t>while structural architecture has progressed since Bristol, the interdependence between governance and culture on one hand, daily practice and data on another need consistent attention. So, the next</w:t>
      </w:r>
      <w:r>
        <w:rPr>
          <w:rFonts w:ascii="Arial" w:hAnsi="Arial" w:cs="Arial"/>
        </w:rPr>
        <w:t xml:space="preserve"> </w:t>
      </w:r>
      <w:r w:rsidRPr="0098378D">
        <w:rPr>
          <w:rFonts w:ascii="Arial" w:hAnsi="Arial" w:cs="Arial"/>
        </w:rPr>
        <w:t>part is how do we practically address these using quality improvement approaches?</w:t>
      </w:r>
    </w:p>
    <w:p w14:paraId="70F0591C" w14:textId="31D235D5" w:rsidR="008A5169" w:rsidRPr="00337C46" w:rsidRDefault="008A5169" w:rsidP="008A5169">
      <w:pPr>
        <w:spacing w:line="360" w:lineRule="auto"/>
        <w:rPr>
          <w:rFonts w:ascii="Arial" w:hAnsi="Arial" w:cs="Arial"/>
          <w:b/>
          <w:bCs/>
        </w:rPr>
      </w:pPr>
      <w:r>
        <w:rPr>
          <w:rFonts w:ascii="Arial" w:hAnsi="Arial" w:cs="Arial"/>
          <w:b/>
          <w:bCs/>
        </w:rPr>
        <w:t>6</w:t>
      </w:r>
      <w:r w:rsidRPr="00337C46">
        <w:rPr>
          <w:rFonts w:ascii="Arial" w:hAnsi="Arial" w:cs="Arial"/>
          <w:b/>
          <w:bCs/>
        </w:rPr>
        <w:t xml:space="preserve">. </w:t>
      </w:r>
      <w:r>
        <w:rPr>
          <w:rFonts w:ascii="Arial" w:hAnsi="Arial" w:cs="Arial"/>
          <w:b/>
          <w:bCs/>
        </w:rPr>
        <w:t>Benchmarking</w:t>
      </w:r>
    </w:p>
    <w:p w14:paraId="20D45296" w14:textId="14FCD7F9" w:rsidR="008A5169" w:rsidRPr="008A5169" w:rsidRDefault="00CD0B41" w:rsidP="008A5169">
      <w:pPr>
        <w:spacing w:line="360" w:lineRule="auto"/>
        <w:rPr>
          <w:rFonts w:ascii="Arial" w:hAnsi="Arial" w:cs="Arial"/>
        </w:rPr>
      </w:pPr>
      <w:r w:rsidRPr="00CD0B41">
        <w:rPr>
          <w:rFonts w:ascii="Arial" w:hAnsi="Arial" w:cs="Arial"/>
        </w:rPr>
        <w:lastRenderedPageBreak/>
        <w:t>Benchmarking supports organisations in measuring how well their services are currently performing to national standard and evidence based best practice (NHS England, 2019; NHS England,</w:t>
      </w:r>
      <w:r w:rsidRPr="00CD0B41">
        <w:rPr>
          <w:rFonts w:ascii="Arial" w:hAnsi="Arial" w:cs="Arial"/>
        </w:rPr>
        <w:t> </w:t>
      </w:r>
      <w:r w:rsidRPr="00CD0B41">
        <w:rPr>
          <w:rFonts w:ascii="Arial" w:hAnsi="Arial" w:cs="Arial"/>
        </w:rPr>
        <w:t>2023). In relation to the Bristol Royal Infirmary scandal, benchmarking shows a stark contrast between how standards of governance, safety measurement and</w:t>
      </w:r>
      <w:r w:rsidRPr="00CD0B41">
        <w:rPr>
          <w:rFonts w:ascii="Arial" w:hAnsi="Arial" w:cs="Arial"/>
        </w:rPr>
        <w:t> </w:t>
      </w:r>
      <w:r w:rsidRPr="00CD0B41">
        <w:rPr>
          <w:rFonts w:ascii="Arial" w:hAnsi="Arial" w:cs="Arial"/>
        </w:rPr>
        <w:t>culture should be against what was happening before the Inquiry.</w:t>
      </w:r>
    </w:p>
    <w:p w14:paraId="0C70F546" w14:textId="0F37C872" w:rsidR="008A5169" w:rsidRPr="008A5169" w:rsidRDefault="00CD0B41" w:rsidP="008A5169">
      <w:pPr>
        <w:spacing w:line="360" w:lineRule="auto"/>
        <w:rPr>
          <w:rFonts w:ascii="Arial" w:hAnsi="Arial" w:cs="Arial"/>
        </w:rPr>
      </w:pPr>
      <w:r w:rsidRPr="00CD0B41">
        <w:rPr>
          <w:rFonts w:ascii="Arial" w:hAnsi="Arial" w:cs="Arial"/>
        </w:rPr>
        <w:t>Bristol Before” – the table draws comparisons between This gripping is a bold</w:t>
      </w:r>
      <w:r w:rsidRPr="00CD0B41">
        <w:rPr>
          <w:rFonts w:ascii="Arial" w:hAnsi="Arial" w:cs="Arial"/>
        </w:rPr>
        <w:t> </w:t>
      </w:r>
      <w:r w:rsidRPr="00CD0B41">
        <w:rPr>
          <w:rFonts w:ascii="Arial" w:hAnsi="Arial" w:cs="Arial"/>
        </w:rPr>
        <w:t>attempt to make non-promising uninspirational words of department of whatever improved The awful consequences intensively draw, “National Standards”, and “Best Practice / Expected After Improvement” to show that immature structures, dysfunctional processes and deadly culture made sure that high mortality rates endured.</w:t>
      </w:r>
    </w:p>
    <w:p w14:paraId="59BA7287" w14:textId="4DB466F2" w:rsidR="008A5169" w:rsidRPr="008A5169" w:rsidRDefault="00EB3320" w:rsidP="008A5169">
      <w:pPr>
        <w:spacing w:line="360" w:lineRule="auto"/>
        <w:rPr>
          <w:rFonts w:ascii="Arial" w:hAnsi="Arial" w:cs="Arial"/>
        </w:rPr>
      </w:pPr>
      <w:r w:rsidRPr="00EB3320">
        <w:rPr>
          <w:rFonts w:ascii="Arial" w:hAnsi="Arial" w:cs="Arial"/>
        </w:rPr>
        <w:t>Were the common recommendations proposed in this review (strengthened governance, tiered mortality audit process, Lean/PDSA approach to escalations, transparent safety data and just a culture) implemented across the board then the organisation would be nearer equipping itself for an accountable, learning organisation that is truly</w:t>
      </w:r>
      <w:r w:rsidRPr="00EB3320">
        <w:rPr>
          <w:rFonts w:ascii="Arial" w:hAnsi="Arial" w:cs="Arial"/>
        </w:rPr>
        <w:t> </w:t>
      </w:r>
      <w:r w:rsidRPr="00EB3320">
        <w:rPr>
          <w:rFonts w:ascii="Arial" w:hAnsi="Arial" w:cs="Arial"/>
        </w:rPr>
        <w:t>patient-centred. This is a</w:t>
      </w:r>
      <w:r w:rsidRPr="00EB3320">
        <w:rPr>
          <w:rFonts w:ascii="Arial" w:hAnsi="Arial" w:cs="Arial"/>
        </w:rPr>
        <w:t> </w:t>
      </w:r>
      <w:r w:rsidRPr="00EB3320">
        <w:rPr>
          <w:rFonts w:ascii="Arial" w:hAnsi="Arial" w:cs="Arial"/>
        </w:rPr>
        <w:t>crucial move to rebuild trust, boost staff morale, engage families and avoid repeating high-risk systemic failure (Francis, 2015; Vincent et al., 2014).</w:t>
      </w:r>
    </w:p>
    <w:p w14:paraId="60C88C25" w14:textId="02072331" w:rsidR="008A5169" w:rsidRPr="008A5169" w:rsidRDefault="008A5169" w:rsidP="008A5169">
      <w:pPr>
        <w:spacing w:line="360" w:lineRule="auto"/>
        <w:jc w:val="center"/>
        <w:rPr>
          <w:rFonts w:ascii="Arial" w:hAnsi="Arial" w:cs="Arial"/>
          <w:b/>
          <w:bCs/>
        </w:rPr>
      </w:pPr>
      <w:r>
        <w:rPr>
          <w:rFonts w:ascii="Arial" w:hAnsi="Arial" w:cs="Arial"/>
          <w:b/>
          <w:bCs/>
        </w:rPr>
        <w:t xml:space="preserve">Table 5: </w:t>
      </w:r>
      <w:r w:rsidRPr="008A5169">
        <w:rPr>
          <w:rFonts w:ascii="Arial" w:hAnsi="Arial" w:cs="Arial"/>
          <w:b/>
          <w:bCs/>
        </w:rPr>
        <w:t>Benchmarking Table: Comparison of National Standards, Bristol Practices, and Expected Improvement</w:t>
      </w:r>
    </w:p>
    <w:tbl>
      <w:tblPr>
        <w:tblStyle w:val="TableGrid"/>
        <w:tblW w:w="0" w:type="auto"/>
        <w:jc w:val="center"/>
        <w:tblLook w:val="04A0" w:firstRow="1" w:lastRow="0" w:firstColumn="1" w:lastColumn="0" w:noHBand="0" w:noVBand="1"/>
      </w:tblPr>
      <w:tblGrid>
        <w:gridCol w:w="1711"/>
        <w:gridCol w:w="2030"/>
        <w:gridCol w:w="2360"/>
        <w:gridCol w:w="2915"/>
      </w:tblGrid>
      <w:tr w:rsidR="00A74A51" w:rsidRPr="00A74A51" w14:paraId="202833D8" w14:textId="77777777" w:rsidTr="00301E8D">
        <w:trPr>
          <w:jc w:val="center"/>
        </w:trPr>
        <w:tc>
          <w:tcPr>
            <w:tcW w:w="0" w:type="auto"/>
            <w:hideMark/>
          </w:tcPr>
          <w:p w14:paraId="3284815E" w14:textId="77777777" w:rsidR="00A74A51" w:rsidRPr="00A74A51" w:rsidRDefault="00A74A51" w:rsidP="00A74A51">
            <w:pPr>
              <w:spacing w:after="160" w:line="360" w:lineRule="auto"/>
              <w:rPr>
                <w:rFonts w:ascii="Arial" w:hAnsi="Arial" w:cs="Arial"/>
                <w:b/>
                <w:bCs/>
              </w:rPr>
            </w:pPr>
            <w:r w:rsidRPr="00A74A51">
              <w:rPr>
                <w:rFonts w:ascii="Arial" w:hAnsi="Arial" w:cs="Arial"/>
                <w:b/>
                <w:bCs/>
              </w:rPr>
              <w:t>Indicator</w:t>
            </w:r>
          </w:p>
        </w:tc>
        <w:tc>
          <w:tcPr>
            <w:tcW w:w="0" w:type="auto"/>
            <w:hideMark/>
          </w:tcPr>
          <w:p w14:paraId="2063AF2B" w14:textId="77777777" w:rsidR="00A74A51" w:rsidRPr="00A74A51" w:rsidRDefault="00A74A51" w:rsidP="00A74A51">
            <w:pPr>
              <w:spacing w:after="160" w:line="360" w:lineRule="auto"/>
              <w:rPr>
                <w:rFonts w:ascii="Arial" w:hAnsi="Arial" w:cs="Arial"/>
                <w:b/>
                <w:bCs/>
              </w:rPr>
            </w:pPr>
            <w:r w:rsidRPr="00A74A51">
              <w:rPr>
                <w:rFonts w:ascii="Arial" w:hAnsi="Arial" w:cs="Arial"/>
                <w:b/>
                <w:bCs/>
              </w:rPr>
              <w:t>National Standard</w:t>
            </w:r>
          </w:p>
        </w:tc>
        <w:tc>
          <w:tcPr>
            <w:tcW w:w="0" w:type="auto"/>
            <w:hideMark/>
          </w:tcPr>
          <w:p w14:paraId="2B43CB0E" w14:textId="77777777" w:rsidR="00A74A51" w:rsidRPr="00A74A51" w:rsidRDefault="00A74A51" w:rsidP="00A74A51">
            <w:pPr>
              <w:spacing w:after="160" w:line="360" w:lineRule="auto"/>
              <w:rPr>
                <w:rFonts w:ascii="Arial" w:hAnsi="Arial" w:cs="Arial"/>
                <w:b/>
                <w:bCs/>
              </w:rPr>
            </w:pPr>
            <w:r w:rsidRPr="00A74A51">
              <w:rPr>
                <w:rFonts w:ascii="Arial" w:hAnsi="Arial" w:cs="Arial"/>
                <w:b/>
                <w:bCs/>
              </w:rPr>
              <w:t>Bristol Before Inquiry</w:t>
            </w:r>
          </w:p>
        </w:tc>
        <w:tc>
          <w:tcPr>
            <w:tcW w:w="0" w:type="auto"/>
            <w:hideMark/>
          </w:tcPr>
          <w:p w14:paraId="62D1A808" w14:textId="77777777" w:rsidR="00A74A51" w:rsidRPr="00A74A51" w:rsidRDefault="00A74A51" w:rsidP="00A74A51">
            <w:pPr>
              <w:spacing w:after="160" w:line="360" w:lineRule="auto"/>
              <w:rPr>
                <w:rFonts w:ascii="Arial" w:hAnsi="Arial" w:cs="Arial"/>
                <w:b/>
                <w:bCs/>
              </w:rPr>
            </w:pPr>
            <w:r w:rsidRPr="00A74A51">
              <w:rPr>
                <w:rFonts w:ascii="Arial" w:hAnsi="Arial" w:cs="Arial"/>
                <w:b/>
                <w:bCs/>
              </w:rPr>
              <w:t>Expected After Improvement (Aligned to Recommendations)</w:t>
            </w:r>
          </w:p>
        </w:tc>
      </w:tr>
      <w:tr w:rsidR="00A74A51" w:rsidRPr="00A74A51" w14:paraId="084BE401" w14:textId="77777777" w:rsidTr="00301E8D">
        <w:trPr>
          <w:jc w:val="center"/>
        </w:trPr>
        <w:tc>
          <w:tcPr>
            <w:tcW w:w="0" w:type="auto"/>
            <w:hideMark/>
          </w:tcPr>
          <w:p w14:paraId="41599F63" w14:textId="77777777" w:rsidR="00A74A51" w:rsidRPr="00A74A51" w:rsidRDefault="00A74A51" w:rsidP="00A74A51">
            <w:pPr>
              <w:spacing w:after="160" w:line="360" w:lineRule="auto"/>
              <w:rPr>
                <w:rFonts w:ascii="Arial" w:hAnsi="Arial" w:cs="Arial"/>
              </w:rPr>
            </w:pPr>
            <w:r w:rsidRPr="00A74A51">
              <w:rPr>
                <w:rFonts w:ascii="Arial" w:hAnsi="Arial" w:cs="Arial"/>
                <w:b/>
                <w:bCs/>
              </w:rPr>
              <w:t>Patient safety culture</w:t>
            </w:r>
          </w:p>
        </w:tc>
        <w:tc>
          <w:tcPr>
            <w:tcW w:w="0" w:type="auto"/>
            <w:hideMark/>
          </w:tcPr>
          <w:p w14:paraId="26448277" w14:textId="77777777" w:rsidR="00A74A51" w:rsidRPr="00A74A51" w:rsidRDefault="00A74A51" w:rsidP="00A74A51">
            <w:pPr>
              <w:spacing w:after="160" w:line="360" w:lineRule="auto"/>
              <w:rPr>
                <w:rFonts w:ascii="Arial" w:hAnsi="Arial" w:cs="Arial"/>
              </w:rPr>
            </w:pPr>
            <w:r w:rsidRPr="00A74A51">
              <w:rPr>
                <w:rFonts w:ascii="Arial" w:hAnsi="Arial" w:cs="Arial"/>
              </w:rPr>
              <w:t>Open reporting; psychological safety; aligned to NHS Patient Safety Strategy and CQC “Well-Led”</w:t>
            </w:r>
          </w:p>
        </w:tc>
        <w:tc>
          <w:tcPr>
            <w:tcW w:w="0" w:type="auto"/>
            <w:hideMark/>
          </w:tcPr>
          <w:p w14:paraId="2D4DDF7B" w14:textId="77777777" w:rsidR="00A74A51" w:rsidRPr="00A74A51" w:rsidRDefault="00A74A51" w:rsidP="00A74A51">
            <w:pPr>
              <w:spacing w:after="160" w:line="360" w:lineRule="auto"/>
              <w:rPr>
                <w:rFonts w:ascii="Arial" w:hAnsi="Arial" w:cs="Arial"/>
              </w:rPr>
            </w:pPr>
            <w:r w:rsidRPr="00A74A51">
              <w:rPr>
                <w:rFonts w:ascii="Arial" w:hAnsi="Arial" w:cs="Arial"/>
              </w:rPr>
              <w:t>Staff concerns ignored; junior staff afraid to speak up; hierarchical “club” culture; defensive responses (Bristol Inquiry, Coulter 2002).</w:t>
            </w:r>
          </w:p>
        </w:tc>
        <w:tc>
          <w:tcPr>
            <w:tcW w:w="0" w:type="auto"/>
            <w:hideMark/>
          </w:tcPr>
          <w:p w14:paraId="1F8339C4" w14:textId="77777777" w:rsidR="00A74A51" w:rsidRPr="00A74A51" w:rsidRDefault="00A74A51" w:rsidP="00A74A51">
            <w:pPr>
              <w:spacing w:after="160" w:line="360" w:lineRule="auto"/>
              <w:rPr>
                <w:rFonts w:ascii="Arial" w:hAnsi="Arial" w:cs="Arial"/>
              </w:rPr>
            </w:pPr>
            <w:r w:rsidRPr="00A74A51">
              <w:rPr>
                <w:rFonts w:ascii="Arial" w:hAnsi="Arial" w:cs="Arial"/>
              </w:rPr>
              <w:t>Just culture adopted; PSIRF and Being-Fair used; safety huddles and debriefs routine; Freedom to Speak Up metrics improve; staff report psychological safety.</w:t>
            </w:r>
          </w:p>
        </w:tc>
      </w:tr>
      <w:tr w:rsidR="00A74A51" w:rsidRPr="00A74A51" w14:paraId="7F6A6F30" w14:textId="77777777" w:rsidTr="00301E8D">
        <w:trPr>
          <w:jc w:val="center"/>
        </w:trPr>
        <w:tc>
          <w:tcPr>
            <w:tcW w:w="0" w:type="auto"/>
            <w:hideMark/>
          </w:tcPr>
          <w:p w14:paraId="6276BEFF" w14:textId="77777777" w:rsidR="00A74A51" w:rsidRPr="00A74A51" w:rsidRDefault="00A74A51" w:rsidP="00A74A51">
            <w:pPr>
              <w:spacing w:after="160" w:line="360" w:lineRule="auto"/>
              <w:rPr>
                <w:rFonts w:ascii="Arial" w:hAnsi="Arial" w:cs="Arial"/>
              </w:rPr>
            </w:pPr>
            <w:r w:rsidRPr="00A74A51">
              <w:rPr>
                <w:rFonts w:ascii="Arial" w:hAnsi="Arial" w:cs="Arial"/>
                <w:b/>
                <w:bCs/>
              </w:rPr>
              <w:t>Incident reporting system</w:t>
            </w:r>
          </w:p>
        </w:tc>
        <w:tc>
          <w:tcPr>
            <w:tcW w:w="0" w:type="auto"/>
            <w:hideMark/>
          </w:tcPr>
          <w:p w14:paraId="008A252A" w14:textId="77777777" w:rsidR="00A74A51" w:rsidRPr="00A74A51" w:rsidRDefault="00A74A51" w:rsidP="00A74A51">
            <w:pPr>
              <w:spacing w:after="160" w:line="360" w:lineRule="auto"/>
              <w:rPr>
                <w:rFonts w:ascii="Arial" w:hAnsi="Arial" w:cs="Arial"/>
              </w:rPr>
            </w:pPr>
            <w:r w:rsidRPr="00A74A51">
              <w:rPr>
                <w:rFonts w:ascii="Arial" w:hAnsi="Arial" w:cs="Arial"/>
              </w:rPr>
              <w:t xml:space="preserve">Digital systems (Datix); timely escalation; structured investigations; </w:t>
            </w:r>
            <w:r w:rsidRPr="00A74A51">
              <w:rPr>
                <w:rFonts w:ascii="Arial" w:hAnsi="Arial" w:cs="Arial"/>
              </w:rPr>
              <w:lastRenderedPageBreak/>
              <w:t>proportional response (PSIRF)</w:t>
            </w:r>
          </w:p>
        </w:tc>
        <w:tc>
          <w:tcPr>
            <w:tcW w:w="0" w:type="auto"/>
            <w:hideMark/>
          </w:tcPr>
          <w:p w14:paraId="4EC07EA5" w14:textId="77777777" w:rsidR="00A74A51" w:rsidRPr="00A74A51" w:rsidRDefault="00A74A51" w:rsidP="00A74A51">
            <w:pPr>
              <w:spacing w:after="160" w:line="360" w:lineRule="auto"/>
              <w:rPr>
                <w:rFonts w:ascii="Arial" w:hAnsi="Arial" w:cs="Arial"/>
              </w:rPr>
            </w:pPr>
            <w:r w:rsidRPr="00A74A51">
              <w:rPr>
                <w:rFonts w:ascii="Arial" w:hAnsi="Arial" w:cs="Arial"/>
              </w:rPr>
              <w:lastRenderedPageBreak/>
              <w:t xml:space="preserve">No structured mortality audit; concerns not escalated; fragmented data; </w:t>
            </w:r>
            <w:r w:rsidRPr="00A74A51">
              <w:rPr>
                <w:rFonts w:ascii="Arial" w:hAnsi="Arial" w:cs="Arial"/>
              </w:rPr>
              <w:lastRenderedPageBreak/>
              <w:t>delayed responses; limited benchmarking with national audit.</w:t>
            </w:r>
          </w:p>
        </w:tc>
        <w:tc>
          <w:tcPr>
            <w:tcW w:w="0" w:type="auto"/>
            <w:hideMark/>
          </w:tcPr>
          <w:p w14:paraId="49C7573C" w14:textId="77777777" w:rsidR="00A74A51" w:rsidRPr="00A74A51" w:rsidRDefault="00A74A51" w:rsidP="00A74A51">
            <w:pPr>
              <w:spacing w:after="160" w:line="360" w:lineRule="auto"/>
              <w:rPr>
                <w:rFonts w:ascii="Arial" w:hAnsi="Arial" w:cs="Arial"/>
              </w:rPr>
            </w:pPr>
            <w:r w:rsidRPr="00A74A51">
              <w:rPr>
                <w:rFonts w:ascii="Arial" w:hAnsi="Arial" w:cs="Arial"/>
              </w:rPr>
              <w:lastRenderedPageBreak/>
              <w:t xml:space="preserve">Integrated digital reporting; real-time dashboards; structured mortality reviews; escalation </w:t>
            </w:r>
            <w:r w:rsidRPr="00A74A51">
              <w:rPr>
                <w:rFonts w:ascii="Arial" w:hAnsi="Arial" w:cs="Arial"/>
              </w:rPr>
              <w:lastRenderedPageBreak/>
              <w:t>pathways followed; regular board-level reporting.</w:t>
            </w:r>
          </w:p>
        </w:tc>
      </w:tr>
      <w:tr w:rsidR="00A74A51" w:rsidRPr="00A74A51" w14:paraId="4A81C436" w14:textId="77777777" w:rsidTr="00301E8D">
        <w:trPr>
          <w:jc w:val="center"/>
        </w:trPr>
        <w:tc>
          <w:tcPr>
            <w:tcW w:w="0" w:type="auto"/>
            <w:hideMark/>
          </w:tcPr>
          <w:p w14:paraId="31386ED6" w14:textId="77777777" w:rsidR="00A74A51" w:rsidRPr="00A74A51" w:rsidRDefault="00A74A51" w:rsidP="00A74A51">
            <w:pPr>
              <w:spacing w:after="160" w:line="360" w:lineRule="auto"/>
              <w:rPr>
                <w:rFonts w:ascii="Arial" w:hAnsi="Arial" w:cs="Arial"/>
              </w:rPr>
            </w:pPr>
            <w:r w:rsidRPr="00A74A51">
              <w:rPr>
                <w:rFonts w:ascii="Arial" w:hAnsi="Arial" w:cs="Arial"/>
                <w:b/>
                <w:bCs/>
              </w:rPr>
              <w:lastRenderedPageBreak/>
              <w:t>Leadership &amp; governance</w:t>
            </w:r>
          </w:p>
        </w:tc>
        <w:tc>
          <w:tcPr>
            <w:tcW w:w="0" w:type="auto"/>
            <w:hideMark/>
          </w:tcPr>
          <w:p w14:paraId="5D00DEE2" w14:textId="77777777" w:rsidR="00A74A51" w:rsidRPr="00A74A51" w:rsidRDefault="00A74A51" w:rsidP="00A74A51">
            <w:pPr>
              <w:spacing w:after="160" w:line="360" w:lineRule="auto"/>
              <w:rPr>
                <w:rFonts w:ascii="Arial" w:hAnsi="Arial" w:cs="Arial"/>
              </w:rPr>
            </w:pPr>
            <w:r w:rsidRPr="00A74A51">
              <w:rPr>
                <w:rFonts w:ascii="Arial" w:hAnsi="Arial" w:cs="Arial"/>
              </w:rPr>
              <w:t>CQC “Well-Led”: accountability, transparency, responsive leadership; board oversight of outcomes</w:t>
            </w:r>
          </w:p>
        </w:tc>
        <w:tc>
          <w:tcPr>
            <w:tcW w:w="0" w:type="auto"/>
            <w:hideMark/>
          </w:tcPr>
          <w:p w14:paraId="05736776" w14:textId="77777777" w:rsidR="00A74A51" w:rsidRPr="00A74A51" w:rsidRDefault="00A74A51" w:rsidP="00A74A51">
            <w:pPr>
              <w:spacing w:after="160" w:line="360" w:lineRule="auto"/>
              <w:rPr>
                <w:rFonts w:ascii="Arial" w:hAnsi="Arial" w:cs="Arial"/>
              </w:rPr>
            </w:pPr>
            <w:r w:rsidRPr="00A74A51">
              <w:rPr>
                <w:rFonts w:ascii="Arial" w:hAnsi="Arial" w:cs="Arial"/>
              </w:rPr>
              <w:t>Weak governance; board unaware of risk signals; over-reliance on senior clinicians; reputation prioritised over learning (Walshe &amp; Offen 2001).</w:t>
            </w:r>
          </w:p>
        </w:tc>
        <w:tc>
          <w:tcPr>
            <w:tcW w:w="0" w:type="auto"/>
            <w:hideMark/>
          </w:tcPr>
          <w:p w14:paraId="3754C7CD" w14:textId="77777777" w:rsidR="00A74A51" w:rsidRPr="00A74A51" w:rsidRDefault="00A74A51" w:rsidP="00A74A51">
            <w:pPr>
              <w:spacing w:after="160" w:line="360" w:lineRule="auto"/>
              <w:rPr>
                <w:rFonts w:ascii="Arial" w:hAnsi="Arial" w:cs="Arial"/>
              </w:rPr>
            </w:pPr>
            <w:r w:rsidRPr="00A74A51">
              <w:rPr>
                <w:rFonts w:ascii="Arial" w:hAnsi="Arial" w:cs="Arial"/>
              </w:rPr>
              <w:t>Clear accountability; clinical governance strengthened; non-executives trained in outcome interpretation; regular quality reports; transparent learning culture.</w:t>
            </w:r>
          </w:p>
        </w:tc>
      </w:tr>
      <w:tr w:rsidR="00A74A51" w:rsidRPr="00A74A51" w14:paraId="1137DE32" w14:textId="77777777" w:rsidTr="00301E8D">
        <w:trPr>
          <w:jc w:val="center"/>
        </w:trPr>
        <w:tc>
          <w:tcPr>
            <w:tcW w:w="0" w:type="auto"/>
            <w:hideMark/>
          </w:tcPr>
          <w:p w14:paraId="6F51230E" w14:textId="77777777" w:rsidR="00A74A51" w:rsidRPr="00A74A51" w:rsidRDefault="00A74A51" w:rsidP="00A74A51">
            <w:pPr>
              <w:spacing w:after="160" w:line="360" w:lineRule="auto"/>
              <w:rPr>
                <w:rFonts w:ascii="Arial" w:hAnsi="Arial" w:cs="Arial"/>
              </w:rPr>
            </w:pPr>
            <w:r w:rsidRPr="00A74A51">
              <w:rPr>
                <w:rFonts w:ascii="Arial" w:hAnsi="Arial" w:cs="Arial"/>
                <w:b/>
                <w:bCs/>
              </w:rPr>
              <w:t>Training &amp; competence</w:t>
            </w:r>
          </w:p>
        </w:tc>
        <w:tc>
          <w:tcPr>
            <w:tcW w:w="0" w:type="auto"/>
            <w:hideMark/>
          </w:tcPr>
          <w:p w14:paraId="16BACF51" w14:textId="77777777" w:rsidR="00A74A51" w:rsidRPr="00A74A51" w:rsidRDefault="00A74A51" w:rsidP="00A74A51">
            <w:pPr>
              <w:spacing w:after="160" w:line="360" w:lineRule="auto"/>
              <w:rPr>
                <w:rFonts w:ascii="Arial" w:hAnsi="Arial" w:cs="Arial"/>
              </w:rPr>
            </w:pPr>
            <w:r w:rsidRPr="00A74A51">
              <w:rPr>
                <w:rFonts w:ascii="Arial" w:hAnsi="Arial" w:cs="Arial"/>
              </w:rPr>
              <w:t>NHS standard: mandatory training compliance; competency assurance; adequate specialist staffing</w:t>
            </w:r>
          </w:p>
        </w:tc>
        <w:tc>
          <w:tcPr>
            <w:tcW w:w="0" w:type="auto"/>
            <w:hideMark/>
          </w:tcPr>
          <w:p w14:paraId="17B01A63" w14:textId="77777777" w:rsidR="00A74A51" w:rsidRPr="00A74A51" w:rsidRDefault="00A74A51" w:rsidP="00A74A51">
            <w:pPr>
              <w:spacing w:after="160" w:line="360" w:lineRule="auto"/>
              <w:rPr>
                <w:rFonts w:ascii="Arial" w:hAnsi="Arial" w:cs="Arial"/>
              </w:rPr>
            </w:pPr>
            <w:r w:rsidRPr="00A74A51">
              <w:rPr>
                <w:rFonts w:ascii="Arial" w:hAnsi="Arial" w:cs="Arial"/>
              </w:rPr>
              <w:t>Limited paediatric expertise; supervision deficits; variable competencies; MDT communication gaps; juniors unsupported.</w:t>
            </w:r>
          </w:p>
        </w:tc>
        <w:tc>
          <w:tcPr>
            <w:tcW w:w="0" w:type="auto"/>
            <w:hideMark/>
          </w:tcPr>
          <w:p w14:paraId="59F11823" w14:textId="77777777" w:rsidR="00A74A51" w:rsidRPr="00A74A51" w:rsidRDefault="00A74A51" w:rsidP="00A74A51">
            <w:pPr>
              <w:spacing w:after="160" w:line="360" w:lineRule="auto"/>
              <w:rPr>
                <w:rFonts w:ascii="Arial" w:hAnsi="Arial" w:cs="Arial"/>
              </w:rPr>
            </w:pPr>
            <w:r w:rsidRPr="00A74A51">
              <w:rPr>
                <w:rFonts w:ascii="Arial" w:hAnsi="Arial" w:cs="Arial"/>
              </w:rPr>
              <w:t>Competency frameworks implemented; safer case-selection; networks/referral pathways formalised; simulation-based training; improved MDT collaboration.</w:t>
            </w:r>
          </w:p>
        </w:tc>
      </w:tr>
      <w:tr w:rsidR="00A74A51" w:rsidRPr="00A74A51" w14:paraId="1267E171" w14:textId="77777777" w:rsidTr="00301E8D">
        <w:trPr>
          <w:jc w:val="center"/>
        </w:trPr>
        <w:tc>
          <w:tcPr>
            <w:tcW w:w="0" w:type="auto"/>
            <w:hideMark/>
          </w:tcPr>
          <w:p w14:paraId="2753D1B9" w14:textId="77777777" w:rsidR="00A74A51" w:rsidRPr="00A74A51" w:rsidRDefault="00A74A51" w:rsidP="00A74A51">
            <w:pPr>
              <w:spacing w:after="160" w:line="360" w:lineRule="auto"/>
              <w:rPr>
                <w:rFonts w:ascii="Arial" w:hAnsi="Arial" w:cs="Arial"/>
              </w:rPr>
            </w:pPr>
            <w:r w:rsidRPr="00A74A51">
              <w:rPr>
                <w:rFonts w:ascii="Arial" w:hAnsi="Arial" w:cs="Arial"/>
                <w:b/>
                <w:bCs/>
              </w:rPr>
              <w:t>Case selection &amp; referral</w:t>
            </w:r>
          </w:p>
        </w:tc>
        <w:tc>
          <w:tcPr>
            <w:tcW w:w="0" w:type="auto"/>
            <w:hideMark/>
          </w:tcPr>
          <w:p w14:paraId="55A16A77" w14:textId="77777777" w:rsidR="00A74A51" w:rsidRPr="00A74A51" w:rsidRDefault="00A74A51" w:rsidP="00A74A51">
            <w:pPr>
              <w:spacing w:after="160" w:line="360" w:lineRule="auto"/>
              <w:rPr>
                <w:rFonts w:ascii="Arial" w:hAnsi="Arial" w:cs="Arial"/>
              </w:rPr>
            </w:pPr>
            <w:r w:rsidRPr="00A74A51">
              <w:rPr>
                <w:rFonts w:ascii="Arial" w:hAnsi="Arial" w:cs="Arial"/>
              </w:rPr>
              <w:t>Use of national standards and networks; high-risk cases referred to specialist centres</w:t>
            </w:r>
          </w:p>
        </w:tc>
        <w:tc>
          <w:tcPr>
            <w:tcW w:w="0" w:type="auto"/>
            <w:hideMark/>
          </w:tcPr>
          <w:p w14:paraId="2C7E4347" w14:textId="77777777" w:rsidR="00A74A51" w:rsidRPr="00A74A51" w:rsidRDefault="00A74A51" w:rsidP="00A74A51">
            <w:pPr>
              <w:spacing w:after="160" w:line="360" w:lineRule="auto"/>
              <w:rPr>
                <w:rFonts w:ascii="Arial" w:hAnsi="Arial" w:cs="Arial"/>
              </w:rPr>
            </w:pPr>
            <w:r w:rsidRPr="00A74A51">
              <w:rPr>
                <w:rFonts w:ascii="Arial" w:hAnsi="Arial" w:cs="Arial"/>
              </w:rPr>
              <w:t>Inconsistent case selection; high-risk patients treated locally despite low volumes; limited benchmarking.</w:t>
            </w:r>
          </w:p>
        </w:tc>
        <w:tc>
          <w:tcPr>
            <w:tcW w:w="0" w:type="auto"/>
            <w:hideMark/>
          </w:tcPr>
          <w:p w14:paraId="02E7D1CA" w14:textId="77777777" w:rsidR="00A74A51" w:rsidRPr="00A74A51" w:rsidRDefault="00A74A51" w:rsidP="00A74A51">
            <w:pPr>
              <w:spacing w:after="160" w:line="360" w:lineRule="auto"/>
              <w:rPr>
                <w:rFonts w:ascii="Arial" w:hAnsi="Arial" w:cs="Arial"/>
              </w:rPr>
            </w:pPr>
            <w:r w:rsidRPr="00A74A51">
              <w:rPr>
                <w:rFonts w:ascii="Arial" w:hAnsi="Arial" w:cs="Arial"/>
              </w:rPr>
              <w:t>Referral triggers defined; volume thresholds applied; supra-regional centres used appropriately; reduction in inappropriate high-risk local cases.</w:t>
            </w:r>
          </w:p>
        </w:tc>
      </w:tr>
      <w:tr w:rsidR="00A74A51" w:rsidRPr="00A74A51" w14:paraId="10D41473" w14:textId="77777777" w:rsidTr="00301E8D">
        <w:trPr>
          <w:jc w:val="center"/>
        </w:trPr>
        <w:tc>
          <w:tcPr>
            <w:tcW w:w="0" w:type="auto"/>
            <w:hideMark/>
          </w:tcPr>
          <w:p w14:paraId="3640623A" w14:textId="77777777" w:rsidR="00A74A51" w:rsidRPr="00A74A51" w:rsidRDefault="00A74A51" w:rsidP="00A74A51">
            <w:pPr>
              <w:spacing w:after="160" w:line="360" w:lineRule="auto"/>
              <w:rPr>
                <w:rFonts w:ascii="Arial" w:hAnsi="Arial" w:cs="Arial"/>
              </w:rPr>
            </w:pPr>
            <w:r w:rsidRPr="00A74A51">
              <w:rPr>
                <w:rFonts w:ascii="Arial" w:hAnsi="Arial" w:cs="Arial"/>
                <w:b/>
                <w:bCs/>
              </w:rPr>
              <w:t>Data systems &amp; monitoring</w:t>
            </w:r>
          </w:p>
        </w:tc>
        <w:tc>
          <w:tcPr>
            <w:tcW w:w="0" w:type="auto"/>
            <w:hideMark/>
          </w:tcPr>
          <w:p w14:paraId="5F05220F" w14:textId="77777777" w:rsidR="00A74A51" w:rsidRPr="00A74A51" w:rsidRDefault="00A74A51" w:rsidP="00A74A51">
            <w:pPr>
              <w:spacing w:after="160" w:line="360" w:lineRule="auto"/>
              <w:rPr>
                <w:rFonts w:ascii="Arial" w:hAnsi="Arial" w:cs="Arial"/>
              </w:rPr>
            </w:pPr>
            <w:r w:rsidRPr="00A74A51">
              <w:rPr>
                <w:rFonts w:ascii="Arial" w:hAnsi="Arial" w:cs="Arial"/>
              </w:rPr>
              <w:t>Integrated data with national audits (e.g., NCHDA); continuous monitoring; use of risk-adjusted metrics</w:t>
            </w:r>
          </w:p>
        </w:tc>
        <w:tc>
          <w:tcPr>
            <w:tcW w:w="0" w:type="auto"/>
            <w:hideMark/>
          </w:tcPr>
          <w:p w14:paraId="62F8953B" w14:textId="77777777" w:rsidR="00A74A51" w:rsidRPr="00A74A51" w:rsidRDefault="00A74A51" w:rsidP="00A74A51">
            <w:pPr>
              <w:spacing w:after="160" w:line="360" w:lineRule="auto"/>
              <w:rPr>
                <w:rFonts w:ascii="Arial" w:hAnsi="Arial" w:cs="Arial"/>
              </w:rPr>
            </w:pPr>
            <w:r w:rsidRPr="00A74A51">
              <w:rPr>
                <w:rFonts w:ascii="Arial" w:hAnsi="Arial" w:cs="Arial"/>
              </w:rPr>
              <w:t>Poor data integration; no national benchmarking; mortality visible but not analysed; board not informed.</w:t>
            </w:r>
          </w:p>
        </w:tc>
        <w:tc>
          <w:tcPr>
            <w:tcW w:w="0" w:type="auto"/>
            <w:hideMark/>
          </w:tcPr>
          <w:p w14:paraId="7581D4F8" w14:textId="77777777" w:rsidR="00A74A51" w:rsidRPr="00A74A51" w:rsidRDefault="00A74A51" w:rsidP="00A74A51">
            <w:pPr>
              <w:spacing w:after="160" w:line="360" w:lineRule="auto"/>
              <w:rPr>
                <w:rFonts w:ascii="Arial" w:hAnsi="Arial" w:cs="Arial"/>
              </w:rPr>
            </w:pPr>
            <w:r w:rsidRPr="00A74A51">
              <w:rPr>
                <w:rFonts w:ascii="Arial" w:hAnsi="Arial" w:cs="Arial"/>
              </w:rPr>
              <w:t>Risk-adjusted mortality dashboards; routine benchmarking; board receives monthly safety metrics; improved predictive monitoring.</w:t>
            </w:r>
          </w:p>
        </w:tc>
      </w:tr>
      <w:tr w:rsidR="00A74A51" w:rsidRPr="00A74A51" w14:paraId="02E42562" w14:textId="77777777" w:rsidTr="00301E8D">
        <w:trPr>
          <w:jc w:val="center"/>
        </w:trPr>
        <w:tc>
          <w:tcPr>
            <w:tcW w:w="0" w:type="auto"/>
            <w:hideMark/>
          </w:tcPr>
          <w:p w14:paraId="3321380D" w14:textId="77777777" w:rsidR="00A74A51" w:rsidRPr="00A74A51" w:rsidRDefault="00A74A51" w:rsidP="00A74A51">
            <w:pPr>
              <w:spacing w:after="160" w:line="360" w:lineRule="auto"/>
              <w:rPr>
                <w:rFonts w:ascii="Arial" w:hAnsi="Arial" w:cs="Arial"/>
              </w:rPr>
            </w:pPr>
            <w:r w:rsidRPr="00A74A51">
              <w:rPr>
                <w:rFonts w:ascii="Arial" w:hAnsi="Arial" w:cs="Arial"/>
                <w:b/>
                <w:bCs/>
              </w:rPr>
              <w:lastRenderedPageBreak/>
              <w:t>Family involvement &amp; transparency</w:t>
            </w:r>
          </w:p>
        </w:tc>
        <w:tc>
          <w:tcPr>
            <w:tcW w:w="0" w:type="auto"/>
            <w:hideMark/>
          </w:tcPr>
          <w:p w14:paraId="1C700E03" w14:textId="77777777" w:rsidR="00A74A51" w:rsidRPr="00A74A51" w:rsidRDefault="00A74A51" w:rsidP="00A74A51">
            <w:pPr>
              <w:spacing w:after="160" w:line="360" w:lineRule="auto"/>
              <w:rPr>
                <w:rFonts w:ascii="Arial" w:hAnsi="Arial" w:cs="Arial"/>
              </w:rPr>
            </w:pPr>
            <w:r w:rsidRPr="00A74A51">
              <w:rPr>
                <w:rFonts w:ascii="Arial" w:hAnsi="Arial" w:cs="Arial"/>
              </w:rPr>
              <w:t>Patient/family involvement in governance; duty of candour</w:t>
            </w:r>
          </w:p>
        </w:tc>
        <w:tc>
          <w:tcPr>
            <w:tcW w:w="0" w:type="auto"/>
            <w:hideMark/>
          </w:tcPr>
          <w:p w14:paraId="11D640EA" w14:textId="77777777" w:rsidR="00A74A51" w:rsidRPr="00A74A51" w:rsidRDefault="00A74A51" w:rsidP="00A74A51">
            <w:pPr>
              <w:spacing w:after="160" w:line="360" w:lineRule="auto"/>
              <w:rPr>
                <w:rFonts w:ascii="Arial" w:hAnsi="Arial" w:cs="Arial"/>
              </w:rPr>
            </w:pPr>
            <w:r w:rsidRPr="00A74A51">
              <w:rPr>
                <w:rFonts w:ascii="Arial" w:hAnsi="Arial" w:cs="Arial"/>
              </w:rPr>
              <w:t>Parents’ concerns ignored; limited communication; families not involved in governance.</w:t>
            </w:r>
          </w:p>
        </w:tc>
        <w:tc>
          <w:tcPr>
            <w:tcW w:w="0" w:type="auto"/>
            <w:hideMark/>
          </w:tcPr>
          <w:p w14:paraId="638510D8" w14:textId="77777777" w:rsidR="00A74A51" w:rsidRPr="00A74A51" w:rsidRDefault="00A74A51" w:rsidP="00A74A51">
            <w:pPr>
              <w:spacing w:after="160" w:line="360" w:lineRule="auto"/>
              <w:rPr>
                <w:rFonts w:ascii="Arial" w:hAnsi="Arial" w:cs="Arial"/>
              </w:rPr>
            </w:pPr>
            <w:r w:rsidRPr="00A74A51">
              <w:rPr>
                <w:rFonts w:ascii="Arial" w:hAnsi="Arial" w:cs="Arial"/>
              </w:rPr>
              <w:t>Family involvement in reviews; duty of candour compliance; co-designed patient materials; parent advocates in governance.</w:t>
            </w:r>
          </w:p>
        </w:tc>
      </w:tr>
      <w:tr w:rsidR="00A74A51" w:rsidRPr="00A74A51" w14:paraId="20E82D17" w14:textId="77777777" w:rsidTr="00301E8D">
        <w:trPr>
          <w:jc w:val="center"/>
        </w:trPr>
        <w:tc>
          <w:tcPr>
            <w:tcW w:w="0" w:type="auto"/>
            <w:hideMark/>
          </w:tcPr>
          <w:p w14:paraId="057ADE32" w14:textId="77777777" w:rsidR="00A74A51" w:rsidRPr="00A74A51" w:rsidRDefault="00A74A51" w:rsidP="00A74A51">
            <w:pPr>
              <w:spacing w:after="160" w:line="360" w:lineRule="auto"/>
              <w:rPr>
                <w:rFonts w:ascii="Arial" w:hAnsi="Arial" w:cs="Arial"/>
              </w:rPr>
            </w:pPr>
            <w:r w:rsidRPr="00A74A51">
              <w:rPr>
                <w:rFonts w:ascii="Arial" w:hAnsi="Arial" w:cs="Arial"/>
                <w:b/>
                <w:bCs/>
              </w:rPr>
              <w:t>Quality improvement methodology</w:t>
            </w:r>
          </w:p>
        </w:tc>
        <w:tc>
          <w:tcPr>
            <w:tcW w:w="0" w:type="auto"/>
            <w:hideMark/>
          </w:tcPr>
          <w:p w14:paraId="55AAE37B" w14:textId="77777777" w:rsidR="00A74A51" w:rsidRPr="00A74A51" w:rsidRDefault="00A74A51" w:rsidP="00A74A51">
            <w:pPr>
              <w:spacing w:after="160" w:line="360" w:lineRule="auto"/>
              <w:rPr>
                <w:rFonts w:ascii="Arial" w:hAnsi="Arial" w:cs="Arial"/>
              </w:rPr>
            </w:pPr>
            <w:r w:rsidRPr="00A74A51">
              <w:rPr>
                <w:rFonts w:ascii="Arial" w:hAnsi="Arial" w:cs="Arial"/>
              </w:rPr>
              <w:t>Use of PDSA, Lean, Six Sigma; continuous improvement</w:t>
            </w:r>
          </w:p>
        </w:tc>
        <w:tc>
          <w:tcPr>
            <w:tcW w:w="0" w:type="auto"/>
            <w:hideMark/>
          </w:tcPr>
          <w:p w14:paraId="17E5C2D0" w14:textId="77777777" w:rsidR="00A74A51" w:rsidRPr="00A74A51" w:rsidRDefault="00A74A51" w:rsidP="00A74A51">
            <w:pPr>
              <w:spacing w:after="160" w:line="360" w:lineRule="auto"/>
              <w:rPr>
                <w:rFonts w:ascii="Arial" w:hAnsi="Arial" w:cs="Arial"/>
              </w:rPr>
            </w:pPr>
            <w:r w:rsidRPr="00A74A51">
              <w:rPr>
                <w:rFonts w:ascii="Arial" w:hAnsi="Arial" w:cs="Arial"/>
              </w:rPr>
              <w:t>No structured QI; reactive responses; defensive culture; no learning systems.</w:t>
            </w:r>
          </w:p>
        </w:tc>
        <w:tc>
          <w:tcPr>
            <w:tcW w:w="0" w:type="auto"/>
            <w:hideMark/>
          </w:tcPr>
          <w:p w14:paraId="646F67A6" w14:textId="77777777" w:rsidR="00A74A51" w:rsidRPr="00A74A51" w:rsidRDefault="00A74A51" w:rsidP="00A74A51">
            <w:pPr>
              <w:spacing w:after="160" w:line="360" w:lineRule="auto"/>
              <w:rPr>
                <w:rFonts w:ascii="Arial" w:hAnsi="Arial" w:cs="Arial"/>
              </w:rPr>
            </w:pPr>
            <w:r w:rsidRPr="00A74A51">
              <w:rPr>
                <w:rFonts w:ascii="Arial" w:hAnsi="Arial" w:cs="Arial"/>
              </w:rPr>
              <w:t>Regular PDSA cycles; lean pathway redesign; Six Sigma variation analysis; improvement capability built into teams.</w:t>
            </w:r>
          </w:p>
        </w:tc>
      </w:tr>
    </w:tbl>
    <w:p w14:paraId="38780F51" w14:textId="77777777" w:rsidR="008A5169" w:rsidRPr="00B227DF" w:rsidRDefault="008A5169" w:rsidP="00B227DF">
      <w:pPr>
        <w:spacing w:line="360" w:lineRule="auto"/>
        <w:rPr>
          <w:rFonts w:ascii="Arial" w:hAnsi="Arial" w:cs="Arial"/>
        </w:rPr>
      </w:pPr>
    </w:p>
    <w:p w14:paraId="76C1F515" w14:textId="780581A1" w:rsidR="00B227DF" w:rsidRPr="00B227DF" w:rsidRDefault="00B227DF" w:rsidP="00B227DF">
      <w:pPr>
        <w:pStyle w:val="Heading1"/>
        <w:spacing w:line="360" w:lineRule="auto"/>
        <w:rPr>
          <w:rFonts w:ascii="Arial" w:eastAsiaTheme="minorHAnsi" w:hAnsi="Arial" w:cs="Arial"/>
          <w:sz w:val="22"/>
          <w:szCs w:val="22"/>
        </w:rPr>
      </w:pPr>
      <w:bookmarkStart w:id="1" w:name="_Toc215158508"/>
      <w:r w:rsidRPr="00B227DF">
        <w:rPr>
          <w:rFonts w:ascii="Arial" w:eastAsiaTheme="minorHAnsi" w:hAnsi="Arial" w:cs="Arial"/>
          <w:sz w:val="22"/>
          <w:szCs w:val="22"/>
        </w:rPr>
        <w:t>Recommendations</w:t>
      </w:r>
      <w:bookmarkEnd w:id="1"/>
    </w:p>
    <w:p w14:paraId="30CECA8F" w14:textId="6199F1CE" w:rsidR="00337C46" w:rsidRPr="00337C46" w:rsidRDefault="0098378D" w:rsidP="00337C46">
      <w:pPr>
        <w:spacing w:line="360" w:lineRule="auto"/>
        <w:rPr>
          <w:rFonts w:ascii="Arial" w:hAnsi="Arial" w:cs="Arial"/>
        </w:rPr>
      </w:pPr>
      <w:r w:rsidRPr="0098378D">
        <w:rPr>
          <w:rFonts w:ascii="Arial" w:hAnsi="Arial" w:cs="Arial"/>
        </w:rPr>
        <w:t>Recommendations below seek to target the root causes identified in the Bristol case as well as enhance quality</w:t>
      </w:r>
      <w:r w:rsidRPr="0098378D">
        <w:rPr>
          <w:rFonts w:ascii="Arial" w:hAnsi="Arial" w:cs="Arial"/>
        </w:rPr>
        <w:t> </w:t>
      </w:r>
      <w:r w:rsidRPr="0098378D">
        <w:rPr>
          <w:rFonts w:ascii="Arial" w:hAnsi="Arial" w:cs="Arial"/>
        </w:rPr>
        <w:t>and safety standards within high-risk NHS services including paediatric cardiac surgery. They are organised into</w:t>
      </w:r>
      <w:r w:rsidRPr="0098378D">
        <w:rPr>
          <w:rFonts w:ascii="Arial" w:hAnsi="Arial" w:cs="Arial"/>
        </w:rPr>
        <w:t> </w:t>
      </w:r>
      <w:r w:rsidRPr="0098378D">
        <w:rPr>
          <w:rFonts w:ascii="Arial" w:hAnsi="Arial" w:cs="Arial"/>
        </w:rPr>
        <w:t>four categories and utilise PDSA, Lean and Six Sigma.</w:t>
      </w:r>
    </w:p>
    <w:p w14:paraId="083D8D52" w14:textId="70AD6E8D" w:rsidR="00337C46" w:rsidRPr="00337C46" w:rsidRDefault="00337C46" w:rsidP="00337C46">
      <w:pPr>
        <w:spacing w:line="360" w:lineRule="auto"/>
        <w:rPr>
          <w:rFonts w:ascii="Arial" w:hAnsi="Arial" w:cs="Arial"/>
          <w:b/>
          <w:bCs/>
        </w:rPr>
      </w:pPr>
      <w:r w:rsidRPr="00337C46">
        <w:rPr>
          <w:rFonts w:ascii="Arial" w:hAnsi="Arial" w:cs="Arial"/>
          <w:b/>
          <w:bCs/>
        </w:rPr>
        <w:t xml:space="preserve">1. </w:t>
      </w:r>
      <w:r w:rsidR="0098378D" w:rsidRPr="0098378D">
        <w:rPr>
          <w:rFonts w:ascii="Arial" w:hAnsi="Arial" w:cs="Arial"/>
          <w:b/>
          <w:bCs/>
        </w:rPr>
        <w:t>Enhance the measure and safety of disclosure of results</w:t>
      </w:r>
    </w:p>
    <w:p w14:paraId="3C632D33" w14:textId="2FC65477" w:rsidR="00337C46" w:rsidRPr="00337C46" w:rsidRDefault="0098378D" w:rsidP="00337C46">
      <w:pPr>
        <w:spacing w:line="360" w:lineRule="auto"/>
        <w:rPr>
          <w:rFonts w:ascii="Arial" w:hAnsi="Arial" w:cs="Arial"/>
        </w:rPr>
      </w:pPr>
      <w:r w:rsidRPr="0098378D">
        <w:rPr>
          <w:rFonts w:ascii="Arial" w:hAnsi="Arial" w:cs="Arial"/>
        </w:rPr>
        <w:t>Trusts delivering major surgery should have comprehensive systems for measurement of safety in place,</w:t>
      </w:r>
      <w:r w:rsidRPr="0098378D">
        <w:rPr>
          <w:rFonts w:ascii="Arial" w:hAnsi="Arial" w:cs="Arial"/>
        </w:rPr>
        <w:t> </w:t>
      </w:r>
      <w:r w:rsidRPr="0098378D">
        <w:rPr>
          <w:rFonts w:ascii="Arial" w:hAnsi="Arial" w:cs="Arial"/>
        </w:rPr>
        <w:t>that are consistent with the framework developed by Vincent, Burnett and Carthey (2014).</w:t>
      </w:r>
    </w:p>
    <w:p w14:paraId="43C9D006" w14:textId="77777777" w:rsidR="00337C46" w:rsidRPr="00337C46" w:rsidRDefault="00337C46" w:rsidP="00337C46">
      <w:pPr>
        <w:spacing w:line="360" w:lineRule="auto"/>
        <w:rPr>
          <w:rFonts w:ascii="Arial" w:hAnsi="Arial" w:cs="Arial"/>
        </w:rPr>
      </w:pPr>
      <w:r w:rsidRPr="00337C46">
        <w:rPr>
          <w:rFonts w:ascii="Arial" w:hAnsi="Arial" w:cs="Arial"/>
          <w:b/>
          <w:bCs/>
        </w:rPr>
        <w:t>Key actions:</w:t>
      </w:r>
    </w:p>
    <w:p w14:paraId="303E4F7F" w14:textId="4A6DBC8C" w:rsidR="00337C46" w:rsidRPr="00337C46" w:rsidRDefault="00337C46" w:rsidP="00337C46">
      <w:pPr>
        <w:numPr>
          <w:ilvl w:val="0"/>
          <w:numId w:val="15"/>
        </w:numPr>
        <w:spacing w:line="360" w:lineRule="auto"/>
        <w:rPr>
          <w:rFonts w:ascii="Arial" w:hAnsi="Arial" w:cs="Arial"/>
        </w:rPr>
      </w:pPr>
      <w:r w:rsidRPr="00337C46">
        <w:rPr>
          <w:rFonts w:ascii="Arial" w:hAnsi="Arial" w:cs="Arial"/>
          <w:b/>
          <w:bCs/>
        </w:rPr>
        <w:t>Integrated dashboards:</w:t>
      </w:r>
      <w:r w:rsidRPr="00337C46">
        <w:rPr>
          <w:rFonts w:ascii="Arial" w:hAnsi="Arial" w:cs="Arial"/>
        </w:rPr>
        <w:t xml:space="preserve"> </w:t>
      </w:r>
      <w:r w:rsidR="0098378D" w:rsidRPr="0098378D">
        <w:rPr>
          <w:rFonts w:ascii="Arial" w:hAnsi="Arial" w:cs="Arial"/>
        </w:rPr>
        <w:t>Create clinical dashboards that bring together National Congenital Heart Disease Audit data with local theatre, intensive care and follow-up data, enabling teams and trust boards to view more easily trends and outliers (HQIP / NICOR, 2022; NCHDA, 2022).</w:t>
      </w:r>
    </w:p>
    <w:p w14:paraId="617C8264" w14:textId="74641E90" w:rsidR="00337C46" w:rsidRPr="00337C46" w:rsidRDefault="00337C46" w:rsidP="00337C46">
      <w:pPr>
        <w:numPr>
          <w:ilvl w:val="0"/>
          <w:numId w:val="15"/>
        </w:numPr>
        <w:spacing w:line="360" w:lineRule="auto"/>
        <w:rPr>
          <w:rFonts w:ascii="Arial" w:hAnsi="Arial" w:cs="Arial"/>
        </w:rPr>
      </w:pPr>
      <w:r w:rsidRPr="00337C46">
        <w:rPr>
          <w:rFonts w:ascii="Arial" w:hAnsi="Arial" w:cs="Arial"/>
          <w:b/>
          <w:bCs/>
        </w:rPr>
        <w:t>Structured mortality reviews:</w:t>
      </w:r>
      <w:r w:rsidRPr="00337C46">
        <w:rPr>
          <w:rFonts w:ascii="Arial" w:hAnsi="Arial" w:cs="Arial"/>
        </w:rPr>
        <w:t xml:space="preserve"> </w:t>
      </w:r>
      <w:r w:rsidR="00D7417A" w:rsidRPr="00D7417A">
        <w:rPr>
          <w:rFonts w:ascii="Arial" w:hAnsi="Arial" w:cs="Arial"/>
        </w:rPr>
        <w:t>Establish a system for structured, multidisciplinary review of paediatric cardiac mortalities and morbidities with agreed templates</w:t>
      </w:r>
      <w:r w:rsidR="00D7417A" w:rsidRPr="00D7417A">
        <w:rPr>
          <w:rFonts w:ascii="Arial" w:hAnsi="Arial" w:cs="Arial"/>
        </w:rPr>
        <w:t> </w:t>
      </w:r>
      <w:r w:rsidR="00D7417A" w:rsidRPr="00D7417A">
        <w:rPr>
          <w:rFonts w:ascii="Arial" w:hAnsi="Arial" w:cs="Arial"/>
        </w:rPr>
        <w:t>(such as including learning) and explicit learning from them.</w:t>
      </w:r>
    </w:p>
    <w:p w14:paraId="00A32C92" w14:textId="0EBE1CED" w:rsidR="00337C46" w:rsidRPr="00337C46" w:rsidRDefault="00337C46" w:rsidP="00337C46">
      <w:pPr>
        <w:numPr>
          <w:ilvl w:val="0"/>
          <w:numId w:val="15"/>
        </w:numPr>
        <w:spacing w:line="360" w:lineRule="auto"/>
        <w:rPr>
          <w:rFonts w:ascii="Arial" w:hAnsi="Arial" w:cs="Arial"/>
        </w:rPr>
      </w:pPr>
      <w:r w:rsidRPr="00337C46">
        <w:rPr>
          <w:rFonts w:ascii="Arial" w:hAnsi="Arial" w:cs="Arial"/>
          <w:b/>
          <w:bCs/>
        </w:rPr>
        <w:t>Routine board reporting:</w:t>
      </w:r>
      <w:r w:rsidRPr="00337C46">
        <w:rPr>
          <w:rFonts w:ascii="Arial" w:hAnsi="Arial" w:cs="Arial"/>
        </w:rPr>
        <w:t xml:space="preserve"> </w:t>
      </w:r>
      <w:r w:rsidR="00D7417A" w:rsidRPr="00D7417A">
        <w:rPr>
          <w:rFonts w:ascii="Arial" w:hAnsi="Arial" w:cs="Arial"/>
        </w:rPr>
        <w:t>Include representative safety metrics (e.g. risk-adjusted mortality,</w:t>
      </w:r>
      <w:r w:rsidR="00D7417A" w:rsidRPr="00D7417A">
        <w:rPr>
          <w:rFonts w:ascii="Arial" w:hAnsi="Arial" w:cs="Arial"/>
        </w:rPr>
        <w:t> </w:t>
      </w:r>
      <w:r w:rsidR="00D7417A" w:rsidRPr="00D7417A">
        <w:rPr>
          <w:rFonts w:ascii="Arial" w:hAnsi="Arial" w:cs="Arial"/>
        </w:rPr>
        <w:t>unplanned returns to theatre) as a regular item at quality and board meetings.</w:t>
      </w:r>
    </w:p>
    <w:p w14:paraId="0EF18248" w14:textId="11889355" w:rsidR="00337C46" w:rsidRPr="00337C46" w:rsidRDefault="00D7417A" w:rsidP="00337C46">
      <w:pPr>
        <w:spacing w:line="360" w:lineRule="auto"/>
        <w:rPr>
          <w:rFonts w:ascii="Arial" w:hAnsi="Arial" w:cs="Arial"/>
        </w:rPr>
      </w:pPr>
      <w:r w:rsidRPr="00D7417A">
        <w:rPr>
          <w:rFonts w:ascii="Arial" w:hAnsi="Arial" w:cs="Arial"/>
        </w:rPr>
        <w:lastRenderedPageBreak/>
        <w:t>Such changes should be tested via</w:t>
      </w:r>
      <w:r w:rsidRPr="00D7417A">
        <w:rPr>
          <w:rFonts w:ascii="Arial" w:hAnsi="Arial" w:cs="Arial"/>
        </w:rPr>
        <w:t> </w:t>
      </w:r>
      <w:r w:rsidRPr="00D7417A">
        <w:rPr>
          <w:rFonts w:ascii="Arial" w:hAnsi="Arial" w:cs="Arial"/>
        </w:rPr>
        <w:t>small PDSA cycles, such as piloting a single type of dashboard among a subset of procedures and revising it based on feedback from clinicians (Langley et al., 2009; Taylor et al., 2014).</w:t>
      </w:r>
    </w:p>
    <w:p w14:paraId="621FC232" w14:textId="354376C3" w:rsidR="00337C46" w:rsidRPr="00337C46" w:rsidRDefault="00337C46" w:rsidP="00337C46">
      <w:pPr>
        <w:spacing w:line="360" w:lineRule="auto"/>
        <w:rPr>
          <w:rFonts w:ascii="Arial" w:hAnsi="Arial" w:cs="Arial"/>
          <w:b/>
          <w:bCs/>
        </w:rPr>
      </w:pPr>
      <w:r w:rsidRPr="00337C46">
        <w:rPr>
          <w:rFonts w:ascii="Arial" w:hAnsi="Arial" w:cs="Arial"/>
          <w:b/>
          <w:bCs/>
        </w:rPr>
        <w:t xml:space="preserve">2. Embed clinical governance and board </w:t>
      </w:r>
      <w:r w:rsidR="00D7417A" w:rsidRPr="00D7417A">
        <w:rPr>
          <w:rFonts w:ascii="Arial" w:hAnsi="Arial" w:cs="Arial"/>
          <w:b/>
          <w:bCs/>
        </w:rPr>
        <w:t>responsibility</w:t>
      </w:r>
    </w:p>
    <w:p w14:paraId="7769ECC9" w14:textId="572734BA" w:rsidR="00337C46" w:rsidRPr="00337C46" w:rsidRDefault="00D7417A" w:rsidP="00337C46">
      <w:pPr>
        <w:spacing w:line="360" w:lineRule="auto"/>
        <w:rPr>
          <w:rFonts w:ascii="Arial" w:hAnsi="Arial" w:cs="Arial"/>
        </w:rPr>
      </w:pPr>
      <w:r w:rsidRPr="00D7417A">
        <w:rPr>
          <w:rFonts w:ascii="Arial" w:hAnsi="Arial" w:cs="Arial"/>
        </w:rPr>
        <w:t>To prevent further instances of poor governance, trusts need to be strengthened clinical leadership and clarify accountability.</w:t>
      </w:r>
    </w:p>
    <w:p w14:paraId="35ADE3D7" w14:textId="77777777" w:rsidR="00337C46" w:rsidRPr="00337C46" w:rsidRDefault="00337C46" w:rsidP="00337C46">
      <w:pPr>
        <w:spacing w:line="360" w:lineRule="auto"/>
        <w:rPr>
          <w:rFonts w:ascii="Arial" w:hAnsi="Arial" w:cs="Arial"/>
        </w:rPr>
      </w:pPr>
      <w:r w:rsidRPr="00337C46">
        <w:rPr>
          <w:rFonts w:ascii="Arial" w:hAnsi="Arial" w:cs="Arial"/>
          <w:b/>
          <w:bCs/>
        </w:rPr>
        <w:t>Suggested measures:</w:t>
      </w:r>
    </w:p>
    <w:p w14:paraId="6B0A7CA7" w14:textId="38036204" w:rsidR="00337C46" w:rsidRPr="00337C46" w:rsidRDefault="00337C46" w:rsidP="00337C46">
      <w:pPr>
        <w:numPr>
          <w:ilvl w:val="0"/>
          <w:numId w:val="16"/>
        </w:numPr>
        <w:spacing w:line="360" w:lineRule="auto"/>
        <w:rPr>
          <w:rFonts w:ascii="Arial" w:hAnsi="Arial" w:cs="Arial"/>
        </w:rPr>
      </w:pPr>
      <w:r w:rsidRPr="00337C46">
        <w:rPr>
          <w:rFonts w:ascii="Arial" w:hAnsi="Arial" w:cs="Arial"/>
          <w:b/>
          <w:bCs/>
        </w:rPr>
        <w:t>Board training and engagement:</w:t>
      </w:r>
      <w:r w:rsidRPr="00337C46">
        <w:rPr>
          <w:rFonts w:ascii="Arial" w:hAnsi="Arial" w:cs="Arial"/>
        </w:rPr>
        <w:t xml:space="preserve"> </w:t>
      </w:r>
      <w:r w:rsidR="00D7417A" w:rsidRPr="00D7417A">
        <w:rPr>
          <w:rFonts w:ascii="Arial" w:hAnsi="Arial" w:cs="Arial"/>
        </w:rPr>
        <w:t>Train non-executive directors how to interpret clinical outcome data and ask them</w:t>
      </w:r>
      <w:r w:rsidR="00D7417A" w:rsidRPr="00D7417A">
        <w:rPr>
          <w:rFonts w:ascii="Arial" w:hAnsi="Arial" w:cs="Arial"/>
        </w:rPr>
        <w:t> </w:t>
      </w:r>
      <w:r w:rsidR="00D7417A" w:rsidRPr="00D7417A">
        <w:rPr>
          <w:rFonts w:ascii="Arial" w:hAnsi="Arial" w:cs="Arial"/>
        </w:rPr>
        <w:t>to challenge variation and trends (Scally and Donaldson, 1998).</w:t>
      </w:r>
    </w:p>
    <w:p w14:paraId="0C5D12CD" w14:textId="1C129279" w:rsidR="00337C46" w:rsidRPr="00337C46" w:rsidRDefault="00337C46" w:rsidP="00337C46">
      <w:pPr>
        <w:numPr>
          <w:ilvl w:val="0"/>
          <w:numId w:val="16"/>
        </w:numPr>
        <w:spacing w:line="360" w:lineRule="auto"/>
        <w:rPr>
          <w:rFonts w:ascii="Arial" w:hAnsi="Arial" w:cs="Arial"/>
        </w:rPr>
      </w:pPr>
      <w:r w:rsidRPr="00337C46">
        <w:rPr>
          <w:rFonts w:ascii="Arial" w:hAnsi="Arial" w:cs="Arial"/>
          <w:b/>
          <w:bCs/>
        </w:rPr>
        <w:t>Clear governance structures:</w:t>
      </w:r>
      <w:r w:rsidRPr="00337C46">
        <w:rPr>
          <w:rFonts w:ascii="Arial" w:hAnsi="Arial" w:cs="Arial"/>
        </w:rPr>
        <w:t xml:space="preserve"> </w:t>
      </w:r>
      <w:r w:rsidR="00D7417A" w:rsidRPr="00D7417A">
        <w:rPr>
          <w:rFonts w:ascii="Arial" w:hAnsi="Arial" w:cs="Arial"/>
        </w:rPr>
        <w:t>The clinical directorates, quality committees, and board should</w:t>
      </w:r>
      <w:r w:rsidR="00D7417A" w:rsidRPr="00D7417A">
        <w:rPr>
          <w:rFonts w:ascii="Arial" w:hAnsi="Arial" w:cs="Arial"/>
        </w:rPr>
        <w:t> </w:t>
      </w:r>
      <w:r w:rsidR="00D7417A" w:rsidRPr="00D7417A">
        <w:rPr>
          <w:rFonts w:ascii="Arial" w:hAnsi="Arial" w:cs="Arial"/>
        </w:rPr>
        <w:t>be linked by unambiguous reporting and escalation mechanisms, with individuals named as leads for paediatric cardiac quality.</w:t>
      </w:r>
    </w:p>
    <w:p w14:paraId="69A6E6F6" w14:textId="4A357A19" w:rsidR="00337C46" w:rsidRPr="00337C46" w:rsidRDefault="00337C46" w:rsidP="00337C46">
      <w:pPr>
        <w:numPr>
          <w:ilvl w:val="0"/>
          <w:numId w:val="16"/>
        </w:numPr>
        <w:spacing w:line="360" w:lineRule="auto"/>
        <w:rPr>
          <w:rFonts w:ascii="Arial" w:hAnsi="Arial" w:cs="Arial"/>
        </w:rPr>
      </w:pPr>
      <w:r w:rsidRPr="00337C46">
        <w:rPr>
          <w:rFonts w:ascii="Arial" w:hAnsi="Arial" w:cs="Arial"/>
          <w:b/>
          <w:bCs/>
        </w:rPr>
        <w:t>Appraisal and revalidation:</w:t>
      </w:r>
      <w:r w:rsidRPr="00337C46">
        <w:rPr>
          <w:rFonts w:ascii="Arial" w:hAnsi="Arial" w:cs="Arial"/>
        </w:rPr>
        <w:t xml:space="preserve"> </w:t>
      </w:r>
      <w:r w:rsidR="00D7417A" w:rsidRPr="00D7417A">
        <w:rPr>
          <w:rFonts w:ascii="Arial" w:hAnsi="Arial" w:cs="Arial"/>
        </w:rPr>
        <w:t>Use evidence of audit participation, incident review</w:t>
      </w:r>
      <w:r w:rsidR="00D7417A" w:rsidRPr="00D7417A">
        <w:rPr>
          <w:rFonts w:ascii="Arial" w:hAnsi="Arial" w:cs="Arial"/>
        </w:rPr>
        <w:t> </w:t>
      </w:r>
      <w:r w:rsidR="00D7417A" w:rsidRPr="00D7417A">
        <w:rPr>
          <w:rFonts w:ascii="Arial" w:hAnsi="Arial" w:cs="Arial"/>
        </w:rPr>
        <w:t>and improvement work in consultant appraisal to national guidance for professional standards (Kohn, Corrigan and Donaldson, 2000; Royal Wolverhampton NHS Trust, 2020).</w:t>
      </w:r>
    </w:p>
    <w:p w14:paraId="42F756D1" w14:textId="2985FECA" w:rsidR="00337C46" w:rsidRPr="00337C46" w:rsidRDefault="00D7417A" w:rsidP="00337C46">
      <w:pPr>
        <w:spacing w:line="360" w:lineRule="auto"/>
        <w:rPr>
          <w:rFonts w:ascii="Arial" w:hAnsi="Arial" w:cs="Arial"/>
        </w:rPr>
      </w:pPr>
      <w:r w:rsidRPr="00D7417A">
        <w:rPr>
          <w:rFonts w:ascii="Arial" w:hAnsi="Arial" w:cs="Arial"/>
        </w:rPr>
        <w:t>PDSA cycles can also be applied here, such as trialling shorter, sharper board</w:t>
      </w:r>
      <w:r w:rsidRPr="00D7417A">
        <w:rPr>
          <w:rFonts w:ascii="Arial" w:hAnsi="Arial" w:cs="Arial"/>
        </w:rPr>
        <w:t> </w:t>
      </w:r>
      <w:r w:rsidRPr="00D7417A">
        <w:rPr>
          <w:rFonts w:ascii="Arial" w:hAnsi="Arial" w:cs="Arial"/>
        </w:rPr>
        <w:t xml:space="preserve">reports which </w:t>
      </w:r>
      <w:r w:rsidR="006C7091" w:rsidRPr="00D7417A">
        <w:rPr>
          <w:rFonts w:ascii="Arial" w:hAnsi="Arial" w:cs="Arial"/>
        </w:rPr>
        <w:t>help</w:t>
      </w:r>
      <w:r w:rsidRPr="00D7417A">
        <w:rPr>
          <w:rFonts w:ascii="Arial" w:hAnsi="Arial" w:cs="Arial"/>
        </w:rPr>
        <w:t xml:space="preserve"> promote conversation instead of drowning members in data.</w:t>
      </w:r>
    </w:p>
    <w:p w14:paraId="25CA5589" w14:textId="0A9A00EB" w:rsidR="00337C46" w:rsidRPr="00337C46" w:rsidRDefault="00337C46" w:rsidP="00337C46">
      <w:pPr>
        <w:spacing w:line="360" w:lineRule="auto"/>
        <w:rPr>
          <w:rFonts w:ascii="Arial" w:hAnsi="Arial" w:cs="Arial"/>
          <w:b/>
          <w:bCs/>
        </w:rPr>
      </w:pPr>
      <w:r w:rsidRPr="00337C46">
        <w:rPr>
          <w:rFonts w:ascii="Arial" w:hAnsi="Arial" w:cs="Arial"/>
          <w:b/>
          <w:bCs/>
        </w:rPr>
        <w:t xml:space="preserve">3. </w:t>
      </w:r>
      <w:r w:rsidR="006C7091" w:rsidRPr="006C7091">
        <w:rPr>
          <w:rFonts w:ascii="Arial" w:hAnsi="Arial" w:cs="Arial"/>
          <w:b/>
          <w:bCs/>
        </w:rPr>
        <w:t>Create an open, fair, and</w:t>
      </w:r>
      <w:r w:rsidR="006C7091" w:rsidRPr="006C7091">
        <w:rPr>
          <w:rFonts w:ascii="Arial" w:hAnsi="Arial" w:cs="Arial"/>
          <w:b/>
          <w:bCs/>
        </w:rPr>
        <w:t> </w:t>
      </w:r>
      <w:r w:rsidR="006C7091" w:rsidRPr="006C7091">
        <w:rPr>
          <w:rFonts w:ascii="Arial" w:hAnsi="Arial" w:cs="Arial"/>
          <w:b/>
          <w:bCs/>
        </w:rPr>
        <w:t>learning culture</w:t>
      </w:r>
    </w:p>
    <w:p w14:paraId="5E4038CB" w14:textId="694DBE9D" w:rsidR="00337C46" w:rsidRPr="00337C46" w:rsidRDefault="006C7091" w:rsidP="00337C46">
      <w:pPr>
        <w:spacing w:line="360" w:lineRule="auto"/>
        <w:rPr>
          <w:rFonts w:ascii="Arial" w:hAnsi="Arial" w:cs="Arial"/>
        </w:rPr>
      </w:pPr>
      <w:r w:rsidRPr="006C7091">
        <w:rPr>
          <w:rFonts w:ascii="Arial" w:hAnsi="Arial" w:cs="Arial"/>
        </w:rPr>
        <w:t>Cultural failures were central to the failure in Bristol, and any improvement must target the need to promote a</w:t>
      </w:r>
      <w:r w:rsidRPr="006C7091">
        <w:rPr>
          <w:rFonts w:ascii="Arial" w:hAnsi="Arial" w:cs="Arial"/>
        </w:rPr>
        <w:t> </w:t>
      </w:r>
      <w:r w:rsidRPr="006C7091">
        <w:rPr>
          <w:rFonts w:ascii="Arial" w:hAnsi="Arial" w:cs="Arial"/>
        </w:rPr>
        <w:t>just and learning culture.</w:t>
      </w:r>
    </w:p>
    <w:p w14:paraId="60CF9D49" w14:textId="77777777" w:rsidR="00337C46" w:rsidRPr="00337C46" w:rsidRDefault="00337C46" w:rsidP="00337C46">
      <w:pPr>
        <w:spacing w:line="360" w:lineRule="auto"/>
        <w:rPr>
          <w:rFonts w:ascii="Arial" w:hAnsi="Arial" w:cs="Arial"/>
        </w:rPr>
      </w:pPr>
      <w:r w:rsidRPr="00337C46">
        <w:rPr>
          <w:rFonts w:ascii="Arial" w:hAnsi="Arial" w:cs="Arial"/>
          <w:b/>
          <w:bCs/>
        </w:rPr>
        <w:t>Recommended actions:</w:t>
      </w:r>
    </w:p>
    <w:p w14:paraId="17D1D5AF" w14:textId="6AF9D0EB" w:rsidR="00337C46" w:rsidRPr="00337C46" w:rsidRDefault="00337C46" w:rsidP="00337C46">
      <w:pPr>
        <w:numPr>
          <w:ilvl w:val="0"/>
          <w:numId w:val="17"/>
        </w:numPr>
        <w:spacing w:line="360" w:lineRule="auto"/>
        <w:rPr>
          <w:rFonts w:ascii="Arial" w:hAnsi="Arial" w:cs="Arial"/>
        </w:rPr>
      </w:pPr>
      <w:r w:rsidRPr="00337C46">
        <w:rPr>
          <w:rFonts w:ascii="Arial" w:hAnsi="Arial" w:cs="Arial"/>
          <w:b/>
          <w:bCs/>
        </w:rPr>
        <w:t>Support speaking up:</w:t>
      </w:r>
      <w:r w:rsidRPr="00337C46">
        <w:rPr>
          <w:rFonts w:ascii="Arial" w:hAnsi="Arial" w:cs="Arial"/>
        </w:rPr>
        <w:t xml:space="preserve"> </w:t>
      </w:r>
      <w:r w:rsidR="006C7091" w:rsidRPr="006C7091">
        <w:rPr>
          <w:rFonts w:ascii="Arial" w:hAnsi="Arial" w:cs="Arial"/>
        </w:rPr>
        <w:t>Using a local survey and qualitative feedback, regularly track the experiences of staff from high-risk services in an organisation</w:t>
      </w:r>
      <w:r w:rsidR="006C7091" w:rsidRPr="006C7091">
        <w:rPr>
          <w:rFonts w:ascii="Arial" w:hAnsi="Arial" w:cs="Arial"/>
        </w:rPr>
        <w:t> </w:t>
      </w:r>
      <w:r w:rsidR="006C7091" w:rsidRPr="006C7091">
        <w:rPr>
          <w:rFonts w:ascii="Arial" w:hAnsi="Arial" w:cs="Arial"/>
        </w:rPr>
        <w:t xml:space="preserve">where Freedom to Speak Up guardians’ employees and their voices are both visible </w:t>
      </w:r>
      <w:r w:rsidRPr="00337C46">
        <w:rPr>
          <w:rFonts w:ascii="Arial" w:hAnsi="Arial" w:cs="Arial"/>
        </w:rPr>
        <w:t>(Francis, 2015; NHS Staff Survey, 2024).</w:t>
      </w:r>
    </w:p>
    <w:p w14:paraId="67FF5E15" w14:textId="7EAAF78B" w:rsidR="00337C46" w:rsidRPr="00337C46" w:rsidRDefault="00337C46" w:rsidP="00337C46">
      <w:pPr>
        <w:numPr>
          <w:ilvl w:val="0"/>
          <w:numId w:val="17"/>
        </w:numPr>
        <w:spacing w:line="360" w:lineRule="auto"/>
        <w:rPr>
          <w:rFonts w:ascii="Arial" w:hAnsi="Arial" w:cs="Arial"/>
        </w:rPr>
      </w:pPr>
      <w:r w:rsidRPr="00337C46">
        <w:rPr>
          <w:rFonts w:ascii="Arial" w:hAnsi="Arial" w:cs="Arial"/>
          <w:b/>
          <w:bCs/>
        </w:rPr>
        <w:t>Team-based safety practices:</w:t>
      </w:r>
      <w:r w:rsidRPr="00337C46">
        <w:rPr>
          <w:rFonts w:ascii="Arial" w:hAnsi="Arial" w:cs="Arial"/>
        </w:rPr>
        <w:t xml:space="preserve"> </w:t>
      </w:r>
      <w:r w:rsidR="006C7091" w:rsidRPr="006C7091">
        <w:rPr>
          <w:rFonts w:ascii="Arial" w:hAnsi="Arial" w:cs="Arial"/>
        </w:rPr>
        <w:t>introduce the regular use of safety huddles, checklists</w:t>
      </w:r>
      <w:r w:rsidR="006C7091" w:rsidRPr="006C7091">
        <w:rPr>
          <w:rFonts w:ascii="Arial" w:hAnsi="Arial" w:cs="Arial"/>
        </w:rPr>
        <w:t> </w:t>
      </w:r>
      <w:r w:rsidR="006C7091" w:rsidRPr="006C7091">
        <w:rPr>
          <w:rFonts w:ascii="Arial" w:hAnsi="Arial" w:cs="Arial"/>
        </w:rPr>
        <w:t xml:space="preserve">and debriefs in theatres and intensive care by using structured tools such as SBAR and WHO surgical safety checklists </w:t>
      </w:r>
      <w:r w:rsidRPr="00337C46">
        <w:rPr>
          <w:rFonts w:ascii="Arial" w:hAnsi="Arial" w:cs="Arial"/>
        </w:rPr>
        <w:t>(Weaver et al., 2013; O’Daniel and Rosenstein, 2008).</w:t>
      </w:r>
    </w:p>
    <w:p w14:paraId="4AC93EB8" w14:textId="4B7FA461" w:rsidR="00337C46" w:rsidRPr="00337C46" w:rsidRDefault="00337C46" w:rsidP="00337C46">
      <w:pPr>
        <w:numPr>
          <w:ilvl w:val="0"/>
          <w:numId w:val="17"/>
        </w:numPr>
        <w:spacing w:line="360" w:lineRule="auto"/>
        <w:rPr>
          <w:rFonts w:ascii="Arial" w:hAnsi="Arial" w:cs="Arial"/>
        </w:rPr>
      </w:pPr>
      <w:r w:rsidRPr="00337C46">
        <w:rPr>
          <w:rFonts w:ascii="Arial" w:hAnsi="Arial" w:cs="Arial"/>
          <w:b/>
          <w:bCs/>
        </w:rPr>
        <w:lastRenderedPageBreak/>
        <w:t>Fair incident responses:</w:t>
      </w:r>
      <w:r w:rsidRPr="00337C46">
        <w:rPr>
          <w:rFonts w:ascii="Arial" w:hAnsi="Arial" w:cs="Arial"/>
        </w:rPr>
        <w:t xml:space="preserve"> </w:t>
      </w:r>
      <w:r w:rsidR="006C7091" w:rsidRPr="006C7091">
        <w:rPr>
          <w:rFonts w:ascii="Arial" w:hAnsi="Arial" w:cs="Arial"/>
        </w:rPr>
        <w:t>Adopt PSIRF and Being Fair approaches to assist investigations and response to incidents, keeping the focus on learning and system</w:t>
      </w:r>
      <w:r w:rsidR="006C7091" w:rsidRPr="006C7091">
        <w:rPr>
          <w:rFonts w:ascii="Arial" w:hAnsi="Arial" w:cs="Arial"/>
        </w:rPr>
        <w:t> </w:t>
      </w:r>
      <w:r w:rsidR="006C7091" w:rsidRPr="006C7091">
        <w:rPr>
          <w:rFonts w:ascii="Arial" w:hAnsi="Arial" w:cs="Arial"/>
        </w:rPr>
        <w:t xml:space="preserve">improvement rather than a blaming default </w:t>
      </w:r>
      <w:r w:rsidRPr="00337C46">
        <w:rPr>
          <w:rFonts w:ascii="Arial" w:hAnsi="Arial" w:cs="Arial"/>
        </w:rPr>
        <w:t>(NHS England, 2021</w:t>
      </w:r>
      <w:r w:rsidR="00203A7C">
        <w:rPr>
          <w:rFonts w:ascii="Arial" w:hAnsi="Arial" w:cs="Arial"/>
        </w:rPr>
        <w:t>b</w:t>
      </w:r>
      <w:r w:rsidRPr="00337C46">
        <w:rPr>
          <w:rFonts w:ascii="Arial" w:hAnsi="Arial" w:cs="Arial"/>
        </w:rPr>
        <w:t>; NHS England, n.d.; North Bristol NHS Trust, 2023).</w:t>
      </w:r>
    </w:p>
    <w:p w14:paraId="2577F2AF" w14:textId="3A0BBC72" w:rsidR="00337C46" w:rsidRPr="00337C46" w:rsidRDefault="006C7091" w:rsidP="00337C46">
      <w:pPr>
        <w:spacing w:line="360" w:lineRule="auto"/>
        <w:rPr>
          <w:rFonts w:ascii="Arial" w:hAnsi="Arial" w:cs="Arial"/>
        </w:rPr>
      </w:pPr>
      <w:r w:rsidRPr="006C7091">
        <w:rPr>
          <w:rFonts w:ascii="Arial" w:hAnsi="Arial" w:cs="Arial"/>
        </w:rPr>
        <w:t>These activities are then supported by “lean thinking” where staff are encouraged to identify ‘waste’ and defects in pathways, and contribute ideas for improvement, which can enhance engagement and psychological</w:t>
      </w:r>
      <w:r w:rsidRPr="006C7091">
        <w:rPr>
          <w:rFonts w:ascii="Arial" w:hAnsi="Arial" w:cs="Arial"/>
        </w:rPr>
        <w:t> </w:t>
      </w:r>
      <w:r w:rsidRPr="006C7091">
        <w:rPr>
          <w:rFonts w:ascii="Arial" w:hAnsi="Arial" w:cs="Arial"/>
        </w:rPr>
        <w:t>safety</w:t>
      </w:r>
      <w:r w:rsidR="00337C46" w:rsidRPr="00337C46">
        <w:rPr>
          <w:rFonts w:ascii="Arial" w:hAnsi="Arial" w:cs="Arial"/>
        </w:rPr>
        <w:t xml:space="preserve"> (Graban, 2016; Al-Balushi et al., 2014).</w:t>
      </w:r>
    </w:p>
    <w:p w14:paraId="05A5F540" w14:textId="3AE23BDD" w:rsidR="00337C46" w:rsidRPr="00337C46" w:rsidRDefault="00337C46" w:rsidP="00337C46">
      <w:pPr>
        <w:spacing w:line="360" w:lineRule="auto"/>
        <w:rPr>
          <w:rFonts w:ascii="Arial" w:hAnsi="Arial" w:cs="Arial"/>
          <w:b/>
          <w:bCs/>
        </w:rPr>
      </w:pPr>
      <w:r w:rsidRPr="00337C46">
        <w:rPr>
          <w:rFonts w:ascii="Arial" w:hAnsi="Arial" w:cs="Arial"/>
          <w:b/>
          <w:bCs/>
        </w:rPr>
        <w:t xml:space="preserve">4. </w:t>
      </w:r>
      <w:r w:rsidR="006C7091" w:rsidRPr="006C7091">
        <w:rPr>
          <w:rFonts w:ascii="Arial" w:hAnsi="Arial" w:cs="Arial"/>
          <w:b/>
          <w:bCs/>
        </w:rPr>
        <w:t>Enhance</w:t>
      </w:r>
      <w:r w:rsidR="006C7091">
        <w:rPr>
          <w:rFonts w:ascii="Arial" w:hAnsi="Arial" w:cs="Arial"/>
          <w:b/>
          <w:bCs/>
        </w:rPr>
        <w:t xml:space="preserve"> </w:t>
      </w:r>
      <w:r w:rsidR="006C7091" w:rsidRPr="006C7091">
        <w:rPr>
          <w:rFonts w:ascii="Arial" w:hAnsi="Arial" w:cs="Arial"/>
          <w:b/>
          <w:bCs/>
        </w:rPr>
        <w:t>staff competence and safe case choice</w:t>
      </w:r>
    </w:p>
    <w:p w14:paraId="129915C0" w14:textId="1A2771B0" w:rsidR="006C7091" w:rsidRPr="00337C46" w:rsidRDefault="006C7091" w:rsidP="00337C46">
      <w:pPr>
        <w:spacing w:line="360" w:lineRule="auto"/>
        <w:rPr>
          <w:rFonts w:ascii="Arial" w:hAnsi="Arial" w:cs="Arial"/>
        </w:rPr>
      </w:pPr>
      <w:r w:rsidRPr="006C7091">
        <w:rPr>
          <w:rFonts w:ascii="Arial" w:hAnsi="Arial" w:cs="Arial"/>
        </w:rPr>
        <w:t>To avoid clinicians working outside their own</w:t>
      </w:r>
      <w:r>
        <w:rPr>
          <w:rFonts w:ascii="Arial" w:hAnsi="Arial" w:cs="Arial"/>
        </w:rPr>
        <w:t xml:space="preserve"> </w:t>
      </w:r>
      <w:r w:rsidRPr="006C7091">
        <w:rPr>
          <w:rFonts w:ascii="Arial" w:hAnsi="Arial" w:cs="Arial"/>
        </w:rPr>
        <w:t>competence and patients receiving care within the best suited centres:</w:t>
      </w:r>
    </w:p>
    <w:p w14:paraId="015AB106" w14:textId="72EC340D" w:rsidR="00337C46" w:rsidRPr="00337C46" w:rsidRDefault="00337C46" w:rsidP="00337C46">
      <w:pPr>
        <w:numPr>
          <w:ilvl w:val="0"/>
          <w:numId w:val="18"/>
        </w:numPr>
        <w:spacing w:line="360" w:lineRule="auto"/>
        <w:rPr>
          <w:rFonts w:ascii="Arial" w:hAnsi="Arial" w:cs="Arial"/>
        </w:rPr>
      </w:pPr>
      <w:r w:rsidRPr="00337C46">
        <w:rPr>
          <w:rFonts w:ascii="Arial" w:hAnsi="Arial" w:cs="Arial"/>
          <w:b/>
          <w:bCs/>
        </w:rPr>
        <w:t>Define competence and volume thresholds:</w:t>
      </w:r>
      <w:r w:rsidRPr="00337C46">
        <w:rPr>
          <w:rFonts w:ascii="Arial" w:hAnsi="Arial" w:cs="Arial"/>
        </w:rPr>
        <w:t xml:space="preserve"> </w:t>
      </w:r>
      <w:r w:rsidR="006C7091" w:rsidRPr="006C7091">
        <w:rPr>
          <w:rFonts w:ascii="Arial" w:hAnsi="Arial" w:cs="Arial"/>
        </w:rPr>
        <w:t>Establish specific threshold requirements for teams and surgeons to undertake the most complex procedures based upon national</w:t>
      </w:r>
      <w:r w:rsidR="006C7091">
        <w:rPr>
          <w:rFonts w:ascii="Arial" w:hAnsi="Arial" w:cs="Arial"/>
        </w:rPr>
        <w:t xml:space="preserve"> and </w:t>
      </w:r>
      <w:r w:rsidR="006C7091" w:rsidRPr="006C7091">
        <w:rPr>
          <w:rFonts w:ascii="Arial" w:hAnsi="Arial" w:cs="Arial"/>
        </w:rPr>
        <w:t xml:space="preserve">international data </w:t>
      </w:r>
      <w:r w:rsidR="006C7091" w:rsidRPr="00337C46">
        <w:rPr>
          <w:rFonts w:ascii="Arial" w:hAnsi="Arial" w:cs="Arial"/>
        </w:rPr>
        <w:t>(HQIP / NICOR, 2022; NCHDA, 2022).</w:t>
      </w:r>
    </w:p>
    <w:p w14:paraId="0F45D892" w14:textId="17313224" w:rsidR="00337C46" w:rsidRPr="00337C46" w:rsidRDefault="00337C46" w:rsidP="00337C46">
      <w:pPr>
        <w:numPr>
          <w:ilvl w:val="0"/>
          <w:numId w:val="18"/>
        </w:numPr>
        <w:spacing w:line="360" w:lineRule="auto"/>
        <w:rPr>
          <w:rFonts w:ascii="Arial" w:hAnsi="Arial" w:cs="Arial"/>
        </w:rPr>
      </w:pPr>
      <w:r w:rsidRPr="00337C46">
        <w:rPr>
          <w:rFonts w:ascii="Arial" w:hAnsi="Arial" w:cs="Arial"/>
          <w:b/>
          <w:bCs/>
        </w:rPr>
        <w:t>Use networks and referrals:</w:t>
      </w:r>
      <w:r w:rsidRPr="00337C46">
        <w:rPr>
          <w:rFonts w:ascii="Arial" w:hAnsi="Arial" w:cs="Arial"/>
        </w:rPr>
        <w:t xml:space="preserve"> </w:t>
      </w:r>
      <w:r w:rsidR="006C7091" w:rsidRPr="006C7091">
        <w:rPr>
          <w:rFonts w:ascii="Arial" w:hAnsi="Arial" w:cs="Arial"/>
        </w:rPr>
        <w:t xml:space="preserve">Develop optimal formal networks, such that very complex </w:t>
      </w:r>
      <w:r w:rsidR="006C7091">
        <w:rPr>
          <w:rFonts w:ascii="Arial" w:hAnsi="Arial" w:cs="Arial"/>
        </w:rPr>
        <w:t>or</w:t>
      </w:r>
      <w:r w:rsidR="006C7091" w:rsidRPr="006C7091">
        <w:rPr>
          <w:rFonts w:ascii="Arial" w:hAnsi="Arial" w:cs="Arial"/>
        </w:rPr>
        <w:t xml:space="preserve"> rare cases are referred to high volume supra-regional centres, minimising the risk of low volumes.</w:t>
      </w:r>
    </w:p>
    <w:p w14:paraId="05922505" w14:textId="51C1C647" w:rsidR="00337C46" w:rsidRPr="00337C46" w:rsidRDefault="00337C46" w:rsidP="00337C46">
      <w:pPr>
        <w:numPr>
          <w:ilvl w:val="0"/>
          <w:numId w:val="18"/>
        </w:numPr>
        <w:spacing w:line="360" w:lineRule="auto"/>
        <w:rPr>
          <w:rFonts w:ascii="Arial" w:hAnsi="Arial" w:cs="Arial"/>
        </w:rPr>
      </w:pPr>
      <w:r w:rsidRPr="00337C46">
        <w:rPr>
          <w:rFonts w:ascii="Arial" w:hAnsi="Arial" w:cs="Arial"/>
          <w:b/>
          <w:bCs/>
        </w:rPr>
        <w:t>Continuous development:</w:t>
      </w:r>
      <w:r w:rsidRPr="00337C46">
        <w:rPr>
          <w:rFonts w:ascii="Arial" w:hAnsi="Arial" w:cs="Arial"/>
        </w:rPr>
        <w:t xml:space="preserve"> </w:t>
      </w:r>
      <w:r w:rsidR="006C7091" w:rsidRPr="006C7091">
        <w:rPr>
          <w:rFonts w:ascii="Arial" w:hAnsi="Arial" w:cs="Arial"/>
        </w:rPr>
        <w:t>Implement simulation-based training</w:t>
      </w:r>
      <w:r w:rsidR="006C7091" w:rsidRPr="006C7091">
        <w:rPr>
          <w:rFonts w:ascii="Arial" w:hAnsi="Arial" w:cs="Arial"/>
        </w:rPr>
        <w:t> </w:t>
      </w:r>
      <w:r w:rsidR="006C7091" w:rsidRPr="006C7091">
        <w:rPr>
          <w:rFonts w:ascii="Arial" w:hAnsi="Arial" w:cs="Arial"/>
        </w:rPr>
        <w:t>and peer observation programmes to encourage progress of technical and non-technical skills, such as communication, leadership and crisis responses.</w:t>
      </w:r>
    </w:p>
    <w:p w14:paraId="6C53F794" w14:textId="22FE6395" w:rsidR="006C7091" w:rsidRPr="00337C46" w:rsidRDefault="006C7091" w:rsidP="00337C46">
      <w:pPr>
        <w:spacing w:line="360" w:lineRule="auto"/>
        <w:rPr>
          <w:rFonts w:ascii="Arial" w:hAnsi="Arial" w:cs="Arial"/>
        </w:rPr>
      </w:pPr>
      <w:r w:rsidRPr="006C7091">
        <w:rPr>
          <w:rFonts w:ascii="Arial" w:hAnsi="Arial" w:cs="Arial"/>
        </w:rPr>
        <w:t>Using its tools like process mapping and analysis of variation, Six Sigma practitioners can identify where performance is drifting</w:t>
      </w:r>
      <w:r w:rsidRPr="006C7091">
        <w:rPr>
          <w:rFonts w:ascii="Arial" w:hAnsi="Arial" w:cs="Arial"/>
        </w:rPr>
        <w:t> </w:t>
      </w:r>
      <w:r w:rsidRPr="006C7091">
        <w:rPr>
          <w:rFonts w:ascii="Arial" w:hAnsi="Arial" w:cs="Arial"/>
        </w:rPr>
        <w:t xml:space="preserve">away from expectation and target the interventions accordingly </w:t>
      </w:r>
      <w:r w:rsidRPr="00337C46">
        <w:rPr>
          <w:rFonts w:ascii="Arial" w:hAnsi="Arial" w:cs="Arial"/>
        </w:rPr>
        <w:t xml:space="preserve">(Taner, Sezen and Antony, 2007; Antony and Kumar, 2012). </w:t>
      </w:r>
      <w:r w:rsidRPr="006C7091">
        <w:rPr>
          <w:rFonts w:ascii="Arial" w:hAnsi="Arial" w:cs="Arial"/>
        </w:rPr>
        <w:t>Once more, PDSA cycles offer</w:t>
      </w:r>
      <w:r w:rsidRPr="006C7091">
        <w:rPr>
          <w:rFonts w:ascii="Arial" w:hAnsi="Arial" w:cs="Arial"/>
        </w:rPr>
        <w:t> </w:t>
      </w:r>
      <w:r w:rsidRPr="006C7091">
        <w:rPr>
          <w:rFonts w:ascii="Arial" w:hAnsi="Arial" w:cs="Arial"/>
        </w:rPr>
        <w:t>a practical means of trialling new case selection policies or referral triggers in a non-disruptive manner.</w:t>
      </w:r>
    </w:p>
    <w:p w14:paraId="50E452E9" w14:textId="77777777" w:rsidR="00337C46" w:rsidRPr="00337C46" w:rsidRDefault="00337C46" w:rsidP="00337C46">
      <w:pPr>
        <w:spacing w:line="360" w:lineRule="auto"/>
        <w:rPr>
          <w:rFonts w:ascii="Arial" w:hAnsi="Arial" w:cs="Arial"/>
          <w:b/>
          <w:bCs/>
        </w:rPr>
      </w:pPr>
      <w:r w:rsidRPr="00337C46">
        <w:rPr>
          <w:rFonts w:ascii="Arial" w:hAnsi="Arial" w:cs="Arial"/>
          <w:b/>
          <w:bCs/>
        </w:rPr>
        <w:t>5. Use Lean and PDSA to redesign critical processes</w:t>
      </w:r>
    </w:p>
    <w:p w14:paraId="793D0D47" w14:textId="0C1CD755" w:rsidR="006C7091" w:rsidRPr="00337C46" w:rsidRDefault="006C7091" w:rsidP="00337C46">
      <w:pPr>
        <w:spacing w:line="360" w:lineRule="auto"/>
        <w:rPr>
          <w:rFonts w:ascii="Arial" w:hAnsi="Arial" w:cs="Arial"/>
        </w:rPr>
      </w:pPr>
      <w:r w:rsidRPr="006C7091">
        <w:rPr>
          <w:rFonts w:ascii="Arial" w:hAnsi="Arial" w:cs="Arial"/>
        </w:rPr>
        <w:t xml:space="preserve">Lastly, </w:t>
      </w:r>
      <w:r w:rsidRPr="00337C46">
        <w:rPr>
          <w:rFonts w:ascii="Arial" w:hAnsi="Arial" w:cs="Arial"/>
        </w:rPr>
        <w:t xml:space="preserve">key </w:t>
      </w:r>
      <w:r w:rsidRPr="006C7091">
        <w:rPr>
          <w:rFonts w:ascii="Arial" w:hAnsi="Arial" w:cs="Arial"/>
        </w:rPr>
        <w:t>processes that didn’t work in Bristol</w:t>
      </w:r>
      <w:r w:rsidRPr="006C7091">
        <w:rPr>
          <w:rFonts w:ascii="Arial" w:hAnsi="Arial" w:cs="Arial"/>
        </w:rPr>
        <w:t> </w:t>
      </w:r>
      <w:r w:rsidRPr="006C7091">
        <w:rPr>
          <w:rFonts w:ascii="Arial" w:hAnsi="Arial" w:cs="Arial"/>
        </w:rPr>
        <w:t>– escalation of concerns and making the judgment around complex cases – need to be redesigned with Lean and PDSA in mind.</w:t>
      </w:r>
    </w:p>
    <w:p w14:paraId="53CD6350" w14:textId="77777777" w:rsidR="00337C46" w:rsidRPr="00337C46" w:rsidRDefault="00337C46" w:rsidP="00337C46">
      <w:pPr>
        <w:spacing w:line="360" w:lineRule="auto"/>
        <w:rPr>
          <w:rFonts w:ascii="Arial" w:hAnsi="Arial" w:cs="Arial"/>
        </w:rPr>
      </w:pPr>
      <w:r w:rsidRPr="00337C46">
        <w:rPr>
          <w:rFonts w:ascii="Arial" w:hAnsi="Arial" w:cs="Arial"/>
        </w:rPr>
        <w:t>Examples include:</w:t>
      </w:r>
    </w:p>
    <w:p w14:paraId="0967DFD0" w14:textId="35971805" w:rsidR="00337C46" w:rsidRPr="00337C46" w:rsidRDefault="00337C46" w:rsidP="00337C46">
      <w:pPr>
        <w:numPr>
          <w:ilvl w:val="0"/>
          <w:numId w:val="19"/>
        </w:numPr>
        <w:spacing w:line="360" w:lineRule="auto"/>
        <w:rPr>
          <w:rFonts w:ascii="Arial" w:hAnsi="Arial" w:cs="Arial"/>
        </w:rPr>
      </w:pPr>
      <w:r w:rsidRPr="00337C46">
        <w:rPr>
          <w:rFonts w:ascii="Arial" w:hAnsi="Arial" w:cs="Arial"/>
          <w:b/>
          <w:bCs/>
        </w:rPr>
        <w:t>Escalation pathways:</w:t>
      </w:r>
      <w:r w:rsidRPr="00337C46">
        <w:rPr>
          <w:rFonts w:ascii="Arial" w:hAnsi="Arial" w:cs="Arial"/>
        </w:rPr>
        <w:t xml:space="preserve"> </w:t>
      </w:r>
      <w:r w:rsidR="00723BF7" w:rsidRPr="00723BF7">
        <w:rPr>
          <w:rFonts w:ascii="Arial" w:hAnsi="Arial" w:cs="Arial"/>
        </w:rPr>
        <w:t>Document existing escalation</w:t>
      </w:r>
      <w:r w:rsidR="00723BF7" w:rsidRPr="00723BF7">
        <w:rPr>
          <w:rFonts w:ascii="Arial" w:hAnsi="Arial" w:cs="Arial"/>
        </w:rPr>
        <w:t> </w:t>
      </w:r>
      <w:r w:rsidR="00723BF7" w:rsidRPr="00723BF7">
        <w:rPr>
          <w:rFonts w:ascii="Arial" w:hAnsi="Arial" w:cs="Arial"/>
        </w:rPr>
        <w:t>paths from ward and theatre to clinical leadership and the board, noting delays, duplication and capturing common themes before the delivery of a simplified pathway co-designed with front-line staff. Test changes</w:t>
      </w:r>
      <w:r w:rsidR="00723BF7">
        <w:rPr>
          <w:rFonts w:ascii="Arial" w:hAnsi="Arial" w:cs="Arial"/>
        </w:rPr>
        <w:t xml:space="preserve"> </w:t>
      </w:r>
      <w:r w:rsidR="00723BF7" w:rsidRPr="00723BF7">
        <w:rPr>
          <w:rFonts w:ascii="Arial" w:hAnsi="Arial" w:cs="Arial"/>
        </w:rPr>
        <w:t>to one unit before scaling it up.</w:t>
      </w:r>
    </w:p>
    <w:p w14:paraId="7101E9AE" w14:textId="6CA241E0" w:rsidR="00337C46" w:rsidRPr="00337C46" w:rsidRDefault="00337C46" w:rsidP="00337C46">
      <w:pPr>
        <w:numPr>
          <w:ilvl w:val="0"/>
          <w:numId w:val="19"/>
        </w:numPr>
        <w:spacing w:line="360" w:lineRule="auto"/>
        <w:rPr>
          <w:rFonts w:ascii="Arial" w:hAnsi="Arial" w:cs="Arial"/>
        </w:rPr>
      </w:pPr>
      <w:r w:rsidRPr="00337C46">
        <w:rPr>
          <w:rFonts w:ascii="Arial" w:hAnsi="Arial" w:cs="Arial"/>
          <w:b/>
          <w:bCs/>
        </w:rPr>
        <w:lastRenderedPageBreak/>
        <w:t>Referral decision-making:</w:t>
      </w:r>
      <w:r w:rsidRPr="00337C46">
        <w:rPr>
          <w:rFonts w:ascii="Arial" w:hAnsi="Arial" w:cs="Arial"/>
        </w:rPr>
        <w:t xml:space="preserve"> </w:t>
      </w:r>
      <w:r w:rsidR="00723BF7" w:rsidRPr="00723BF7">
        <w:rPr>
          <w:rFonts w:ascii="Arial" w:hAnsi="Arial" w:cs="Arial"/>
        </w:rPr>
        <w:t>Map how current decisions are made about treating or referring high risk patients. Create explicit criteria and</w:t>
      </w:r>
      <w:r w:rsidR="00723BF7">
        <w:rPr>
          <w:rFonts w:ascii="Arial" w:hAnsi="Arial" w:cs="Arial"/>
        </w:rPr>
        <w:t xml:space="preserve"> </w:t>
      </w:r>
      <w:r w:rsidR="00723BF7" w:rsidRPr="00723BF7">
        <w:rPr>
          <w:rFonts w:ascii="Arial" w:hAnsi="Arial" w:cs="Arial"/>
        </w:rPr>
        <w:t>checklist and test these in practice with PDSA cycles.</w:t>
      </w:r>
    </w:p>
    <w:p w14:paraId="77AB244F" w14:textId="702318DB" w:rsidR="00723BF7" w:rsidRPr="00B227DF" w:rsidRDefault="00723BF7" w:rsidP="00B227DF">
      <w:pPr>
        <w:spacing w:line="360" w:lineRule="auto"/>
        <w:rPr>
          <w:rFonts w:ascii="Arial" w:hAnsi="Arial" w:cs="Arial"/>
        </w:rPr>
      </w:pPr>
      <w:r w:rsidRPr="00723BF7">
        <w:rPr>
          <w:rFonts w:ascii="Arial" w:hAnsi="Arial" w:cs="Arial"/>
        </w:rPr>
        <w:t>These are by no means fool-proof and run the risk of becoming superficial “projects” if they’re not part of</w:t>
      </w:r>
      <w:r>
        <w:rPr>
          <w:rFonts w:ascii="Arial" w:hAnsi="Arial" w:cs="Arial"/>
        </w:rPr>
        <w:t xml:space="preserve"> </w:t>
      </w:r>
      <w:r w:rsidRPr="00723BF7">
        <w:rPr>
          <w:rFonts w:ascii="Arial" w:hAnsi="Arial" w:cs="Arial"/>
        </w:rPr>
        <w:t>broader governance, culture, etc. We</w:t>
      </w:r>
      <w:r>
        <w:rPr>
          <w:rFonts w:ascii="Arial" w:hAnsi="Arial" w:cs="Arial"/>
        </w:rPr>
        <w:t xml:space="preserve"> </w:t>
      </w:r>
      <w:r w:rsidRPr="00723BF7">
        <w:rPr>
          <w:rFonts w:ascii="Arial" w:hAnsi="Arial" w:cs="Arial"/>
        </w:rPr>
        <w:t xml:space="preserve">could prevent this by each improvement initiative being explicitly connected to the boards and national safety goals and Global Patient Safety Action Plan </w:t>
      </w:r>
      <w:r w:rsidRPr="00337C46">
        <w:rPr>
          <w:rFonts w:ascii="Arial" w:hAnsi="Arial" w:cs="Arial"/>
        </w:rPr>
        <w:t xml:space="preserve">(WHO, 2021) </w:t>
      </w:r>
      <w:r w:rsidRPr="00723BF7">
        <w:rPr>
          <w:rFonts w:ascii="Arial" w:hAnsi="Arial" w:cs="Arial"/>
        </w:rPr>
        <w:t>with families involved when relevant."</w:t>
      </w:r>
    </w:p>
    <w:p w14:paraId="1EC1B3C2" w14:textId="3E9F15D0" w:rsidR="00B227DF" w:rsidRPr="00B227DF" w:rsidRDefault="00B227DF" w:rsidP="00B227DF">
      <w:pPr>
        <w:pStyle w:val="Heading1"/>
        <w:spacing w:line="360" w:lineRule="auto"/>
        <w:rPr>
          <w:rFonts w:ascii="Arial" w:hAnsi="Arial" w:cs="Arial"/>
          <w:sz w:val="22"/>
          <w:szCs w:val="22"/>
        </w:rPr>
      </w:pPr>
      <w:bookmarkStart w:id="2" w:name="_Toc215158509"/>
      <w:r w:rsidRPr="00B227DF">
        <w:rPr>
          <w:rFonts w:ascii="Arial" w:hAnsi="Arial" w:cs="Arial"/>
          <w:sz w:val="22"/>
          <w:szCs w:val="22"/>
        </w:rPr>
        <w:t>Conclusion</w:t>
      </w:r>
      <w:bookmarkEnd w:id="2"/>
    </w:p>
    <w:p w14:paraId="26F7B8BC" w14:textId="1D167450" w:rsidR="00337C46" w:rsidRPr="00337C46" w:rsidRDefault="00723BF7" w:rsidP="00337C46">
      <w:pPr>
        <w:spacing w:line="360" w:lineRule="auto"/>
        <w:rPr>
          <w:rFonts w:ascii="Arial" w:hAnsi="Arial" w:cs="Arial"/>
        </w:rPr>
      </w:pPr>
      <w:r w:rsidRPr="00723BF7">
        <w:rPr>
          <w:rFonts w:ascii="Arial" w:hAnsi="Arial" w:cs="Arial"/>
        </w:rPr>
        <w:t>The Bristol Royal Infirmary children’s heart surgery scandal was the result of a very serious failure in quality and safety within the NHS that tolerated higher than expected mortality because of poor governance,</w:t>
      </w:r>
      <w:r w:rsidRPr="00723BF7">
        <w:rPr>
          <w:rFonts w:ascii="Arial" w:hAnsi="Arial" w:cs="Arial"/>
        </w:rPr>
        <w:t> </w:t>
      </w:r>
      <w:r w:rsidRPr="00723BF7">
        <w:rPr>
          <w:rFonts w:ascii="Arial" w:hAnsi="Arial" w:cs="Arial"/>
        </w:rPr>
        <w:t>insufficient safety measurement and a closed hierarchical culture. Through the lens of Donabedian’s structure–process–outcome model, the case may be considered a product of poorly aligned structures (inadequate specialist oversight and undeveloped clinical governance), ineffective processes (absence of audit, benchmarking and</w:t>
      </w:r>
      <w:r w:rsidRPr="00723BF7">
        <w:rPr>
          <w:rFonts w:ascii="Arial" w:hAnsi="Arial" w:cs="Arial"/>
        </w:rPr>
        <w:t> </w:t>
      </w:r>
      <w:r w:rsidRPr="00723BF7">
        <w:rPr>
          <w:rFonts w:ascii="Arial" w:hAnsi="Arial" w:cs="Arial"/>
        </w:rPr>
        <w:t>robust escalation) and adverse outcomes for patients, but also for public confidence. Root-cause analysis tools such as the Fishbone diagram and 5 Whys shed light on how these factors interacted, while safety measurement frameworks reveal that proactive monitoring was almost non-existent in Bristol.</w:t>
      </w:r>
    </w:p>
    <w:p w14:paraId="0876D599" w14:textId="2E6ECF03" w:rsidR="00337C46" w:rsidRPr="00337C46" w:rsidRDefault="00337C46" w:rsidP="00337C46">
      <w:pPr>
        <w:spacing w:line="360" w:lineRule="auto"/>
        <w:rPr>
          <w:rFonts w:ascii="Arial" w:hAnsi="Arial" w:cs="Arial"/>
        </w:rPr>
      </w:pPr>
      <w:r w:rsidRPr="00337C46">
        <w:rPr>
          <w:rFonts w:ascii="Arial" w:hAnsi="Arial" w:cs="Arial"/>
        </w:rPr>
        <w:t xml:space="preserve">The case prompted important reforms. </w:t>
      </w:r>
      <w:r w:rsidR="009B1582" w:rsidRPr="009B1582">
        <w:rPr>
          <w:rFonts w:ascii="Arial" w:hAnsi="Arial" w:cs="Arial"/>
        </w:rPr>
        <w:t>But the SWOT analysis indicates there are major hurdles to overcome and not just in terms of culture, data linkages and</w:t>
      </w:r>
      <w:r w:rsidR="009B1582" w:rsidRPr="009B1582">
        <w:rPr>
          <w:rFonts w:ascii="Arial" w:hAnsi="Arial" w:cs="Arial"/>
        </w:rPr>
        <w:t> </w:t>
      </w:r>
      <w:r w:rsidR="009B1582" w:rsidRPr="009B1582">
        <w:rPr>
          <w:rFonts w:ascii="Arial" w:hAnsi="Arial" w:cs="Arial"/>
        </w:rPr>
        <w:t>improvement capability. However, recent staff survey results indicate that fear of speaking up still looms for some, indicating the yet unachieved</w:t>
      </w:r>
      <w:r w:rsidR="009B1582" w:rsidRPr="009B1582">
        <w:rPr>
          <w:rFonts w:ascii="Arial" w:hAnsi="Arial" w:cs="Arial"/>
        </w:rPr>
        <w:t> </w:t>
      </w:r>
      <w:r w:rsidR="009B1582" w:rsidRPr="009B1582">
        <w:rPr>
          <w:rFonts w:ascii="Arial" w:hAnsi="Arial" w:cs="Arial"/>
        </w:rPr>
        <w:t>realisation of just culture (NHS Staff Survey, 2024; Patient Safety Learning, 2025).</w:t>
      </w:r>
    </w:p>
    <w:p w14:paraId="68819E39" w14:textId="4EE6F907" w:rsidR="00B227DF" w:rsidRPr="00367175" w:rsidRDefault="00367175" w:rsidP="00B227DF">
      <w:pPr>
        <w:spacing w:line="360" w:lineRule="auto"/>
        <w:rPr>
          <w:rFonts w:ascii="Arial" w:hAnsi="Arial" w:cs="Arial"/>
        </w:rPr>
      </w:pPr>
      <w:r w:rsidRPr="00367175">
        <w:rPr>
          <w:rFonts w:ascii="Arial" w:hAnsi="Arial" w:cs="Arial"/>
        </w:rPr>
        <w:t>It postulates that preventing such failures is a function of strong measurement and monitoring, improved clinical governance and board accountability, continued investment in developing an open and</w:t>
      </w:r>
      <w:r w:rsidRPr="00367175">
        <w:rPr>
          <w:rFonts w:ascii="Arial" w:hAnsi="Arial" w:cs="Arial"/>
        </w:rPr>
        <w:t> </w:t>
      </w:r>
      <w:r w:rsidRPr="00367175">
        <w:rPr>
          <w:rFonts w:ascii="Arial" w:hAnsi="Arial" w:cs="Arial"/>
        </w:rPr>
        <w:t>just culture, and sustained effort to maintain workforce capability and referral networks. Quality improvement methods such as</w:t>
      </w:r>
      <w:r w:rsidRPr="00367175">
        <w:rPr>
          <w:rFonts w:ascii="Arial" w:hAnsi="Arial" w:cs="Arial"/>
        </w:rPr>
        <w:t> </w:t>
      </w:r>
      <w:r w:rsidRPr="00367175">
        <w:rPr>
          <w:rFonts w:ascii="Arial" w:hAnsi="Arial" w:cs="Arial"/>
        </w:rPr>
        <w:t>Plan-Do-Study-Act, Lean and Six Sigma can help undergird this work when applied thoughtfully with staff and patients</w:t>
      </w:r>
      <w:r w:rsidR="00203A7C">
        <w:rPr>
          <w:rFonts w:ascii="Arial" w:hAnsi="Arial" w:cs="Arial"/>
        </w:rPr>
        <w:t xml:space="preserve"> (</w:t>
      </w:r>
      <w:r w:rsidR="00203A7C" w:rsidRPr="00203A7C">
        <w:rPr>
          <w:rFonts w:ascii="Arial" w:hAnsi="Arial" w:cs="Arial"/>
        </w:rPr>
        <w:t xml:space="preserve">Batalden </w:t>
      </w:r>
      <w:r w:rsidR="00203A7C">
        <w:rPr>
          <w:rFonts w:ascii="Arial" w:hAnsi="Arial" w:cs="Arial"/>
        </w:rPr>
        <w:t xml:space="preserve">and </w:t>
      </w:r>
      <w:r w:rsidR="00203A7C" w:rsidRPr="00203A7C">
        <w:rPr>
          <w:rFonts w:ascii="Arial" w:hAnsi="Arial" w:cs="Arial"/>
        </w:rPr>
        <w:t>Davidoff</w:t>
      </w:r>
      <w:r w:rsidR="00203A7C">
        <w:rPr>
          <w:rFonts w:ascii="Arial" w:hAnsi="Arial" w:cs="Arial"/>
        </w:rPr>
        <w:t xml:space="preserve">, </w:t>
      </w:r>
      <w:r w:rsidR="00203A7C" w:rsidRPr="00203A7C">
        <w:rPr>
          <w:rFonts w:ascii="Arial" w:hAnsi="Arial" w:cs="Arial"/>
        </w:rPr>
        <w:t>2007</w:t>
      </w:r>
      <w:r w:rsidR="00203A7C">
        <w:rPr>
          <w:rFonts w:ascii="Arial" w:hAnsi="Arial" w:cs="Arial"/>
        </w:rPr>
        <w:t>)</w:t>
      </w:r>
      <w:r w:rsidRPr="00367175">
        <w:rPr>
          <w:rFonts w:ascii="Arial" w:hAnsi="Arial" w:cs="Arial"/>
        </w:rPr>
        <w:t>. Although they are no silver bullets, these approaches present practical techniques for translating</w:t>
      </w:r>
      <w:r w:rsidRPr="00367175">
        <w:rPr>
          <w:rFonts w:ascii="Arial" w:hAnsi="Arial" w:cs="Arial"/>
        </w:rPr>
        <w:t> </w:t>
      </w:r>
      <w:r w:rsidRPr="00367175">
        <w:rPr>
          <w:rFonts w:ascii="Arial" w:hAnsi="Arial" w:cs="Arial"/>
        </w:rPr>
        <w:t>the lessons of Bristol into concrete, sustained impact on safety and quality through high-risk services and the broader health and social care system.</w:t>
      </w:r>
      <w:r w:rsidR="00B227DF" w:rsidRPr="00367175">
        <w:rPr>
          <w:rFonts w:ascii="Arial" w:hAnsi="Arial" w:cs="Arial"/>
          <w:b/>
          <w:bCs/>
        </w:rPr>
        <w:br w:type="page"/>
      </w:r>
    </w:p>
    <w:p w14:paraId="5B291764" w14:textId="481519E3" w:rsidR="00D77E16" w:rsidRPr="00B227DF" w:rsidRDefault="002D3063" w:rsidP="00B227DF">
      <w:pPr>
        <w:pStyle w:val="Heading1"/>
        <w:spacing w:line="360" w:lineRule="auto"/>
        <w:rPr>
          <w:rFonts w:ascii="Arial" w:hAnsi="Arial" w:cs="Arial"/>
          <w:sz w:val="22"/>
          <w:szCs w:val="22"/>
        </w:rPr>
      </w:pPr>
      <w:bookmarkStart w:id="3" w:name="_Toc215158510"/>
      <w:r>
        <w:rPr>
          <w:rFonts w:ascii="Arial" w:hAnsi="Arial" w:cs="Arial"/>
          <w:sz w:val="22"/>
          <w:szCs w:val="22"/>
        </w:rPr>
        <w:lastRenderedPageBreak/>
        <w:t>References</w:t>
      </w:r>
      <w:bookmarkEnd w:id="3"/>
    </w:p>
    <w:p w14:paraId="52734985" w14:textId="77777777" w:rsidR="00D77E16" w:rsidRPr="00B227DF" w:rsidRDefault="00D77E16" w:rsidP="00B227DF">
      <w:pPr>
        <w:pStyle w:val="ListParagraph"/>
        <w:numPr>
          <w:ilvl w:val="0"/>
          <w:numId w:val="7"/>
        </w:numPr>
        <w:spacing w:line="360" w:lineRule="auto"/>
        <w:rPr>
          <w:rFonts w:ascii="Arial" w:hAnsi="Arial" w:cs="Arial"/>
        </w:rPr>
      </w:pPr>
      <w:r w:rsidRPr="00B227DF">
        <w:rPr>
          <w:rFonts w:ascii="Arial" w:hAnsi="Arial" w:cs="Arial"/>
        </w:rPr>
        <w:t xml:space="preserve">Al-Balushi, S. et al. (2014) ‘Readiness factors for lean implementation in healthcare settings – a literature review’, </w:t>
      </w:r>
      <w:r w:rsidRPr="00B227DF">
        <w:rPr>
          <w:rFonts w:ascii="Arial" w:hAnsi="Arial" w:cs="Arial"/>
          <w:i/>
          <w:iCs/>
        </w:rPr>
        <w:t>Journal of Health Organization and Management</w:t>
      </w:r>
      <w:r w:rsidRPr="00B227DF">
        <w:rPr>
          <w:rFonts w:ascii="Arial" w:hAnsi="Arial" w:cs="Arial"/>
        </w:rPr>
        <w:t xml:space="preserve">, 28(2), pp. 135–153. Available at: </w:t>
      </w:r>
      <w:hyperlink r:id="rId8" w:tgtFrame="_new" w:history="1">
        <w:r w:rsidRPr="00B227DF">
          <w:rPr>
            <w:rStyle w:val="Hyperlink"/>
            <w:rFonts w:ascii="Arial" w:hAnsi="Arial" w:cs="Arial"/>
          </w:rPr>
          <w:t>https://www.emerald.com/insight/content/doi/10.1108/JHOM-04-2013-0083/full/html</w:t>
        </w:r>
      </w:hyperlink>
    </w:p>
    <w:p w14:paraId="2BD84643" w14:textId="37956D4E" w:rsidR="00D77E16" w:rsidRPr="00B227DF" w:rsidRDefault="00D77E16" w:rsidP="00B227DF">
      <w:pPr>
        <w:pStyle w:val="ListParagraph"/>
        <w:numPr>
          <w:ilvl w:val="0"/>
          <w:numId w:val="7"/>
        </w:numPr>
        <w:spacing w:line="360" w:lineRule="auto"/>
        <w:rPr>
          <w:rFonts w:ascii="Arial" w:hAnsi="Arial" w:cs="Arial"/>
        </w:rPr>
      </w:pPr>
      <w:r w:rsidRPr="00B227DF">
        <w:rPr>
          <w:rFonts w:ascii="Arial" w:hAnsi="Arial" w:cs="Arial"/>
        </w:rPr>
        <w:t xml:space="preserve">Antony, J. &amp; Kumar, M. (2012) ‘Lean and Six Sigma methodologies in NHS Scotland: An empirical study and directions for future research’, </w:t>
      </w:r>
      <w:r w:rsidRPr="00B227DF">
        <w:rPr>
          <w:rFonts w:ascii="Arial" w:hAnsi="Arial" w:cs="Arial"/>
          <w:i/>
          <w:iCs/>
        </w:rPr>
        <w:t>Quality Innovation Prosperity</w:t>
      </w:r>
      <w:r w:rsidRPr="00B227DF">
        <w:rPr>
          <w:rFonts w:ascii="Arial" w:hAnsi="Arial" w:cs="Arial"/>
        </w:rPr>
        <w:t xml:space="preserve">, 16(2), pp. 19–34. Available at: </w:t>
      </w:r>
      <w:hyperlink r:id="rId9" w:tgtFrame="_new" w:history="1">
        <w:r w:rsidRPr="00B227DF">
          <w:rPr>
            <w:rStyle w:val="Hyperlink"/>
            <w:rFonts w:ascii="Arial" w:hAnsi="Arial" w:cs="Arial"/>
          </w:rPr>
          <w:t>https://www.qip-journal.eu/index.php/QIP/article/view/55</w:t>
        </w:r>
      </w:hyperlink>
    </w:p>
    <w:p w14:paraId="230C551A" w14:textId="77777777" w:rsidR="00D77E16" w:rsidRPr="00B227DF" w:rsidRDefault="00D77E16" w:rsidP="00B227DF">
      <w:pPr>
        <w:pStyle w:val="ListParagraph"/>
        <w:numPr>
          <w:ilvl w:val="0"/>
          <w:numId w:val="7"/>
        </w:numPr>
        <w:spacing w:line="360" w:lineRule="auto"/>
        <w:rPr>
          <w:rFonts w:ascii="Arial" w:hAnsi="Arial" w:cs="Arial"/>
        </w:rPr>
      </w:pPr>
      <w:r w:rsidRPr="00B227DF">
        <w:rPr>
          <w:rFonts w:ascii="Arial" w:hAnsi="Arial" w:cs="Arial"/>
        </w:rPr>
        <w:t xml:space="preserve">Batalden, P. &amp; Davidoff, F. (2007) ‘What is “quality improvement” and how can it transform healthcare?’, </w:t>
      </w:r>
      <w:r w:rsidRPr="00B227DF">
        <w:rPr>
          <w:rFonts w:ascii="Arial" w:hAnsi="Arial" w:cs="Arial"/>
          <w:i/>
          <w:iCs/>
        </w:rPr>
        <w:t>Quality and Safety in Health Care</w:t>
      </w:r>
      <w:r w:rsidRPr="00B227DF">
        <w:rPr>
          <w:rFonts w:ascii="Arial" w:hAnsi="Arial" w:cs="Arial"/>
        </w:rPr>
        <w:t xml:space="preserve">, 16(1), pp. 2–3. Available at: </w:t>
      </w:r>
      <w:hyperlink r:id="rId10" w:tgtFrame="_new" w:history="1">
        <w:r w:rsidRPr="00B227DF">
          <w:rPr>
            <w:rStyle w:val="Hyperlink"/>
            <w:rFonts w:ascii="Arial" w:hAnsi="Arial" w:cs="Arial"/>
          </w:rPr>
          <w:t>https://qualitysafety.bmj.com/content/16/1/2</w:t>
        </w:r>
      </w:hyperlink>
    </w:p>
    <w:p w14:paraId="2B299B57" w14:textId="77777777" w:rsidR="00D77E16" w:rsidRPr="00B227DF" w:rsidRDefault="00D77E16" w:rsidP="00B227DF">
      <w:pPr>
        <w:pStyle w:val="ListParagraph"/>
        <w:numPr>
          <w:ilvl w:val="0"/>
          <w:numId w:val="7"/>
        </w:numPr>
        <w:spacing w:line="360" w:lineRule="auto"/>
        <w:rPr>
          <w:rFonts w:ascii="Arial" w:hAnsi="Arial" w:cs="Arial"/>
        </w:rPr>
      </w:pPr>
      <w:r w:rsidRPr="00B227DF">
        <w:rPr>
          <w:rFonts w:ascii="Arial" w:hAnsi="Arial" w:cs="Arial"/>
        </w:rPr>
        <w:t xml:space="preserve">Bristol Royal Infirmary Inquiry (2001) </w:t>
      </w:r>
      <w:r w:rsidRPr="00B227DF">
        <w:rPr>
          <w:rFonts w:ascii="Arial" w:hAnsi="Arial" w:cs="Arial"/>
          <w:i/>
          <w:iCs/>
        </w:rPr>
        <w:t>Learning from Bristol: The report of the public inquiry into children’s heart surgery at the Bristol Royal Infirmary 1984–1995.</w:t>
      </w:r>
      <w:r w:rsidRPr="00B227DF">
        <w:rPr>
          <w:rFonts w:ascii="Arial" w:hAnsi="Arial" w:cs="Arial"/>
        </w:rPr>
        <w:t xml:space="preserve"> London: The Stationery Office. Available at: </w:t>
      </w:r>
      <w:hyperlink r:id="rId11" w:tgtFrame="_new" w:history="1">
        <w:r w:rsidRPr="00B227DF">
          <w:rPr>
            <w:rStyle w:val="Hyperlink"/>
            <w:rFonts w:ascii="Arial" w:hAnsi="Arial" w:cs="Arial"/>
          </w:rPr>
          <w:t>https://webarchive.nationalarchives.gov.uk/20090811143758/http://www.bristol-inquiry.org.uk/index.htm</w:t>
        </w:r>
      </w:hyperlink>
    </w:p>
    <w:p w14:paraId="76392AB9" w14:textId="0343A690" w:rsidR="00D77E16" w:rsidRPr="00B227DF" w:rsidRDefault="00D77E16" w:rsidP="00B227DF">
      <w:pPr>
        <w:pStyle w:val="ListParagraph"/>
        <w:numPr>
          <w:ilvl w:val="0"/>
          <w:numId w:val="7"/>
        </w:numPr>
        <w:spacing w:line="360" w:lineRule="auto"/>
        <w:rPr>
          <w:rFonts w:ascii="Arial" w:hAnsi="Arial" w:cs="Arial"/>
        </w:rPr>
      </w:pPr>
      <w:r w:rsidRPr="00B227DF">
        <w:rPr>
          <w:rFonts w:ascii="Arial" w:hAnsi="Arial" w:cs="Arial"/>
        </w:rPr>
        <w:t xml:space="preserve">Coulter, A. (2002) ‘After Bristol: putting patients at the centre’, </w:t>
      </w:r>
      <w:r w:rsidRPr="00B227DF">
        <w:rPr>
          <w:rFonts w:ascii="Arial" w:hAnsi="Arial" w:cs="Arial"/>
          <w:i/>
          <w:iCs/>
        </w:rPr>
        <w:t>BMJ</w:t>
      </w:r>
      <w:r w:rsidRPr="00B227DF">
        <w:rPr>
          <w:rFonts w:ascii="Arial" w:hAnsi="Arial" w:cs="Arial"/>
        </w:rPr>
        <w:t xml:space="preserve">, 324(7338), pp. 648–651. Available at: </w:t>
      </w:r>
      <w:hyperlink r:id="rId12" w:tgtFrame="_new" w:history="1">
        <w:r w:rsidRPr="00B227DF">
          <w:rPr>
            <w:rStyle w:val="Hyperlink"/>
            <w:rFonts w:ascii="Arial" w:hAnsi="Arial" w:cs="Arial"/>
          </w:rPr>
          <w:t>https://pmc.ncbi.nlm.nih.gov/articles/PMC84404/</w:t>
        </w:r>
      </w:hyperlink>
    </w:p>
    <w:p w14:paraId="0A28FE69" w14:textId="2B98EFB8" w:rsidR="00D77E16" w:rsidRPr="00B227DF" w:rsidRDefault="00D77E16" w:rsidP="00B227DF">
      <w:pPr>
        <w:pStyle w:val="ListParagraph"/>
        <w:numPr>
          <w:ilvl w:val="0"/>
          <w:numId w:val="7"/>
        </w:numPr>
        <w:spacing w:line="360" w:lineRule="auto"/>
        <w:rPr>
          <w:rFonts w:ascii="Arial" w:hAnsi="Arial" w:cs="Arial"/>
        </w:rPr>
      </w:pPr>
      <w:r w:rsidRPr="00B227DF">
        <w:rPr>
          <w:rFonts w:ascii="Arial" w:hAnsi="Arial" w:cs="Arial"/>
        </w:rPr>
        <w:t xml:space="preserve">Department of Health (2002) </w:t>
      </w:r>
      <w:r w:rsidRPr="00B227DF">
        <w:rPr>
          <w:rFonts w:ascii="Arial" w:hAnsi="Arial" w:cs="Arial"/>
          <w:i/>
          <w:iCs/>
        </w:rPr>
        <w:t>Learning from Bristol: The Department of Health’s response to the report of the Public Inquiry into children’s heart surgery at the Bristol Royal Infirmary 1984–1995 (Cm 5363).</w:t>
      </w:r>
      <w:r w:rsidRPr="00B227DF">
        <w:rPr>
          <w:rFonts w:ascii="Arial" w:hAnsi="Arial" w:cs="Arial"/>
        </w:rPr>
        <w:t xml:space="preserve"> London: DHSC. Available at: </w:t>
      </w:r>
      <w:hyperlink r:id="rId13" w:tgtFrame="_new" w:history="1">
        <w:r w:rsidRPr="00B227DF">
          <w:rPr>
            <w:rStyle w:val="Hyperlink"/>
            <w:rFonts w:ascii="Arial" w:hAnsi="Arial" w:cs="Arial"/>
          </w:rPr>
          <w:t>https://www.gov.uk/government/publications/the-department-of-healths-response-to-the-report-of-the-public-inquiry-into-childrens-heart-surgery-at-the-bristol-royal-infirmary</w:t>
        </w:r>
      </w:hyperlink>
    </w:p>
    <w:p w14:paraId="61B4B7B7" w14:textId="77777777" w:rsidR="00D77E16" w:rsidRPr="00B227DF" w:rsidRDefault="00D77E16" w:rsidP="00B227DF">
      <w:pPr>
        <w:pStyle w:val="ListParagraph"/>
        <w:numPr>
          <w:ilvl w:val="0"/>
          <w:numId w:val="7"/>
        </w:numPr>
        <w:spacing w:line="360" w:lineRule="auto"/>
        <w:rPr>
          <w:rFonts w:ascii="Arial" w:hAnsi="Arial" w:cs="Arial"/>
        </w:rPr>
      </w:pPr>
      <w:r w:rsidRPr="00B227DF">
        <w:rPr>
          <w:rFonts w:ascii="Arial" w:hAnsi="Arial" w:cs="Arial"/>
        </w:rPr>
        <w:t xml:space="preserve">Donabedian, A. (1988) ‘The quality of care: how can it be assessed?’, </w:t>
      </w:r>
      <w:r w:rsidRPr="00B227DF">
        <w:rPr>
          <w:rFonts w:ascii="Arial" w:hAnsi="Arial" w:cs="Arial"/>
          <w:i/>
          <w:iCs/>
        </w:rPr>
        <w:t>JAMA</w:t>
      </w:r>
      <w:r w:rsidRPr="00B227DF">
        <w:rPr>
          <w:rFonts w:ascii="Arial" w:hAnsi="Arial" w:cs="Arial"/>
        </w:rPr>
        <w:t xml:space="preserve">, 260(12), pp. 1743–1748. Abstract available at: </w:t>
      </w:r>
      <w:hyperlink r:id="rId14" w:tgtFrame="_new" w:history="1">
        <w:r w:rsidRPr="00B227DF">
          <w:rPr>
            <w:rStyle w:val="Hyperlink"/>
            <w:rFonts w:ascii="Arial" w:hAnsi="Arial" w:cs="Arial"/>
          </w:rPr>
          <w:t>https://jamanetwork.com/journals/jama/article-abstract/374139</w:t>
        </w:r>
      </w:hyperlink>
    </w:p>
    <w:p w14:paraId="6CF8E2CF" w14:textId="77777777" w:rsidR="00D77E16" w:rsidRPr="00B227DF" w:rsidRDefault="00D77E16" w:rsidP="00B227DF">
      <w:pPr>
        <w:pStyle w:val="ListParagraph"/>
        <w:numPr>
          <w:ilvl w:val="0"/>
          <w:numId w:val="7"/>
        </w:numPr>
        <w:spacing w:line="360" w:lineRule="auto"/>
        <w:rPr>
          <w:rFonts w:ascii="Arial" w:hAnsi="Arial" w:cs="Arial"/>
        </w:rPr>
      </w:pPr>
      <w:r w:rsidRPr="00B227DF">
        <w:rPr>
          <w:rFonts w:ascii="Arial" w:hAnsi="Arial" w:cs="Arial"/>
        </w:rPr>
        <w:t xml:space="preserve">Donabedian, A. (2005) ‘Evaluating the quality of medical care’, </w:t>
      </w:r>
      <w:r w:rsidRPr="00B227DF">
        <w:rPr>
          <w:rFonts w:ascii="Arial" w:hAnsi="Arial" w:cs="Arial"/>
          <w:i/>
          <w:iCs/>
        </w:rPr>
        <w:t>Milbank Quarterly</w:t>
      </w:r>
      <w:r w:rsidRPr="00B227DF">
        <w:rPr>
          <w:rFonts w:ascii="Arial" w:hAnsi="Arial" w:cs="Arial"/>
        </w:rPr>
        <w:t xml:space="preserve">, 83(4), pp. 691–729. Available at: </w:t>
      </w:r>
      <w:hyperlink r:id="rId15" w:tgtFrame="_new" w:history="1">
        <w:r w:rsidRPr="00B227DF">
          <w:rPr>
            <w:rStyle w:val="Hyperlink"/>
            <w:rFonts w:ascii="Arial" w:hAnsi="Arial" w:cs="Arial"/>
          </w:rPr>
          <w:t>https://www.ncbi.nlm.nih.gov/pmc/articles/PMC2690293/</w:t>
        </w:r>
      </w:hyperlink>
    </w:p>
    <w:p w14:paraId="23221EA8" w14:textId="7D6AC9C9" w:rsidR="00D77E16" w:rsidRPr="00B227DF" w:rsidRDefault="00D77E16" w:rsidP="00B227DF">
      <w:pPr>
        <w:pStyle w:val="ListParagraph"/>
        <w:numPr>
          <w:ilvl w:val="0"/>
          <w:numId w:val="7"/>
        </w:numPr>
        <w:spacing w:line="360" w:lineRule="auto"/>
        <w:rPr>
          <w:rFonts w:ascii="Arial" w:hAnsi="Arial" w:cs="Arial"/>
        </w:rPr>
      </w:pPr>
      <w:r w:rsidRPr="00B227DF">
        <w:rPr>
          <w:rFonts w:ascii="Arial" w:hAnsi="Arial" w:cs="Arial"/>
        </w:rPr>
        <w:t xml:space="preserve">Espuny Pujol, F. et al. (2022) ‘Linkage of National Congenital Heart Disease Audit data to hospital, critical care and mortality datasets to enable research focused on quality improvement’, </w:t>
      </w:r>
      <w:r w:rsidRPr="00B227DF">
        <w:rPr>
          <w:rFonts w:ascii="Arial" w:hAnsi="Arial" w:cs="Arial"/>
          <w:i/>
          <w:iCs/>
        </w:rPr>
        <w:t>BMJ Open</w:t>
      </w:r>
      <w:r w:rsidRPr="00B227DF">
        <w:rPr>
          <w:rFonts w:ascii="Arial" w:hAnsi="Arial" w:cs="Arial"/>
        </w:rPr>
        <w:t xml:space="preserve">, 12, e057343. Available at: </w:t>
      </w:r>
      <w:hyperlink r:id="rId16" w:tgtFrame="_new" w:history="1">
        <w:r w:rsidRPr="00B227DF">
          <w:rPr>
            <w:rStyle w:val="Hyperlink"/>
            <w:rFonts w:ascii="Arial" w:hAnsi="Arial" w:cs="Arial"/>
          </w:rPr>
          <w:t>https://eprints.whiterose.ac.uk/id/eprint/192697/6/e057343.full%20%281%29.pdf</w:t>
        </w:r>
      </w:hyperlink>
    </w:p>
    <w:p w14:paraId="6EFEC575" w14:textId="77777777" w:rsidR="00D77E16" w:rsidRPr="00B227DF" w:rsidRDefault="00D77E16" w:rsidP="00B227DF">
      <w:pPr>
        <w:pStyle w:val="ListParagraph"/>
        <w:numPr>
          <w:ilvl w:val="0"/>
          <w:numId w:val="7"/>
        </w:numPr>
        <w:spacing w:line="360" w:lineRule="auto"/>
        <w:rPr>
          <w:rFonts w:ascii="Arial" w:hAnsi="Arial" w:cs="Arial"/>
        </w:rPr>
      </w:pPr>
      <w:r w:rsidRPr="00B227DF">
        <w:rPr>
          <w:rFonts w:ascii="Arial" w:hAnsi="Arial" w:cs="Arial"/>
        </w:rPr>
        <w:lastRenderedPageBreak/>
        <w:t xml:space="preserve">Francis, R. (2013) </w:t>
      </w:r>
      <w:r w:rsidRPr="00B227DF">
        <w:rPr>
          <w:rFonts w:ascii="Arial" w:hAnsi="Arial" w:cs="Arial"/>
          <w:i/>
          <w:iCs/>
        </w:rPr>
        <w:t>Report of the Mid Staffordshire NHS Foundation Trust Public Inquiry.</w:t>
      </w:r>
      <w:r w:rsidRPr="00B227DF">
        <w:rPr>
          <w:rFonts w:ascii="Arial" w:hAnsi="Arial" w:cs="Arial"/>
        </w:rPr>
        <w:t xml:space="preserve"> London: The Stationery Office. Available at: </w:t>
      </w:r>
      <w:hyperlink r:id="rId17" w:tgtFrame="_new" w:history="1">
        <w:r w:rsidRPr="00B227DF">
          <w:rPr>
            <w:rStyle w:val="Hyperlink"/>
            <w:rFonts w:ascii="Arial" w:hAnsi="Arial" w:cs="Arial"/>
          </w:rPr>
          <w:t>https://www.gov.uk/government/publications/report-of-the-mid-staffordshire-nhs-foundation-trust-public-inquiry</w:t>
        </w:r>
      </w:hyperlink>
    </w:p>
    <w:p w14:paraId="3EE9FCB6" w14:textId="77777777" w:rsidR="00D77E16" w:rsidRPr="00B227DF" w:rsidRDefault="00D77E16" w:rsidP="00B227DF">
      <w:pPr>
        <w:pStyle w:val="ListParagraph"/>
        <w:numPr>
          <w:ilvl w:val="0"/>
          <w:numId w:val="7"/>
        </w:numPr>
        <w:spacing w:line="360" w:lineRule="auto"/>
        <w:rPr>
          <w:rFonts w:ascii="Arial" w:hAnsi="Arial" w:cs="Arial"/>
        </w:rPr>
      </w:pPr>
      <w:r w:rsidRPr="00B227DF">
        <w:rPr>
          <w:rFonts w:ascii="Arial" w:hAnsi="Arial" w:cs="Arial"/>
        </w:rPr>
        <w:t xml:space="preserve">Francis, R. (2015) </w:t>
      </w:r>
      <w:r w:rsidRPr="00B227DF">
        <w:rPr>
          <w:rFonts w:ascii="Arial" w:hAnsi="Arial" w:cs="Arial"/>
          <w:i/>
          <w:iCs/>
        </w:rPr>
        <w:t>Freedom to Speak Up: An independent review into creating an open and honest reporting culture in the NHS.</w:t>
      </w:r>
      <w:r w:rsidRPr="00B227DF">
        <w:rPr>
          <w:rFonts w:ascii="Arial" w:hAnsi="Arial" w:cs="Arial"/>
        </w:rPr>
        <w:t xml:space="preserve"> London: DHSC. Available at: </w:t>
      </w:r>
      <w:hyperlink r:id="rId18" w:tgtFrame="_new" w:history="1">
        <w:r w:rsidRPr="00B227DF">
          <w:rPr>
            <w:rStyle w:val="Hyperlink"/>
            <w:rFonts w:ascii="Arial" w:hAnsi="Arial" w:cs="Arial"/>
          </w:rPr>
          <w:t>https://webarchive.nationalarchives.gov.uk/ukgwa/20150218150953/http://freedomtospeakup.org.uk/wp-content/uploads/2014/07/F2SU_web.pdf</w:t>
        </w:r>
      </w:hyperlink>
    </w:p>
    <w:p w14:paraId="3190987A" w14:textId="434FD1E6" w:rsidR="00D77E16" w:rsidRPr="00B227DF" w:rsidRDefault="00D77E16" w:rsidP="00B227DF">
      <w:pPr>
        <w:pStyle w:val="ListParagraph"/>
        <w:numPr>
          <w:ilvl w:val="0"/>
          <w:numId w:val="7"/>
        </w:numPr>
        <w:spacing w:line="360" w:lineRule="auto"/>
        <w:rPr>
          <w:rFonts w:ascii="Arial" w:hAnsi="Arial" w:cs="Arial"/>
        </w:rPr>
      </w:pPr>
      <w:r w:rsidRPr="00B227DF">
        <w:rPr>
          <w:rFonts w:ascii="Arial" w:hAnsi="Arial" w:cs="Arial"/>
        </w:rPr>
        <w:t xml:space="preserve">Graban, M. (2016) </w:t>
      </w:r>
      <w:r w:rsidRPr="00B227DF">
        <w:rPr>
          <w:rFonts w:ascii="Arial" w:hAnsi="Arial" w:cs="Arial"/>
          <w:i/>
          <w:iCs/>
        </w:rPr>
        <w:t>Lean Hospitals: Improving Quality, Patient Safety, and Employee Engagement.</w:t>
      </w:r>
      <w:r w:rsidRPr="00B227DF">
        <w:rPr>
          <w:rFonts w:ascii="Arial" w:hAnsi="Arial" w:cs="Arial"/>
        </w:rPr>
        <w:t xml:space="preserve"> 3rd edn. Boca Raton: Productivity Press/CRC Press. Available at: </w:t>
      </w:r>
      <w:hyperlink r:id="rId19" w:tgtFrame="_new" w:history="1">
        <w:r w:rsidRPr="00B227DF">
          <w:rPr>
            <w:rStyle w:val="Hyperlink"/>
            <w:rFonts w:ascii="Arial" w:hAnsi="Arial" w:cs="Arial"/>
          </w:rPr>
          <w:t>https://www.routledge.com/Lean-Hospitals-Improving-Quality-Patient-Safety-and-Employee-Engagement-Third-Edition/Graban/p/book/9781498743259</w:t>
        </w:r>
      </w:hyperlink>
    </w:p>
    <w:p w14:paraId="1336494E" w14:textId="0D9B41A3" w:rsidR="00D77E16" w:rsidRPr="00B227DF" w:rsidRDefault="00D77E16" w:rsidP="00B227DF">
      <w:pPr>
        <w:pStyle w:val="ListParagraph"/>
        <w:numPr>
          <w:ilvl w:val="0"/>
          <w:numId w:val="7"/>
        </w:numPr>
        <w:spacing w:line="360" w:lineRule="auto"/>
        <w:rPr>
          <w:rFonts w:ascii="Arial" w:hAnsi="Arial" w:cs="Arial"/>
        </w:rPr>
      </w:pPr>
      <w:r w:rsidRPr="00B227DF">
        <w:rPr>
          <w:rFonts w:ascii="Arial" w:hAnsi="Arial" w:cs="Arial"/>
        </w:rPr>
        <w:t xml:space="preserve">HQIP / NICOR (2022) </w:t>
      </w:r>
      <w:r w:rsidRPr="00B227DF">
        <w:rPr>
          <w:rFonts w:ascii="Arial" w:hAnsi="Arial" w:cs="Arial"/>
          <w:i/>
          <w:iCs/>
        </w:rPr>
        <w:t>National Congenital Heart Disease Audit (NCHDA) 2022 Summary Report (2020/21 data).</w:t>
      </w:r>
      <w:r w:rsidRPr="00B227DF">
        <w:rPr>
          <w:rFonts w:ascii="Arial" w:hAnsi="Arial" w:cs="Arial"/>
        </w:rPr>
        <w:t xml:space="preserve"> London: HQIP. Available at: </w:t>
      </w:r>
      <w:hyperlink r:id="rId20" w:tgtFrame="_new" w:history="1">
        <w:r w:rsidRPr="00B227DF">
          <w:rPr>
            <w:rStyle w:val="Hyperlink"/>
            <w:rFonts w:ascii="Arial" w:hAnsi="Arial" w:cs="Arial"/>
          </w:rPr>
          <w:t>https://www.hqip.org.uk/resource/national-congenital-heart-disease-audit-2022-summary-report/</w:t>
        </w:r>
      </w:hyperlink>
    </w:p>
    <w:p w14:paraId="24A6E5AB" w14:textId="64C736EC" w:rsidR="00D77E16" w:rsidRPr="00B227DF" w:rsidRDefault="00D77E16" w:rsidP="00B227DF">
      <w:pPr>
        <w:pStyle w:val="ListParagraph"/>
        <w:numPr>
          <w:ilvl w:val="0"/>
          <w:numId w:val="7"/>
        </w:numPr>
        <w:spacing w:line="360" w:lineRule="auto"/>
        <w:rPr>
          <w:rFonts w:ascii="Arial" w:hAnsi="Arial" w:cs="Arial"/>
        </w:rPr>
      </w:pPr>
      <w:r w:rsidRPr="00B227DF">
        <w:rPr>
          <w:rFonts w:ascii="Arial" w:hAnsi="Arial" w:cs="Arial"/>
        </w:rPr>
        <w:t xml:space="preserve">Illingworth, J. (2020) ‘The patient safety collaborative programme: opportunities for physician engagement’, </w:t>
      </w:r>
      <w:r w:rsidRPr="00B227DF">
        <w:rPr>
          <w:rFonts w:ascii="Arial" w:hAnsi="Arial" w:cs="Arial"/>
          <w:i/>
          <w:iCs/>
        </w:rPr>
        <w:t>Future Healthcare Journal</w:t>
      </w:r>
      <w:r w:rsidRPr="00B227DF">
        <w:rPr>
          <w:rFonts w:ascii="Arial" w:hAnsi="Arial" w:cs="Arial"/>
        </w:rPr>
        <w:t xml:space="preserve">, 7(1), pp. 61–64. Available at: </w:t>
      </w:r>
      <w:hyperlink r:id="rId21" w:tgtFrame="_new" w:history="1">
        <w:r w:rsidRPr="00B227DF">
          <w:rPr>
            <w:rStyle w:val="Hyperlink"/>
            <w:rFonts w:ascii="Arial" w:hAnsi="Arial" w:cs="Arial"/>
          </w:rPr>
          <w:t>https://pmc.ncbi.nlm.nih.gov/articles/PMC7354025/</w:t>
        </w:r>
      </w:hyperlink>
    </w:p>
    <w:p w14:paraId="31C58AAB" w14:textId="77777777" w:rsidR="00D77E16" w:rsidRPr="00B227DF" w:rsidRDefault="00D77E16" w:rsidP="00B227DF">
      <w:pPr>
        <w:pStyle w:val="ListParagraph"/>
        <w:numPr>
          <w:ilvl w:val="0"/>
          <w:numId w:val="7"/>
        </w:numPr>
        <w:spacing w:line="360" w:lineRule="auto"/>
        <w:rPr>
          <w:rFonts w:ascii="Arial" w:hAnsi="Arial" w:cs="Arial"/>
        </w:rPr>
      </w:pPr>
      <w:r w:rsidRPr="00B227DF">
        <w:rPr>
          <w:rFonts w:ascii="Arial" w:hAnsi="Arial" w:cs="Arial"/>
        </w:rPr>
        <w:t xml:space="preserve">Institute for Healthcare Improvement (IHI) (n.d.) </w:t>
      </w:r>
      <w:r w:rsidRPr="00B227DF">
        <w:rPr>
          <w:rFonts w:ascii="Arial" w:hAnsi="Arial" w:cs="Arial"/>
          <w:i/>
          <w:iCs/>
        </w:rPr>
        <w:t>5 Whys: Finding the root cause.</w:t>
      </w:r>
      <w:r w:rsidRPr="00B227DF">
        <w:rPr>
          <w:rFonts w:ascii="Arial" w:hAnsi="Arial" w:cs="Arial"/>
        </w:rPr>
        <w:t xml:space="preserve"> Available at: </w:t>
      </w:r>
      <w:hyperlink r:id="rId22" w:tgtFrame="_new" w:history="1">
        <w:r w:rsidRPr="00B227DF">
          <w:rPr>
            <w:rStyle w:val="Hyperlink"/>
            <w:rFonts w:ascii="Arial" w:hAnsi="Arial" w:cs="Arial"/>
          </w:rPr>
          <w:t>http://www.ihi.org/resources/Pages/Tools/5-Whys-Finding-the-Root-Cause.aspx</w:t>
        </w:r>
      </w:hyperlink>
    </w:p>
    <w:p w14:paraId="026588C8" w14:textId="77777777" w:rsidR="00D77E16" w:rsidRPr="00B227DF" w:rsidRDefault="00D77E16" w:rsidP="00B227DF">
      <w:pPr>
        <w:pStyle w:val="ListParagraph"/>
        <w:numPr>
          <w:ilvl w:val="0"/>
          <w:numId w:val="7"/>
        </w:numPr>
        <w:spacing w:line="360" w:lineRule="auto"/>
        <w:rPr>
          <w:rFonts w:ascii="Arial" w:hAnsi="Arial" w:cs="Arial"/>
        </w:rPr>
      </w:pPr>
      <w:r w:rsidRPr="00B227DF">
        <w:rPr>
          <w:rFonts w:ascii="Arial" w:hAnsi="Arial" w:cs="Arial"/>
        </w:rPr>
        <w:t xml:space="preserve">Institute for Healthcare Improvement (IHI) (n.d.) </w:t>
      </w:r>
      <w:r w:rsidRPr="00B227DF">
        <w:rPr>
          <w:rFonts w:ascii="Arial" w:hAnsi="Arial" w:cs="Arial"/>
          <w:i/>
          <w:iCs/>
        </w:rPr>
        <w:t>Cause and Effect (Fishbone) Diagram.</w:t>
      </w:r>
      <w:r w:rsidRPr="00B227DF">
        <w:rPr>
          <w:rFonts w:ascii="Arial" w:hAnsi="Arial" w:cs="Arial"/>
        </w:rPr>
        <w:t xml:space="preserve"> Available at: </w:t>
      </w:r>
      <w:hyperlink r:id="rId23" w:tgtFrame="_new" w:history="1">
        <w:r w:rsidRPr="00B227DF">
          <w:rPr>
            <w:rStyle w:val="Hyperlink"/>
            <w:rFonts w:ascii="Arial" w:hAnsi="Arial" w:cs="Arial"/>
          </w:rPr>
          <w:t>http://www.ihi.org/resources/Pages/Tools/CauseandEffectDiagram.aspx</w:t>
        </w:r>
      </w:hyperlink>
    </w:p>
    <w:p w14:paraId="0C3D1F26" w14:textId="77777777" w:rsidR="00D77E16" w:rsidRPr="00B227DF" w:rsidRDefault="00D77E16" w:rsidP="00B227DF">
      <w:pPr>
        <w:pStyle w:val="ListParagraph"/>
        <w:numPr>
          <w:ilvl w:val="0"/>
          <w:numId w:val="7"/>
        </w:numPr>
        <w:spacing w:line="360" w:lineRule="auto"/>
        <w:rPr>
          <w:rFonts w:ascii="Arial" w:hAnsi="Arial" w:cs="Arial"/>
        </w:rPr>
      </w:pPr>
      <w:r w:rsidRPr="00B227DF">
        <w:rPr>
          <w:rFonts w:ascii="Arial" w:hAnsi="Arial" w:cs="Arial"/>
        </w:rPr>
        <w:t xml:space="preserve">Ishikawa, K. (1986) </w:t>
      </w:r>
      <w:r w:rsidRPr="00B227DF">
        <w:rPr>
          <w:rFonts w:ascii="Arial" w:hAnsi="Arial" w:cs="Arial"/>
          <w:i/>
          <w:iCs/>
        </w:rPr>
        <w:t>Guide to Quality Control.</w:t>
      </w:r>
      <w:r w:rsidRPr="00B227DF">
        <w:rPr>
          <w:rFonts w:ascii="Arial" w:hAnsi="Arial" w:cs="Arial"/>
        </w:rPr>
        <w:t xml:space="preserve"> 2nd rev. edn. Tokyo: Asian Productivity Organization. Bibliographic record available at: </w:t>
      </w:r>
      <w:hyperlink r:id="rId24" w:tgtFrame="_new" w:history="1">
        <w:r w:rsidRPr="00B227DF">
          <w:rPr>
            <w:rStyle w:val="Hyperlink"/>
            <w:rFonts w:ascii="Arial" w:hAnsi="Arial" w:cs="Arial"/>
          </w:rPr>
          <w:t>https://books.google.com/books?id=POEeAQAAIAAJ</w:t>
        </w:r>
      </w:hyperlink>
    </w:p>
    <w:p w14:paraId="1FE0BB04" w14:textId="77777777" w:rsidR="00D77E16" w:rsidRPr="00B227DF" w:rsidRDefault="00D77E16" w:rsidP="00B227DF">
      <w:pPr>
        <w:pStyle w:val="ListParagraph"/>
        <w:numPr>
          <w:ilvl w:val="0"/>
          <w:numId w:val="7"/>
        </w:numPr>
        <w:spacing w:line="360" w:lineRule="auto"/>
        <w:rPr>
          <w:rFonts w:ascii="Arial" w:hAnsi="Arial" w:cs="Arial"/>
        </w:rPr>
      </w:pPr>
      <w:r w:rsidRPr="00B227DF">
        <w:rPr>
          <w:rFonts w:ascii="Arial" w:hAnsi="Arial" w:cs="Arial"/>
        </w:rPr>
        <w:t xml:space="preserve">Kohn, L., Corrigan, J. &amp; Donaldson, M. (eds) (2000) </w:t>
      </w:r>
      <w:r w:rsidRPr="00B227DF">
        <w:rPr>
          <w:rFonts w:ascii="Arial" w:hAnsi="Arial" w:cs="Arial"/>
          <w:i/>
          <w:iCs/>
        </w:rPr>
        <w:t>To Err is Human: Building a Safer Health System.</w:t>
      </w:r>
      <w:r w:rsidRPr="00B227DF">
        <w:rPr>
          <w:rFonts w:ascii="Arial" w:hAnsi="Arial" w:cs="Arial"/>
        </w:rPr>
        <w:t xml:space="preserve"> Washington, DC: National Academy Press. Summary available at: </w:t>
      </w:r>
      <w:hyperlink r:id="rId25" w:tgtFrame="_new" w:history="1">
        <w:r w:rsidRPr="00B227DF">
          <w:rPr>
            <w:rStyle w:val="Hyperlink"/>
            <w:rFonts w:ascii="Arial" w:hAnsi="Arial" w:cs="Arial"/>
          </w:rPr>
          <w:t>https://nap.nationalacademies.org/catalog/9728/to-err-is-human-building-a-safer-health-system</w:t>
        </w:r>
      </w:hyperlink>
    </w:p>
    <w:p w14:paraId="0B735A7E" w14:textId="77777777" w:rsidR="00D77E16" w:rsidRPr="00B227DF" w:rsidRDefault="00D77E16" w:rsidP="00B227DF">
      <w:pPr>
        <w:pStyle w:val="ListParagraph"/>
        <w:numPr>
          <w:ilvl w:val="0"/>
          <w:numId w:val="7"/>
        </w:numPr>
        <w:spacing w:line="360" w:lineRule="auto"/>
        <w:rPr>
          <w:rFonts w:ascii="Arial" w:hAnsi="Arial" w:cs="Arial"/>
        </w:rPr>
      </w:pPr>
      <w:r w:rsidRPr="00B227DF">
        <w:rPr>
          <w:rFonts w:ascii="Arial" w:hAnsi="Arial" w:cs="Arial"/>
        </w:rPr>
        <w:t xml:space="preserve">Langley, G.J. et al. (2009) </w:t>
      </w:r>
      <w:r w:rsidRPr="00B227DF">
        <w:rPr>
          <w:rFonts w:ascii="Arial" w:hAnsi="Arial" w:cs="Arial"/>
          <w:i/>
          <w:iCs/>
        </w:rPr>
        <w:t>The Improvement Guide: A Practical Approach to Enhancing Organizational Performance.</w:t>
      </w:r>
      <w:r w:rsidRPr="00B227DF">
        <w:rPr>
          <w:rFonts w:ascii="Arial" w:hAnsi="Arial" w:cs="Arial"/>
        </w:rPr>
        <w:t xml:space="preserve"> 2nd edn. San Francisco: Jossey-Bass. Publisher information: </w:t>
      </w:r>
      <w:hyperlink r:id="rId26" w:tgtFrame="_new" w:history="1">
        <w:r w:rsidRPr="00B227DF">
          <w:rPr>
            <w:rStyle w:val="Hyperlink"/>
            <w:rFonts w:ascii="Arial" w:hAnsi="Arial" w:cs="Arial"/>
          </w:rPr>
          <w:t>https://www.wiley.com/en-us/The+Improvement+Guide%3A+A+Practical+Approach+to+Enhancing+Organizational+Performance%2C+2nd+Edition-p-9780470192412</w:t>
        </w:r>
      </w:hyperlink>
    </w:p>
    <w:p w14:paraId="63635A64" w14:textId="73B09C00" w:rsidR="00D77E16" w:rsidRPr="00B227DF" w:rsidRDefault="00D77E16" w:rsidP="00B227DF">
      <w:pPr>
        <w:pStyle w:val="ListParagraph"/>
        <w:numPr>
          <w:ilvl w:val="0"/>
          <w:numId w:val="7"/>
        </w:numPr>
        <w:spacing w:line="360" w:lineRule="auto"/>
        <w:rPr>
          <w:rFonts w:ascii="Arial" w:hAnsi="Arial" w:cs="Arial"/>
        </w:rPr>
      </w:pPr>
      <w:r w:rsidRPr="00B227DF">
        <w:rPr>
          <w:rFonts w:ascii="Arial" w:hAnsi="Arial" w:cs="Arial"/>
        </w:rPr>
        <w:lastRenderedPageBreak/>
        <w:t xml:space="preserve">NCHDA (2022) </w:t>
      </w:r>
      <w:r w:rsidRPr="00B227DF">
        <w:rPr>
          <w:rFonts w:ascii="Arial" w:hAnsi="Arial" w:cs="Arial"/>
          <w:i/>
          <w:iCs/>
        </w:rPr>
        <w:t>National Congenital Heart Disease Audit (NCHDA) 2022 Summary Report (2020/21 data).</w:t>
      </w:r>
      <w:r w:rsidRPr="00B227DF">
        <w:rPr>
          <w:rFonts w:ascii="Arial" w:hAnsi="Arial" w:cs="Arial"/>
        </w:rPr>
        <w:t xml:space="preserve"> London: NICOR. Available at: </w:t>
      </w:r>
      <w:hyperlink r:id="rId27" w:tgtFrame="_new" w:history="1">
        <w:r w:rsidRPr="00B227DF">
          <w:rPr>
            <w:rStyle w:val="Hyperlink"/>
            <w:rFonts w:ascii="Arial" w:hAnsi="Arial" w:cs="Arial"/>
          </w:rPr>
          <w:t>https://www.lhm.org.uk/nicor-nchda/</w:t>
        </w:r>
      </w:hyperlink>
    </w:p>
    <w:p w14:paraId="758FA2E0" w14:textId="236EAB14" w:rsidR="00D77E16" w:rsidRPr="00B227DF" w:rsidRDefault="00D77E16" w:rsidP="00B227DF">
      <w:pPr>
        <w:pStyle w:val="ListParagraph"/>
        <w:numPr>
          <w:ilvl w:val="0"/>
          <w:numId w:val="7"/>
        </w:numPr>
        <w:spacing w:line="360" w:lineRule="auto"/>
        <w:rPr>
          <w:rFonts w:ascii="Arial" w:hAnsi="Arial" w:cs="Arial"/>
        </w:rPr>
      </w:pPr>
      <w:r w:rsidRPr="00B227DF">
        <w:rPr>
          <w:rFonts w:ascii="Arial" w:hAnsi="Arial" w:cs="Arial"/>
        </w:rPr>
        <w:t xml:space="preserve">NHS Confederation (2019) </w:t>
      </w:r>
      <w:r w:rsidRPr="00B227DF">
        <w:rPr>
          <w:rFonts w:ascii="Arial" w:hAnsi="Arial" w:cs="Arial"/>
          <w:i/>
          <w:iCs/>
        </w:rPr>
        <w:t>The NHS patient safety strategy: what you need to know.</w:t>
      </w:r>
      <w:r w:rsidRPr="00B227DF">
        <w:rPr>
          <w:rFonts w:ascii="Arial" w:hAnsi="Arial" w:cs="Arial"/>
        </w:rPr>
        <w:t xml:space="preserve"> Available at: </w:t>
      </w:r>
      <w:hyperlink r:id="rId28" w:tgtFrame="_new" w:history="1">
        <w:r w:rsidRPr="00B227DF">
          <w:rPr>
            <w:rStyle w:val="Hyperlink"/>
            <w:rFonts w:ascii="Arial" w:hAnsi="Arial" w:cs="Arial"/>
          </w:rPr>
          <w:t>https://www.nhsconfed.org/publications/nhs-patient-safety-strategy</w:t>
        </w:r>
      </w:hyperlink>
    </w:p>
    <w:p w14:paraId="22686D27" w14:textId="713B5236" w:rsidR="00D77E16" w:rsidRPr="00B227DF" w:rsidRDefault="00D77E16" w:rsidP="00B227DF">
      <w:pPr>
        <w:pStyle w:val="ListParagraph"/>
        <w:numPr>
          <w:ilvl w:val="0"/>
          <w:numId w:val="7"/>
        </w:numPr>
        <w:spacing w:line="360" w:lineRule="auto"/>
        <w:rPr>
          <w:rFonts w:ascii="Arial" w:hAnsi="Arial" w:cs="Arial"/>
        </w:rPr>
      </w:pPr>
      <w:r w:rsidRPr="00B227DF">
        <w:rPr>
          <w:rFonts w:ascii="Arial" w:hAnsi="Arial" w:cs="Arial"/>
        </w:rPr>
        <w:t xml:space="preserve">NHS England (2019) </w:t>
      </w:r>
      <w:r w:rsidRPr="00B227DF">
        <w:rPr>
          <w:rFonts w:ascii="Arial" w:hAnsi="Arial" w:cs="Arial"/>
          <w:i/>
          <w:iCs/>
        </w:rPr>
        <w:t>The NHS Patient Safety Strategy: Safer culture, safer systems, safer patients.</w:t>
      </w:r>
      <w:r w:rsidRPr="00B227DF">
        <w:rPr>
          <w:rFonts w:ascii="Arial" w:hAnsi="Arial" w:cs="Arial"/>
        </w:rPr>
        <w:t xml:space="preserve"> London: NHS England &amp; NHS Improvement. Available at: </w:t>
      </w:r>
      <w:hyperlink r:id="rId29" w:tgtFrame="_new" w:history="1">
        <w:r w:rsidRPr="00B227DF">
          <w:rPr>
            <w:rStyle w:val="Hyperlink"/>
            <w:rFonts w:ascii="Arial" w:hAnsi="Arial" w:cs="Arial"/>
          </w:rPr>
          <w:t>https://www.england.nhs.uk/wp-content/uploads/2020/08/190708_Patient_Safety_Strategy_for_website_v4.pdf</w:t>
        </w:r>
      </w:hyperlink>
    </w:p>
    <w:p w14:paraId="1B303BB9" w14:textId="77777777" w:rsidR="00D77E16" w:rsidRPr="00B227DF" w:rsidRDefault="00D77E16" w:rsidP="00B227DF">
      <w:pPr>
        <w:pStyle w:val="ListParagraph"/>
        <w:numPr>
          <w:ilvl w:val="0"/>
          <w:numId w:val="7"/>
        </w:numPr>
        <w:spacing w:line="360" w:lineRule="auto"/>
        <w:rPr>
          <w:rFonts w:ascii="Arial" w:hAnsi="Arial" w:cs="Arial"/>
        </w:rPr>
      </w:pPr>
      <w:r w:rsidRPr="00B227DF">
        <w:rPr>
          <w:rFonts w:ascii="Arial" w:hAnsi="Arial" w:cs="Arial"/>
        </w:rPr>
        <w:t xml:space="preserve">NHS England (2021) </w:t>
      </w:r>
      <w:r w:rsidRPr="00B227DF">
        <w:rPr>
          <w:rFonts w:ascii="Arial" w:hAnsi="Arial" w:cs="Arial"/>
          <w:i/>
          <w:iCs/>
        </w:rPr>
        <w:t>NHS patient safety strategy: 2021 update.</w:t>
      </w:r>
      <w:r w:rsidRPr="00B227DF">
        <w:rPr>
          <w:rFonts w:ascii="Arial" w:hAnsi="Arial" w:cs="Arial"/>
        </w:rPr>
        <w:t xml:space="preserve"> London: NHS England. Available at: </w:t>
      </w:r>
      <w:hyperlink r:id="rId30" w:tgtFrame="_new" w:history="1">
        <w:r w:rsidRPr="00B227DF">
          <w:rPr>
            <w:rStyle w:val="Hyperlink"/>
            <w:rFonts w:ascii="Arial" w:hAnsi="Arial" w:cs="Arial"/>
          </w:rPr>
          <w:t>https://www.england.nhs.uk/wp-content/uploads/2021/02/B0225-NHS-Patient-Safety-Strategy-update-Feb-2021-Final-v2.pdf</w:t>
        </w:r>
      </w:hyperlink>
    </w:p>
    <w:p w14:paraId="246FF7C8" w14:textId="77777777" w:rsidR="00D77E16" w:rsidRPr="00B227DF" w:rsidRDefault="00D77E16" w:rsidP="00B227DF">
      <w:pPr>
        <w:pStyle w:val="ListParagraph"/>
        <w:numPr>
          <w:ilvl w:val="0"/>
          <w:numId w:val="7"/>
        </w:numPr>
        <w:spacing w:line="360" w:lineRule="auto"/>
        <w:rPr>
          <w:rFonts w:ascii="Arial" w:hAnsi="Arial" w:cs="Arial"/>
        </w:rPr>
      </w:pPr>
      <w:r w:rsidRPr="00B227DF">
        <w:rPr>
          <w:rFonts w:ascii="Arial" w:hAnsi="Arial" w:cs="Arial"/>
        </w:rPr>
        <w:t xml:space="preserve">NHS England (2021) </w:t>
      </w:r>
      <w:r w:rsidRPr="00B227DF">
        <w:rPr>
          <w:rFonts w:ascii="Arial" w:hAnsi="Arial" w:cs="Arial"/>
          <w:i/>
          <w:iCs/>
        </w:rPr>
        <w:t>Patient Safety Incident Response Framework (PSIRF).</w:t>
      </w:r>
      <w:r w:rsidRPr="00B227DF">
        <w:rPr>
          <w:rFonts w:ascii="Arial" w:hAnsi="Arial" w:cs="Arial"/>
        </w:rPr>
        <w:t xml:space="preserve"> London: NHS England. Available at: </w:t>
      </w:r>
      <w:hyperlink r:id="rId31" w:tgtFrame="_new" w:history="1">
        <w:r w:rsidRPr="00B227DF">
          <w:rPr>
            <w:rStyle w:val="Hyperlink"/>
            <w:rFonts w:ascii="Arial" w:hAnsi="Arial" w:cs="Arial"/>
          </w:rPr>
          <w:t>https://www.england.nhs.uk/patient-safety/incident-response-framework/</w:t>
        </w:r>
      </w:hyperlink>
    </w:p>
    <w:p w14:paraId="768189BF" w14:textId="644EEF39" w:rsidR="00D77E16" w:rsidRPr="00B227DF" w:rsidRDefault="00D77E16" w:rsidP="00B227DF">
      <w:pPr>
        <w:pStyle w:val="ListParagraph"/>
        <w:numPr>
          <w:ilvl w:val="0"/>
          <w:numId w:val="7"/>
        </w:numPr>
        <w:spacing w:line="360" w:lineRule="auto"/>
        <w:rPr>
          <w:rFonts w:ascii="Arial" w:hAnsi="Arial" w:cs="Arial"/>
        </w:rPr>
      </w:pPr>
      <w:r w:rsidRPr="00B227DF">
        <w:rPr>
          <w:rFonts w:ascii="Arial" w:hAnsi="Arial" w:cs="Arial"/>
        </w:rPr>
        <w:t xml:space="preserve">NHS England (2023) </w:t>
      </w:r>
      <w:r w:rsidRPr="00B227DF">
        <w:rPr>
          <w:rFonts w:ascii="Arial" w:hAnsi="Arial" w:cs="Arial"/>
          <w:i/>
          <w:iCs/>
        </w:rPr>
        <w:t>Improving patient safety culture – a practical guide.</w:t>
      </w:r>
      <w:r w:rsidRPr="00B227DF">
        <w:rPr>
          <w:rFonts w:ascii="Arial" w:hAnsi="Arial" w:cs="Arial"/>
        </w:rPr>
        <w:t xml:space="preserve"> Available at: </w:t>
      </w:r>
      <w:hyperlink r:id="rId32" w:tgtFrame="_new" w:history="1">
        <w:r w:rsidRPr="00B227DF">
          <w:rPr>
            <w:rStyle w:val="Hyperlink"/>
            <w:rFonts w:ascii="Arial" w:hAnsi="Arial" w:cs="Arial"/>
          </w:rPr>
          <w:t>https://www.england.nhs.uk/long-read/improving-patient-safety-culture-a-practical-guide/</w:t>
        </w:r>
      </w:hyperlink>
    </w:p>
    <w:p w14:paraId="628E5946" w14:textId="7DF0476F" w:rsidR="00D77E16" w:rsidRPr="00B227DF" w:rsidRDefault="00D77E16" w:rsidP="00B227DF">
      <w:pPr>
        <w:pStyle w:val="ListParagraph"/>
        <w:numPr>
          <w:ilvl w:val="0"/>
          <w:numId w:val="7"/>
        </w:numPr>
        <w:spacing w:line="360" w:lineRule="auto"/>
        <w:rPr>
          <w:rFonts w:ascii="Arial" w:hAnsi="Arial" w:cs="Arial"/>
        </w:rPr>
      </w:pPr>
      <w:r w:rsidRPr="00B227DF">
        <w:rPr>
          <w:rFonts w:ascii="Arial" w:hAnsi="Arial" w:cs="Arial"/>
        </w:rPr>
        <w:t xml:space="preserve">NHS England (n.d.) </w:t>
      </w:r>
      <w:r w:rsidRPr="00B227DF">
        <w:rPr>
          <w:rFonts w:ascii="Arial" w:hAnsi="Arial" w:cs="Arial"/>
          <w:i/>
          <w:iCs/>
        </w:rPr>
        <w:t>Being fair tool: Supporting a just and learning culture for staff and patients following a patient safety incident.</w:t>
      </w:r>
      <w:r w:rsidRPr="00B227DF">
        <w:rPr>
          <w:rFonts w:ascii="Arial" w:hAnsi="Arial" w:cs="Arial"/>
        </w:rPr>
        <w:t xml:space="preserve"> Available at: </w:t>
      </w:r>
      <w:hyperlink r:id="rId33" w:tgtFrame="_new" w:history="1">
        <w:r w:rsidRPr="00B227DF">
          <w:rPr>
            <w:rStyle w:val="Hyperlink"/>
            <w:rFonts w:ascii="Arial" w:hAnsi="Arial" w:cs="Arial"/>
          </w:rPr>
          <w:t>https://www.england.nhs.uk/patient-safety/patient-safety-culture/being-fair-tool/</w:t>
        </w:r>
      </w:hyperlink>
    </w:p>
    <w:p w14:paraId="0A03BA0F" w14:textId="77777777" w:rsidR="00D77E16" w:rsidRPr="00B227DF" w:rsidRDefault="00D77E16" w:rsidP="00B227DF">
      <w:pPr>
        <w:pStyle w:val="ListParagraph"/>
        <w:numPr>
          <w:ilvl w:val="0"/>
          <w:numId w:val="7"/>
        </w:numPr>
        <w:spacing w:line="360" w:lineRule="auto"/>
        <w:rPr>
          <w:rFonts w:ascii="Arial" w:hAnsi="Arial" w:cs="Arial"/>
        </w:rPr>
      </w:pPr>
      <w:r w:rsidRPr="00B227DF">
        <w:rPr>
          <w:rFonts w:ascii="Arial" w:hAnsi="Arial" w:cs="Arial"/>
        </w:rPr>
        <w:t xml:space="preserve">NHS Staff Survey (2024) </w:t>
      </w:r>
      <w:r w:rsidRPr="00B227DF">
        <w:rPr>
          <w:rFonts w:ascii="Arial" w:hAnsi="Arial" w:cs="Arial"/>
          <w:i/>
          <w:iCs/>
        </w:rPr>
        <w:t>NHS Staff Survey National Results.</w:t>
      </w:r>
      <w:r w:rsidRPr="00B227DF">
        <w:rPr>
          <w:rFonts w:ascii="Arial" w:hAnsi="Arial" w:cs="Arial"/>
        </w:rPr>
        <w:t xml:space="preserve"> Available at: </w:t>
      </w:r>
      <w:hyperlink r:id="rId34" w:tgtFrame="_new" w:history="1">
        <w:r w:rsidRPr="00B227DF">
          <w:rPr>
            <w:rStyle w:val="Hyperlink"/>
            <w:rFonts w:ascii="Arial" w:hAnsi="Arial" w:cs="Arial"/>
          </w:rPr>
          <w:t>https://www.nhsstaffsurveys.com/results/national-results/</w:t>
        </w:r>
      </w:hyperlink>
    </w:p>
    <w:p w14:paraId="4C058CF1" w14:textId="2484B7B7" w:rsidR="00D77E16" w:rsidRPr="00B227DF" w:rsidRDefault="00D77E16" w:rsidP="00B227DF">
      <w:pPr>
        <w:pStyle w:val="ListParagraph"/>
        <w:numPr>
          <w:ilvl w:val="0"/>
          <w:numId w:val="7"/>
        </w:numPr>
        <w:spacing w:line="360" w:lineRule="auto"/>
        <w:rPr>
          <w:rFonts w:ascii="Arial" w:hAnsi="Arial" w:cs="Arial"/>
        </w:rPr>
      </w:pPr>
      <w:r w:rsidRPr="00B227DF">
        <w:rPr>
          <w:rFonts w:ascii="Arial" w:hAnsi="Arial" w:cs="Arial"/>
        </w:rPr>
        <w:t xml:space="preserve">North Bristol NHS Trust (2023) </w:t>
      </w:r>
      <w:r w:rsidRPr="00B227DF">
        <w:rPr>
          <w:rFonts w:ascii="Arial" w:hAnsi="Arial" w:cs="Arial"/>
          <w:i/>
          <w:iCs/>
        </w:rPr>
        <w:t>Patient Safety Incident Response Plan (PSIRP) 2023–2025.</w:t>
      </w:r>
      <w:r w:rsidRPr="00B227DF">
        <w:rPr>
          <w:rFonts w:ascii="Arial" w:hAnsi="Arial" w:cs="Arial"/>
        </w:rPr>
        <w:t xml:space="preserve"> Available at: </w:t>
      </w:r>
      <w:hyperlink r:id="rId35" w:tgtFrame="_new" w:history="1">
        <w:r w:rsidRPr="00B227DF">
          <w:rPr>
            <w:rStyle w:val="Hyperlink"/>
            <w:rFonts w:ascii="Arial" w:hAnsi="Arial" w:cs="Arial"/>
          </w:rPr>
          <w:t>https://www.nbt.nhs.uk/sites/default/files/document/NBT%20Patient%20Safety%20Incident%20Response%20Plan%202023-2025%20Final%20v2.pdf</w:t>
        </w:r>
      </w:hyperlink>
    </w:p>
    <w:p w14:paraId="0BFCDBEF" w14:textId="77777777" w:rsidR="00D77E16" w:rsidRPr="00B227DF" w:rsidRDefault="00D77E16" w:rsidP="00B227DF">
      <w:pPr>
        <w:pStyle w:val="ListParagraph"/>
        <w:numPr>
          <w:ilvl w:val="0"/>
          <w:numId w:val="7"/>
        </w:numPr>
        <w:spacing w:line="360" w:lineRule="auto"/>
        <w:rPr>
          <w:rFonts w:ascii="Arial" w:hAnsi="Arial" w:cs="Arial"/>
        </w:rPr>
      </w:pPr>
      <w:r w:rsidRPr="00B227DF">
        <w:rPr>
          <w:rFonts w:ascii="Arial" w:hAnsi="Arial" w:cs="Arial"/>
        </w:rPr>
        <w:t xml:space="preserve">O’Daniel, M. &amp; Rosenstein, A. (2008) ‘Professional communication and team collaboration’, in Hughes, R. (ed.) </w:t>
      </w:r>
      <w:r w:rsidRPr="00B227DF">
        <w:rPr>
          <w:rFonts w:ascii="Arial" w:hAnsi="Arial" w:cs="Arial"/>
          <w:i/>
          <w:iCs/>
        </w:rPr>
        <w:t>Patient Safety and Quality: An Evidence-Based Handbook for Nurses.</w:t>
      </w:r>
      <w:r w:rsidRPr="00B227DF">
        <w:rPr>
          <w:rFonts w:ascii="Arial" w:hAnsi="Arial" w:cs="Arial"/>
        </w:rPr>
        <w:t xml:space="preserve"> AHRQ. Available at: </w:t>
      </w:r>
      <w:hyperlink r:id="rId36" w:tgtFrame="_new" w:history="1">
        <w:r w:rsidRPr="00B227DF">
          <w:rPr>
            <w:rStyle w:val="Hyperlink"/>
            <w:rFonts w:ascii="Arial" w:hAnsi="Arial" w:cs="Arial"/>
          </w:rPr>
          <w:t>https://www.ncbi.nlm.nih.gov/books/NBK2637/</w:t>
        </w:r>
      </w:hyperlink>
    </w:p>
    <w:p w14:paraId="7E8E2641" w14:textId="100057CD" w:rsidR="00D77E16" w:rsidRPr="00B227DF" w:rsidRDefault="00D77E16" w:rsidP="00B227DF">
      <w:pPr>
        <w:pStyle w:val="ListParagraph"/>
        <w:numPr>
          <w:ilvl w:val="0"/>
          <w:numId w:val="7"/>
        </w:numPr>
        <w:spacing w:line="360" w:lineRule="auto"/>
        <w:rPr>
          <w:rFonts w:ascii="Arial" w:hAnsi="Arial" w:cs="Arial"/>
        </w:rPr>
      </w:pPr>
      <w:r w:rsidRPr="00B227DF">
        <w:rPr>
          <w:rFonts w:ascii="Arial" w:hAnsi="Arial" w:cs="Arial"/>
        </w:rPr>
        <w:t xml:space="preserve">Patient Safety Learning (2025) </w:t>
      </w:r>
      <w:r w:rsidRPr="00B227DF">
        <w:rPr>
          <w:rFonts w:ascii="Arial" w:hAnsi="Arial" w:cs="Arial"/>
          <w:i/>
          <w:iCs/>
        </w:rPr>
        <w:t>What NHS staff think about patient safety: it’s still not safe.</w:t>
      </w:r>
      <w:r w:rsidRPr="00B227DF">
        <w:rPr>
          <w:rFonts w:ascii="Arial" w:hAnsi="Arial" w:cs="Arial"/>
        </w:rPr>
        <w:t xml:space="preserve"> Available at: </w:t>
      </w:r>
      <w:hyperlink r:id="rId37" w:tgtFrame="_new" w:history="1">
        <w:r w:rsidRPr="00B227DF">
          <w:rPr>
            <w:rStyle w:val="Hyperlink"/>
            <w:rFonts w:ascii="Arial" w:hAnsi="Arial" w:cs="Arial"/>
          </w:rPr>
          <w:t>https://www.patientsafetylearning.org/blog/what-nhs-staff-think-about-patient-safety-its-still-not-safe-patient-safety-learnings-response-to-the-nhs-staff-survey-results-2024</w:t>
        </w:r>
      </w:hyperlink>
    </w:p>
    <w:p w14:paraId="2E5E81ED" w14:textId="77777777" w:rsidR="00D77E16" w:rsidRPr="00B227DF" w:rsidRDefault="00D77E16" w:rsidP="00B227DF">
      <w:pPr>
        <w:pStyle w:val="ListParagraph"/>
        <w:numPr>
          <w:ilvl w:val="0"/>
          <w:numId w:val="7"/>
        </w:numPr>
        <w:spacing w:line="360" w:lineRule="auto"/>
        <w:rPr>
          <w:rFonts w:ascii="Arial" w:hAnsi="Arial" w:cs="Arial"/>
        </w:rPr>
      </w:pPr>
      <w:r w:rsidRPr="00B227DF">
        <w:rPr>
          <w:rFonts w:ascii="Arial" w:hAnsi="Arial" w:cs="Arial"/>
        </w:rPr>
        <w:lastRenderedPageBreak/>
        <w:t xml:space="preserve">Reason, J. (2000) ‘Human error: models and management’, </w:t>
      </w:r>
      <w:r w:rsidRPr="00B227DF">
        <w:rPr>
          <w:rFonts w:ascii="Arial" w:hAnsi="Arial" w:cs="Arial"/>
          <w:i/>
          <w:iCs/>
        </w:rPr>
        <w:t>BMJ</w:t>
      </w:r>
      <w:r w:rsidRPr="00B227DF">
        <w:rPr>
          <w:rFonts w:ascii="Arial" w:hAnsi="Arial" w:cs="Arial"/>
        </w:rPr>
        <w:t xml:space="preserve">, 320(7237), pp. 768–770. Available at: </w:t>
      </w:r>
      <w:hyperlink r:id="rId38" w:tgtFrame="_new" w:history="1">
        <w:r w:rsidRPr="00B227DF">
          <w:rPr>
            <w:rStyle w:val="Hyperlink"/>
            <w:rFonts w:ascii="Arial" w:hAnsi="Arial" w:cs="Arial"/>
          </w:rPr>
          <w:t>https://www.bmj.com/content/320/7237/768</w:t>
        </w:r>
      </w:hyperlink>
    </w:p>
    <w:p w14:paraId="7AAB33BE" w14:textId="420E1F7E" w:rsidR="00D77E16" w:rsidRPr="00B227DF" w:rsidRDefault="00D77E16" w:rsidP="00B227DF">
      <w:pPr>
        <w:pStyle w:val="ListParagraph"/>
        <w:numPr>
          <w:ilvl w:val="0"/>
          <w:numId w:val="7"/>
        </w:numPr>
        <w:spacing w:line="360" w:lineRule="auto"/>
        <w:rPr>
          <w:rFonts w:ascii="Arial" w:hAnsi="Arial" w:cs="Arial"/>
        </w:rPr>
      </w:pPr>
      <w:r w:rsidRPr="00B227DF">
        <w:rPr>
          <w:rFonts w:ascii="Arial" w:hAnsi="Arial" w:cs="Arial"/>
        </w:rPr>
        <w:t xml:space="preserve">Royal Wolverhampton NHS Trust (2020) </w:t>
      </w:r>
      <w:r w:rsidRPr="00B227DF">
        <w:rPr>
          <w:rFonts w:ascii="Arial" w:hAnsi="Arial" w:cs="Arial"/>
          <w:i/>
          <w:iCs/>
        </w:rPr>
        <w:t>Our Patient Quality and Safety Strategy.</w:t>
      </w:r>
      <w:r w:rsidRPr="00B227DF">
        <w:rPr>
          <w:rFonts w:ascii="Arial" w:hAnsi="Arial" w:cs="Arial"/>
        </w:rPr>
        <w:t xml:space="preserve"> Available at: </w:t>
      </w:r>
      <w:hyperlink r:id="rId39" w:tgtFrame="_new" w:history="1">
        <w:r w:rsidRPr="00B227DF">
          <w:rPr>
            <w:rStyle w:val="Hyperlink"/>
            <w:rFonts w:ascii="Arial" w:hAnsi="Arial" w:cs="Arial"/>
          </w:rPr>
          <w:t>https://royalwolverhampton.nhs.uk/wp-content/uploads/2024/10/14107_Our_Patient_Quality_and_Safety_Strategy.pdf</w:t>
        </w:r>
      </w:hyperlink>
    </w:p>
    <w:p w14:paraId="14ECE747" w14:textId="1B931545" w:rsidR="00D77E16" w:rsidRPr="00B227DF" w:rsidRDefault="00D77E16" w:rsidP="00B227DF">
      <w:pPr>
        <w:pStyle w:val="ListParagraph"/>
        <w:numPr>
          <w:ilvl w:val="0"/>
          <w:numId w:val="7"/>
        </w:numPr>
        <w:spacing w:line="360" w:lineRule="auto"/>
        <w:rPr>
          <w:rFonts w:ascii="Arial" w:hAnsi="Arial" w:cs="Arial"/>
        </w:rPr>
      </w:pPr>
      <w:r w:rsidRPr="00B227DF">
        <w:rPr>
          <w:rFonts w:ascii="Arial" w:hAnsi="Arial" w:cs="Arial"/>
        </w:rPr>
        <w:t xml:space="preserve">Scally, G. &amp; Donaldson, L. (1998) ‘Clinical governance and the drive for quality improvement in the new NHS in England’, </w:t>
      </w:r>
      <w:r w:rsidRPr="00B227DF">
        <w:rPr>
          <w:rFonts w:ascii="Arial" w:hAnsi="Arial" w:cs="Arial"/>
          <w:i/>
          <w:iCs/>
        </w:rPr>
        <w:t>BMJ</w:t>
      </w:r>
      <w:r w:rsidRPr="00B227DF">
        <w:rPr>
          <w:rFonts w:ascii="Arial" w:hAnsi="Arial" w:cs="Arial"/>
        </w:rPr>
        <w:t xml:space="preserve">, 317(7150), pp. 61–65. Available at: </w:t>
      </w:r>
      <w:hyperlink r:id="rId40" w:tgtFrame="_new" w:history="1">
        <w:r w:rsidRPr="00B227DF">
          <w:rPr>
            <w:rStyle w:val="Hyperlink"/>
            <w:rFonts w:ascii="Arial" w:hAnsi="Arial" w:cs="Arial"/>
          </w:rPr>
          <w:t>https://www.bmj.com/content/317/7150/61</w:t>
        </w:r>
      </w:hyperlink>
    </w:p>
    <w:p w14:paraId="5F714DF5" w14:textId="77777777" w:rsidR="00D77E16" w:rsidRPr="00B227DF" w:rsidRDefault="00D77E16" w:rsidP="00B227DF">
      <w:pPr>
        <w:pStyle w:val="ListParagraph"/>
        <w:numPr>
          <w:ilvl w:val="0"/>
          <w:numId w:val="7"/>
        </w:numPr>
        <w:spacing w:line="360" w:lineRule="auto"/>
        <w:rPr>
          <w:rFonts w:ascii="Arial" w:hAnsi="Arial" w:cs="Arial"/>
        </w:rPr>
      </w:pPr>
      <w:r w:rsidRPr="00B227DF">
        <w:rPr>
          <w:rFonts w:ascii="Arial" w:hAnsi="Arial" w:cs="Arial"/>
        </w:rPr>
        <w:t xml:space="preserve">Taner, M., Sezen, B. &amp; Antony, J. (2007) ‘An overview of Six Sigma applications in healthcare industry’, </w:t>
      </w:r>
      <w:r w:rsidRPr="00B227DF">
        <w:rPr>
          <w:rFonts w:ascii="Arial" w:hAnsi="Arial" w:cs="Arial"/>
          <w:i/>
          <w:iCs/>
        </w:rPr>
        <w:t>International Journal of Health Care Quality Assurance</w:t>
      </w:r>
      <w:r w:rsidRPr="00B227DF">
        <w:rPr>
          <w:rFonts w:ascii="Arial" w:hAnsi="Arial" w:cs="Arial"/>
        </w:rPr>
        <w:t xml:space="preserve">, 20(4), pp. 329–340. Available at: </w:t>
      </w:r>
      <w:hyperlink r:id="rId41" w:tgtFrame="_new" w:history="1">
        <w:r w:rsidRPr="00B227DF">
          <w:rPr>
            <w:rStyle w:val="Hyperlink"/>
            <w:rFonts w:ascii="Arial" w:hAnsi="Arial" w:cs="Arial"/>
          </w:rPr>
          <w:t>https://www.emerald.com/insight/content/doi/10.1108/09526860710754398/full/html</w:t>
        </w:r>
      </w:hyperlink>
    </w:p>
    <w:p w14:paraId="18C88E91" w14:textId="2B9FF391" w:rsidR="00D77E16" w:rsidRPr="00B227DF" w:rsidRDefault="00D77E16" w:rsidP="00B227DF">
      <w:pPr>
        <w:pStyle w:val="ListParagraph"/>
        <w:numPr>
          <w:ilvl w:val="0"/>
          <w:numId w:val="7"/>
        </w:numPr>
        <w:spacing w:line="360" w:lineRule="auto"/>
        <w:rPr>
          <w:rFonts w:ascii="Arial" w:hAnsi="Arial" w:cs="Arial"/>
        </w:rPr>
      </w:pPr>
      <w:r w:rsidRPr="00B227DF">
        <w:rPr>
          <w:rFonts w:ascii="Arial" w:hAnsi="Arial" w:cs="Arial"/>
        </w:rPr>
        <w:t xml:space="preserve">Taylor, M.J. et al. (2014) ‘Systematic review of the application of the plan–do–study–act method to improve quality in healthcare’, </w:t>
      </w:r>
      <w:r w:rsidRPr="00B227DF">
        <w:rPr>
          <w:rFonts w:ascii="Arial" w:hAnsi="Arial" w:cs="Arial"/>
          <w:i/>
          <w:iCs/>
        </w:rPr>
        <w:t>BMJ Quality &amp; Safety</w:t>
      </w:r>
      <w:r w:rsidRPr="00B227DF">
        <w:rPr>
          <w:rFonts w:ascii="Arial" w:hAnsi="Arial" w:cs="Arial"/>
        </w:rPr>
        <w:t xml:space="preserve">, 23(4), pp. 290–298. Available at: </w:t>
      </w:r>
      <w:hyperlink r:id="rId42" w:tgtFrame="_new" w:history="1">
        <w:r w:rsidRPr="00B227DF">
          <w:rPr>
            <w:rStyle w:val="Hyperlink"/>
            <w:rFonts w:ascii="Arial" w:hAnsi="Arial" w:cs="Arial"/>
          </w:rPr>
          <w:t>https://qualitysafety.bmj.com/content/23/4/290</w:t>
        </w:r>
      </w:hyperlink>
    </w:p>
    <w:p w14:paraId="61120CFE" w14:textId="0AA746B6" w:rsidR="00D77E16" w:rsidRPr="00B227DF" w:rsidRDefault="00D77E16" w:rsidP="00B227DF">
      <w:pPr>
        <w:pStyle w:val="ListParagraph"/>
        <w:numPr>
          <w:ilvl w:val="0"/>
          <w:numId w:val="7"/>
        </w:numPr>
        <w:spacing w:line="360" w:lineRule="auto"/>
        <w:rPr>
          <w:rFonts w:ascii="Arial" w:hAnsi="Arial" w:cs="Arial"/>
        </w:rPr>
      </w:pPr>
      <w:r w:rsidRPr="00B227DF">
        <w:rPr>
          <w:rFonts w:ascii="Arial" w:hAnsi="Arial" w:cs="Arial"/>
        </w:rPr>
        <w:t xml:space="preserve">Vincent, C., Burnett, S. &amp; Carthey, J. (2014) ‘The measurement and monitoring of safety’, </w:t>
      </w:r>
      <w:r w:rsidRPr="00B227DF">
        <w:rPr>
          <w:rFonts w:ascii="Arial" w:hAnsi="Arial" w:cs="Arial"/>
          <w:i/>
          <w:iCs/>
        </w:rPr>
        <w:t>BMJ Quality &amp; Safety</w:t>
      </w:r>
      <w:r w:rsidRPr="00B227DF">
        <w:rPr>
          <w:rFonts w:ascii="Arial" w:hAnsi="Arial" w:cs="Arial"/>
        </w:rPr>
        <w:t xml:space="preserve">, 23(8), pp. 670–677. Available at: </w:t>
      </w:r>
      <w:hyperlink r:id="rId43" w:tgtFrame="_new" w:history="1">
        <w:r w:rsidRPr="00B227DF">
          <w:rPr>
            <w:rStyle w:val="Hyperlink"/>
            <w:rFonts w:ascii="Arial" w:hAnsi="Arial" w:cs="Arial"/>
          </w:rPr>
          <w:t>https://qualitysafety.bmj.com/content/23/8/670</w:t>
        </w:r>
      </w:hyperlink>
    </w:p>
    <w:p w14:paraId="0C894E95" w14:textId="77777777" w:rsidR="00D77E16" w:rsidRPr="00B227DF" w:rsidRDefault="00D77E16" w:rsidP="00B227DF">
      <w:pPr>
        <w:pStyle w:val="ListParagraph"/>
        <w:numPr>
          <w:ilvl w:val="0"/>
          <w:numId w:val="7"/>
        </w:numPr>
        <w:spacing w:line="360" w:lineRule="auto"/>
        <w:rPr>
          <w:rFonts w:ascii="Arial" w:hAnsi="Arial" w:cs="Arial"/>
        </w:rPr>
      </w:pPr>
      <w:r w:rsidRPr="00B227DF">
        <w:rPr>
          <w:rFonts w:ascii="Arial" w:hAnsi="Arial" w:cs="Arial"/>
        </w:rPr>
        <w:t xml:space="preserve">Weaver, S. et al. (2013) ‘Promoting a culture of safety as a patient safety strategy: a systematic review’, </w:t>
      </w:r>
      <w:r w:rsidRPr="00B227DF">
        <w:rPr>
          <w:rFonts w:ascii="Arial" w:hAnsi="Arial" w:cs="Arial"/>
          <w:i/>
          <w:iCs/>
        </w:rPr>
        <w:t>Annals of Internal Medicine</w:t>
      </w:r>
      <w:r w:rsidRPr="00B227DF">
        <w:rPr>
          <w:rFonts w:ascii="Arial" w:hAnsi="Arial" w:cs="Arial"/>
        </w:rPr>
        <w:t xml:space="preserve">, 158(5 Pt 2), pp. 369–374. Available at: </w:t>
      </w:r>
      <w:hyperlink r:id="rId44" w:tgtFrame="_new" w:history="1">
        <w:r w:rsidRPr="00B227DF">
          <w:rPr>
            <w:rStyle w:val="Hyperlink"/>
            <w:rFonts w:ascii="Arial" w:hAnsi="Arial" w:cs="Arial"/>
          </w:rPr>
          <w:t>https://www.acpjournals.org/doi/10.7326/0003-4819-158-5-201303051-00002</w:t>
        </w:r>
      </w:hyperlink>
    </w:p>
    <w:p w14:paraId="0A986999" w14:textId="77777777" w:rsidR="00D77E16" w:rsidRPr="00B227DF" w:rsidRDefault="00D77E16" w:rsidP="00B227DF">
      <w:pPr>
        <w:pStyle w:val="ListParagraph"/>
        <w:numPr>
          <w:ilvl w:val="0"/>
          <w:numId w:val="7"/>
        </w:numPr>
        <w:spacing w:line="360" w:lineRule="auto"/>
        <w:rPr>
          <w:rFonts w:ascii="Arial" w:hAnsi="Arial" w:cs="Arial"/>
        </w:rPr>
      </w:pPr>
      <w:r w:rsidRPr="00B227DF">
        <w:rPr>
          <w:rFonts w:ascii="Arial" w:hAnsi="Arial" w:cs="Arial"/>
        </w:rPr>
        <w:t xml:space="preserve">Walshe, K. &amp; Offen, N. (2001) ‘A very public failure: lessons for quality improvement in healthcare organisations from the Bristol Royal Infirmary’, </w:t>
      </w:r>
      <w:r w:rsidRPr="00B227DF">
        <w:rPr>
          <w:rFonts w:ascii="Arial" w:hAnsi="Arial" w:cs="Arial"/>
          <w:i/>
          <w:iCs/>
        </w:rPr>
        <w:t>Quality in Health Care</w:t>
      </w:r>
      <w:r w:rsidRPr="00B227DF">
        <w:rPr>
          <w:rFonts w:ascii="Arial" w:hAnsi="Arial" w:cs="Arial"/>
        </w:rPr>
        <w:t xml:space="preserve">, 10(4), pp. 250–256. Available at: </w:t>
      </w:r>
      <w:hyperlink r:id="rId45" w:tgtFrame="_new" w:history="1">
        <w:r w:rsidRPr="00B227DF">
          <w:rPr>
            <w:rStyle w:val="Hyperlink"/>
            <w:rFonts w:ascii="Arial" w:hAnsi="Arial" w:cs="Arial"/>
          </w:rPr>
          <w:t>https://qualitysafety.bmj.com/content/10/4/250</w:t>
        </w:r>
      </w:hyperlink>
    </w:p>
    <w:p w14:paraId="1417C04B" w14:textId="21CB2D51" w:rsidR="00D77E16" w:rsidRPr="00B227DF" w:rsidRDefault="00D77E16" w:rsidP="00B227DF">
      <w:pPr>
        <w:pStyle w:val="ListParagraph"/>
        <w:numPr>
          <w:ilvl w:val="0"/>
          <w:numId w:val="7"/>
        </w:numPr>
        <w:spacing w:line="360" w:lineRule="auto"/>
        <w:rPr>
          <w:rFonts w:ascii="Arial" w:hAnsi="Arial" w:cs="Arial"/>
        </w:rPr>
      </w:pPr>
      <w:r w:rsidRPr="00B227DF">
        <w:rPr>
          <w:rFonts w:ascii="Arial" w:hAnsi="Arial" w:cs="Arial"/>
        </w:rPr>
        <w:t xml:space="preserve">World Health Organization (2021) </w:t>
      </w:r>
      <w:r w:rsidRPr="00B227DF">
        <w:rPr>
          <w:rFonts w:ascii="Arial" w:hAnsi="Arial" w:cs="Arial"/>
          <w:i/>
          <w:iCs/>
        </w:rPr>
        <w:t>Global Patient Safety Action Plan 2021–2030.</w:t>
      </w:r>
      <w:r w:rsidRPr="00B227DF">
        <w:rPr>
          <w:rFonts w:ascii="Arial" w:hAnsi="Arial" w:cs="Arial"/>
        </w:rPr>
        <w:t xml:space="preserve"> Geneva: WHO. Available at: </w:t>
      </w:r>
      <w:hyperlink r:id="rId46" w:tgtFrame="_new" w:history="1">
        <w:r w:rsidRPr="00B227DF">
          <w:rPr>
            <w:rStyle w:val="Hyperlink"/>
            <w:rFonts w:ascii="Arial" w:hAnsi="Arial" w:cs="Arial"/>
          </w:rPr>
          <w:t>https://www.who.int/docs/default-source/patient-safety/global-patient-safety-action-plan-2021-2030_third-draft_january-2021_web.pdf</w:t>
        </w:r>
      </w:hyperlink>
    </w:p>
    <w:p w14:paraId="5FF732A3" w14:textId="77777777" w:rsidR="00D77E16" w:rsidRPr="00B227DF" w:rsidRDefault="00D77E16" w:rsidP="00B227DF">
      <w:pPr>
        <w:spacing w:line="360" w:lineRule="auto"/>
        <w:rPr>
          <w:rFonts w:ascii="Arial" w:hAnsi="Arial" w:cs="Arial"/>
        </w:rPr>
      </w:pPr>
    </w:p>
    <w:sectPr w:rsidR="00D77E16" w:rsidRPr="00B227DF">
      <w:footerReference w:type="default" r:id="rId4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240B32" w14:textId="77777777" w:rsidR="00DA68F7" w:rsidRDefault="00DA68F7" w:rsidP="00367175">
      <w:pPr>
        <w:spacing w:after="0" w:line="240" w:lineRule="auto"/>
      </w:pPr>
      <w:r>
        <w:separator/>
      </w:r>
    </w:p>
  </w:endnote>
  <w:endnote w:type="continuationSeparator" w:id="0">
    <w:p w14:paraId="452E848D" w14:textId="77777777" w:rsidR="00DA68F7" w:rsidRDefault="00DA68F7" w:rsidP="003671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40701828"/>
      <w:docPartObj>
        <w:docPartGallery w:val="Page Numbers (Bottom of Page)"/>
        <w:docPartUnique/>
      </w:docPartObj>
    </w:sdtPr>
    <w:sdtEndPr>
      <w:rPr>
        <w:noProof/>
      </w:rPr>
    </w:sdtEndPr>
    <w:sdtContent>
      <w:p w14:paraId="01297AB2" w14:textId="699EFB37" w:rsidR="00367175" w:rsidRDefault="0036717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D127436" w14:textId="77777777" w:rsidR="00367175" w:rsidRDefault="003671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FAAFE9" w14:textId="77777777" w:rsidR="00DA68F7" w:rsidRDefault="00DA68F7" w:rsidP="00367175">
      <w:pPr>
        <w:spacing w:after="0" w:line="240" w:lineRule="auto"/>
      </w:pPr>
      <w:r>
        <w:separator/>
      </w:r>
    </w:p>
  </w:footnote>
  <w:footnote w:type="continuationSeparator" w:id="0">
    <w:p w14:paraId="2A2ED713" w14:textId="77777777" w:rsidR="00DA68F7" w:rsidRDefault="00DA68F7" w:rsidP="0036717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6339B1"/>
    <w:multiLevelType w:val="multilevel"/>
    <w:tmpl w:val="E42E65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5E0FD0"/>
    <w:multiLevelType w:val="multilevel"/>
    <w:tmpl w:val="A5A8D0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B59081C"/>
    <w:multiLevelType w:val="multilevel"/>
    <w:tmpl w:val="8FCAA4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0276E6A"/>
    <w:multiLevelType w:val="multilevel"/>
    <w:tmpl w:val="53E4DD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107BAE"/>
    <w:multiLevelType w:val="multilevel"/>
    <w:tmpl w:val="45D8D5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BC7910"/>
    <w:multiLevelType w:val="hybridMultilevel"/>
    <w:tmpl w:val="7BB41E5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1F3D1CD9"/>
    <w:multiLevelType w:val="multilevel"/>
    <w:tmpl w:val="CAD84E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8451373"/>
    <w:multiLevelType w:val="multilevel"/>
    <w:tmpl w:val="BAA6FE06"/>
    <w:lvl w:ilvl="0">
      <w:start w:val="3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9C94B15"/>
    <w:multiLevelType w:val="multilevel"/>
    <w:tmpl w:val="40CE96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25E7937"/>
    <w:multiLevelType w:val="multilevel"/>
    <w:tmpl w:val="F5D44C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34A56F4"/>
    <w:multiLevelType w:val="multilevel"/>
    <w:tmpl w:val="307C6AAA"/>
    <w:lvl w:ilvl="0">
      <w:start w:val="2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4A1304E"/>
    <w:multiLevelType w:val="multilevel"/>
    <w:tmpl w:val="D69CB384"/>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5CD3984"/>
    <w:multiLevelType w:val="multilevel"/>
    <w:tmpl w:val="777E7F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DA53120"/>
    <w:multiLevelType w:val="multilevel"/>
    <w:tmpl w:val="88FCC7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E5741F5"/>
    <w:multiLevelType w:val="hybridMultilevel"/>
    <w:tmpl w:val="19E012A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5" w15:restartNumberingAfterBreak="0">
    <w:nsid w:val="4C2866AB"/>
    <w:multiLevelType w:val="multilevel"/>
    <w:tmpl w:val="05502D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6673D71"/>
    <w:multiLevelType w:val="multilevel"/>
    <w:tmpl w:val="D1E26982"/>
    <w:lvl w:ilvl="0">
      <w:start w:val="2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9400EFE"/>
    <w:multiLevelType w:val="multilevel"/>
    <w:tmpl w:val="AD74D1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8F63DC7"/>
    <w:multiLevelType w:val="multilevel"/>
    <w:tmpl w:val="97FC4C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33206418">
    <w:abstractNumId w:val="1"/>
  </w:num>
  <w:num w:numId="2" w16cid:durableId="732241632">
    <w:abstractNumId w:val="11"/>
  </w:num>
  <w:num w:numId="3" w16cid:durableId="1291977463">
    <w:abstractNumId w:val="10"/>
  </w:num>
  <w:num w:numId="4" w16cid:durableId="453528274">
    <w:abstractNumId w:val="16"/>
  </w:num>
  <w:num w:numId="5" w16cid:durableId="1861506907">
    <w:abstractNumId w:val="7"/>
  </w:num>
  <w:num w:numId="6" w16cid:durableId="753893345">
    <w:abstractNumId w:val="14"/>
  </w:num>
  <w:num w:numId="7" w16cid:durableId="720861772">
    <w:abstractNumId w:val="5"/>
  </w:num>
  <w:num w:numId="8" w16cid:durableId="1247882862">
    <w:abstractNumId w:val="0"/>
  </w:num>
  <w:num w:numId="9" w16cid:durableId="569735545">
    <w:abstractNumId w:val="18"/>
  </w:num>
  <w:num w:numId="10" w16cid:durableId="1014108487">
    <w:abstractNumId w:val="13"/>
  </w:num>
  <w:num w:numId="11" w16cid:durableId="2107189476">
    <w:abstractNumId w:val="3"/>
  </w:num>
  <w:num w:numId="12" w16cid:durableId="2132160555">
    <w:abstractNumId w:val="17"/>
  </w:num>
  <w:num w:numId="13" w16cid:durableId="1909144923">
    <w:abstractNumId w:val="4"/>
  </w:num>
  <w:num w:numId="14" w16cid:durableId="1168861014">
    <w:abstractNumId w:val="2"/>
  </w:num>
  <w:num w:numId="15" w16cid:durableId="163664372">
    <w:abstractNumId w:val="12"/>
  </w:num>
  <w:num w:numId="16" w16cid:durableId="715351859">
    <w:abstractNumId w:val="9"/>
  </w:num>
  <w:num w:numId="17" w16cid:durableId="757138926">
    <w:abstractNumId w:val="15"/>
  </w:num>
  <w:num w:numId="18" w16cid:durableId="420878097">
    <w:abstractNumId w:val="6"/>
  </w:num>
  <w:num w:numId="19" w16cid:durableId="102197122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61C4"/>
    <w:rsid w:val="0000227E"/>
    <w:rsid w:val="00045CCE"/>
    <w:rsid w:val="00087192"/>
    <w:rsid w:val="001C1E6C"/>
    <w:rsid w:val="00203A7C"/>
    <w:rsid w:val="00276749"/>
    <w:rsid w:val="002851EB"/>
    <w:rsid w:val="002861C4"/>
    <w:rsid w:val="002B2385"/>
    <w:rsid w:val="002B6AC1"/>
    <w:rsid w:val="002D3063"/>
    <w:rsid w:val="002F3929"/>
    <w:rsid w:val="00301E8D"/>
    <w:rsid w:val="00327376"/>
    <w:rsid w:val="00337C46"/>
    <w:rsid w:val="00367175"/>
    <w:rsid w:val="003D72CE"/>
    <w:rsid w:val="003F6E3D"/>
    <w:rsid w:val="00422D34"/>
    <w:rsid w:val="00450C0A"/>
    <w:rsid w:val="0045360B"/>
    <w:rsid w:val="004E2726"/>
    <w:rsid w:val="006368D0"/>
    <w:rsid w:val="006C7091"/>
    <w:rsid w:val="006E667C"/>
    <w:rsid w:val="00723BF7"/>
    <w:rsid w:val="00756F23"/>
    <w:rsid w:val="007E4A44"/>
    <w:rsid w:val="0080071B"/>
    <w:rsid w:val="00803317"/>
    <w:rsid w:val="00804522"/>
    <w:rsid w:val="008A5169"/>
    <w:rsid w:val="008F68A9"/>
    <w:rsid w:val="00955BA7"/>
    <w:rsid w:val="0098378D"/>
    <w:rsid w:val="009B1582"/>
    <w:rsid w:val="009C1D53"/>
    <w:rsid w:val="00A058E8"/>
    <w:rsid w:val="00A37938"/>
    <w:rsid w:val="00A74A51"/>
    <w:rsid w:val="00A969D7"/>
    <w:rsid w:val="00AE0891"/>
    <w:rsid w:val="00AF642A"/>
    <w:rsid w:val="00B227DF"/>
    <w:rsid w:val="00B63268"/>
    <w:rsid w:val="00B86122"/>
    <w:rsid w:val="00CB0628"/>
    <w:rsid w:val="00CD0B41"/>
    <w:rsid w:val="00D03E93"/>
    <w:rsid w:val="00D10F7B"/>
    <w:rsid w:val="00D7417A"/>
    <w:rsid w:val="00D741DB"/>
    <w:rsid w:val="00D77E16"/>
    <w:rsid w:val="00DA68F7"/>
    <w:rsid w:val="00DF42A6"/>
    <w:rsid w:val="00E874F1"/>
    <w:rsid w:val="00EB3320"/>
    <w:rsid w:val="00EF6F89"/>
    <w:rsid w:val="00F13B34"/>
    <w:rsid w:val="00F3397D"/>
    <w:rsid w:val="00FA4DA7"/>
    <w:rsid w:val="00FB5C6E"/>
    <w:rsid w:val="00FB70DC"/>
    <w:rsid w:val="00FC452C"/>
    <w:rsid w:val="00FD432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D9296B"/>
  <w15:chartTrackingRefBased/>
  <w15:docId w15:val="{878DA49B-5747-45E7-AF0C-7FD6AFCD23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A5169"/>
  </w:style>
  <w:style w:type="paragraph" w:styleId="Heading1">
    <w:name w:val="heading 1"/>
    <w:basedOn w:val="Normal"/>
    <w:next w:val="Normal"/>
    <w:link w:val="Heading1Char"/>
    <w:uiPriority w:val="9"/>
    <w:qFormat/>
    <w:rsid w:val="002861C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2861C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2861C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861C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861C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861C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861C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861C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861C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61C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2861C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2861C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861C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861C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861C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861C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861C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861C4"/>
    <w:rPr>
      <w:rFonts w:eastAsiaTheme="majorEastAsia" w:cstheme="majorBidi"/>
      <w:color w:val="272727" w:themeColor="text1" w:themeTint="D8"/>
    </w:rPr>
  </w:style>
  <w:style w:type="paragraph" w:styleId="Title">
    <w:name w:val="Title"/>
    <w:basedOn w:val="Normal"/>
    <w:next w:val="Normal"/>
    <w:link w:val="TitleChar"/>
    <w:uiPriority w:val="10"/>
    <w:qFormat/>
    <w:rsid w:val="002861C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861C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861C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861C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861C4"/>
    <w:pPr>
      <w:spacing w:before="160"/>
      <w:jc w:val="center"/>
    </w:pPr>
    <w:rPr>
      <w:i/>
      <w:iCs/>
      <w:color w:val="404040" w:themeColor="text1" w:themeTint="BF"/>
    </w:rPr>
  </w:style>
  <w:style w:type="character" w:customStyle="1" w:styleId="QuoteChar">
    <w:name w:val="Quote Char"/>
    <w:basedOn w:val="DefaultParagraphFont"/>
    <w:link w:val="Quote"/>
    <w:uiPriority w:val="29"/>
    <w:rsid w:val="002861C4"/>
    <w:rPr>
      <w:i/>
      <w:iCs/>
      <w:color w:val="404040" w:themeColor="text1" w:themeTint="BF"/>
    </w:rPr>
  </w:style>
  <w:style w:type="paragraph" w:styleId="ListParagraph">
    <w:name w:val="List Paragraph"/>
    <w:basedOn w:val="Normal"/>
    <w:uiPriority w:val="34"/>
    <w:qFormat/>
    <w:rsid w:val="002861C4"/>
    <w:pPr>
      <w:ind w:left="720"/>
      <w:contextualSpacing/>
    </w:pPr>
  </w:style>
  <w:style w:type="character" w:styleId="IntenseEmphasis">
    <w:name w:val="Intense Emphasis"/>
    <w:basedOn w:val="DefaultParagraphFont"/>
    <w:uiPriority w:val="21"/>
    <w:qFormat/>
    <w:rsid w:val="002861C4"/>
    <w:rPr>
      <w:i/>
      <w:iCs/>
      <w:color w:val="2F5496" w:themeColor="accent1" w:themeShade="BF"/>
    </w:rPr>
  </w:style>
  <w:style w:type="paragraph" w:styleId="IntenseQuote">
    <w:name w:val="Intense Quote"/>
    <w:basedOn w:val="Normal"/>
    <w:next w:val="Normal"/>
    <w:link w:val="IntenseQuoteChar"/>
    <w:uiPriority w:val="30"/>
    <w:qFormat/>
    <w:rsid w:val="002861C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861C4"/>
    <w:rPr>
      <w:i/>
      <w:iCs/>
      <w:color w:val="2F5496" w:themeColor="accent1" w:themeShade="BF"/>
    </w:rPr>
  </w:style>
  <w:style w:type="character" w:styleId="IntenseReference">
    <w:name w:val="Intense Reference"/>
    <w:basedOn w:val="DefaultParagraphFont"/>
    <w:uiPriority w:val="32"/>
    <w:qFormat/>
    <w:rsid w:val="002861C4"/>
    <w:rPr>
      <w:b/>
      <w:bCs/>
      <w:smallCaps/>
      <w:color w:val="2F5496" w:themeColor="accent1" w:themeShade="BF"/>
      <w:spacing w:val="5"/>
    </w:rPr>
  </w:style>
  <w:style w:type="character" w:styleId="Hyperlink">
    <w:name w:val="Hyperlink"/>
    <w:basedOn w:val="DefaultParagraphFont"/>
    <w:uiPriority w:val="99"/>
    <w:unhideWhenUsed/>
    <w:rsid w:val="002861C4"/>
    <w:rPr>
      <w:color w:val="0563C1" w:themeColor="hyperlink"/>
      <w:u w:val="single"/>
    </w:rPr>
  </w:style>
  <w:style w:type="character" w:styleId="UnresolvedMention">
    <w:name w:val="Unresolved Mention"/>
    <w:basedOn w:val="DefaultParagraphFont"/>
    <w:uiPriority w:val="99"/>
    <w:semiHidden/>
    <w:unhideWhenUsed/>
    <w:rsid w:val="002861C4"/>
    <w:rPr>
      <w:color w:val="605E5C"/>
      <w:shd w:val="clear" w:color="auto" w:fill="E1DFDD"/>
    </w:rPr>
  </w:style>
  <w:style w:type="paragraph" w:styleId="TOCHeading">
    <w:name w:val="TOC Heading"/>
    <w:basedOn w:val="Heading1"/>
    <w:next w:val="Normal"/>
    <w:uiPriority w:val="39"/>
    <w:unhideWhenUsed/>
    <w:qFormat/>
    <w:rsid w:val="00B227DF"/>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B227DF"/>
    <w:pPr>
      <w:spacing w:after="100"/>
    </w:pPr>
  </w:style>
  <w:style w:type="table" w:styleId="TableGrid">
    <w:name w:val="Table Grid"/>
    <w:basedOn w:val="TableNormal"/>
    <w:uiPriority w:val="39"/>
    <w:rsid w:val="006368D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671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7175"/>
  </w:style>
  <w:style w:type="paragraph" w:styleId="Footer">
    <w:name w:val="footer"/>
    <w:basedOn w:val="Normal"/>
    <w:link w:val="FooterChar"/>
    <w:uiPriority w:val="99"/>
    <w:unhideWhenUsed/>
    <w:rsid w:val="003671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7175"/>
  </w:style>
  <w:style w:type="paragraph" w:styleId="TOC2">
    <w:name w:val="toc 2"/>
    <w:basedOn w:val="Normal"/>
    <w:next w:val="Normal"/>
    <w:autoRedefine/>
    <w:uiPriority w:val="39"/>
    <w:unhideWhenUsed/>
    <w:rsid w:val="00803317"/>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v.uk/government/publications/the-department-of-healths-response-to-the-report-of-the-public-inquiry-into-childrens-heart-surgery-at-the-bristol-royal-infirmary" TargetMode="External"/><Relationship Id="rId18" Type="http://schemas.openxmlformats.org/officeDocument/2006/relationships/hyperlink" Target="https://webarchive.nationalarchives.gov.uk/ukgwa/20150218150953/http:/freedomtospeakup.org.uk/wp-content/uploads/2014/07/F2SU_web.pdf" TargetMode="External"/><Relationship Id="rId26" Type="http://schemas.openxmlformats.org/officeDocument/2006/relationships/hyperlink" Target="https://www.wiley.com/en-us/The+Improvement+Guide%3A+A+Practical+Approach+to+Enhancing+Organizational+Performance%2C+2nd+Edition-p-9780470192412" TargetMode="External"/><Relationship Id="rId39" Type="http://schemas.openxmlformats.org/officeDocument/2006/relationships/hyperlink" Target="https://royalwolverhampton.nhs.uk/wp-content/uploads/2024/10/14107_Our_Patient_Quality_and_Safety_Strategy.pdf" TargetMode="External"/><Relationship Id="rId21" Type="http://schemas.openxmlformats.org/officeDocument/2006/relationships/hyperlink" Target="https://pmc.ncbi.nlm.nih.gov/articles/PMC7354025/" TargetMode="External"/><Relationship Id="rId34" Type="http://schemas.openxmlformats.org/officeDocument/2006/relationships/hyperlink" Target="https://www.nhsstaffsurveys.com/results/national-results/" TargetMode="External"/><Relationship Id="rId42" Type="http://schemas.openxmlformats.org/officeDocument/2006/relationships/hyperlink" Target="https://qualitysafety.bmj.com/content/23/4/290" TargetMode="External"/><Relationship Id="rId47"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eprints.whiterose.ac.uk/id/eprint/192697/6/e057343.full%20%281%29.pdf" TargetMode="External"/><Relationship Id="rId29" Type="http://schemas.openxmlformats.org/officeDocument/2006/relationships/hyperlink" Target="https://www.england.nhs.uk/wp-content/uploads/2020/08/190708_Patient_Safety_Strategy_for_website_v4.pdf" TargetMode="External"/><Relationship Id="rId11" Type="http://schemas.openxmlformats.org/officeDocument/2006/relationships/hyperlink" Target="https://webarchive.nationalarchives.gov.uk/20090811143758/http:/www.bristol-inquiry.org.uk/index.htm" TargetMode="External"/><Relationship Id="rId24" Type="http://schemas.openxmlformats.org/officeDocument/2006/relationships/hyperlink" Target="https://books.google.com/books?id=POEeAQAAIAAJ" TargetMode="External"/><Relationship Id="rId32" Type="http://schemas.openxmlformats.org/officeDocument/2006/relationships/hyperlink" Target="https://www.england.nhs.uk/long-read/improving-patient-safety-culture-a-practical-guide/" TargetMode="External"/><Relationship Id="rId37" Type="http://schemas.openxmlformats.org/officeDocument/2006/relationships/hyperlink" Target="https://www.patientsafetylearning.org/blog/what-nhs-staff-think-about-patient-safety-its-still-not-safe-patient-safety-learnings-response-to-the-nhs-staff-survey-results-2024" TargetMode="External"/><Relationship Id="rId40" Type="http://schemas.openxmlformats.org/officeDocument/2006/relationships/hyperlink" Target="https://www.bmj.com/content/317/7150/61" TargetMode="External"/><Relationship Id="rId45" Type="http://schemas.openxmlformats.org/officeDocument/2006/relationships/hyperlink" Target="https://qualitysafety.bmj.com/content/10/4/250" TargetMode="External"/><Relationship Id="rId5" Type="http://schemas.openxmlformats.org/officeDocument/2006/relationships/webSettings" Target="webSettings.xml"/><Relationship Id="rId15" Type="http://schemas.openxmlformats.org/officeDocument/2006/relationships/hyperlink" Target="https://www.ncbi.nlm.nih.gov/pmc/articles/PMC2690293/" TargetMode="External"/><Relationship Id="rId23" Type="http://schemas.openxmlformats.org/officeDocument/2006/relationships/hyperlink" Target="http://www.ihi.org/resources/Pages/Tools/CauseandEffectDiagram.aspx" TargetMode="External"/><Relationship Id="rId28" Type="http://schemas.openxmlformats.org/officeDocument/2006/relationships/hyperlink" Target="https://www.nhsconfed.org/publications/nhs-patient-safety-strategy" TargetMode="External"/><Relationship Id="rId36" Type="http://schemas.openxmlformats.org/officeDocument/2006/relationships/hyperlink" Target="https://www.ncbi.nlm.nih.gov/books/NBK2637/" TargetMode="External"/><Relationship Id="rId49" Type="http://schemas.openxmlformats.org/officeDocument/2006/relationships/theme" Target="theme/theme1.xml"/><Relationship Id="rId10" Type="http://schemas.openxmlformats.org/officeDocument/2006/relationships/hyperlink" Target="https://qualitysafety.bmj.com/content/16/1/2" TargetMode="External"/><Relationship Id="rId19" Type="http://schemas.openxmlformats.org/officeDocument/2006/relationships/hyperlink" Target="https://www.routledge.com/Lean-Hospitals-Improving-Quality-Patient-Safety-and-Employee-Engagement-Third-Edition/Graban/p/book/9781498743259" TargetMode="External"/><Relationship Id="rId31" Type="http://schemas.openxmlformats.org/officeDocument/2006/relationships/hyperlink" Target="https://www.england.nhs.uk/patient-safety/incident-response-framework/" TargetMode="External"/><Relationship Id="rId44" Type="http://schemas.openxmlformats.org/officeDocument/2006/relationships/hyperlink" Target="https://www.acpjournals.org/doi/10.7326/0003-4819-158-5-201303051-00002" TargetMode="External"/><Relationship Id="rId4" Type="http://schemas.openxmlformats.org/officeDocument/2006/relationships/settings" Target="settings.xml"/><Relationship Id="rId9" Type="http://schemas.openxmlformats.org/officeDocument/2006/relationships/hyperlink" Target="https://www.qip-journal.eu/index.php/QIP/article/view/55" TargetMode="External"/><Relationship Id="rId14" Type="http://schemas.openxmlformats.org/officeDocument/2006/relationships/hyperlink" Target="https://jamanetwork.com/journals/jama/article-abstract/374139" TargetMode="External"/><Relationship Id="rId22" Type="http://schemas.openxmlformats.org/officeDocument/2006/relationships/hyperlink" Target="http://www.ihi.org/resources/Pages/Tools/5-Whys-Finding-the-Root-Cause.aspx" TargetMode="External"/><Relationship Id="rId27" Type="http://schemas.openxmlformats.org/officeDocument/2006/relationships/hyperlink" Target="https://www.lhm.org.uk/nicor-nchda/" TargetMode="External"/><Relationship Id="rId30" Type="http://schemas.openxmlformats.org/officeDocument/2006/relationships/hyperlink" Target="https://www.england.nhs.uk/wp-content/uploads/2021/02/B0225-NHS-Patient-Safety-Strategy-update-Feb-2021-Final-v2.pdf" TargetMode="External"/><Relationship Id="rId35" Type="http://schemas.openxmlformats.org/officeDocument/2006/relationships/hyperlink" Target="https://www.nbt.nhs.uk/sites/default/files/document/NBT%20Patient%20Safety%20Incident%20Response%20Plan%202023-2025%20Final%20v2.pdf" TargetMode="External"/><Relationship Id="rId43" Type="http://schemas.openxmlformats.org/officeDocument/2006/relationships/hyperlink" Target="https://qualitysafety.bmj.com/content/23/8/670" TargetMode="External"/><Relationship Id="rId48" Type="http://schemas.openxmlformats.org/officeDocument/2006/relationships/fontTable" Target="fontTable.xml"/><Relationship Id="rId8" Type="http://schemas.openxmlformats.org/officeDocument/2006/relationships/hyperlink" Target="https://www.emerald.com/insight/content/doi/10.1108/JHOM-04-2013-0083/full/html" TargetMode="External"/><Relationship Id="rId3" Type="http://schemas.openxmlformats.org/officeDocument/2006/relationships/styles" Target="styles.xml"/><Relationship Id="rId12" Type="http://schemas.openxmlformats.org/officeDocument/2006/relationships/hyperlink" Target="https://pmc.ncbi.nlm.nih.gov/articles/PMC84404/" TargetMode="External"/><Relationship Id="rId17" Type="http://schemas.openxmlformats.org/officeDocument/2006/relationships/hyperlink" Target="https://www.gov.uk/government/publications/report-of-the-mid-staffordshire-nhs-foundation-trust-public-inquiry" TargetMode="External"/><Relationship Id="rId25" Type="http://schemas.openxmlformats.org/officeDocument/2006/relationships/hyperlink" Target="https://nap.nationalacademies.org/catalog/9728/to-err-is-human-building-a-safer-health-system" TargetMode="External"/><Relationship Id="rId33" Type="http://schemas.openxmlformats.org/officeDocument/2006/relationships/hyperlink" Target="https://www.england.nhs.uk/patient-safety/patient-safety-culture/being-fair-tool/" TargetMode="External"/><Relationship Id="rId38" Type="http://schemas.openxmlformats.org/officeDocument/2006/relationships/hyperlink" Target="https://www.bmj.com/content/320/7237/768" TargetMode="External"/><Relationship Id="rId46" Type="http://schemas.openxmlformats.org/officeDocument/2006/relationships/hyperlink" Target="https://www.who.int/docs/default-source/patient-safety/global-patient-safety-action-plan-2021-2030_third-draft_january-2021_web.pdf" TargetMode="External"/><Relationship Id="rId20" Type="http://schemas.openxmlformats.org/officeDocument/2006/relationships/hyperlink" Target="https://www.hqip.org.uk/resource/national-congenital-heart-disease-audit-2022-summary-report/" TargetMode="External"/><Relationship Id="rId41" Type="http://schemas.openxmlformats.org/officeDocument/2006/relationships/hyperlink" Target="https://www.emerald.com/insight/content/doi/10.1108/09526860710754398/full/html"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BC2C566-BD39-4979-A9CC-5E9AA580D9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5892</Words>
  <Characters>33587</Characters>
  <Application>Microsoft Office Word</Application>
  <DocSecurity>4</DocSecurity>
  <Lines>279</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Harsh Pal</cp:lastModifiedBy>
  <cp:revision>2</cp:revision>
  <dcterms:created xsi:type="dcterms:W3CDTF">2025-11-27T13:54:00Z</dcterms:created>
  <dcterms:modified xsi:type="dcterms:W3CDTF">2025-11-27T13:54:00Z</dcterms:modified>
</cp:coreProperties>
</file>