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FD8E1E" w14:textId="77777777" w:rsidR="00F32AAE" w:rsidRDefault="00F32AAE">
      <w:pPr>
        <w:spacing w:before="2000"/>
      </w:pPr>
    </w:p>
    <w:p w14:paraId="5F41BDBC" w14:textId="3E2C75B5" w:rsidR="00F32AAE" w:rsidRPr="00185A39" w:rsidRDefault="4FC38098">
      <w:pPr>
        <w:jc w:val="center"/>
        <w:rPr>
          <w:color w:val="000000" w:themeColor="text1"/>
        </w:rPr>
      </w:pPr>
      <w:r w:rsidRPr="00185A39">
        <w:rPr>
          <w:b/>
          <w:bCs/>
          <w:color w:val="000000" w:themeColor="text1"/>
          <w:sz w:val="32"/>
          <w:szCs w:val="32"/>
        </w:rPr>
        <w:t>T</w:t>
      </w:r>
      <w:r w:rsidR="4EF8D63C" w:rsidRPr="00185A39">
        <w:rPr>
          <w:b/>
          <w:bCs/>
          <w:color w:val="000000" w:themeColor="text1"/>
          <w:sz w:val="32"/>
          <w:szCs w:val="32"/>
        </w:rPr>
        <w:t xml:space="preserve">he </w:t>
      </w:r>
      <w:bookmarkStart w:id="0" w:name="OLE_LINK1"/>
      <w:r w:rsidR="4EF8D63C" w:rsidRPr="00185A39">
        <w:rPr>
          <w:b/>
          <w:bCs/>
          <w:color w:val="000000" w:themeColor="text1"/>
          <w:sz w:val="32"/>
          <w:szCs w:val="32"/>
        </w:rPr>
        <w:t>Impact of Social Media on Mental Health in Adolescence</w:t>
      </w:r>
    </w:p>
    <w:bookmarkEnd w:id="0"/>
    <w:p w14:paraId="7818AEE8" w14:textId="77777777" w:rsidR="00F32AAE" w:rsidRPr="00E11B92" w:rsidRDefault="00F32AAE">
      <w:pPr>
        <w:spacing w:before="900"/>
        <w:rPr>
          <w:sz w:val="28"/>
          <w:szCs w:val="28"/>
        </w:rPr>
      </w:pPr>
    </w:p>
    <w:p w14:paraId="65FB03C6" w14:textId="630A12EA" w:rsidR="00F32AAE" w:rsidRPr="00E11B92" w:rsidRDefault="00DA15C2">
      <w:pPr>
        <w:spacing w:after="100"/>
        <w:jc w:val="center"/>
        <w:rPr>
          <w:sz w:val="28"/>
          <w:szCs w:val="28"/>
        </w:rPr>
      </w:pPr>
      <w:r w:rsidRPr="00E11B92">
        <w:rPr>
          <w:b/>
          <w:bCs/>
          <w:sz w:val="28"/>
          <w:szCs w:val="28"/>
        </w:rPr>
        <w:t>Name</w:t>
      </w:r>
      <w:r w:rsidRPr="00E11B92">
        <w:rPr>
          <w:sz w:val="28"/>
          <w:szCs w:val="28"/>
        </w:rPr>
        <w:t xml:space="preserve">: </w:t>
      </w:r>
      <w:r w:rsidR="00E11B92" w:rsidRPr="00E11B92">
        <w:rPr>
          <w:sz w:val="28"/>
          <w:szCs w:val="28"/>
        </w:rPr>
        <w:t xml:space="preserve">Okechukwu </w:t>
      </w:r>
      <w:r w:rsidRPr="00E11B92">
        <w:rPr>
          <w:sz w:val="28"/>
          <w:szCs w:val="28"/>
        </w:rPr>
        <w:t xml:space="preserve">Samuel </w:t>
      </w:r>
      <w:r w:rsidR="00E11B92" w:rsidRPr="00E11B92">
        <w:rPr>
          <w:sz w:val="28"/>
          <w:szCs w:val="28"/>
        </w:rPr>
        <w:t>Ohiagu</w:t>
      </w:r>
    </w:p>
    <w:p w14:paraId="69CCA8C1" w14:textId="0B42C40F" w:rsidR="00F32AAE" w:rsidRPr="00E11B92" w:rsidRDefault="00DA15C2">
      <w:pPr>
        <w:spacing w:after="100"/>
        <w:jc w:val="center"/>
        <w:rPr>
          <w:sz w:val="28"/>
          <w:szCs w:val="28"/>
        </w:rPr>
      </w:pPr>
      <w:r w:rsidRPr="00E11B92">
        <w:rPr>
          <w:b/>
          <w:bCs/>
          <w:sz w:val="28"/>
          <w:szCs w:val="28"/>
        </w:rPr>
        <w:t>Student Number</w:t>
      </w:r>
      <w:r w:rsidRPr="00E11B92">
        <w:rPr>
          <w:sz w:val="28"/>
          <w:szCs w:val="28"/>
        </w:rPr>
        <w:t xml:space="preserve">: </w:t>
      </w:r>
      <w:r w:rsidR="00E11B92" w:rsidRPr="00E11B92">
        <w:rPr>
          <w:sz w:val="28"/>
          <w:szCs w:val="28"/>
        </w:rPr>
        <w:t>2518547</w:t>
      </w:r>
    </w:p>
    <w:p w14:paraId="375E9D62" w14:textId="05293DF5" w:rsidR="00E11B92" w:rsidRDefault="009B2D1A" w:rsidP="00E11B92">
      <w:pPr>
        <w:pStyle w:val="p1"/>
        <w:ind w:left="1440" w:firstLine="720"/>
        <w:rPr>
          <w:rStyle w:val="apple-converted-space"/>
          <w:sz w:val="28"/>
          <w:szCs w:val="28"/>
        </w:rPr>
      </w:pPr>
      <w:r>
        <w:rPr>
          <w:rFonts w:eastAsia="Arial"/>
          <w:b/>
          <w:bCs/>
          <w:sz w:val="28"/>
          <w:szCs w:val="28"/>
        </w:rPr>
        <w:t xml:space="preserve">   </w:t>
      </w:r>
      <w:r w:rsidRPr="00E11B92">
        <w:rPr>
          <w:rFonts w:eastAsia="Arial"/>
          <w:b/>
          <w:bCs/>
          <w:sz w:val="28"/>
          <w:szCs w:val="28"/>
        </w:rPr>
        <w:t>Module Code and Title</w:t>
      </w:r>
      <w:r w:rsidRPr="00E11B92">
        <w:rPr>
          <w:rFonts w:eastAsia="Arial"/>
          <w:sz w:val="28"/>
          <w:szCs w:val="28"/>
        </w:rPr>
        <w:t xml:space="preserve">: </w:t>
      </w:r>
      <w:r w:rsidR="00E11B92" w:rsidRPr="00E11B92">
        <w:rPr>
          <w:sz w:val="28"/>
          <w:szCs w:val="28"/>
        </w:rPr>
        <w:t>LCHS4010</w:t>
      </w:r>
      <w:r w:rsidR="00E11B92" w:rsidRPr="00E11B92">
        <w:rPr>
          <w:rStyle w:val="apple-converted-space"/>
          <w:sz w:val="28"/>
          <w:szCs w:val="28"/>
        </w:rPr>
        <w:t> </w:t>
      </w:r>
    </w:p>
    <w:p w14:paraId="028B243B" w14:textId="77777777" w:rsidR="00865813" w:rsidRPr="00E11B92" w:rsidRDefault="00865813" w:rsidP="00E11B92">
      <w:pPr>
        <w:pStyle w:val="p1"/>
        <w:ind w:left="1440" w:firstLine="720"/>
        <w:rPr>
          <w:sz w:val="28"/>
          <w:szCs w:val="28"/>
        </w:rPr>
      </w:pPr>
    </w:p>
    <w:p w14:paraId="6B72EE8B" w14:textId="1EC8DE9E" w:rsidR="00F32AAE" w:rsidRPr="00E11B92" w:rsidRDefault="00E11B92" w:rsidP="00E11B92">
      <w:pPr>
        <w:pStyle w:val="p1"/>
        <w:rPr>
          <w:sz w:val="28"/>
          <w:szCs w:val="28"/>
        </w:rPr>
      </w:pPr>
      <w:r w:rsidRPr="00E11B92">
        <w:rPr>
          <w:rFonts w:eastAsia="Arial"/>
          <w:sz w:val="28"/>
          <w:szCs w:val="28"/>
        </w:rPr>
        <w:tab/>
      </w:r>
      <w:r w:rsidRPr="00E11B92">
        <w:rPr>
          <w:rFonts w:eastAsia="Arial"/>
          <w:sz w:val="28"/>
          <w:szCs w:val="28"/>
        </w:rPr>
        <w:tab/>
      </w:r>
      <w:r w:rsidRPr="00E11B92">
        <w:rPr>
          <w:rFonts w:eastAsia="Arial"/>
          <w:sz w:val="28"/>
          <w:szCs w:val="28"/>
        </w:rPr>
        <w:tab/>
      </w:r>
      <w:r w:rsidRPr="00E11B92">
        <w:rPr>
          <w:rFonts w:eastAsia="Arial"/>
          <w:sz w:val="28"/>
          <w:szCs w:val="28"/>
        </w:rPr>
        <w:tab/>
      </w:r>
      <w:r w:rsidRPr="00E11B92">
        <w:rPr>
          <w:sz w:val="28"/>
          <w:szCs w:val="28"/>
        </w:rPr>
        <w:t>Psychology in Health and Social Care</w:t>
      </w:r>
    </w:p>
    <w:p w14:paraId="276D41F6" w14:textId="77777777" w:rsidR="00E11B92" w:rsidRPr="00E11B92" w:rsidRDefault="00E11B92" w:rsidP="00E11B92">
      <w:pPr>
        <w:pStyle w:val="p1"/>
        <w:rPr>
          <w:sz w:val="28"/>
          <w:szCs w:val="28"/>
        </w:rPr>
      </w:pPr>
    </w:p>
    <w:p w14:paraId="3336430F" w14:textId="739C72E1" w:rsidR="00F32AAE" w:rsidRPr="00E11B92" w:rsidRDefault="4EF8D63C">
      <w:pPr>
        <w:spacing w:after="100"/>
        <w:jc w:val="center"/>
        <w:rPr>
          <w:sz w:val="28"/>
          <w:szCs w:val="28"/>
        </w:rPr>
      </w:pPr>
      <w:r w:rsidRPr="00EF1917">
        <w:rPr>
          <w:b/>
          <w:bCs/>
          <w:sz w:val="28"/>
          <w:szCs w:val="28"/>
        </w:rPr>
        <w:t>Lecturer</w:t>
      </w:r>
      <w:r w:rsidRPr="2443B7FF">
        <w:rPr>
          <w:sz w:val="28"/>
          <w:szCs w:val="28"/>
        </w:rPr>
        <w:t xml:space="preserve">: </w:t>
      </w:r>
      <w:r w:rsidR="5DD0592F" w:rsidRPr="2443B7FF">
        <w:rPr>
          <w:sz w:val="28"/>
          <w:szCs w:val="28"/>
        </w:rPr>
        <w:t>Sam Parker</w:t>
      </w:r>
    </w:p>
    <w:p w14:paraId="6B1D0970" w14:textId="40395CCF" w:rsidR="00F32AAE" w:rsidRPr="00E11B92" w:rsidRDefault="5DD0592F">
      <w:pPr>
        <w:spacing w:after="100"/>
        <w:jc w:val="center"/>
        <w:rPr>
          <w:b/>
          <w:bCs/>
          <w:sz w:val="28"/>
          <w:szCs w:val="28"/>
        </w:rPr>
      </w:pPr>
      <w:r w:rsidRPr="2443B7FF">
        <w:rPr>
          <w:sz w:val="28"/>
          <w:szCs w:val="28"/>
        </w:rPr>
        <w:t xml:space="preserve">   </w:t>
      </w:r>
      <w:r w:rsidR="00E11B92">
        <w:tab/>
      </w:r>
    </w:p>
    <w:p w14:paraId="53FFFE4E" w14:textId="77777777" w:rsidR="00F32AAE" w:rsidRDefault="00DA15C2">
      <w:r>
        <w:br w:type="page"/>
      </w:r>
    </w:p>
    <w:p w14:paraId="1ECBD07A" w14:textId="77777777" w:rsidR="00F32AAE" w:rsidRPr="00185A39" w:rsidRDefault="00DA15C2">
      <w:pPr>
        <w:pStyle w:val="Heading1"/>
        <w:pBdr>
          <w:bottom w:val="single" w:sz="6" w:space="4" w:color="1F3864"/>
        </w:pBdr>
        <w:spacing w:before="200" w:after="200"/>
        <w:rPr>
          <w:color w:val="000000" w:themeColor="text1"/>
        </w:rPr>
      </w:pPr>
      <w:r w:rsidRPr="00185A39">
        <w:rPr>
          <w:b/>
          <w:bCs/>
          <w:color w:val="000000" w:themeColor="text1"/>
          <w:sz w:val="30"/>
          <w:szCs w:val="30"/>
        </w:rPr>
        <w:t>Contents</w:t>
      </w:r>
    </w:p>
    <w:p w14:paraId="0C099F81" w14:textId="77777777" w:rsidR="00F32AAE" w:rsidRDefault="00DA15C2">
      <w:pPr>
        <w:spacing w:after="200"/>
        <w:jc w:val="both"/>
      </w:pPr>
      <w:r>
        <w:t>1. Essay: Discuss the Impact of Social Media on Mental Health in Adolescence .......... 3</w:t>
      </w:r>
    </w:p>
    <w:p w14:paraId="6838E0C4" w14:textId="77777777" w:rsidR="00F32AAE" w:rsidRDefault="00DA15C2">
      <w:pPr>
        <w:spacing w:after="200"/>
        <w:jc w:val="both"/>
      </w:pPr>
      <w:r>
        <w:t>2. Reference List .......... 7</w:t>
      </w:r>
    </w:p>
    <w:p w14:paraId="6913B54A" w14:textId="77777777" w:rsidR="00F32AAE" w:rsidRDefault="00DA15C2">
      <w:r>
        <w:br w:type="page"/>
      </w:r>
    </w:p>
    <w:p w14:paraId="0AF7330C" w14:textId="5055A665" w:rsidR="00040691" w:rsidRDefault="00040691" w:rsidP="00040691">
      <w:pPr>
        <w:rPr>
          <w:color w:val="000000"/>
        </w:rPr>
      </w:pPr>
      <w:r w:rsidRPr="265D1245">
        <w:rPr>
          <w:color w:val="000000" w:themeColor="text1"/>
        </w:rPr>
        <w:t>Social media has become one of the most important venues where adolescents develop, communicate and form a sense of who they are. Instagram, TikTok and Snapchat are used by many teens every day, and the near-constant exposure has prompted serious questions about its impact on the mental health of adolescents. When discussing the effects of social media on adolescent mental health, we should analyse both the positive and bad effects of social media on the mental and emotional health of teenagers and apply psychological theories and empirical findings to support the conversation. The goal of this essay is to explain how and why exposure to social media platforms may impact adolescent mental health, using Erikson’s theory of psychosocial development, specifically the stage of identity versus role confusion, and Bowlby’s attachment theory, specifically the idea of the internal working model.</w:t>
      </w:r>
      <w:r>
        <w:br/>
      </w:r>
      <w:r>
        <w:br/>
      </w:r>
      <w:r w:rsidRPr="265D1245">
        <w:rPr>
          <w:color w:val="000000" w:themeColor="text1"/>
        </w:rPr>
        <w:t xml:space="preserve">Active use means activities that promote engagement with other individuals. Active use on social media means communicating with other users or commenting on their posts. Common examples are uploading a status update, image or video, replying and conversing with other users. Passive use is when you consume social media content but never interact with other users. When people passively use social media, they are not reaching out to others; they are </w:t>
      </w:r>
      <w:r w:rsidR="00D64112" w:rsidRPr="265D1245">
        <w:rPr>
          <w:color w:val="000000" w:themeColor="text1"/>
        </w:rPr>
        <w:t>simply</w:t>
      </w:r>
      <w:r w:rsidRPr="265D1245">
        <w:rPr>
          <w:color w:val="000000" w:themeColor="text1"/>
        </w:rPr>
        <w:t xml:space="preserve"> consuming </w:t>
      </w:r>
      <w:r w:rsidR="00D64112" w:rsidRPr="265D1245">
        <w:rPr>
          <w:color w:val="000000" w:themeColor="text1"/>
        </w:rPr>
        <w:t>conten</w:t>
      </w:r>
      <w:r w:rsidRPr="265D1245">
        <w:rPr>
          <w:color w:val="000000" w:themeColor="text1"/>
        </w:rPr>
        <w:t>t others have shared. Typical instances include lurking, reading status updates, watching images, and perusing news feeds (Verduyn, Gugushvili, and Kross, 2021). Passive use is more consistently linked to poorer wellbeing, likely because it encourages social comparison without providing the connective benefits of authentic interaction, while active use, especially when it supports real relationships, is associated with more positive or neutral outcomes (Trifiro and Gerson, 2019; Agyapong-Opoku, Agyapong-Opoku and Greenshaw, 2025). Content exposure adds another layer. Repeated exposure to idealised, heavily edited images, appearance-focused content or material promoting disordered eating and self-harm puts adolescents at greater risk of body dissatisfaction, anxiety and low mood. By contrast, exposure to supportive, identity-affirming, or educational content can have the opposite effect (Nasim Ahmed, 2025).</w:t>
      </w:r>
      <w:r>
        <w:br/>
      </w:r>
      <w:r>
        <w:br/>
      </w:r>
      <w:r w:rsidRPr="265D1245">
        <w:rPr>
          <w:color w:val="000000" w:themeColor="text1"/>
        </w:rPr>
        <w:t>Systematic reviews associate heavy or passive use with heightened anxiety, depression, poor body image and disturbed sleep, alongside risks such as cyberbullying and compulsive, hard-to-regulate use due to addictive platform design (Khalaf et al., 2023). However, research has shown real positive effects: social media can provide meaningful peer support, a sense of belonging for lonely adolescents offline, opportunities for creative expression, and a way to explore identity and connect with communities that share adolescents’ interests, culture, or values (Nasim Ahmed, 2025). This mixed picture indicates that social media is not simply bad or good, but rather the influence relies on how, why and through what content it is utilised. This is where developmental theory helps to explain individual disparities in results.</w:t>
      </w:r>
      <w:r>
        <w:br/>
      </w:r>
      <w:r>
        <w:br/>
      </w:r>
      <w:r w:rsidRPr="265D1245">
        <w:rPr>
          <w:color w:val="000000" w:themeColor="text1"/>
        </w:rPr>
        <w:t xml:space="preserve">According to Erikson (1968), adolescence is characterised by the psychosocial struggle of identity versus role confusion, in which young people experiment with numerous roles, values, </w:t>
      </w:r>
      <w:r w:rsidR="00002A95" w:rsidRPr="265D1245">
        <w:rPr>
          <w:color w:val="000000" w:themeColor="text1"/>
        </w:rPr>
        <w:t>beliefs, and social groupings to answer the question, "who am I?"</w:t>
      </w:r>
      <w:r w:rsidRPr="265D1245">
        <w:rPr>
          <w:color w:val="000000" w:themeColor="text1"/>
        </w:rPr>
        <w:t xml:space="preserve"> A successful resolution of this stage results in a cohesive and stable sense of identity. Conversely, an unresolved crisis can leave an adolescent in a state of role confusion, marked by doubt, difficulty in committing to values or goals, and a fragile sense of self (Sokol, 2009). Social media provide another very apparent layer to this identity construction, because adolescents are no longer finding their identity only in private or in a small peer group, but in front of a large, often permanent, online audience.</w:t>
      </w:r>
      <w:r>
        <w:br/>
      </w:r>
      <w:r>
        <w:br/>
      </w:r>
      <w:r w:rsidRPr="265D1245">
        <w:rPr>
          <w:color w:val="000000" w:themeColor="text1"/>
        </w:rPr>
        <w:t xml:space="preserve">Passive exposure to curated, performance-driven content might result in increased social comparison and pressure for adolescents to portray an idealised version of themselves rather than actually exploring who they are, </w:t>
      </w:r>
      <w:r w:rsidR="00002A95" w:rsidRPr="265D1245">
        <w:rPr>
          <w:color w:val="000000" w:themeColor="text1"/>
        </w:rPr>
        <w:t>thereby</w:t>
      </w:r>
      <w:r w:rsidRPr="265D1245">
        <w:rPr>
          <w:color w:val="000000" w:themeColor="text1"/>
        </w:rPr>
        <w:t xml:space="preserve"> prolonging role uncertainty rather than resolving it. Conversely, active social media use can facilitate Erikson’s identity work when adolescents utilise it to explore authentic interests, connect with like-minded peers, or locate groups that affirm their emergent values. Nesi and Prinstein (2015) discovered that teenagers who utilised social media primarily for feedback-seeking and social comparison with peers had higher depressive symptoms than those who did not, and the effect was largest among adolescents who were already less popular. Thus, Erikson’s theory helps explain why the same platform can foster healthy identity development or lead to negative mental health outcomes like anxiety and low self-worth, depending on whether the adolescent’s online experience truly supports exploration or just increases comparison and performance pressure.</w:t>
      </w:r>
      <w:r>
        <w:br/>
      </w:r>
      <w:r>
        <w:br/>
      </w:r>
      <w:r w:rsidRPr="265D1245">
        <w:rPr>
          <w:color w:val="000000" w:themeColor="text1"/>
        </w:rPr>
        <w:t>Bowlby’s attachment theory provides a supplementary, though very distinct, explanation. It is less about identity and more on relationships and emotional security. Bowlby (1969) proposed the idea of an internal working model</w:t>
      </w:r>
      <w:r w:rsidR="00AA1CA0" w:rsidRPr="265D1245">
        <w:rPr>
          <w:color w:val="000000" w:themeColor="text1"/>
        </w:rPr>
        <w:t>,</w:t>
      </w:r>
      <w:r w:rsidRPr="265D1245">
        <w:rPr>
          <w:color w:val="000000" w:themeColor="text1"/>
        </w:rPr>
        <w:t xml:space="preserve"> developed thr</w:t>
      </w:r>
      <w:r w:rsidR="00002A95" w:rsidRPr="265D1245">
        <w:rPr>
          <w:color w:val="000000" w:themeColor="text1"/>
        </w:rPr>
        <w:t>ough</w:t>
      </w:r>
      <w:r w:rsidRPr="265D1245">
        <w:rPr>
          <w:color w:val="000000" w:themeColor="text1"/>
        </w:rPr>
        <w:t xml:space="preserve"> early relations</w:t>
      </w:r>
      <w:r w:rsidR="00AA1CA0" w:rsidRPr="265D1245">
        <w:rPr>
          <w:color w:val="000000" w:themeColor="text1"/>
        </w:rPr>
        <w:t>hips</w:t>
      </w:r>
      <w:r w:rsidRPr="265D1245">
        <w:rPr>
          <w:color w:val="000000" w:themeColor="text1"/>
        </w:rPr>
        <w:t xml:space="preserve"> with carers. This is a mental framework of the self, others and relationships which develops from infancy to adolescence and adulthood and influences the way in which a young person expects to be treated and the way in which they control their emotions within relationships.</w:t>
      </w:r>
      <w:r>
        <w:br/>
      </w:r>
      <w:r>
        <w:br/>
      </w:r>
      <w:r w:rsidRPr="265D1245">
        <w:rPr>
          <w:color w:val="000000" w:themeColor="text1"/>
        </w:rPr>
        <w:t>As it pertains to approaching relationships</w:t>
      </w:r>
      <w:r w:rsidR="00AA1CA0" w:rsidRPr="265D1245">
        <w:rPr>
          <w:color w:val="000000" w:themeColor="text1"/>
        </w:rPr>
        <w:t>,</w:t>
      </w:r>
      <w:r w:rsidRPr="265D1245">
        <w:rPr>
          <w:color w:val="000000" w:themeColor="text1"/>
        </w:rPr>
        <w:t xml:space="preserve"> including online ones, adolescents with a secure internal working model of attachment tend to have a more stable sense of self-worth and are generally better able to regulate the emotional ups and downs that come with social feedback such as likes, comments or exclusion from group chats (Young, Kolubinski and Frings, 2020). An adolescent with an insecure internal working model may be more vulnerable to the pressures of social media and seek excessive validation in likes and comments, become preoccupied with how they are perceived by peers online or experience increased distress in response to cyberbullying or exclusion, as this echoes previous relational insecurity (Worsley, McIntyre and Corcoran, 2018).</w:t>
      </w:r>
      <w:r>
        <w:br/>
      </w:r>
      <w:r>
        <w:br/>
      </w:r>
      <w:r w:rsidRPr="265D1245">
        <w:rPr>
          <w:color w:val="000000" w:themeColor="text1"/>
        </w:rPr>
        <w:t>Bowlby’s theory therefore helps to explain why two adolescents exposed to similar content or even the same negative experience online might respond in very different ways: one might be able to shrug off unkind comments because their underlying sense of security is not dependent on peer approval, whereas another might experience this as confirmation of a pre-existing fear of rejection, worsening anxiety or low mood. Attachment theory also suggests a protective element: teenagers with a strong bond with a parent, carer, or trusted adult seem better able to manage the emotional demands of online life (Ballarotto et al., 2018). This is not to say that attachment style is fixed; Bowlby (1969) suggested that working models can still change through new, more consistent relational experiences, meaning supportive ties with carers or mentors can still buffer some of the hazards of social media use.</w:t>
      </w:r>
      <w:r>
        <w:br/>
      </w:r>
      <w:r>
        <w:br/>
      </w:r>
      <w:r w:rsidRPr="265D1245">
        <w:rPr>
          <w:color w:val="000000" w:themeColor="text1"/>
        </w:rPr>
        <w:t xml:space="preserve">Combined, Erikson’s and Bowlby’s theories provide a more complete explanation of the varied research findings on social media and adolescent mental health than either theory alone (Odgers </w:t>
      </w:r>
      <w:bookmarkStart w:id="1" w:name="_Int_ye5tT0ct"/>
      <w:r w:rsidRPr="265D1245">
        <w:rPr>
          <w:color w:val="000000" w:themeColor="text1"/>
        </w:rPr>
        <w:t>and</w:t>
      </w:r>
      <w:bookmarkEnd w:id="1"/>
      <w:r w:rsidRPr="265D1245">
        <w:rPr>
          <w:color w:val="000000" w:themeColor="text1"/>
        </w:rPr>
        <w:t xml:space="preserve"> Jensen, 2020). Erikson’s theory explains why adolescence is a developmental task and why identity-related pressures, such as social comparison and curated self-presentation, are particularly potent during the adolescent years. Bowlby’s theory explains why individual adolescents vary so much in their vulnerability to those same pressures, depending on the security of their underlying relational foundations. An adolescent who is actively working through identity exploration from a healthy attachment basis is likely to use social media in ways that foster authentic self-discovery and connection. However, an adolescent with an identity crisis but also an insecure internal working model may be far more at risk of the risks identified in the research, as social media both heightens the identity pressures of adolescence and provides a ready outlet for existing relational insecurity to play out through validation-seeking or increased sensitivity to rejection (Rides, Pote and Watling, 2024).</w:t>
      </w:r>
      <w:r>
        <w:br/>
      </w:r>
      <w:r>
        <w:br/>
      </w:r>
      <w:r w:rsidRPr="265D1245">
        <w:rPr>
          <w:color w:val="000000" w:themeColor="text1"/>
        </w:rPr>
        <w:t>These dangers are a growing concern and are beginning to impact policy and research. The government said that social media sites, including TikTok, Instagram, Snapchat, YouTube, Facebook, and X, will be barred to under-16s in the UK from Spring 2027, in a bid to safeguard children’s safety and mental wellbeing (Woodhouse, Lalic and Zayed, 2026). From the social and developmental perspectives above, this policy can be understood as an effort to protect adolescents from environments that increase the sense of comparison and performance pressure related to identity, which one would expect based on Erikson’s theory, during a developmental period when a number of young people are also using relationships both online and offline to regulate their emotions, as Bowlby’s theory would suggest. Whether such a prohibition will succeed in promoting teenage mental health or just push young people into less regulated settings remains to be seen, but its inclusion shows how seriously the problems described in this essay are now being considered. Both theories were created to explain early life, and critics say using them with older persons who do not have care risks treating them like children. Attachment demands in dementia are not a regression to infancy.</w:t>
      </w:r>
      <w:r>
        <w:br/>
      </w:r>
      <w:r>
        <w:br/>
      </w:r>
      <w:r w:rsidRPr="265D1245">
        <w:rPr>
          <w:color w:val="000000" w:themeColor="text1"/>
        </w:rPr>
        <w:t>To summarise, the impact of social media on adolescent mental health cannot be reduced to a cause-and-effect relationship. Research shows there are real risks, particularly in relation to anxiety, depression, body image and cyberbullying, but also real benefits, such as connection, creativity and exploration of identity, with outcomes heavily influenced by whether use is active or passive, and the nature of the content adolescents are exposed to (Worsley, McIntyre and Corcoran, 2018). This essay has claimed that Erikson’s theory of identity versus role confusion and Bowlby’s attachment theory, via the idea of the internal working model, together provide a persuasive explanation for why the influence of this varies so significantly amongst individuals.</w:t>
      </w:r>
      <w:r>
        <w:br/>
      </w:r>
      <w:r>
        <w:br/>
      </w:r>
      <w:r w:rsidRPr="265D1245">
        <w:rPr>
          <w:color w:val="000000" w:themeColor="text1"/>
        </w:rPr>
        <w:t xml:space="preserve">Social media appears to influence adolescent mental health because it directly intersects with the key developmental task of adolescence – identity formation – as well as interacting with everyone’s pre-existing relational security. As such, the ultimate effect of social media depends as much on the adolescent using it as on the platform itself (Odgers and Jensen, 2020). This highlights that supporting adolescents’ mental health in a digital age is broader than social media use and requires attention to the underlying identity development and attachment relationships that shape their experience. </w:t>
      </w:r>
    </w:p>
    <w:p w14:paraId="486E0F87" w14:textId="77777777" w:rsidR="00040691" w:rsidRPr="006B54A0" w:rsidRDefault="00040691" w:rsidP="00040691"/>
    <w:p w14:paraId="723F8EC6" w14:textId="77777777" w:rsidR="00C91C16" w:rsidRDefault="00C91C16" w:rsidP="00376C7E"/>
    <w:p w14:paraId="24C9B6CA" w14:textId="77777777" w:rsidR="00040691" w:rsidRDefault="00040691" w:rsidP="00376C7E">
      <w:pPr>
        <w:rPr>
          <w:color w:val="000000"/>
          <w:sz w:val="36"/>
          <w:szCs w:val="36"/>
        </w:rPr>
      </w:pPr>
    </w:p>
    <w:p w14:paraId="770391CB" w14:textId="77777777" w:rsidR="00040691" w:rsidRDefault="00040691" w:rsidP="00376C7E">
      <w:pPr>
        <w:rPr>
          <w:color w:val="000000"/>
          <w:sz w:val="36"/>
          <w:szCs w:val="36"/>
        </w:rPr>
      </w:pPr>
    </w:p>
    <w:p w14:paraId="2AADE253" w14:textId="77777777" w:rsidR="00040691" w:rsidRDefault="00040691" w:rsidP="00376C7E">
      <w:pPr>
        <w:rPr>
          <w:color w:val="000000"/>
          <w:sz w:val="36"/>
          <w:szCs w:val="36"/>
        </w:rPr>
      </w:pPr>
    </w:p>
    <w:p w14:paraId="7200E85A" w14:textId="5EFCFE1F" w:rsidR="00376C7E" w:rsidRPr="00376C7E" w:rsidRDefault="00376C7E" w:rsidP="00376C7E">
      <w:pPr>
        <w:rPr>
          <w:color w:val="000000" w:themeColor="text1"/>
        </w:rPr>
      </w:pPr>
      <w:r>
        <w:rPr>
          <w:color w:val="000000"/>
          <w:sz w:val="36"/>
          <w:szCs w:val="36"/>
        </w:rPr>
        <w:t>Reference list</w:t>
      </w:r>
    </w:p>
    <w:p w14:paraId="27DEB610" w14:textId="6EA136AC" w:rsidR="00376C7E" w:rsidRDefault="00376C7E" w:rsidP="00376C7E">
      <w:pPr>
        <w:pStyle w:val="NormalWeb"/>
        <w:spacing w:before="0" w:beforeAutospacing="0" w:after="240" w:afterAutospacing="0" w:line="360" w:lineRule="atLeast"/>
        <w:rPr>
          <w:color w:val="000000"/>
        </w:rPr>
      </w:pPr>
      <w:r>
        <w:rPr>
          <w:color w:val="000000"/>
        </w:rPr>
        <w:t>Agyapong-Opoku, N., Agyapong-Opoku, F. and Greenshaw, A.J. (2025) ‘Effects of Social media use on youth and adolescent mental health: A scoping review of Reviews’,</w:t>
      </w:r>
      <w:r>
        <w:rPr>
          <w:rStyle w:val="apple-converted-space"/>
          <w:color w:val="000000"/>
        </w:rPr>
        <w:t> </w:t>
      </w:r>
      <w:r w:rsidR="00D678E8">
        <w:rPr>
          <w:i/>
          <w:iCs/>
          <w:color w:val="000000"/>
        </w:rPr>
        <w:t>Behavioural</w:t>
      </w:r>
      <w:r>
        <w:rPr>
          <w:i/>
          <w:iCs/>
          <w:color w:val="000000"/>
        </w:rPr>
        <w:t xml:space="preserve"> sciences</w:t>
      </w:r>
      <w:r>
        <w:rPr>
          <w:color w:val="000000"/>
        </w:rPr>
        <w:t>, 15(5). Available at: https://doi.org/10.3390/bs15050574.</w:t>
      </w:r>
    </w:p>
    <w:p w14:paraId="25FB56E9" w14:textId="24EB1B13" w:rsidR="00376C7E" w:rsidRDefault="00376C7E" w:rsidP="00376C7E">
      <w:pPr>
        <w:pStyle w:val="NormalWeb"/>
        <w:spacing w:before="0" w:beforeAutospacing="0" w:after="240" w:afterAutospacing="0" w:line="360" w:lineRule="atLeast"/>
        <w:rPr>
          <w:color w:val="000000"/>
        </w:rPr>
      </w:pPr>
      <w:r>
        <w:rPr>
          <w:color w:val="000000"/>
        </w:rPr>
        <w:t>Ballarotto, G., Volpi, B., Marzilli, E. and Tambelli, R. (2018) ‘Adolescent internet abuse: A study on the role of attachment to parents and peers in a large community sample’,</w:t>
      </w:r>
      <w:r>
        <w:rPr>
          <w:rStyle w:val="apple-converted-space"/>
          <w:color w:val="000000"/>
        </w:rPr>
        <w:t> </w:t>
      </w:r>
      <w:r>
        <w:rPr>
          <w:i/>
          <w:iCs/>
          <w:color w:val="000000"/>
        </w:rPr>
        <w:t>BioMed Research International</w:t>
      </w:r>
      <w:r>
        <w:rPr>
          <w:color w:val="000000"/>
        </w:rPr>
        <w:t xml:space="preserve">, 2018(5769250), pp. 1–10. Available at: </w:t>
      </w:r>
      <w:hyperlink r:id="rId7" w:history="1">
        <w:r w:rsidR="00BA1193" w:rsidRPr="008E1794">
          <w:rPr>
            <w:rStyle w:val="Hyperlink"/>
          </w:rPr>
          <w:t>https://doi.org/10.1155/2018/5769250</w:t>
        </w:r>
      </w:hyperlink>
      <w:r>
        <w:rPr>
          <w:color w:val="000000"/>
        </w:rPr>
        <w:t>.</w:t>
      </w:r>
    </w:p>
    <w:p w14:paraId="1C27BCCA" w14:textId="2CBD1835" w:rsidR="00BA1193" w:rsidRDefault="00BA1193" w:rsidP="00376C7E">
      <w:pPr>
        <w:pStyle w:val="NormalWeb"/>
        <w:spacing w:before="0" w:beforeAutospacing="0" w:after="240" w:afterAutospacing="0" w:line="360" w:lineRule="atLeast"/>
        <w:rPr>
          <w:color w:val="000000"/>
        </w:rPr>
      </w:pPr>
      <w:r>
        <w:rPr>
          <w:color w:val="000000"/>
        </w:rPr>
        <w:t>Bowlby, J. (1988) ‘A secure base: Clinical applications of attachment theory’,</w:t>
      </w:r>
      <w:r>
        <w:rPr>
          <w:rStyle w:val="apple-converted-space"/>
          <w:color w:val="000000"/>
        </w:rPr>
        <w:t> </w:t>
      </w:r>
      <w:r>
        <w:rPr>
          <w:i/>
          <w:iCs/>
          <w:color w:val="000000"/>
        </w:rPr>
        <w:t>British Journal of Psychiatry</w:t>
      </w:r>
      <w:r>
        <w:rPr>
          <w:color w:val="000000"/>
        </w:rPr>
        <w:t xml:space="preserve">, 153(05), p. 721. Available at: </w:t>
      </w:r>
      <w:hyperlink r:id="rId8" w:history="1">
        <w:r w:rsidR="0026559A" w:rsidRPr="008E1794">
          <w:rPr>
            <w:rStyle w:val="Hyperlink"/>
          </w:rPr>
          <w:t>https://doi.org/10.1192/s0007125000224197</w:t>
        </w:r>
      </w:hyperlink>
      <w:r>
        <w:rPr>
          <w:color w:val="000000"/>
        </w:rPr>
        <w:t>.</w:t>
      </w:r>
    </w:p>
    <w:p w14:paraId="371DA082" w14:textId="43182AE5" w:rsidR="0026559A" w:rsidRDefault="0026559A" w:rsidP="00376C7E">
      <w:pPr>
        <w:pStyle w:val="NormalWeb"/>
        <w:spacing w:before="0" w:beforeAutospacing="0" w:after="240" w:afterAutospacing="0" w:line="360" w:lineRule="atLeast"/>
        <w:rPr>
          <w:color w:val="000000"/>
        </w:rPr>
      </w:pPr>
      <w:r>
        <w:rPr>
          <w:color w:val="000000"/>
        </w:rPr>
        <w:t>Erikson, E.H. (1968) ‘Identity, youth and crisis’,</w:t>
      </w:r>
      <w:r>
        <w:rPr>
          <w:rStyle w:val="apple-converted-space"/>
          <w:color w:val="000000"/>
        </w:rPr>
        <w:t> </w:t>
      </w:r>
      <w:r>
        <w:rPr>
          <w:i/>
          <w:iCs/>
          <w:color w:val="000000"/>
        </w:rPr>
        <w:t>Behavioural Science</w:t>
      </w:r>
      <w:r>
        <w:rPr>
          <w:color w:val="000000"/>
        </w:rPr>
        <w:t>, 14(2), pp. 154–159. Available at: https://doi.org/10.1002/bs.3830140209.</w:t>
      </w:r>
    </w:p>
    <w:p w14:paraId="3641ECFB" w14:textId="77777777" w:rsidR="00376C7E" w:rsidRDefault="00376C7E" w:rsidP="00376C7E">
      <w:pPr>
        <w:pStyle w:val="NormalWeb"/>
        <w:spacing w:before="0" w:beforeAutospacing="0" w:after="240" w:afterAutospacing="0" w:line="360" w:lineRule="atLeast"/>
        <w:rPr>
          <w:color w:val="000000"/>
        </w:rPr>
      </w:pPr>
      <w:r>
        <w:rPr>
          <w:color w:val="000000"/>
        </w:rPr>
        <w:t>Khalaf, A.M., Alubied, A.A., Khalaf, A.M. and Rifaey, A.A. (2023) ‘The impact of Social media on the mental health of adolescents and young adults: A systematic review’,</w:t>
      </w:r>
      <w:r>
        <w:rPr>
          <w:rStyle w:val="apple-converted-space"/>
          <w:color w:val="000000"/>
        </w:rPr>
        <w:t> </w:t>
      </w:r>
      <w:r>
        <w:rPr>
          <w:i/>
          <w:iCs/>
          <w:color w:val="000000"/>
        </w:rPr>
        <w:t>Cureus</w:t>
      </w:r>
      <w:r>
        <w:rPr>
          <w:color w:val="000000"/>
        </w:rPr>
        <w:t>, 15(8), pp. 1–10. Available at: https://doi.org/10.7759/cureus.42990.</w:t>
      </w:r>
    </w:p>
    <w:p w14:paraId="1A2D25D6" w14:textId="5905C241" w:rsidR="00376C7E" w:rsidRDefault="00376C7E" w:rsidP="00376C7E">
      <w:pPr>
        <w:pStyle w:val="NormalWeb"/>
        <w:spacing w:before="0" w:beforeAutospacing="0" w:after="240" w:afterAutospacing="0" w:line="360" w:lineRule="atLeast"/>
        <w:rPr>
          <w:color w:val="000000"/>
        </w:rPr>
      </w:pPr>
      <w:r>
        <w:rPr>
          <w:color w:val="000000"/>
        </w:rPr>
        <w:t xml:space="preserve">Nasim Ahmed, A.S. (2025) ‘Adolescent mental health in the digital age: The impact of Social media on anxiety, depression, and </w:t>
      </w:r>
      <w:r w:rsidR="00D678E8">
        <w:rPr>
          <w:color w:val="000000"/>
        </w:rPr>
        <w:t>behavioural</w:t>
      </w:r>
      <w:r>
        <w:rPr>
          <w:color w:val="000000"/>
        </w:rPr>
        <w:t xml:space="preserve"> disorders’,</w:t>
      </w:r>
      <w:r>
        <w:rPr>
          <w:rStyle w:val="apple-converted-space"/>
          <w:color w:val="000000"/>
        </w:rPr>
        <w:t> </w:t>
      </w:r>
      <w:r w:rsidR="002A1150">
        <w:rPr>
          <w:i/>
          <w:iCs/>
          <w:color w:val="000000"/>
        </w:rPr>
        <w:t>medical</w:t>
      </w:r>
      <w:r>
        <w:rPr>
          <w:i/>
          <w:iCs/>
          <w:color w:val="000000"/>
        </w:rPr>
        <w:t xml:space="preserve"> letter (medletter)</w:t>
      </w:r>
      <w:r>
        <w:rPr>
          <w:color w:val="000000"/>
        </w:rPr>
        <w:t>, 3, pp. 6–10. Available at: https://doi.org/10.61336/medletter/25-01-01.</w:t>
      </w:r>
    </w:p>
    <w:p w14:paraId="5111559D" w14:textId="055186B8" w:rsidR="00376C7E" w:rsidRDefault="00376C7E" w:rsidP="00376C7E">
      <w:pPr>
        <w:pStyle w:val="NormalWeb"/>
        <w:spacing w:before="0" w:beforeAutospacing="0" w:after="240" w:afterAutospacing="0" w:line="360" w:lineRule="atLeast"/>
        <w:rPr>
          <w:color w:val="000000"/>
        </w:rPr>
      </w:pPr>
      <w:r>
        <w:rPr>
          <w:color w:val="000000"/>
        </w:rPr>
        <w:t>Nesi, J. and Prinstein, M.J. (2015) ‘Using social media for social comparison and feedback-seeking: Gender and popularity moderate associations with depressive symptoms’,</w:t>
      </w:r>
      <w:r>
        <w:rPr>
          <w:rStyle w:val="apple-converted-space"/>
          <w:color w:val="000000"/>
        </w:rPr>
        <w:t> </w:t>
      </w:r>
      <w:r>
        <w:rPr>
          <w:i/>
          <w:iCs/>
          <w:color w:val="000000"/>
        </w:rPr>
        <w:t>Journal of Abnormal Child Psychology</w:t>
      </w:r>
      <w:r>
        <w:rPr>
          <w:color w:val="000000"/>
        </w:rPr>
        <w:t xml:space="preserve">, 43(8), pp. 1427–1438. Available at: </w:t>
      </w:r>
      <w:hyperlink r:id="rId9" w:history="1">
        <w:r w:rsidR="00522839" w:rsidRPr="008E1794">
          <w:rPr>
            <w:rStyle w:val="Hyperlink"/>
          </w:rPr>
          <w:t>https://doi.org/10.1007/s10802-015-0020-0</w:t>
        </w:r>
      </w:hyperlink>
      <w:r>
        <w:rPr>
          <w:color w:val="000000"/>
        </w:rPr>
        <w:t>.</w:t>
      </w:r>
    </w:p>
    <w:p w14:paraId="0C42922A" w14:textId="13EE5AF3" w:rsidR="00522839" w:rsidRDefault="00522839" w:rsidP="00376C7E">
      <w:pPr>
        <w:pStyle w:val="NormalWeb"/>
        <w:spacing w:before="0" w:beforeAutospacing="0" w:after="240" w:afterAutospacing="0" w:line="360" w:lineRule="atLeast"/>
        <w:rPr>
          <w:color w:val="000000"/>
        </w:rPr>
      </w:pPr>
      <w:r>
        <w:rPr>
          <w:color w:val="000000"/>
        </w:rPr>
        <w:t>Odgers, C.L. and Jensen, M.R. (2020) ‘Annual Research Review: Adolescent mental health in the digital age: Facts, fears, and future directions’,</w:t>
      </w:r>
      <w:r>
        <w:rPr>
          <w:rStyle w:val="apple-converted-space"/>
          <w:color w:val="000000"/>
        </w:rPr>
        <w:t> </w:t>
      </w:r>
      <w:r>
        <w:rPr>
          <w:i/>
          <w:iCs/>
          <w:color w:val="000000"/>
        </w:rPr>
        <w:t>Journal of Child Psychology and Psychiatry</w:t>
      </w:r>
      <w:r>
        <w:rPr>
          <w:color w:val="000000"/>
        </w:rPr>
        <w:t>, 61(3), pp. 336–348. Available at: https://doi.org/10.1111/jcpp.13190.</w:t>
      </w:r>
    </w:p>
    <w:p w14:paraId="3A66C708" w14:textId="18AFF375" w:rsidR="00376C7E" w:rsidRDefault="00376C7E" w:rsidP="00376C7E">
      <w:pPr>
        <w:pStyle w:val="NormalWeb"/>
        <w:spacing w:before="0" w:beforeAutospacing="0" w:after="240" w:afterAutospacing="0" w:line="360" w:lineRule="atLeast"/>
        <w:rPr>
          <w:color w:val="000000"/>
        </w:rPr>
      </w:pPr>
      <w:r>
        <w:rPr>
          <w:color w:val="000000"/>
        </w:rPr>
        <w:t>Rides, G., Pote, H. and Watling, D. (2024) ‘Adolescents” perceptions of using likes, comments, and other reactions—A qualitative investigation’,</w:t>
      </w:r>
      <w:r>
        <w:rPr>
          <w:rStyle w:val="apple-converted-space"/>
          <w:color w:val="000000"/>
        </w:rPr>
        <w:t> </w:t>
      </w:r>
      <w:r>
        <w:rPr>
          <w:i/>
          <w:iCs/>
          <w:color w:val="000000"/>
        </w:rPr>
        <w:t>British Journal of Developmental Psychology</w:t>
      </w:r>
      <w:r>
        <w:rPr>
          <w:rStyle w:val="apple-converted-space"/>
          <w:color w:val="000000"/>
        </w:rPr>
        <w:t> </w:t>
      </w:r>
      <w:r>
        <w:rPr>
          <w:color w:val="000000"/>
        </w:rPr>
        <w:t>[Preprint]. Available at: https://doi.org/10.1111/bjdp.12537.</w:t>
      </w:r>
    </w:p>
    <w:p w14:paraId="13EE4FA8" w14:textId="77777777" w:rsidR="00376C7E" w:rsidRDefault="00376C7E" w:rsidP="00376C7E">
      <w:pPr>
        <w:pStyle w:val="NormalWeb"/>
        <w:spacing w:before="0" w:beforeAutospacing="0" w:after="240" w:afterAutospacing="0" w:line="360" w:lineRule="atLeast"/>
        <w:rPr>
          <w:color w:val="000000"/>
        </w:rPr>
      </w:pPr>
      <w:r>
        <w:rPr>
          <w:color w:val="000000"/>
        </w:rPr>
        <w:t>Sokol, J. (2009) ‘Identity development throughout the lifetime: An examination of eriksonian theory’,</w:t>
      </w:r>
      <w:r>
        <w:rPr>
          <w:rStyle w:val="apple-converted-space"/>
          <w:color w:val="000000"/>
        </w:rPr>
        <w:t> </w:t>
      </w:r>
      <w:r>
        <w:rPr>
          <w:i/>
          <w:iCs/>
          <w:color w:val="000000"/>
        </w:rPr>
        <w:t>Graduate Journal of Counseling Psychology</w:t>
      </w:r>
      <w:r>
        <w:rPr>
          <w:color w:val="000000"/>
        </w:rPr>
        <w:t>, 1(2), p. 14. Available at: https://epublications.marquette.edu/cgi/viewcontent.cgi?article=1030&amp;context=gjcp (Accessed: 11 August 2026).</w:t>
      </w:r>
    </w:p>
    <w:p w14:paraId="38729A07" w14:textId="77777777" w:rsidR="00376C7E" w:rsidRDefault="00376C7E" w:rsidP="00376C7E">
      <w:pPr>
        <w:pStyle w:val="NormalWeb"/>
        <w:spacing w:before="0" w:beforeAutospacing="0" w:after="240" w:afterAutospacing="0" w:line="360" w:lineRule="atLeast"/>
        <w:rPr>
          <w:color w:val="000000"/>
        </w:rPr>
      </w:pPr>
      <w:r>
        <w:rPr>
          <w:color w:val="000000"/>
        </w:rPr>
        <w:t>Trifiro, B.M. and Gerson, J. (2019) ‘Social media usage patterns: Research note regarding the lack of universal validated measures for active and passive use’,</w:t>
      </w:r>
      <w:r>
        <w:rPr>
          <w:rStyle w:val="apple-converted-space"/>
          <w:color w:val="000000"/>
        </w:rPr>
        <w:t> </w:t>
      </w:r>
      <w:r>
        <w:rPr>
          <w:i/>
          <w:iCs/>
          <w:color w:val="000000"/>
        </w:rPr>
        <w:t>Social Media + Society</w:t>
      </w:r>
      <w:r>
        <w:rPr>
          <w:color w:val="000000"/>
        </w:rPr>
        <w:t>, 5(2), p. 205630511984874. Available at: https://doi.org/10.1177/2056305119848743.</w:t>
      </w:r>
    </w:p>
    <w:p w14:paraId="509D546E" w14:textId="77777777" w:rsidR="00376C7E" w:rsidRDefault="00376C7E" w:rsidP="00376C7E">
      <w:pPr>
        <w:pStyle w:val="NormalWeb"/>
        <w:spacing w:before="0" w:beforeAutospacing="0" w:after="240" w:afterAutospacing="0" w:line="360" w:lineRule="atLeast"/>
        <w:rPr>
          <w:color w:val="000000"/>
        </w:rPr>
      </w:pPr>
      <w:r>
        <w:rPr>
          <w:color w:val="000000"/>
        </w:rPr>
        <w:t>Verduyn, P., Gugushvili, N. and Kross, E. (2021) ‘Do social networking sites influence well-being? The extended active-passive model’,</w:t>
      </w:r>
      <w:r>
        <w:rPr>
          <w:rStyle w:val="apple-converted-space"/>
          <w:color w:val="000000"/>
        </w:rPr>
        <w:t> </w:t>
      </w:r>
      <w:r>
        <w:rPr>
          <w:i/>
          <w:iCs/>
          <w:color w:val="000000"/>
        </w:rPr>
        <w:t>Current Directions in Psychological Science</w:t>
      </w:r>
      <w:r>
        <w:rPr>
          <w:color w:val="000000"/>
        </w:rPr>
        <w:t>, 31(1), p. 096372142110536. Available at: https://doi.org/10.1177/09637214211053637.</w:t>
      </w:r>
    </w:p>
    <w:p w14:paraId="3EBCEEC8" w14:textId="77777777" w:rsidR="00376C7E" w:rsidRDefault="00376C7E" w:rsidP="00376C7E">
      <w:pPr>
        <w:pStyle w:val="NormalWeb"/>
        <w:spacing w:before="0" w:beforeAutospacing="0" w:after="240" w:afterAutospacing="0" w:line="360" w:lineRule="atLeast"/>
        <w:rPr>
          <w:color w:val="000000"/>
        </w:rPr>
      </w:pPr>
      <w:r>
        <w:rPr>
          <w:color w:val="000000"/>
        </w:rPr>
        <w:t>Woodhouse, J., Lalic, M. and Zayed, Y. (2026)</w:t>
      </w:r>
      <w:r>
        <w:rPr>
          <w:rStyle w:val="apple-converted-space"/>
          <w:color w:val="000000"/>
        </w:rPr>
        <w:t> </w:t>
      </w:r>
      <w:r>
        <w:rPr>
          <w:i/>
          <w:iCs/>
          <w:color w:val="000000"/>
        </w:rPr>
        <w:t>Proposals to ban social media for children</w:t>
      </w:r>
      <w:r>
        <w:rPr>
          <w:color w:val="000000"/>
        </w:rPr>
        <w:t>,</w:t>
      </w:r>
      <w:r>
        <w:rPr>
          <w:rStyle w:val="apple-converted-space"/>
          <w:color w:val="000000"/>
        </w:rPr>
        <w:t> </w:t>
      </w:r>
      <w:r>
        <w:rPr>
          <w:i/>
          <w:iCs/>
          <w:color w:val="000000"/>
        </w:rPr>
        <w:t>House of Commons Library</w:t>
      </w:r>
      <w:r>
        <w:rPr>
          <w:color w:val="000000"/>
        </w:rPr>
        <w:t>. Available at: https://commonslibrary.parliament.uk/research-briefings/cbp-10468/ (Accessed: 14 August 2026).</w:t>
      </w:r>
    </w:p>
    <w:p w14:paraId="71213AEE" w14:textId="77777777" w:rsidR="00376C7E" w:rsidRDefault="00376C7E" w:rsidP="00376C7E">
      <w:pPr>
        <w:pStyle w:val="NormalWeb"/>
        <w:spacing w:before="0" w:beforeAutospacing="0" w:after="240" w:afterAutospacing="0" w:line="360" w:lineRule="atLeast"/>
        <w:rPr>
          <w:color w:val="000000"/>
        </w:rPr>
      </w:pPr>
      <w:r>
        <w:rPr>
          <w:color w:val="000000"/>
        </w:rPr>
        <w:t>Worsley, J.D., McIntyre, J.C. and Corcoran, R. (2018) ‘Cyberbullying victimisation and mental distress: Testing the moderating role of attachment security, social support, and coping styles’,</w:t>
      </w:r>
      <w:r>
        <w:rPr>
          <w:rStyle w:val="apple-converted-space"/>
          <w:color w:val="000000"/>
        </w:rPr>
        <w:t> </w:t>
      </w:r>
      <w:r>
        <w:rPr>
          <w:i/>
          <w:iCs/>
          <w:color w:val="000000"/>
        </w:rPr>
        <w:t>Emotional and Behavioural Difficulties</w:t>
      </w:r>
      <w:r>
        <w:rPr>
          <w:color w:val="000000"/>
        </w:rPr>
        <w:t>, 24(1), pp. 20–35. Available at: https://doi.org/10.1080/13632752.2018.1530497.</w:t>
      </w:r>
    </w:p>
    <w:p w14:paraId="22DEB938" w14:textId="77777777" w:rsidR="00376C7E" w:rsidRDefault="00376C7E" w:rsidP="00376C7E">
      <w:pPr>
        <w:pStyle w:val="NormalWeb"/>
        <w:spacing w:before="0" w:beforeAutospacing="0" w:after="240" w:afterAutospacing="0" w:line="360" w:lineRule="atLeast"/>
        <w:rPr>
          <w:color w:val="000000"/>
        </w:rPr>
      </w:pPr>
      <w:r>
        <w:rPr>
          <w:color w:val="000000"/>
        </w:rPr>
        <w:t>Young, L., Kolubinski, D.C. and Frings, D. (2020) ‘Attachment style moderates the relationship between social media use and user mental health and wellbeing’,</w:t>
      </w:r>
      <w:r>
        <w:rPr>
          <w:rStyle w:val="apple-converted-space"/>
          <w:color w:val="000000"/>
        </w:rPr>
        <w:t> </w:t>
      </w:r>
      <w:r>
        <w:rPr>
          <w:i/>
          <w:iCs/>
          <w:color w:val="000000"/>
        </w:rPr>
        <w:t>Heliyon</w:t>
      </w:r>
      <w:r>
        <w:rPr>
          <w:color w:val="000000"/>
        </w:rPr>
        <w:t>, 6(6), p. e04056. Available at: https://doi.org/10.1016/j.heliyon.2020.e04056.</w:t>
      </w:r>
    </w:p>
    <w:p w14:paraId="7AF269C1" w14:textId="77777777" w:rsidR="00E11B92" w:rsidRDefault="00E11B92">
      <w:pPr>
        <w:spacing w:after="160"/>
        <w:ind w:left="480" w:hanging="480"/>
      </w:pPr>
    </w:p>
    <w:sectPr w:rsidR="00E11B92">
      <w:footerReference w:type="default" r:id="rId10"/>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9090C3" w14:textId="77777777" w:rsidR="00F1721C" w:rsidRDefault="00F1721C">
      <w:pPr>
        <w:spacing w:line="240" w:lineRule="auto"/>
      </w:pPr>
      <w:r>
        <w:separator/>
      </w:r>
    </w:p>
  </w:endnote>
  <w:endnote w:type="continuationSeparator" w:id="0">
    <w:p w14:paraId="21AFF617" w14:textId="77777777" w:rsidR="00F1721C" w:rsidRDefault="00F172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D31AEC" w14:textId="77777777" w:rsidR="00F32AAE" w:rsidRDefault="00DA15C2">
    <w:pPr>
      <w:jc w:val="center"/>
    </w:pPr>
    <w:r>
      <w:rPr>
        <w:sz w:val="20"/>
        <w:szCs w:val="20"/>
      </w:rPr>
      <w:fldChar w:fldCharType="begin"/>
    </w:r>
    <w:r>
      <w:rPr>
        <w:sz w:val="20"/>
        <w:szCs w:val="20"/>
      </w:rPr>
      <w:instrText>PAGE</w:instrText>
    </w:r>
    <w:r>
      <w:rPr>
        <w:sz w:val="20"/>
        <w:szCs w:val="20"/>
      </w:rPr>
      <w:fldChar w:fldCharType="separate"/>
    </w:r>
    <w:r w:rsidR="005B18D2">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9FD8AE" w14:textId="77777777" w:rsidR="00F1721C" w:rsidRDefault="00F1721C">
      <w:pPr>
        <w:spacing w:line="240" w:lineRule="auto"/>
      </w:pPr>
      <w:r>
        <w:separator/>
      </w:r>
    </w:p>
  </w:footnote>
  <w:footnote w:type="continuationSeparator" w:id="0">
    <w:p w14:paraId="5C395449" w14:textId="77777777" w:rsidR="00F1721C" w:rsidRDefault="00F1721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170319"/>
    <w:multiLevelType w:val="hybridMultilevel"/>
    <w:tmpl w:val="080AAD44"/>
    <w:lvl w:ilvl="0" w:tplc="925A183E">
      <w:start w:val="1"/>
      <w:numFmt w:val="bullet"/>
      <w:lvlText w:val="●"/>
      <w:lvlJc w:val="left"/>
      <w:pPr>
        <w:ind w:left="720" w:hanging="360"/>
      </w:pPr>
    </w:lvl>
    <w:lvl w:ilvl="1" w:tplc="7C7AB57A">
      <w:start w:val="1"/>
      <w:numFmt w:val="bullet"/>
      <w:lvlText w:val="○"/>
      <w:lvlJc w:val="left"/>
      <w:pPr>
        <w:ind w:left="1440" w:hanging="360"/>
      </w:pPr>
    </w:lvl>
    <w:lvl w:ilvl="2" w:tplc="9F4E1C2E">
      <w:start w:val="1"/>
      <w:numFmt w:val="bullet"/>
      <w:lvlText w:val="■"/>
      <w:lvlJc w:val="left"/>
      <w:pPr>
        <w:ind w:left="2160" w:hanging="360"/>
      </w:pPr>
    </w:lvl>
    <w:lvl w:ilvl="3" w:tplc="6E68FDA2">
      <w:start w:val="1"/>
      <w:numFmt w:val="bullet"/>
      <w:lvlText w:val="●"/>
      <w:lvlJc w:val="left"/>
      <w:pPr>
        <w:ind w:left="2880" w:hanging="360"/>
      </w:pPr>
    </w:lvl>
    <w:lvl w:ilvl="4" w:tplc="C9A2F1D2">
      <w:start w:val="1"/>
      <w:numFmt w:val="bullet"/>
      <w:lvlText w:val="○"/>
      <w:lvlJc w:val="left"/>
      <w:pPr>
        <w:ind w:left="3600" w:hanging="360"/>
      </w:pPr>
    </w:lvl>
    <w:lvl w:ilvl="5" w:tplc="9B0EF900">
      <w:start w:val="1"/>
      <w:numFmt w:val="bullet"/>
      <w:lvlText w:val="■"/>
      <w:lvlJc w:val="left"/>
      <w:pPr>
        <w:ind w:left="4320" w:hanging="360"/>
      </w:pPr>
    </w:lvl>
    <w:lvl w:ilvl="6" w:tplc="2852474A">
      <w:start w:val="1"/>
      <w:numFmt w:val="bullet"/>
      <w:lvlText w:val="●"/>
      <w:lvlJc w:val="left"/>
      <w:pPr>
        <w:ind w:left="5040" w:hanging="360"/>
      </w:pPr>
    </w:lvl>
    <w:lvl w:ilvl="7" w:tplc="42D8D730">
      <w:start w:val="1"/>
      <w:numFmt w:val="bullet"/>
      <w:lvlText w:val="●"/>
      <w:lvlJc w:val="left"/>
      <w:pPr>
        <w:ind w:left="5760" w:hanging="360"/>
      </w:pPr>
    </w:lvl>
    <w:lvl w:ilvl="8" w:tplc="F8FA2A58">
      <w:start w:val="1"/>
      <w:numFmt w:val="bullet"/>
      <w:lvlText w:val="●"/>
      <w:lvlJc w:val="left"/>
      <w:pPr>
        <w:ind w:left="6480" w:hanging="360"/>
      </w:pPr>
    </w:lvl>
  </w:abstractNum>
  <w:abstractNum w:abstractNumId="1" w15:restartNumberingAfterBreak="0">
    <w:nsid w:val="53B1E40C"/>
    <w:multiLevelType w:val="hybridMultilevel"/>
    <w:tmpl w:val="9908745A"/>
    <w:lvl w:ilvl="0" w:tplc="0750EF98">
      <w:start w:val="1"/>
      <w:numFmt w:val="bullet"/>
      <w:lvlText w:val=""/>
      <w:lvlJc w:val="left"/>
      <w:pPr>
        <w:ind w:left="720" w:hanging="360"/>
      </w:pPr>
      <w:rPr>
        <w:rFonts w:ascii="Symbol" w:hAnsi="Symbol" w:hint="default"/>
      </w:rPr>
    </w:lvl>
    <w:lvl w:ilvl="1" w:tplc="2BFE063A">
      <w:start w:val="1"/>
      <w:numFmt w:val="bullet"/>
      <w:lvlText w:val="o"/>
      <w:lvlJc w:val="left"/>
      <w:pPr>
        <w:ind w:left="1440" w:hanging="360"/>
      </w:pPr>
      <w:rPr>
        <w:rFonts w:ascii="Courier New" w:hAnsi="Courier New" w:hint="default"/>
      </w:rPr>
    </w:lvl>
    <w:lvl w:ilvl="2" w:tplc="5BBA81E8">
      <w:start w:val="1"/>
      <w:numFmt w:val="bullet"/>
      <w:lvlText w:val=""/>
      <w:lvlJc w:val="left"/>
      <w:pPr>
        <w:ind w:left="2160" w:hanging="360"/>
      </w:pPr>
      <w:rPr>
        <w:rFonts w:ascii="Wingdings" w:hAnsi="Wingdings" w:hint="default"/>
      </w:rPr>
    </w:lvl>
    <w:lvl w:ilvl="3" w:tplc="0B4EF91E">
      <w:start w:val="1"/>
      <w:numFmt w:val="bullet"/>
      <w:lvlText w:val=""/>
      <w:lvlJc w:val="left"/>
      <w:pPr>
        <w:ind w:left="2880" w:hanging="360"/>
      </w:pPr>
      <w:rPr>
        <w:rFonts w:ascii="Symbol" w:hAnsi="Symbol" w:hint="default"/>
      </w:rPr>
    </w:lvl>
    <w:lvl w:ilvl="4" w:tplc="8674AFC8">
      <w:start w:val="1"/>
      <w:numFmt w:val="bullet"/>
      <w:lvlText w:val="o"/>
      <w:lvlJc w:val="left"/>
      <w:pPr>
        <w:ind w:left="3600" w:hanging="360"/>
      </w:pPr>
      <w:rPr>
        <w:rFonts w:ascii="Courier New" w:hAnsi="Courier New" w:hint="default"/>
      </w:rPr>
    </w:lvl>
    <w:lvl w:ilvl="5" w:tplc="3976CF9C">
      <w:start w:val="1"/>
      <w:numFmt w:val="bullet"/>
      <w:lvlText w:val=""/>
      <w:lvlJc w:val="left"/>
      <w:pPr>
        <w:ind w:left="4320" w:hanging="360"/>
      </w:pPr>
      <w:rPr>
        <w:rFonts w:ascii="Wingdings" w:hAnsi="Wingdings" w:hint="default"/>
      </w:rPr>
    </w:lvl>
    <w:lvl w:ilvl="6" w:tplc="430CB594">
      <w:start w:val="1"/>
      <w:numFmt w:val="bullet"/>
      <w:lvlText w:val=""/>
      <w:lvlJc w:val="left"/>
      <w:pPr>
        <w:ind w:left="5040" w:hanging="360"/>
      </w:pPr>
      <w:rPr>
        <w:rFonts w:ascii="Symbol" w:hAnsi="Symbol" w:hint="default"/>
      </w:rPr>
    </w:lvl>
    <w:lvl w:ilvl="7" w:tplc="9B06DDE4">
      <w:start w:val="1"/>
      <w:numFmt w:val="bullet"/>
      <w:lvlText w:val="o"/>
      <w:lvlJc w:val="left"/>
      <w:pPr>
        <w:ind w:left="5760" w:hanging="360"/>
      </w:pPr>
      <w:rPr>
        <w:rFonts w:ascii="Courier New" w:hAnsi="Courier New" w:hint="default"/>
      </w:rPr>
    </w:lvl>
    <w:lvl w:ilvl="8" w:tplc="19AAD7E2">
      <w:start w:val="1"/>
      <w:numFmt w:val="bullet"/>
      <w:lvlText w:val=""/>
      <w:lvlJc w:val="left"/>
      <w:pPr>
        <w:ind w:left="6480" w:hanging="360"/>
      </w:pPr>
      <w:rPr>
        <w:rFonts w:ascii="Wingdings" w:hAnsi="Wingdings" w:hint="default"/>
      </w:rPr>
    </w:lvl>
  </w:abstractNum>
  <w:num w:numId="1" w16cid:durableId="1883322531">
    <w:abstractNumId w:val="0"/>
    <w:lvlOverride w:ilvl="0">
      <w:startOverride w:val="1"/>
    </w:lvlOverride>
  </w:num>
  <w:num w:numId="2" w16cid:durableId="9973467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2AAE"/>
    <w:rsid w:val="00002A95"/>
    <w:rsid w:val="000033FF"/>
    <w:rsid w:val="00003C57"/>
    <w:rsid w:val="0001028A"/>
    <w:rsid w:val="000206E7"/>
    <w:rsid w:val="000214C6"/>
    <w:rsid w:val="00040691"/>
    <w:rsid w:val="00055D82"/>
    <w:rsid w:val="0006675E"/>
    <w:rsid w:val="00072489"/>
    <w:rsid w:val="00076941"/>
    <w:rsid w:val="00086B25"/>
    <w:rsid w:val="000B3BF9"/>
    <w:rsid w:val="000D7C1B"/>
    <w:rsid w:val="001015DF"/>
    <w:rsid w:val="00105707"/>
    <w:rsid w:val="00106C03"/>
    <w:rsid w:val="00123133"/>
    <w:rsid w:val="00135D9C"/>
    <w:rsid w:val="001443BD"/>
    <w:rsid w:val="00156BBD"/>
    <w:rsid w:val="00157FAB"/>
    <w:rsid w:val="00161F29"/>
    <w:rsid w:val="00171B52"/>
    <w:rsid w:val="00174C3B"/>
    <w:rsid w:val="00174CD9"/>
    <w:rsid w:val="00185557"/>
    <w:rsid w:val="00185A39"/>
    <w:rsid w:val="001C5EAA"/>
    <w:rsid w:val="001D3239"/>
    <w:rsid w:val="001D756A"/>
    <w:rsid w:val="001E2D86"/>
    <w:rsid w:val="001E3473"/>
    <w:rsid w:val="001E7ECA"/>
    <w:rsid w:val="001F1865"/>
    <w:rsid w:val="001F6CFA"/>
    <w:rsid w:val="00206D44"/>
    <w:rsid w:val="0021390F"/>
    <w:rsid w:val="0021459B"/>
    <w:rsid w:val="00224A81"/>
    <w:rsid w:val="002335FA"/>
    <w:rsid w:val="00234A5A"/>
    <w:rsid w:val="00240708"/>
    <w:rsid w:val="002408D1"/>
    <w:rsid w:val="00245615"/>
    <w:rsid w:val="00253EE7"/>
    <w:rsid w:val="00255CF4"/>
    <w:rsid w:val="0026559A"/>
    <w:rsid w:val="00294A15"/>
    <w:rsid w:val="002A1150"/>
    <w:rsid w:val="002B0E17"/>
    <w:rsid w:val="002B392E"/>
    <w:rsid w:val="002C5D07"/>
    <w:rsid w:val="002D2607"/>
    <w:rsid w:val="002E075E"/>
    <w:rsid w:val="002E09E4"/>
    <w:rsid w:val="002E36F5"/>
    <w:rsid w:val="00312AFB"/>
    <w:rsid w:val="00313BE0"/>
    <w:rsid w:val="00317717"/>
    <w:rsid w:val="00332E7C"/>
    <w:rsid w:val="0033530C"/>
    <w:rsid w:val="003371DD"/>
    <w:rsid w:val="00344C14"/>
    <w:rsid w:val="00347E67"/>
    <w:rsid w:val="0035605E"/>
    <w:rsid w:val="00376C7E"/>
    <w:rsid w:val="0039156A"/>
    <w:rsid w:val="003A3105"/>
    <w:rsid w:val="003B6421"/>
    <w:rsid w:val="003C598F"/>
    <w:rsid w:val="003D3811"/>
    <w:rsid w:val="003D48DF"/>
    <w:rsid w:val="003E3FE1"/>
    <w:rsid w:val="003F0E40"/>
    <w:rsid w:val="003F518E"/>
    <w:rsid w:val="003F7CA8"/>
    <w:rsid w:val="00401973"/>
    <w:rsid w:val="00424AB7"/>
    <w:rsid w:val="00426CE0"/>
    <w:rsid w:val="0043069F"/>
    <w:rsid w:val="00435D68"/>
    <w:rsid w:val="00442206"/>
    <w:rsid w:val="0044225B"/>
    <w:rsid w:val="00443590"/>
    <w:rsid w:val="00446001"/>
    <w:rsid w:val="00456041"/>
    <w:rsid w:val="00460CAD"/>
    <w:rsid w:val="00492675"/>
    <w:rsid w:val="00493F1A"/>
    <w:rsid w:val="004A57ED"/>
    <w:rsid w:val="004B14CB"/>
    <w:rsid w:val="004B23C0"/>
    <w:rsid w:val="004D11D1"/>
    <w:rsid w:val="004E68F5"/>
    <w:rsid w:val="00513417"/>
    <w:rsid w:val="00522839"/>
    <w:rsid w:val="005276E8"/>
    <w:rsid w:val="005359D2"/>
    <w:rsid w:val="00537AE2"/>
    <w:rsid w:val="00540102"/>
    <w:rsid w:val="00540268"/>
    <w:rsid w:val="0054615E"/>
    <w:rsid w:val="00554B8C"/>
    <w:rsid w:val="00555AC4"/>
    <w:rsid w:val="00557D1F"/>
    <w:rsid w:val="00566A9C"/>
    <w:rsid w:val="005670C6"/>
    <w:rsid w:val="00587F50"/>
    <w:rsid w:val="005A2DD6"/>
    <w:rsid w:val="005A7EBF"/>
    <w:rsid w:val="005B18D2"/>
    <w:rsid w:val="005B264E"/>
    <w:rsid w:val="005B5743"/>
    <w:rsid w:val="005C36A4"/>
    <w:rsid w:val="005C7FC5"/>
    <w:rsid w:val="005E3669"/>
    <w:rsid w:val="005F644A"/>
    <w:rsid w:val="005F762C"/>
    <w:rsid w:val="006018B6"/>
    <w:rsid w:val="00602D85"/>
    <w:rsid w:val="006404E6"/>
    <w:rsid w:val="00653775"/>
    <w:rsid w:val="00660F37"/>
    <w:rsid w:val="0066551E"/>
    <w:rsid w:val="006762D7"/>
    <w:rsid w:val="00677DEB"/>
    <w:rsid w:val="00677F2E"/>
    <w:rsid w:val="006904F2"/>
    <w:rsid w:val="006A461F"/>
    <w:rsid w:val="006A5009"/>
    <w:rsid w:val="006C5D38"/>
    <w:rsid w:val="006C5D4B"/>
    <w:rsid w:val="006C7B8D"/>
    <w:rsid w:val="006D28AE"/>
    <w:rsid w:val="00700C89"/>
    <w:rsid w:val="00736260"/>
    <w:rsid w:val="007445F4"/>
    <w:rsid w:val="0075193F"/>
    <w:rsid w:val="00763BF1"/>
    <w:rsid w:val="007710A0"/>
    <w:rsid w:val="00773618"/>
    <w:rsid w:val="007822CE"/>
    <w:rsid w:val="007B6834"/>
    <w:rsid w:val="007C2A8A"/>
    <w:rsid w:val="007C5327"/>
    <w:rsid w:val="007C6F27"/>
    <w:rsid w:val="007D0943"/>
    <w:rsid w:val="007D0D84"/>
    <w:rsid w:val="007F29AA"/>
    <w:rsid w:val="007F3D2D"/>
    <w:rsid w:val="007F462C"/>
    <w:rsid w:val="00810DCF"/>
    <w:rsid w:val="008609AB"/>
    <w:rsid w:val="00864011"/>
    <w:rsid w:val="00865813"/>
    <w:rsid w:val="00887105"/>
    <w:rsid w:val="00891601"/>
    <w:rsid w:val="00893381"/>
    <w:rsid w:val="0089631C"/>
    <w:rsid w:val="008A53EF"/>
    <w:rsid w:val="008A5762"/>
    <w:rsid w:val="008C0729"/>
    <w:rsid w:val="008C3A5E"/>
    <w:rsid w:val="008C44CB"/>
    <w:rsid w:val="008C5B9F"/>
    <w:rsid w:val="008D53C9"/>
    <w:rsid w:val="008D72FF"/>
    <w:rsid w:val="008E3B16"/>
    <w:rsid w:val="009222A4"/>
    <w:rsid w:val="0092498C"/>
    <w:rsid w:val="00933B45"/>
    <w:rsid w:val="00936073"/>
    <w:rsid w:val="009417ED"/>
    <w:rsid w:val="0094294F"/>
    <w:rsid w:val="00950B98"/>
    <w:rsid w:val="00967FA5"/>
    <w:rsid w:val="00980243"/>
    <w:rsid w:val="00990662"/>
    <w:rsid w:val="0099178F"/>
    <w:rsid w:val="009930E5"/>
    <w:rsid w:val="009B2D1A"/>
    <w:rsid w:val="009D5057"/>
    <w:rsid w:val="009E3264"/>
    <w:rsid w:val="009E48AF"/>
    <w:rsid w:val="009F3E7A"/>
    <w:rsid w:val="009F4E35"/>
    <w:rsid w:val="00A0519D"/>
    <w:rsid w:val="00A26A42"/>
    <w:rsid w:val="00A319E1"/>
    <w:rsid w:val="00A40FD9"/>
    <w:rsid w:val="00A47B45"/>
    <w:rsid w:val="00A64A07"/>
    <w:rsid w:val="00A6529A"/>
    <w:rsid w:val="00A715AF"/>
    <w:rsid w:val="00A744F0"/>
    <w:rsid w:val="00A93517"/>
    <w:rsid w:val="00A94CD6"/>
    <w:rsid w:val="00A974F8"/>
    <w:rsid w:val="00AA1CA0"/>
    <w:rsid w:val="00AA3169"/>
    <w:rsid w:val="00AA5B02"/>
    <w:rsid w:val="00AA60A9"/>
    <w:rsid w:val="00AB1BEA"/>
    <w:rsid w:val="00AB7008"/>
    <w:rsid w:val="00AB7491"/>
    <w:rsid w:val="00AD6D83"/>
    <w:rsid w:val="00AE5808"/>
    <w:rsid w:val="00AF1D76"/>
    <w:rsid w:val="00B17C9C"/>
    <w:rsid w:val="00B21BF3"/>
    <w:rsid w:val="00B36F6E"/>
    <w:rsid w:val="00B40DA5"/>
    <w:rsid w:val="00B419F8"/>
    <w:rsid w:val="00B4339C"/>
    <w:rsid w:val="00B451AE"/>
    <w:rsid w:val="00B50D4F"/>
    <w:rsid w:val="00B537AD"/>
    <w:rsid w:val="00B6086E"/>
    <w:rsid w:val="00B62D6D"/>
    <w:rsid w:val="00B90629"/>
    <w:rsid w:val="00BA1193"/>
    <w:rsid w:val="00BB0FA6"/>
    <w:rsid w:val="00BB1992"/>
    <w:rsid w:val="00BB58B2"/>
    <w:rsid w:val="00BD2D4D"/>
    <w:rsid w:val="00BD3CC0"/>
    <w:rsid w:val="00BD5FE2"/>
    <w:rsid w:val="00BD69D0"/>
    <w:rsid w:val="00BD71EE"/>
    <w:rsid w:val="00BF0BBD"/>
    <w:rsid w:val="00BF15D4"/>
    <w:rsid w:val="00BF4F7B"/>
    <w:rsid w:val="00C0079C"/>
    <w:rsid w:val="00C00FB5"/>
    <w:rsid w:val="00C01533"/>
    <w:rsid w:val="00C01CEB"/>
    <w:rsid w:val="00C06397"/>
    <w:rsid w:val="00C27576"/>
    <w:rsid w:val="00C40747"/>
    <w:rsid w:val="00C465CB"/>
    <w:rsid w:val="00C52202"/>
    <w:rsid w:val="00C67E6A"/>
    <w:rsid w:val="00C74D3D"/>
    <w:rsid w:val="00C87F92"/>
    <w:rsid w:val="00C903A4"/>
    <w:rsid w:val="00C91C16"/>
    <w:rsid w:val="00C961A9"/>
    <w:rsid w:val="00CB5A51"/>
    <w:rsid w:val="00CC7350"/>
    <w:rsid w:val="00CD6C95"/>
    <w:rsid w:val="00CE4D5A"/>
    <w:rsid w:val="00CE5B5E"/>
    <w:rsid w:val="00CF1B72"/>
    <w:rsid w:val="00CF3DE2"/>
    <w:rsid w:val="00CF6883"/>
    <w:rsid w:val="00CF78C3"/>
    <w:rsid w:val="00D03845"/>
    <w:rsid w:val="00D0429C"/>
    <w:rsid w:val="00D21E87"/>
    <w:rsid w:val="00D26587"/>
    <w:rsid w:val="00D34433"/>
    <w:rsid w:val="00D439E7"/>
    <w:rsid w:val="00D546C9"/>
    <w:rsid w:val="00D56C8D"/>
    <w:rsid w:val="00D579D0"/>
    <w:rsid w:val="00D60494"/>
    <w:rsid w:val="00D64112"/>
    <w:rsid w:val="00D678E8"/>
    <w:rsid w:val="00D72176"/>
    <w:rsid w:val="00D80DAB"/>
    <w:rsid w:val="00D81F8D"/>
    <w:rsid w:val="00D8297C"/>
    <w:rsid w:val="00D905A0"/>
    <w:rsid w:val="00DA06B7"/>
    <w:rsid w:val="00DA15C2"/>
    <w:rsid w:val="00DA6DC3"/>
    <w:rsid w:val="00DE2509"/>
    <w:rsid w:val="00DE53C6"/>
    <w:rsid w:val="00E11B92"/>
    <w:rsid w:val="00E23D7F"/>
    <w:rsid w:val="00E3110B"/>
    <w:rsid w:val="00E34F2F"/>
    <w:rsid w:val="00E56816"/>
    <w:rsid w:val="00E56929"/>
    <w:rsid w:val="00E66BF9"/>
    <w:rsid w:val="00E91523"/>
    <w:rsid w:val="00E956F5"/>
    <w:rsid w:val="00E97C61"/>
    <w:rsid w:val="00EA0C81"/>
    <w:rsid w:val="00EA367D"/>
    <w:rsid w:val="00ED25C4"/>
    <w:rsid w:val="00ED7113"/>
    <w:rsid w:val="00EF1917"/>
    <w:rsid w:val="00F128E5"/>
    <w:rsid w:val="00F15DC4"/>
    <w:rsid w:val="00F1721C"/>
    <w:rsid w:val="00F25954"/>
    <w:rsid w:val="00F32AAE"/>
    <w:rsid w:val="00F34CE1"/>
    <w:rsid w:val="00F358D8"/>
    <w:rsid w:val="00F47683"/>
    <w:rsid w:val="00F55A2B"/>
    <w:rsid w:val="00F63DE0"/>
    <w:rsid w:val="00F66DD4"/>
    <w:rsid w:val="00F66F85"/>
    <w:rsid w:val="00F735E5"/>
    <w:rsid w:val="00F920EA"/>
    <w:rsid w:val="00FA37AD"/>
    <w:rsid w:val="00FA4C75"/>
    <w:rsid w:val="00FB183D"/>
    <w:rsid w:val="00FC05F6"/>
    <w:rsid w:val="00FC07C1"/>
    <w:rsid w:val="00FC540D"/>
    <w:rsid w:val="08BC69DA"/>
    <w:rsid w:val="098B6621"/>
    <w:rsid w:val="0A31B22B"/>
    <w:rsid w:val="0CEE3838"/>
    <w:rsid w:val="0D0EFC1F"/>
    <w:rsid w:val="104A988D"/>
    <w:rsid w:val="117AB22A"/>
    <w:rsid w:val="13D2BED9"/>
    <w:rsid w:val="17D9D60A"/>
    <w:rsid w:val="1B09F32D"/>
    <w:rsid w:val="214D7C2A"/>
    <w:rsid w:val="23864B4C"/>
    <w:rsid w:val="2443B7FF"/>
    <w:rsid w:val="265D1245"/>
    <w:rsid w:val="28EA509D"/>
    <w:rsid w:val="2AF45CB2"/>
    <w:rsid w:val="30B9FE0F"/>
    <w:rsid w:val="387F250E"/>
    <w:rsid w:val="3FFAC186"/>
    <w:rsid w:val="41897D19"/>
    <w:rsid w:val="42290B77"/>
    <w:rsid w:val="443098E9"/>
    <w:rsid w:val="45086147"/>
    <w:rsid w:val="4AE2D7B6"/>
    <w:rsid w:val="4EF8D63C"/>
    <w:rsid w:val="4FC38098"/>
    <w:rsid w:val="50204FC4"/>
    <w:rsid w:val="50590BEC"/>
    <w:rsid w:val="5223DA77"/>
    <w:rsid w:val="55D0FDA5"/>
    <w:rsid w:val="56AED1DF"/>
    <w:rsid w:val="57445C76"/>
    <w:rsid w:val="595B2D3A"/>
    <w:rsid w:val="5DD0592F"/>
    <w:rsid w:val="6189A8CE"/>
    <w:rsid w:val="6574B2F7"/>
    <w:rsid w:val="67B4F52E"/>
    <w:rsid w:val="68A244B1"/>
    <w:rsid w:val="7041645E"/>
    <w:rsid w:val="7579927C"/>
    <w:rsid w:val="794C82F9"/>
    <w:rsid w:val="7D550CA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2895A6C"/>
  <w15:docId w15:val="{D141AA54-0AB9-4A87-B658-AB95A95ED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8D72FF"/>
    <w:pPr>
      <w:keepNext/>
      <w:keepLines/>
      <w:spacing w:before="480" w:line="276" w:lineRule="auto"/>
      <w:outlineLvl w:val="9"/>
    </w:pPr>
    <w:rPr>
      <w:rFonts w:asciiTheme="majorHAnsi" w:eastAsiaTheme="majorEastAsia" w:hAnsiTheme="majorHAnsi" w:cstheme="majorBidi"/>
      <w:b/>
      <w:bCs/>
      <w:color w:val="0F4761" w:themeColor="accent1" w:themeShade="BF"/>
      <w:sz w:val="28"/>
      <w:szCs w:val="28"/>
      <w:lang w:val="en-US" w:eastAsia="en-US"/>
    </w:rPr>
  </w:style>
  <w:style w:type="paragraph" w:styleId="TOC2">
    <w:name w:val="toc 2"/>
    <w:basedOn w:val="Normal"/>
    <w:next w:val="Normal"/>
    <w:autoRedefine/>
    <w:uiPriority w:val="39"/>
    <w:unhideWhenUsed/>
    <w:rsid w:val="008D72FF"/>
    <w:pPr>
      <w:spacing w:before="120"/>
      <w:ind w:left="220"/>
    </w:pPr>
    <w:rPr>
      <w:rFonts w:asciiTheme="minorHAnsi" w:hAnsiTheme="minorHAnsi"/>
      <w:i/>
      <w:iCs/>
      <w:sz w:val="20"/>
      <w:szCs w:val="20"/>
    </w:rPr>
  </w:style>
  <w:style w:type="paragraph" w:styleId="TOC1">
    <w:name w:val="toc 1"/>
    <w:basedOn w:val="Normal"/>
    <w:next w:val="Normal"/>
    <w:autoRedefine/>
    <w:uiPriority w:val="39"/>
    <w:unhideWhenUsed/>
    <w:rsid w:val="008D72FF"/>
    <w:pPr>
      <w:spacing w:before="240" w:after="120"/>
    </w:pPr>
    <w:rPr>
      <w:rFonts w:asciiTheme="minorHAnsi" w:hAnsiTheme="minorHAnsi"/>
      <w:b/>
      <w:bCs/>
      <w:sz w:val="20"/>
      <w:szCs w:val="20"/>
    </w:rPr>
  </w:style>
  <w:style w:type="paragraph" w:styleId="TOC3">
    <w:name w:val="toc 3"/>
    <w:basedOn w:val="Normal"/>
    <w:next w:val="Normal"/>
    <w:autoRedefine/>
    <w:uiPriority w:val="39"/>
    <w:unhideWhenUsed/>
    <w:rsid w:val="008D72FF"/>
    <w:pPr>
      <w:ind w:left="440"/>
    </w:pPr>
    <w:rPr>
      <w:rFonts w:asciiTheme="minorHAnsi" w:hAnsiTheme="minorHAnsi"/>
      <w:sz w:val="20"/>
      <w:szCs w:val="20"/>
    </w:rPr>
  </w:style>
  <w:style w:type="paragraph" w:styleId="TOC4">
    <w:name w:val="toc 4"/>
    <w:basedOn w:val="Normal"/>
    <w:next w:val="Normal"/>
    <w:autoRedefine/>
    <w:uiPriority w:val="39"/>
    <w:semiHidden/>
    <w:unhideWhenUsed/>
    <w:rsid w:val="008D72FF"/>
    <w:pPr>
      <w:ind w:left="660"/>
    </w:pPr>
    <w:rPr>
      <w:rFonts w:asciiTheme="minorHAnsi" w:hAnsiTheme="minorHAnsi"/>
      <w:sz w:val="20"/>
      <w:szCs w:val="20"/>
    </w:rPr>
  </w:style>
  <w:style w:type="paragraph" w:styleId="TOC5">
    <w:name w:val="toc 5"/>
    <w:basedOn w:val="Normal"/>
    <w:next w:val="Normal"/>
    <w:autoRedefine/>
    <w:uiPriority w:val="39"/>
    <w:semiHidden/>
    <w:unhideWhenUsed/>
    <w:rsid w:val="008D72FF"/>
    <w:pPr>
      <w:ind w:left="880"/>
    </w:pPr>
    <w:rPr>
      <w:rFonts w:asciiTheme="minorHAnsi" w:hAnsiTheme="minorHAnsi"/>
      <w:sz w:val="20"/>
      <w:szCs w:val="20"/>
    </w:rPr>
  </w:style>
  <w:style w:type="paragraph" w:styleId="TOC6">
    <w:name w:val="toc 6"/>
    <w:basedOn w:val="Normal"/>
    <w:next w:val="Normal"/>
    <w:autoRedefine/>
    <w:uiPriority w:val="39"/>
    <w:semiHidden/>
    <w:unhideWhenUsed/>
    <w:rsid w:val="008D72FF"/>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8D72FF"/>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8D72FF"/>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8D72FF"/>
    <w:pPr>
      <w:ind w:left="1760"/>
    </w:pPr>
    <w:rPr>
      <w:rFonts w:asciiTheme="minorHAnsi" w:hAnsiTheme="minorHAnsi"/>
      <w:sz w:val="20"/>
      <w:szCs w:val="20"/>
    </w:rPr>
  </w:style>
  <w:style w:type="paragraph" w:customStyle="1" w:styleId="font-claude-response-body">
    <w:name w:val="font-claude-response-body"/>
    <w:basedOn w:val="Normal"/>
    <w:rsid w:val="00E11B92"/>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E11B92"/>
    <w:rPr>
      <w:i/>
      <w:iCs/>
    </w:rPr>
  </w:style>
  <w:style w:type="paragraph" w:styleId="NormalWeb">
    <w:name w:val="Normal (Web)"/>
    <w:basedOn w:val="Normal"/>
    <w:uiPriority w:val="99"/>
    <w:unhideWhenUsed/>
    <w:rsid w:val="00E11B9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E11B92"/>
  </w:style>
  <w:style w:type="paragraph" w:customStyle="1" w:styleId="p1">
    <w:name w:val="p1"/>
    <w:basedOn w:val="Normal"/>
    <w:rsid w:val="00E11B92"/>
    <w:pPr>
      <w:spacing w:line="240" w:lineRule="auto"/>
    </w:pPr>
    <w:rPr>
      <w:rFonts w:eastAsia="Times New Roman"/>
      <w:color w:val="000000"/>
      <w:sz w:val="17"/>
      <w:szCs w:val="17"/>
    </w:rPr>
  </w:style>
  <w:style w:type="paragraph" w:styleId="Header">
    <w:name w:val="header"/>
    <w:basedOn w:val="Normal"/>
    <w:link w:val="HeaderChar"/>
    <w:uiPriority w:val="99"/>
    <w:semiHidden/>
    <w:unhideWhenUsed/>
    <w:rsid w:val="00086B25"/>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086B25"/>
  </w:style>
  <w:style w:type="paragraph" w:styleId="Footer">
    <w:name w:val="footer"/>
    <w:basedOn w:val="Normal"/>
    <w:link w:val="FooterChar"/>
    <w:uiPriority w:val="99"/>
    <w:semiHidden/>
    <w:unhideWhenUsed/>
    <w:rsid w:val="00086B25"/>
    <w:pPr>
      <w:tabs>
        <w:tab w:val="center" w:pos="4513"/>
        <w:tab w:val="right" w:pos="9026"/>
      </w:tabs>
      <w:spacing w:line="240" w:lineRule="auto"/>
    </w:pPr>
  </w:style>
  <w:style w:type="character" w:customStyle="1" w:styleId="FooterChar">
    <w:name w:val="Footer Char"/>
    <w:basedOn w:val="DefaultParagraphFont"/>
    <w:link w:val="Footer"/>
    <w:uiPriority w:val="99"/>
    <w:semiHidden/>
    <w:rsid w:val="00086B25"/>
  </w:style>
  <w:style w:type="character" w:styleId="FollowedHyperlink">
    <w:name w:val="FollowedHyperlink"/>
    <w:basedOn w:val="DefaultParagraphFont"/>
    <w:uiPriority w:val="99"/>
    <w:semiHidden/>
    <w:unhideWhenUsed/>
    <w:rsid w:val="00D439E7"/>
    <w:rPr>
      <w:color w:val="96607D" w:themeColor="followedHyperlink"/>
      <w:u w:val="single"/>
    </w:rPr>
  </w:style>
  <w:style w:type="character" w:styleId="UnresolvedMention">
    <w:name w:val="Unresolved Mention"/>
    <w:basedOn w:val="DefaultParagraphFont"/>
    <w:uiPriority w:val="99"/>
    <w:semiHidden/>
    <w:unhideWhenUsed/>
    <w:rsid w:val="00BA11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1192/s0007125000224197" TargetMode="External"/><Relationship Id="rId3" Type="http://schemas.openxmlformats.org/officeDocument/2006/relationships/settings" Target="settings.xml"/><Relationship Id="rId7" Type="http://schemas.openxmlformats.org/officeDocument/2006/relationships/hyperlink" Target="https://doi.org/10.1155/2018/576925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007/s10802-015-002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747</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cp:lastModifiedBy>Okechukwu Ohiagu (2518547)</cp:lastModifiedBy>
  <cp:revision>201</cp:revision>
  <cp:lastPrinted>2026-08-14T18:34:00Z</cp:lastPrinted>
  <dcterms:created xsi:type="dcterms:W3CDTF">2026-07-27T21:30:00Z</dcterms:created>
  <dcterms:modified xsi:type="dcterms:W3CDTF">2026-08-16T21:35:00Z</dcterms:modified>
</cp:coreProperties>
</file>