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167CE" w14:textId="77777777" w:rsidR="001865CC" w:rsidRPr="001865CC" w:rsidRDefault="001865CC" w:rsidP="001865CC">
      <w:pPr>
        <w:jc w:val="center"/>
      </w:pPr>
    </w:p>
    <w:p w14:paraId="133408AA" w14:textId="77777777" w:rsidR="001865CC" w:rsidRPr="001865CC" w:rsidRDefault="001865CC" w:rsidP="001865CC">
      <w:pPr>
        <w:jc w:val="center"/>
      </w:pPr>
    </w:p>
    <w:p w14:paraId="0FB6F1D2" w14:textId="3D8B727E" w:rsidR="00524816" w:rsidRPr="001865CC" w:rsidRDefault="001865CC" w:rsidP="001865CC">
      <w:pPr>
        <w:jc w:val="center"/>
        <w:rPr>
          <w:sz w:val="32"/>
          <w:szCs w:val="32"/>
        </w:rPr>
      </w:pPr>
      <w:r w:rsidRPr="001865CC">
        <w:rPr>
          <w:sz w:val="32"/>
          <w:szCs w:val="32"/>
        </w:rPr>
        <w:t xml:space="preserve">Health and </w:t>
      </w:r>
      <w:r w:rsidR="00D96818">
        <w:rPr>
          <w:sz w:val="32"/>
          <w:szCs w:val="32"/>
        </w:rPr>
        <w:t>W</w:t>
      </w:r>
      <w:r w:rsidRPr="001865CC">
        <w:rPr>
          <w:sz w:val="32"/>
          <w:szCs w:val="32"/>
        </w:rPr>
        <w:t>ellbeing and sustainable development</w:t>
      </w:r>
    </w:p>
    <w:p w14:paraId="6FB91C8E" w14:textId="2B8958AA" w:rsidR="001865CC" w:rsidRPr="001865CC" w:rsidRDefault="001865CC" w:rsidP="001865CC">
      <w:pPr>
        <w:jc w:val="center"/>
        <w:rPr>
          <w:sz w:val="32"/>
          <w:szCs w:val="32"/>
        </w:rPr>
      </w:pPr>
    </w:p>
    <w:p w14:paraId="17BDB7F9" w14:textId="77777777" w:rsidR="001865CC" w:rsidRPr="001865CC" w:rsidRDefault="001865CC" w:rsidP="001865CC">
      <w:pPr>
        <w:jc w:val="center"/>
        <w:rPr>
          <w:sz w:val="32"/>
          <w:szCs w:val="32"/>
        </w:rPr>
      </w:pPr>
    </w:p>
    <w:p w14:paraId="271F5A03" w14:textId="77777777" w:rsidR="001865CC" w:rsidRPr="001865CC" w:rsidRDefault="001865CC" w:rsidP="001865CC">
      <w:pPr>
        <w:jc w:val="center"/>
        <w:rPr>
          <w:sz w:val="32"/>
          <w:szCs w:val="32"/>
        </w:rPr>
      </w:pPr>
    </w:p>
    <w:p w14:paraId="4F1B4CF2" w14:textId="67C3FDE1" w:rsidR="001865CC" w:rsidRDefault="001865CC" w:rsidP="001865CC">
      <w:pPr>
        <w:jc w:val="center"/>
        <w:rPr>
          <w:sz w:val="32"/>
          <w:szCs w:val="32"/>
        </w:rPr>
      </w:pPr>
      <w:r w:rsidRPr="001865CC">
        <w:rPr>
          <w:sz w:val="32"/>
          <w:szCs w:val="32"/>
        </w:rPr>
        <w:t>Future Generations Act 2015</w:t>
      </w:r>
    </w:p>
    <w:p w14:paraId="64EF8F41" w14:textId="77777777" w:rsidR="000E523E" w:rsidRPr="001865CC" w:rsidRDefault="000E523E" w:rsidP="001865CC">
      <w:pPr>
        <w:jc w:val="center"/>
        <w:rPr>
          <w:sz w:val="32"/>
          <w:szCs w:val="32"/>
        </w:rPr>
      </w:pPr>
    </w:p>
    <w:p w14:paraId="589519A7" w14:textId="6B06029E" w:rsidR="001865CC" w:rsidRPr="001865CC" w:rsidRDefault="001865CC" w:rsidP="001865CC">
      <w:pPr>
        <w:jc w:val="center"/>
        <w:rPr>
          <w:sz w:val="32"/>
          <w:szCs w:val="32"/>
        </w:rPr>
      </w:pPr>
    </w:p>
    <w:p w14:paraId="6B1D84FA" w14:textId="77777777" w:rsidR="001865CC" w:rsidRPr="001865CC" w:rsidRDefault="001865CC" w:rsidP="001865CC">
      <w:pPr>
        <w:jc w:val="center"/>
        <w:rPr>
          <w:sz w:val="32"/>
          <w:szCs w:val="32"/>
        </w:rPr>
      </w:pPr>
    </w:p>
    <w:p w14:paraId="56F341DD" w14:textId="77777777" w:rsidR="001865CC" w:rsidRPr="001865CC" w:rsidRDefault="001865CC" w:rsidP="001865CC">
      <w:pPr>
        <w:jc w:val="center"/>
        <w:rPr>
          <w:sz w:val="32"/>
          <w:szCs w:val="32"/>
        </w:rPr>
      </w:pPr>
    </w:p>
    <w:p w14:paraId="279B694B" w14:textId="77777777" w:rsidR="001865CC" w:rsidRPr="001865CC" w:rsidRDefault="001865CC" w:rsidP="001865CC">
      <w:pPr>
        <w:jc w:val="center"/>
        <w:rPr>
          <w:sz w:val="32"/>
          <w:szCs w:val="32"/>
        </w:rPr>
      </w:pPr>
    </w:p>
    <w:p w14:paraId="7618820C" w14:textId="77777777" w:rsidR="001865CC" w:rsidRPr="001865CC" w:rsidRDefault="001865CC" w:rsidP="001865CC">
      <w:pPr>
        <w:jc w:val="center"/>
        <w:rPr>
          <w:sz w:val="32"/>
          <w:szCs w:val="32"/>
        </w:rPr>
      </w:pPr>
    </w:p>
    <w:p w14:paraId="6D22E0C0" w14:textId="77777777" w:rsidR="001865CC" w:rsidRPr="001865CC" w:rsidRDefault="001865CC" w:rsidP="001865CC">
      <w:pPr>
        <w:jc w:val="center"/>
        <w:rPr>
          <w:sz w:val="32"/>
          <w:szCs w:val="32"/>
        </w:rPr>
      </w:pPr>
    </w:p>
    <w:p w14:paraId="38FC9A64" w14:textId="77777777" w:rsidR="001865CC" w:rsidRPr="001865CC" w:rsidRDefault="001865CC" w:rsidP="001865CC">
      <w:pPr>
        <w:jc w:val="center"/>
        <w:rPr>
          <w:sz w:val="32"/>
          <w:szCs w:val="32"/>
        </w:rPr>
      </w:pPr>
    </w:p>
    <w:p w14:paraId="609F5744" w14:textId="6E150F65" w:rsidR="001865CC" w:rsidRPr="001865CC" w:rsidRDefault="001865CC" w:rsidP="001865CC">
      <w:pPr>
        <w:jc w:val="center"/>
        <w:rPr>
          <w:sz w:val="32"/>
          <w:szCs w:val="32"/>
        </w:rPr>
      </w:pPr>
      <w:r w:rsidRPr="001865CC">
        <w:rPr>
          <w:sz w:val="32"/>
          <w:szCs w:val="32"/>
        </w:rPr>
        <w:t xml:space="preserve">Ashley Jones </w:t>
      </w:r>
    </w:p>
    <w:p w14:paraId="50A2D71F" w14:textId="12239190" w:rsidR="001865CC" w:rsidRPr="001865CC" w:rsidRDefault="001865CC" w:rsidP="001865CC">
      <w:pPr>
        <w:jc w:val="center"/>
        <w:rPr>
          <w:sz w:val="32"/>
          <w:szCs w:val="32"/>
        </w:rPr>
      </w:pPr>
    </w:p>
    <w:p w14:paraId="7993F7DB" w14:textId="042637BA" w:rsidR="001865CC" w:rsidRPr="001865CC" w:rsidRDefault="001865CC" w:rsidP="001865CC">
      <w:pPr>
        <w:jc w:val="center"/>
        <w:rPr>
          <w:sz w:val="32"/>
          <w:szCs w:val="32"/>
        </w:rPr>
      </w:pPr>
      <w:r w:rsidRPr="001865CC">
        <w:rPr>
          <w:sz w:val="32"/>
          <w:szCs w:val="32"/>
        </w:rPr>
        <w:t xml:space="preserve">2109767 </w:t>
      </w:r>
    </w:p>
    <w:p w14:paraId="493496BD" w14:textId="0187A509" w:rsidR="001865CC" w:rsidRPr="001865CC" w:rsidRDefault="001865CC" w:rsidP="001865CC">
      <w:pPr>
        <w:jc w:val="center"/>
        <w:rPr>
          <w:sz w:val="32"/>
          <w:szCs w:val="32"/>
        </w:rPr>
      </w:pPr>
    </w:p>
    <w:p w14:paraId="4BD2EB9D" w14:textId="79EFDCFC" w:rsidR="001865CC" w:rsidRPr="001865CC" w:rsidRDefault="001865CC" w:rsidP="001865CC">
      <w:pPr>
        <w:jc w:val="center"/>
        <w:rPr>
          <w:sz w:val="32"/>
          <w:szCs w:val="32"/>
        </w:rPr>
      </w:pPr>
      <w:r w:rsidRPr="001865CC">
        <w:rPr>
          <w:sz w:val="32"/>
          <w:szCs w:val="32"/>
        </w:rPr>
        <w:t>Jonathan Wyatt</w:t>
      </w:r>
    </w:p>
    <w:p w14:paraId="01FDA8DC" w14:textId="4DBBBC2E" w:rsidR="001865CC" w:rsidRPr="001865CC" w:rsidRDefault="001865CC" w:rsidP="001865CC">
      <w:pPr>
        <w:jc w:val="center"/>
      </w:pPr>
    </w:p>
    <w:p w14:paraId="362EFFFC" w14:textId="441F4721" w:rsidR="001865CC" w:rsidRPr="001865CC" w:rsidRDefault="001865CC" w:rsidP="001865CC">
      <w:pPr>
        <w:jc w:val="center"/>
      </w:pPr>
    </w:p>
    <w:p w14:paraId="7EF89BFE" w14:textId="22856BC4" w:rsidR="001865CC" w:rsidRPr="001865CC" w:rsidRDefault="001865CC" w:rsidP="001865CC">
      <w:pPr>
        <w:jc w:val="center"/>
      </w:pPr>
    </w:p>
    <w:p w14:paraId="738407DB" w14:textId="2B2E4B9B" w:rsidR="001865CC" w:rsidRPr="001865CC" w:rsidRDefault="001865CC" w:rsidP="001865CC">
      <w:pPr>
        <w:jc w:val="center"/>
      </w:pPr>
    </w:p>
    <w:p w14:paraId="2A173447" w14:textId="573D5FC2" w:rsidR="001865CC" w:rsidRPr="001865CC" w:rsidRDefault="001865CC" w:rsidP="001865CC">
      <w:pPr>
        <w:jc w:val="center"/>
      </w:pPr>
    </w:p>
    <w:p w14:paraId="688F78C1" w14:textId="631877CD" w:rsidR="001865CC" w:rsidRPr="001865CC" w:rsidRDefault="001865CC" w:rsidP="001865CC">
      <w:pPr>
        <w:jc w:val="center"/>
      </w:pPr>
    </w:p>
    <w:p w14:paraId="3CB8DEB2" w14:textId="1B4429BC" w:rsidR="001865CC" w:rsidRPr="001865CC" w:rsidRDefault="001865CC" w:rsidP="001865CC">
      <w:pPr>
        <w:jc w:val="center"/>
      </w:pPr>
    </w:p>
    <w:p w14:paraId="2101C753" w14:textId="5C486D34" w:rsidR="001865CC" w:rsidRPr="001865CC" w:rsidRDefault="001865CC" w:rsidP="001865CC">
      <w:pPr>
        <w:jc w:val="center"/>
      </w:pPr>
    </w:p>
    <w:p w14:paraId="61924A9E" w14:textId="44456A5D" w:rsidR="001865CC" w:rsidRPr="001865CC" w:rsidRDefault="001865CC" w:rsidP="001865CC">
      <w:pPr>
        <w:jc w:val="center"/>
      </w:pPr>
    </w:p>
    <w:p w14:paraId="360E38E5" w14:textId="5AA96B21" w:rsidR="001865CC" w:rsidRPr="001865CC" w:rsidRDefault="001865CC" w:rsidP="001865CC">
      <w:pPr>
        <w:jc w:val="center"/>
      </w:pPr>
    </w:p>
    <w:p w14:paraId="307FA4D6" w14:textId="2BE36309" w:rsidR="001865CC" w:rsidRPr="001865CC" w:rsidRDefault="001865CC" w:rsidP="001865CC">
      <w:pPr>
        <w:jc w:val="center"/>
      </w:pPr>
    </w:p>
    <w:p w14:paraId="3C9431F8" w14:textId="77777777" w:rsidR="00D62F83" w:rsidRDefault="00D62F83" w:rsidP="001865CC">
      <w:pPr>
        <w:rPr>
          <w:highlight w:val="yellow"/>
          <w:u w:val="single"/>
        </w:rPr>
      </w:pPr>
    </w:p>
    <w:p w14:paraId="6CB4BC44" w14:textId="77777777" w:rsidR="00D62F83" w:rsidRDefault="00D62F83" w:rsidP="001865CC">
      <w:pPr>
        <w:rPr>
          <w:highlight w:val="yellow"/>
          <w:u w:val="single"/>
        </w:rPr>
      </w:pPr>
    </w:p>
    <w:p w14:paraId="6EA0D6EC" w14:textId="77777777" w:rsidR="00D62F83" w:rsidRDefault="00D62F83" w:rsidP="001865CC">
      <w:pPr>
        <w:rPr>
          <w:highlight w:val="yellow"/>
          <w:u w:val="single"/>
        </w:rPr>
      </w:pPr>
    </w:p>
    <w:p w14:paraId="6BD12F36" w14:textId="4E1B97EE" w:rsidR="00D62F83" w:rsidRDefault="00D62F83" w:rsidP="001865CC">
      <w:pPr>
        <w:rPr>
          <w:highlight w:val="yellow"/>
          <w:u w:val="single"/>
        </w:rPr>
      </w:pPr>
    </w:p>
    <w:p w14:paraId="4B1F0308" w14:textId="77777777" w:rsidR="00CF0070" w:rsidRDefault="00CF0070" w:rsidP="001865CC">
      <w:pPr>
        <w:rPr>
          <w:u w:val="single"/>
        </w:rPr>
      </w:pPr>
    </w:p>
    <w:p w14:paraId="216E55A4" w14:textId="77777777" w:rsidR="00CF0070" w:rsidRDefault="00CF0070" w:rsidP="001865CC">
      <w:pPr>
        <w:rPr>
          <w:u w:val="single"/>
        </w:rPr>
      </w:pPr>
    </w:p>
    <w:p w14:paraId="211220EA" w14:textId="77777777" w:rsidR="00CF0070" w:rsidRDefault="00CF0070" w:rsidP="001865CC">
      <w:pPr>
        <w:rPr>
          <w:u w:val="single"/>
        </w:rPr>
      </w:pPr>
    </w:p>
    <w:p w14:paraId="4C5E2FDB" w14:textId="77777777" w:rsidR="00CF0070" w:rsidRDefault="00CF0070" w:rsidP="001865CC">
      <w:pPr>
        <w:rPr>
          <w:u w:val="single"/>
        </w:rPr>
      </w:pPr>
    </w:p>
    <w:p w14:paraId="5187630E" w14:textId="77777777" w:rsidR="00CF0070" w:rsidRDefault="00CF0070" w:rsidP="001865CC">
      <w:pPr>
        <w:rPr>
          <w:u w:val="single"/>
        </w:rPr>
      </w:pPr>
    </w:p>
    <w:p w14:paraId="7B7AFFF0" w14:textId="77777777" w:rsidR="00CF0070" w:rsidRDefault="00CF0070" w:rsidP="001865CC">
      <w:pPr>
        <w:rPr>
          <w:u w:val="single"/>
        </w:rPr>
      </w:pPr>
    </w:p>
    <w:p w14:paraId="45086D31" w14:textId="77777777" w:rsidR="00CF0070" w:rsidRDefault="00CF0070" w:rsidP="001865CC">
      <w:pPr>
        <w:rPr>
          <w:u w:val="single"/>
        </w:rPr>
      </w:pPr>
    </w:p>
    <w:p w14:paraId="32A3870D" w14:textId="77777777" w:rsidR="00CF0070" w:rsidRDefault="00CF0070" w:rsidP="001865CC">
      <w:pPr>
        <w:rPr>
          <w:u w:val="single"/>
        </w:rPr>
      </w:pPr>
    </w:p>
    <w:p w14:paraId="537F3329" w14:textId="77777777" w:rsidR="00CF0070" w:rsidRDefault="00CF0070" w:rsidP="001865CC">
      <w:pPr>
        <w:rPr>
          <w:u w:val="single"/>
        </w:rPr>
      </w:pPr>
    </w:p>
    <w:p w14:paraId="4B2062BD" w14:textId="77777777" w:rsidR="00CF0070" w:rsidRDefault="00CF0070" w:rsidP="001865CC">
      <w:pPr>
        <w:rPr>
          <w:u w:val="single"/>
        </w:rPr>
      </w:pPr>
    </w:p>
    <w:p w14:paraId="19D3DD9F" w14:textId="77777777" w:rsidR="00CF0070" w:rsidRDefault="00CF0070" w:rsidP="001865CC">
      <w:pPr>
        <w:rPr>
          <w:u w:val="single"/>
        </w:rPr>
      </w:pPr>
    </w:p>
    <w:p w14:paraId="13A059FC" w14:textId="08926C90" w:rsidR="006414CA" w:rsidRPr="00CF0070" w:rsidRDefault="006414CA" w:rsidP="001865CC">
      <w:r w:rsidRPr="006414CA">
        <w:rPr>
          <w:u w:val="single"/>
        </w:rPr>
        <w:t xml:space="preserve">Contents page </w:t>
      </w:r>
      <w:r w:rsidR="00CF0070">
        <w:rPr>
          <w:u w:val="single"/>
        </w:rPr>
        <w:t xml:space="preserve">                                                                                               </w:t>
      </w:r>
      <w:r w:rsidR="00CF0070" w:rsidRPr="00CF0070">
        <w:rPr>
          <w:u w:val="single"/>
        </w:rPr>
        <w:t>Page Number</w:t>
      </w:r>
    </w:p>
    <w:p w14:paraId="512F9AAC" w14:textId="2A4D98EB" w:rsidR="006414CA" w:rsidRPr="006414CA" w:rsidRDefault="006414CA" w:rsidP="001865CC">
      <w:pPr>
        <w:rPr>
          <w:u w:val="single"/>
        </w:rPr>
      </w:pPr>
    </w:p>
    <w:p w14:paraId="779D946E" w14:textId="77777777" w:rsidR="006414CA" w:rsidRDefault="006414CA" w:rsidP="006414CA">
      <w:pPr>
        <w:spacing w:line="360" w:lineRule="auto"/>
        <w:rPr>
          <w:u w:val="single"/>
        </w:rPr>
      </w:pPr>
    </w:p>
    <w:p w14:paraId="64A68123" w14:textId="556F4422" w:rsidR="006414CA" w:rsidRPr="006414CA" w:rsidRDefault="00CF0070" w:rsidP="006414CA">
      <w:pPr>
        <w:spacing w:line="360" w:lineRule="auto"/>
      </w:pPr>
      <w:r>
        <w:t xml:space="preserve">1.0 </w:t>
      </w:r>
      <w:r w:rsidR="006414CA" w:rsidRPr="006414CA">
        <w:t xml:space="preserve">Introduction </w:t>
      </w:r>
      <w:r>
        <w:t xml:space="preserve">                                                                                                     1</w:t>
      </w:r>
    </w:p>
    <w:p w14:paraId="5463D0D3" w14:textId="144F1981" w:rsidR="006414CA" w:rsidRPr="006414CA" w:rsidRDefault="006414CA" w:rsidP="006414CA">
      <w:pPr>
        <w:spacing w:line="360" w:lineRule="auto"/>
      </w:pPr>
    </w:p>
    <w:p w14:paraId="39921E17" w14:textId="6C269A1B" w:rsidR="006414CA" w:rsidRPr="006414CA" w:rsidRDefault="00CF0070" w:rsidP="006414CA">
      <w:pPr>
        <w:spacing w:line="360" w:lineRule="auto"/>
      </w:pPr>
      <w:r>
        <w:t xml:space="preserve">2.0 </w:t>
      </w:r>
      <w:r w:rsidR="006414CA" w:rsidRPr="006414CA">
        <w:t xml:space="preserve">Background of sustainable development </w:t>
      </w:r>
      <w:r>
        <w:t xml:space="preserve">                                                         2</w:t>
      </w:r>
    </w:p>
    <w:p w14:paraId="448CEC54" w14:textId="6D5331F9" w:rsidR="006414CA" w:rsidRPr="006414CA" w:rsidRDefault="006414CA" w:rsidP="006414CA">
      <w:pPr>
        <w:spacing w:line="360" w:lineRule="auto"/>
      </w:pPr>
    </w:p>
    <w:p w14:paraId="2BB10708" w14:textId="5A849AF8" w:rsidR="006414CA" w:rsidRPr="006414CA" w:rsidRDefault="00CF0070" w:rsidP="006414CA">
      <w:pPr>
        <w:spacing w:line="360" w:lineRule="auto"/>
      </w:pPr>
      <w:r>
        <w:t xml:space="preserve">3.0 </w:t>
      </w:r>
      <w:r w:rsidR="006414CA" w:rsidRPr="006414CA">
        <w:t xml:space="preserve">Millennium development goals </w:t>
      </w:r>
      <w:r>
        <w:t xml:space="preserve">                                                                        3</w:t>
      </w:r>
    </w:p>
    <w:p w14:paraId="3ED2EC9E" w14:textId="4B828319" w:rsidR="006414CA" w:rsidRPr="006414CA" w:rsidRDefault="006414CA" w:rsidP="006414CA">
      <w:pPr>
        <w:spacing w:line="360" w:lineRule="auto"/>
      </w:pPr>
    </w:p>
    <w:p w14:paraId="68EC29B3" w14:textId="6FE1599C" w:rsidR="006414CA" w:rsidRPr="006414CA" w:rsidRDefault="00CF0070" w:rsidP="006414CA">
      <w:pPr>
        <w:spacing w:line="360" w:lineRule="auto"/>
      </w:pPr>
      <w:r>
        <w:t xml:space="preserve">4.0 </w:t>
      </w:r>
      <w:r w:rsidR="006414CA" w:rsidRPr="006414CA">
        <w:t xml:space="preserve">Sustainable development </w:t>
      </w:r>
      <w:r>
        <w:t xml:space="preserve">                                                                                  4</w:t>
      </w:r>
    </w:p>
    <w:p w14:paraId="04E84BA5" w14:textId="5EAAB9E7" w:rsidR="006414CA" w:rsidRPr="006414CA" w:rsidRDefault="006414CA" w:rsidP="006414CA">
      <w:pPr>
        <w:spacing w:line="360" w:lineRule="auto"/>
      </w:pPr>
    </w:p>
    <w:p w14:paraId="3203758F" w14:textId="0D45167D" w:rsidR="006414CA" w:rsidRPr="006414CA" w:rsidRDefault="00CF0070" w:rsidP="006414CA">
      <w:pPr>
        <w:spacing w:line="360" w:lineRule="auto"/>
      </w:pPr>
      <w:r>
        <w:t xml:space="preserve">5.0 </w:t>
      </w:r>
      <w:r w:rsidR="006414CA" w:rsidRPr="006414CA">
        <w:t>The Well-being of Future Generations Wales Act 2015</w:t>
      </w:r>
      <w:r>
        <w:t xml:space="preserve">                                  5-6</w:t>
      </w:r>
    </w:p>
    <w:p w14:paraId="6FAFC20F" w14:textId="44B4A99E" w:rsidR="006414CA" w:rsidRPr="006414CA" w:rsidRDefault="006414CA" w:rsidP="006414CA">
      <w:pPr>
        <w:spacing w:line="360" w:lineRule="auto"/>
      </w:pPr>
    </w:p>
    <w:p w14:paraId="0F72AA7B" w14:textId="60B38423" w:rsidR="006414CA" w:rsidRDefault="00CF0070" w:rsidP="006414CA">
      <w:pPr>
        <w:spacing w:line="360" w:lineRule="auto"/>
      </w:pPr>
      <w:r>
        <w:t xml:space="preserve">5.1 </w:t>
      </w:r>
      <w:r w:rsidR="006414CA" w:rsidRPr="006414CA">
        <w:t xml:space="preserve">A Resilient Wales </w:t>
      </w:r>
      <w:r>
        <w:t xml:space="preserve">                                                                                           7-8</w:t>
      </w:r>
    </w:p>
    <w:p w14:paraId="538790A4" w14:textId="77777777" w:rsidR="006414CA" w:rsidRDefault="006414CA" w:rsidP="006414CA">
      <w:pPr>
        <w:spacing w:line="360" w:lineRule="auto"/>
      </w:pPr>
    </w:p>
    <w:p w14:paraId="64913C77" w14:textId="1CA0B373" w:rsidR="006414CA" w:rsidRPr="006414CA" w:rsidRDefault="00CF0070" w:rsidP="006414CA">
      <w:pPr>
        <w:spacing w:line="360" w:lineRule="auto"/>
      </w:pPr>
      <w:r>
        <w:t xml:space="preserve">5.2 </w:t>
      </w:r>
      <w:r w:rsidR="006414CA" w:rsidRPr="006414CA">
        <w:t xml:space="preserve">A </w:t>
      </w:r>
      <w:r w:rsidR="006414CA">
        <w:t>H</w:t>
      </w:r>
      <w:r w:rsidR="006414CA" w:rsidRPr="006414CA">
        <w:t xml:space="preserve">ealthier Wales </w:t>
      </w:r>
      <w:r>
        <w:t xml:space="preserve">                                                                                          9-10</w:t>
      </w:r>
    </w:p>
    <w:p w14:paraId="6CFF9980" w14:textId="1CB76BA0" w:rsidR="006414CA" w:rsidRDefault="006414CA" w:rsidP="006414CA">
      <w:pPr>
        <w:spacing w:line="360" w:lineRule="auto"/>
        <w:rPr>
          <w:highlight w:val="yellow"/>
          <w:u w:val="single"/>
        </w:rPr>
      </w:pPr>
    </w:p>
    <w:p w14:paraId="68BD56E5" w14:textId="31EDBDA1" w:rsidR="006414CA" w:rsidRPr="006414CA" w:rsidRDefault="00CF0070" w:rsidP="006414CA">
      <w:pPr>
        <w:spacing w:line="360" w:lineRule="auto"/>
      </w:pPr>
      <w:r>
        <w:t xml:space="preserve">6.0 </w:t>
      </w:r>
      <w:r w:rsidR="006414CA" w:rsidRPr="006414CA">
        <w:t xml:space="preserve">Blue zones </w:t>
      </w:r>
      <w:r>
        <w:t xml:space="preserve">                                                                                                        11</w:t>
      </w:r>
    </w:p>
    <w:p w14:paraId="71629D1B" w14:textId="6F320FC3" w:rsidR="006414CA" w:rsidRPr="006414CA" w:rsidRDefault="006414CA" w:rsidP="006414CA">
      <w:pPr>
        <w:spacing w:line="360" w:lineRule="auto"/>
      </w:pPr>
    </w:p>
    <w:p w14:paraId="6E93AEE3" w14:textId="21CF32B7" w:rsidR="006414CA" w:rsidRPr="006414CA" w:rsidRDefault="00CF0070" w:rsidP="006414CA">
      <w:pPr>
        <w:spacing w:line="360" w:lineRule="auto"/>
      </w:pPr>
      <w:r>
        <w:t xml:space="preserve">7.0 </w:t>
      </w:r>
      <w:r w:rsidR="006414CA" w:rsidRPr="006414CA">
        <w:t xml:space="preserve">Recommendations </w:t>
      </w:r>
      <w:r>
        <w:t xml:space="preserve">                                                                                         12-13</w:t>
      </w:r>
    </w:p>
    <w:p w14:paraId="69E5D15A" w14:textId="309D48A1" w:rsidR="006414CA" w:rsidRPr="006414CA" w:rsidRDefault="006414CA" w:rsidP="006414CA">
      <w:pPr>
        <w:spacing w:line="360" w:lineRule="auto"/>
      </w:pPr>
    </w:p>
    <w:p w14:paraId="1CF827A6" w14:textId="6A99AF8B" w:rsidR="006414CA" w:rsidRPr="006414CA" w:rsidRDefault="00CF0070" w:rsidP="006414CA">
      <w:pPr>
        <w:spacing w:line="360" w:lineRule="auto"/>
      </w:pPr>
      <w:r>
        <w:t xml:space="preserve">8.0 </w:t>
      </w:r>
      <w:r w:rsidR="006414CA" w:rsidRPr="006414CA">
        <w:t xml:space="preserve">Conclusion </w:t>
      </w:r>
      <w:r>
        <w:t xml:space="preserve">                                                                                                       14</w:t>
      </w:r>
    </w:p>
    <w:p w14:paraId="2900BF4B" w14:textId="77777777" w:rsidR="006414CA" w:rsidRDefault="006414CA" w:rsidP="006414CA">
      <w:pPr>
        <w:spacing w:line="360" w:lineRule="auto"/>
        <w:rPr>
          <w:highlight w:val="yellow"/>
          <w:u w:val="single"/>
        </w:rPr>
      </w:pPr>
    </w:p>
    <w:p w14:paraId="7A29692D" w14:textId="70ADD41C" w:rsidR="006414CA" w:rsidRPr="006414CA" w:rsidRDefault="006414CA" w:rsidP="006414CA">
      <w:pPr>
        <w:spacing w:line="360" w:lineRule="auto"/>
      </w:pPr>
      <w:r w:rsidRPr="006414CA">
        <w:t xml:space="preserve">References </w:t>
      </w:r>
    </w:p>
    <w:p w14:paraId="0AF913D2" w14:textId="1AC7E321" w:rsidR="006414CA" w:rsidRDefault="006414CA" w:rsidP="001865CC">
      <w:pPr>
        <w:rPr>
          <w:highlight w:val="yellow"/>
          <w:u w:val="single"/>
        </w:rPr>
      </w:pPr>
    </w:p>
    <w:p w14:paraId="0161278F" w14:textId="3142377E" w:rsidR="00CF0070" w:rsidRPr="00CF0070" w:rsidRDefault="00CF0070" w:rsidP="001865CC">
      <w:r w:rsidRPr="00CF0070">
        <w:t>Appendix</w:t>
      </w:r>
    </w:p>
    <w:p w14:paraId="36541932" w14:textId="53575D58" w:rsidR="006414CA" w:rsidRDefault="006414CA" w:rsidP="001865CC">
      <w:pPr>
        <w:rPr>
          <w:highlight w:val="yellow"/>
          <w:u w:val="single"/>
        </w:rPr>
      </w:pPr>
    </w:p>
    <w:p w14:paraId="59A4CC10" w14:textId="22356C83" w:rsidR="006414CA" w:rsidRDefault="006414CA" w:rsidP="001865CC">
      <w:pPr>
        <w:rPr>
          <w:highlight w:val="yellow"/>
          <w:u w:val="single"/>
        </w:rPr>
      </w:pPr>
    </w:p>
    <w:p w14:paraId="7690AA3D" w14:textId="26DFDF65" w:rsidR="006414CA" w:rsidRDefault="006414CA" w:rsidP="001865CC">
      <w:pPr>
        <w:rPr>
          <w:highlight w:val="yellow"/>
          <w:u w:val="single"/>
        </w:rPr>
      </w:pPr>
    </w:p>
    <w:p w14:paraId="7589FBA2" w14:textId="49875CCE" w:rsidR="006414CA" w:rsidRDefault="006414CA" w:rsidP="001865CC">
      <w:pPr>
        <w:rPr>
          <w:highlight w:val="yellow"/>
          <w:u w:val="single"/>
        </w:rPr>
      </w:pPr>
    </w:p>
    <w:p w14:paraId="6900147D" w14:textId="431EEE74" w:rsidR="006414CA" w:rsidRDefault="006414CA" w:rsidP="001865CC">
      <w:pPr>
        <w:rPr>
          <w:highlight w:val="yellow"/>
          <w:u w:val="single"/>
        </w:rPr>
      </w:pPr>
    </w:p>
    <w:p w14:paraId="14AEB953" w14:textId="0E086F2F" w:rsidR="006414CA" w:rsidRDefault="006414CA" w:rsidP="001865CC">
      <w:pPr>
        <w:rPr>
          <w:highlight w:val="yellow"/>
          <w:u w:val="single"/>
        </w:rPr>
      </w:pPr>
    </w:p>
    <w:p w14:paraId="749E233B" w14:textId="71BA815F" w:rsidR="006414CA" w:rsidRDefault="006414CA" w:rsidP="001865CC">
      <w:pPr>
        <w:rPr>
          <w:highlight w:val="yellow"/>
          <w:u w:val="single"/>
        </w:rPr>
      </w:pPr>
    </w:p>
    <w:p w14:paraId="1B020BEE" w14:textId="38906B06" w:rsidR="006414CA" w:rsidRDefault="006414CA" w:rsidP="001865CC">
      <w:pPr>
        <w:rPr>
          <w:highlight w:val="yellow"/>
          <w:u w:val="single"/>
        </w:rPr>
      </w:pPr>
    </w:p>
    <w:p w14:paraId="17669C8D" w14:textId="569078C1" w:rsidR="006414CA" w:rsidRDefault="006414CA" w:rsidP="001865CC">
      <w:pPr>
        <w:rPr>
          <w:highlight w:val="yellow"/>
          <w:u w:val="single"/>
        </w:rPr>
      </w:pPr>
    </w:p>
    <w:p w14:paraId="21E854EE" w14:textId="77777777" w:rsidR="006414CA" w:rsidRDefault="006414CA" w:rsidP="001865CC">
      <w:pPr>
        <w:rPr>
          <w:highlight w:val="yellow"/>
          <w:u w:val="single"/>
        </w:rPr>
      </w:pPr>
    </w:p>
    <w:p w14:paraId="11B4323C" w14:textId="77777777" w:rsidR="00D96818" w:rsidRDefault="00D96818" w:rsidP="001865CC">
      <w:pPr>
        <w:rPr>
          <w:highlight w:val="yellow"/>
          <w:u w:val="single"/>
        </w:rPr>
      </w:pPr>
    </w:p>
    <w:p w14:paraId="68A97255" w14:textId="77777777" w:rsidR="00D96818" w:rsidRDefault="00D96818" w:rsidP="001865CC">
      <w:pPr>
        <w:rPr>
          <w:highlight w:val="yellow"/>
          <w:u w:val="single"/>
        </w:rPr>
      </w:pPr>
    </w:p>
    <w:p w14:paraId="1525B66C" w14:textId="77777777" w:rsidR="00D96818" w:rsidRDefault="00D96818" w:rsidP="001865CC">
      <w:pPr>
        <w:rPr>
          <w:highlight w:val="yellow"/>
          <w:u w:val="single"/>
        </w:rPr>
      </w:pPr>
    </w:p>
    <w:p w14:paraId="29FBC74D" w14:textId="657C5B8C" w:rsidR="001865CC" w:rsidRDefault="00F72422" w:rsidP="001865CC">
      <w:pPr>
        <w:rPr>
          <w:u w:val="single"/>
        </w:rPr>
      </w:pPr>
      <w:r>
        <w:rPr>
          <w:u w:val="single"/>
        </w:rPr>
        <w:t xml:space="preserve">1.0 </w:t>
      </w:r>
      <w:r w:rsidR="001865CC" w:rsidRPr="00D96818">
        <w:rPr>
          <w:u w:val="single"/>
        </w:rPr>
        <w:t>Introduction</w:t>
      </w:r>
    </w:p>
    <w:p w14:paraId="45B18114" w14:textId="740DEE2F" w:rsidR="00417304" w:rsidRPr="006414CA" w:rsidRDefault="00417304" w:rsidP="00417304">
      <w:pPr>
        <w:spacing w:line="360" w:lineRule="auto"/>
      </w:pPr>
    </w:p>
    <w:p w14:paraId="42E25107" w14:textId="2D51CA3C" w:rsidR="006414CA" w:rsidRPr="00FA3FC3" w:rsidRDefault="006414CA" w:rsidP="006414CA">
      <w:pPr>
        <w:spacing w:line="360" w:lineRule="auto"/>
      </w:pPr>
      <w:r w:rsidRPr="00FA3FC3">
        <w:t>The concept of sustainable development gained significant global attention after the publication of the Brundtland Report in 1987 by the World Commission on Environment and Development (WCED). The report, named "Our Common Future," defined sustainable development as "development that meets the needs of the present without compromising the ability of future generations to meet their own needs" (Redcliff, 2005).</w:t>
      </w:r>
      <w:r w:rsidR="00D62F83" w:rsidRPr="00FA3FC3">
        <w:t xml:space="preserve"> The Brundtland Report was commissioned by the United Nations General Assembly in 1983 in response to growing worries about environmental deterioration and its implications for future generations</w:t>
      </w:r>
      <w:r w:rsidRPr="00FA3FC3">
        <w:t xml:space="preserve"> (</w:t>
      </w:r>
      <w:proofErr w:type="spellStart"/>
      <w:r w:rsidRPr="00FA3FC3">
        <w:rPr>
          <w:shd w:val="clear" w:color="auto" w:fill="FFFFFF"/>
        </w:rPr>
        <w:t>Hajian</w:t>
      </w:r>
      <w:proofErr w:type="spellEnd"/>
      <w:r w:rsidRPr="00FA3FC3">
        <w:rPr>
          <w:shd w:val="clear" w:color="auto" w:fill="FFFFFF"/>
        </w:rPr>
        <w:t xml:space="preserve">, and </w:t>
      </w:r>
      <w:proofErr w:type="spellStart"/>
      <w:r w:rsidRPr="00FA3FC3">
        <w:rPr>
          <w:shd w:val="clear" w:color="auto" w:fill="FFFFFF"/>
        </w:rPr>
        <w:t>Kashani</w:t>
      </w:r>
      <w:proofErr w:type="spellEnd"/>
      <w:r w:rsidRPr="00FA3FC3">
        <w:rPr>
          <w:shd w:val="clear" w:color="auto" w:fill="FFFFFF"/>
        </w:rPr>
        <w:t>, 2021)</w:t>
      </w:r>
      <w:r w:rsidR="00D62F83" w:rsidRPr="00FA3FC3">
        <w:t>. This report was a milestone in bringing sustainability to the forefront of international discussions and policymaking. It established the framework for worldwide discussions and initiatives aimed at achieving a balance between economic growth, social progress, and protection of the environment. The concept of sustainable development has since become a guiding principle for numerous international agreements, and policies aimed at fostering a more sustainable future for all individuals</w:t>
      </w:r>
      <w:r w:rsidRPr="00FA3FC3">
        <w:rPr>
          <w:rFonts w:ascii="Arial" w:hAnsi="Arial" w:cs="Arial"/>
          <w:color w:val="222222"/>
          <w:sz w:val="20"/>
          <w:szCs w:val="20"/>
          <w:shd w:val="clear" w:color="auto" w:fill="FFFFFF"/>
        </w:rPr>
        <w:t xml:space="preserve"> </w:t>
      </w:r>
      <w:r w:rsidRPr="00FA3FC3">
        <w:rPr>
          <w:shd w:val="clear" w:color="auto" w:fill="FFFFFF"/>
        </w:rPr>
        <w:t>(Sneddon, Howarth, and Norgaard, 2006)</w:t>
      </w:r>
      <w:r w:rsidR="00D62F83" w:rsidRPr="00FA3FC3">
        <w:t>. This essay examines Wales' Well-being of Future Generations Act in depth, assessing its 2015 sustainable development strategy and its impact on citizens. The legislation, which took effect in 2015, sought to address immediate concerns while also fostering long-term collaborations that would reduce economic and environmental imbalances. It is necessary for Welsh public service entities to create long-term partnerships for the people's health and well-being in addition to addressing current challenges (Davies, 2017). The evaluation begins with a critical study of the Millennium Development Goals (MDGs) and their comprehensive plan for addressing inequality, poverty, gender inequities, and health disparities. Following that, it examines the 2015 Sustainable Development Goals (SDGs) of the United Nations and their possible impact on reducing global inequality. Furthermore, this essay evaluates the progress of the Well-being of Future Generations Act, examining how it promotes health, wellbeing, and sustainability in Wales. It concludes by recommending pathways for a prosperous future for Welsh citizens by connecting the MDGs, SDGs, and Welsh legislation to address current difficulties</w:t>
      </w:r>
      <w:r w:rsidRPr="00FA3FC3">
        <w:t xml:space="preserve"> (</w:t>
      </w:r>
      <w:r w:rsidRPr="00FA3FC3">
        <w:rPr>
          <w:shd w:val="clear" w:color="auto" w:fill="FFFFFF"/>
        </w:rPr>
        <w:t>Jones, 2019).</w:t>
      </w:r>
    </w:p>
    <w:p w14:paraId="55778133" w14:textId="7F4B44B1" w:rsidR="00D62F83" w:rsidRPr="006414CA" w:rsidRDefault="00D62F83" w:rsidP="006414CA">
      <w:pPr>
        <w:spacing w:line="360" w:lineRule="auto"/>
      </w:pPr>
      <w:r w:rsidRPr="00FA3FC3">
        <w:t>.</w:t>
      </w:r>
    </w:p>
    <w:p w14:paraId="3D387505" w14:textId="39EE2871" w:rsidR="00417304" w:rsidRPr="006414CA" w:rsidRDefault="00417304" w:rsidP="006414CA">
      <w:pPr>
        <w:spacing w:line="360" w:lineRule="auto"/>
      </w:pPr>
    </w:p>
    <w:p w14:paraId="1376394E" w14:textId="530D17DD" w:rsidR="00417304" w:rsidRDefault="00417304" w:rsidP="001865CC"/>
    <w:p w14:paraId="38594CD5" w14:textId="54E54F29" w:rsidR="00D62F83" w:rsidRDefault="00D62F83" w:rsidP="001865CC"/>
    <w:p w14:paraId="5B2323F9" w14:textId="77777777" w:rsidR="00D96818" w:rsidRDefault="00D96818" w:rsidP="001865CC"/>
    <w:p w14:paraId="0E030F5E" w14:textId="77777777" w:rsidR="00D96818" w:rsidRDefault="00D96818" w:rsidP="001865CC"/>
    <w:p w14:paraId="2FF62BCC" w14:textId="1A38710E" w:rsidR="00F74334" w:rsidRDefault="00F72422" w:rsidP="001865CC">
      <w:pPr>
        <w:rPr>
          <w:u w:val="single"/>
        </w:rPr>
      </w:pPr>
      <w:r>
        <w:rPr>
          <w:u w:val="single"/>
        </w:rPr>
        <w:t xml:space="preserve">2.0 </w:t>
      </w:r>
      <w:r w:rsidR="00F74334">
        <w:rPr>
          <w:u w:val="single"/>
        </w:rPr>
        <w:t xml:space="preserve">Background of Sustainable Development </w:t>
      </w:r>
    </w:p>
    <w:p w14:paraId="3321683A" w14:textId="23A8443A" w:rsidR="00F74334" w:rsidRDefault="00F74334" w:rsidP="001865CC">
      <w:pPr>
        <w:rPr>
          <w:u w:val="single"/>
        </w:rPr>
      </w:pPr>
    </w:p>
    <w:p w14:paraId="3F162B93" w14:textId="513C9CF0" w:rsidR="00F74334" w:rsidRPr="00FA3FC3" w:rsidRDefault="00F74334" w:rsidP="00F74334">
      <w:pPr>
        <w:spacing w:line="360" w:lineRule="auto"/>
      </w:pPr>
      <w:r w:rsidRPr="00FA3FC3">
        <w:t xml:space="preserve">The terminology 'sustainable development' became prevalent in policy spheres following the publication of the Brundtland Commission's report on global environment and development in 1987, according to </w:t>
      </w:r>
      <w:proofErr w:type="spellStart"/>
      <w:r w:rsidRPr="00FA3FC3">
        <w:t>Redclift</w:t>
      </w:r>
      <w:proofErr w:type="spellEnd"/>
      <w:r w:rsidRPr="00FA3FC3">
        <w:t xml:space="preserve"> (2005)</w:t>
      </w:r>
      <w:r w:rsidR="006414CA" w:rsidRPr="00FA3FC3">
        <w:t xml:space="preserve"> </w:t>
      </w:r>
      <w:r w:rsidRPr="00FA3FC3">
        <w:t xml:space="preserve">Close to a decade after the widespread emergence of "sustainable development" and "sustainability" into the public lexicon, these terms gained prominence post the 1987 publication of the UN-backed World Commission on Environment and Development (WCED) report, Our Common Future, as noted by Daly (1996). While critiqued for its vagueness, the WCED's definition of sustainable development played a pivotal role in fostering a global perspective concerning the future of our </w:t>
      </w:r>
      <w:r w:rsidR="00D62F83" w:rsidRPr="00FA3FC3">
        <w:t>planet. In</w:t>
      </w:r>
      <w:r w:rsidRPr="00FA3FC3">
        <w:t xml:space="preserve"> response, numerous local, national, and global initiatives were launched to tackle diverse environmental challenges</w:t>
      </w:r>
      <w:r w:rsidR="006414CA" w:rsidRPr="00FA3FC3">
        <w:t xml:space="preserve"> (</w:t>
      </w:r>
      <w:r w:rsidR="006414CA" w:rsidRPr="00FA3FC3">
        <w:rPr>
          <w:color w:val="222222"/>
          <w:shd w:val="clear" w:color="auto" w:fill="FFFFFF"/>
        </w:rPr>
        <w:t>Hopwood, Mellor, and O'Brien, 2005)</w:t>
      </w:r>
      <w:r w:rsidRPr="00FA3FC3">
        <w:t>. While these efforts yielded some encouraging local outcomes, their collective impact on steering us towards a more sustainable future seems limited compared to the scale of global environmental issues. Consequently, there's been a growing sense of frustration and disillusionment among various proponents of sustainable development (</w:t>
      </w:r>
      <w:proofErr w:type="spellStart"/>
      <w:r w:rsidRPr="00FA3FC3">
        <w:t>Mebratu</w:t>
      </w:r>
      <w:proofErr w:type="spellEnd"/>
      <w:r w:rsidRPr="00FA3FC3">
        <w:t>, 1996).</w:t>
      </w:r>
      <w:r w:rsidR="006414CA" w:rsidRPr="00FA3FC3">
        <w:t xml:space="preserve"> Initially dismissed sustainable development as a temporary trend, like the passing notion of suitable technology in the 1970s, but its influence has grown significantly. Despite initial mistrust, it has become a cornerstone in the creation of national and international policies, serving as a critical component in governmental, international agency, and commercial organisation policy documents.</w:t>
      </w:r>
    </w:p>
    <w:p w14:paraId="457F8F95" w14:textId="4959E179" w:rsidR="00F74334" w:rsidRPr="00F74334" w:rsidRDefault="00F74334" w:rsidP="001865CC"/>
    <w:p w14:paraId="1BB85A6B" w14:textId="77777777" w:rsidR="00F74334" w:rsidRDefault="00F74334" w:rsidP="001865CC">
      <w:pPr>
        <w:rPr>
          <w:u w:val="single"/>
        </w:rPr>
      </w:pPr>
    </w:p>
    <w:p w14:paraId="3F356063" w14:textId="77777777" w:rsidR="00F74334" w:rsidRDefault="00F74334" w:rsidP="001865CC">
      <w:pPr>
        <w:rPr>
          <w:u w:val="single"/>
        </w:rPr>
      </w:pPr>
    </w:p>
    <w:p w14:paraId="094E1FAB" w14:textId="474E1DCF" w:rsidR="00F74334" w:rsidRDefault="00F72422" w:rsidP="001865CC">
      <w:pPr>
        <w:rPr>
          <w:u w:val="single"/>
        </w:rPr>
      </w:pPr>
      <w:r>
        <w:rPr>
          <w:u w:val="single"/>
        </w:rPr>
        <w:t xml:space="preserve">3.0 </w:t>
      </w:r>
      <w:r w:rsidR="00F74334">
        <w:rPr>
          <w:u w:val="single"/>
        </w:rPr>
        <w:t xml:space="preserve">Millennium Development Goals </w:t>
      </w:r>
    </w:p>
    <w:p w14:paraId="14190790" w14:textId="4442C877" w:rsidR="00F74334" w:rsidRPr="006414CA" w:rsidRDefault="00F74334" w:rsidP="006414CA">
      <w:pPr>
        <w:spacing w:line="360" w:lineRule="auto"/>
      </w:pPr>
    </w:p>
    <w:p w14:paraId="4189E369" w14:textId="6B3740F7" w:rsidR="006414CA" w:rsidRPr="006414CA" w:rsidRDefault="006414CA" w:rsidP="006414CA">
      <w:pPr>
        <w:spacing w:line="360" w:lineRule="auto"/>
      </w:pPr>
      <w:r w:rsidRPr="006414CA">
        <w:t xml:space="preserve">The Millennium Development Goals (MDGs) stood as a pivotal initiative in addressing global challenges such as poverty, hunger, disease, education disparities, gender inequality, and environmental degradation. They encapsulated these pressing issues into eight succinct goals, each with measurable targets and </w:t>
      </w:r>
      <w:r w:rsidRPr="00FA3FC3">
        <w:t>deadlines (</w:t>
      </w:r>
      <w:proofErr w:type="spellStart"/>
      <w:r w:rsidRPr="00FA3FC3">
        <w:rPr>
          <w:color w:val="222222"/>
          <w:shd w:val="clear" w:color="auto" w:fill="FFFFFF"/>
        </w:rPr>
        <w:t>Lomazzi</w:t>
      </w:r>
      <w:proofErr w:type="spellEnd"/>
      <w:r w:rsidRPr="00FA3FC3">
        <w:rPr>
          <w:color w:val="222222"/>
          <w:shd w:val="clear" w:color="auto" w:fill="FFFFFF"/>
        </w:rPr>
        <w:t xml:space="preserve">, </w:t>
      </w:r>
      <w:proofErr w:type="spellStart"/>
      <w:r w:rsidRPr="00FA3FC3">
        <w:rPr>
          <w:color w:val="222222"/>
          <w:shd w:val="clear" w:color="auto" w:fill="FFFFFF"/>
        </w:rPr>
        <w:t>Borisch</w:t>
      </w:r>
      <w:proofErr w:type="spellEnd"/>
      <w:r w:rsidRPr="00FA3FC3">
        <w:rPr>
          <w:color w:val="222222"/>
          <w:shd w:val="clear" w:color="auto" w:fill="FFFFFF"/>
        </w:rPr>
        <w:t xml:space="preserve">, and </w:t>
      </w:r>
      <w:proofErr w:type="spellStart"/>
      <w:r w:rsidRPr="00FA3FC3">
        <w:rPr>
          <w:color w:val="222222"/>
          <w:shd w:val="clear" w:color="auto" w:fill="FFFFFF"/>
        </w:rPr>
        <w:t>Laaser</w:t>
      </w:r>
      <w:proofErr w:type="spellEnd"/>
      <w:r w:rsidRPr="00FA3FC3">
        <w:rPr>
          <w:color w:val="222222"/>
          <w:shd w:val="clear" w:color="auto" w:fill="FFFFFF"/>
        </w:rPr>
        <w:t>, 2014).</w:t>
      </w:r>
      <w:r w:rsidRPr="00FA3FC3">
        <w:t xml:space="preserve"> This</w:t>
      </w:r>
      <w:r w:rsidRPr="006414CA">
        <w:t xml:space="preserve"> framework played a crucial role in raising worldwide awareness, fostering accountability among policymakers, refining measurement methods, gathering social feedback, and eliciting public pressure to act.</w:t>
      </w:r>
    </w:p>
    <w:p w14:paraId="759C9F1F" w14:textId="77777777" w:rsidR="00FA3FC3" w:rsidRDefault="00FA3FC3" w:rsidP="00FA3FC3">
      <w:pPr>
        <w:spacing w:line="360" w:lineRule="auto"/>
      </w:pPr>
    </w:p>
    <w:p w14:paraId="4CE33241" w14:textId="7AB10F15" w:rsidR="006414CA" w:rsidRPr="00FA3FC3" w:rsidRDefault="00FA3FC3" w:rsidP="00FA3FC3">
      <w:pPr>
        <w:spacing w:line="360" w:lineRule="auto"/>
      </w:pPr>
      <w:r w:rsidRPr="00FA3FC3">
        <w:lastRenderedPageBreak/>
        <w:t>Over a span of 15 years, the Millennium Development Goals (MDGs) aimed to eliminate poverty and hunger, achieve universal primary education, enhance maternal health, reduce child mortality, ensure environmental sustainability, combat diseases like AIDS/HIV and malaria, promote gender equality, and facilitate global development partnerships. Jeffrey D. Sachs, in a 2003 Geneva speech, emphasized the intrinsic connection between health and each MDG, highlighting the pivotal role of global healthcare enhancement in poverty reduction (Sachs, 2004). While Hickel (2016) acknowledges notable achievements in halving global poverty and hunger, a critical examination of statistics reveals that four billion people still live-in poverty, and two billion suffer from hunger, indicating that Goal 1 remained unmet within the specified timeframe. Despite a 2.7% reduction in under-five child mortality since 2000, the World Health Organization (2013) falls short of the two-thirds reduction target set in Goal 4. Although there has been significant progress in reducing global maternal mortality by almost half, MDG 5's target of a 75% improvement was not fully realized (Vogel, 2015). These outcomes demonstrate some success for the MDGs while highlighting the challenges in meeting the ambitious targets outlined in the 2000 UN convention.</w:t>
      </w:r>
    </w:p>
    <w:p w14:paraId="210361DA" w14:textId="77777777" w:rsidR="003A313E" w:rsidRDefault="003A313E" w:rsidP="00F74334">
      <w:pPr>
        <w:spacing w:line="360" w:lineRule="auto"/>
        <w:rPr>
          <w:u w:val="single"/>
        </w:rPr>
      </w:pPr>
    </w:p>
    <w:p w14:paraId="6B3DE91A" w14:textId="77777777" w:rsidR="00D96818" w:rsidRDefault="00D96818" w:rsidP="00F74334">
      <w:pPr>
        <w:spacing w:line="360" w:lineRule="auto"/>
        <w:rPr>
          <w:u w:val="single"/>
        </w:rPr>
      </w:pPr>
    </w:p>
    <w:p w14:paraId="2E447DF4" w14:textId="77777777" w:rsidR="00D96818" w:rsidRDefault="00D96818" w:rsidP="00F74334">
      <w:pPr>
        <w:spacing w:line="360" w:lineRule="auto"/>
        <w:rPr>
          <w:u w:val="single"/>
        </w:rPr>
      </w:pPr>
    </w:p>
    <w:p w14:paraId="4AD689CB" w14:textId="1D1B7506" w:rsidR="00F74334" w:rsidRDefault="00CF0070" w:rsidP="00F74334">
      <w:pPr>
        <w:spacing w:line="360" w:lineRule="auto"/>
        <w:rPr>
          <w:u w:val="single"/>
        </w:rPr>
      </w:pPr>
      <w:r>
        <w:rPr>
          <w:u w:val="single"/>
        </w:rPr>
        <w:t xml:space="preserve">4.0 </w:t>
      </w:r>
      <w:r w:rsidR="00F74334" w:rsidRPr="00F74334">
        <w:rPr>
          <w:u w:val="single"/>
        </w:rPr>
        <w:t>Sustainable Development</w:t>
      </w:r>
      <w:r w:rsidR="00914E1A">
        <w:rPr>
          <w:u w:val="single"/>
        </w:rPr>
        <w:t xml:space="preserve"> Goals</w:t>
      </w:r>
    </w:p>
    <w:p w14:paraId="2370FBC0" w14:textId="19CDB42D" w:rsidR="00F74334" w:rsidRDefault="00F74334" w:rsidP="00F74334">
      <w:pPr>
        <w:spacing w:line="360" w:lineRule="auto"/>
        <w:rPr>
          <w:u w:val="single"/>
        </w:rPr>
      </w:pPr>
    </w:p>
    <w:p w14:paraId="11731965" w14:textId="77777777" w:rsidR="003A313E" w:rsidRPr="003A313E" w:rsidRDefault="003A313E" w:rsidP="003A313E">
      <w:pPr>
        <w:spacing w:line="360" w:lineRule="auto"/>
      </w:pPr>
      <w:r w:rsidRPr="003A313E">
        <w:t>Building upon the foundation of the Millennium Development Goals (MDGs), the United Nations (UN) transitioned to a more streamlined and comprehensive strategy to address global challenges and disparities. In 2015, this evolution culminated in the formulation of the Sustainable Development Goals (SDGs), a forward-looking plan designed to surpass the achievements of its predecessors. Unlike the MDGs, the SDGs embraced a holistic approach, articulating seventeen interconnected goals with a total of 169 targets intricately woven into them. The underlying principle was clear: the fulfilment of each goal necessitated the accomplishment of every associated target.</w:t>
      </w:r>
    </w:p>
    <w:p w14:paraId="07A1F5F6" w14:textId="77777777" w:rsidR="003A313E" w:rsidRPr="003A313E" w:rsidRDefault="003A313E" w:rsidP="003A313E">
      <w:pPr>
        <w:spacing w:line="360" w:lineRule="auto"/>
      </w:pPr>
    </w:p>
    <w:p w14:paraId="1EDD566C" w14:textId="11793207" w:rsidR="00E24C69" w:rsidRDefault="003A313E" w:rsidP="00E24C69">
      <w:pPr>
        <w:spacing w:line="360" w:lineRule="auto"/>
        <w:rPr>
          <w:u w:val="single"/>
        </w:rPr>
      </w:pPr>
      <w:r w:rsidRPr="003A313E">
        <w:t xml:space="preserve">The breadth of the SDGs is evident in their diverse scope, covering aspects such as poverty eradication, hunger alleviation, health improvement, education quality, gender equality, environmental sustainability, and </w:t>
      </w:r>
      <w:r w:rsidRPr="00E24C69">
        <w:t>more</w:t>
      </w:r>
      <w:r w:rsidR="00E24C69" w:rsidRPr="00E24C69">
        <w:t xml:space="preserve">. Sustainable development objectives in Wales constitute an all-encompassing framework for forging a successful and resilient future. These objectives, which are consistent with the Well-being of Future Generations Act 2015, outline </w:t>
      </w:r>
      <w:r w:rsidR="00E24C69" w:rsidRPr="00E24C69">
        <w:lastRenderedPageBreak/>
        <w:t>a holistic vision that includes economic progress, social cohesion, environmental stewardship, and cultural enrichment (</w:t>
      </w:r>
      <w:proofErr w:type="spellStart"/>
      <w:r w:rsidR="00E24C69" w:rsidRPr="00E24C69">
        <w:t>Addinsall</w:t>
      </w:r>
      <w:proofErr w:type="spellEnd"/>
      <w:r w:rsidR="00E24C69" w:rsidRPr="00E24C69">
        <w:t>, 2015</w:t>
      </w:r>
      <w:r w:rsidR="00E24C69">
        <w:t>)</w:t>
      </w:r>
    </w:p>
    <w:p w14:paraId="2C493A0A" w14:textId="77777777" w:rsidR="00E24C69" w:rsidRDefault="00E24C69" w:rsidP="00E24C69">
      <w:pPr>
        <w:rPr>
          <w:u w:val="single"/>
        </w:rPr>
      </w:pPr>
    </w:p>
    <w:p w14:paraId="43C7C4BF" w14:textId="10446315" w:rsidR="00736440" w:rsidRDefault="00736440" w:rsidP="003A313E">
      <w:pPr>
        <w:spacing w:line="360" w:lineRule="auto"/>
      </w:pPr>
    </w:p>
    <w:p w14:paraId="7DB751D8" w14:textId="1F32BB3E" w:rsidR="001865CC" w:rsidRDefault="00CF0070" w:rsidP="001865CC">
      <w:pPr>
        <w:rPr>
          <w:u w:val="single"/>
        </w:rPr>
      </w:pPr>
      <w:r>
        <w:rPr>
          <w:u w:val="single"/>
        </w:rPr>
        <w:t xml:space="preserve">5.0 </w:t>
      </w:r>
      <w:r w:rsidR="00571F49" w:rsidRPr="00571F49">
        <w:rPr>
          <w:u w:val="single"/>
        </w:rPr>
        <w:t>The Well-being of Future Generations Wales Act 2015</w:t>
      </w:r>
    </w:p>
    <w:p w14:paraId="181FCEDE" w14:textId="77777777" w:rsidR="00571F49" w:rsidRPr="00571F49" w:rsidRDefault="00571F49" w:rsidP="001865CC">
      <w:pPr>
        <w:rPr>
          <w:u w:val="single"/>
        </w:rPr>
      </w:pPr>
    </w:p>
    <w:p w14:paraId="0715E902" w14:textId="77777777" w:rsidR="00D96818" w:rsidRDefault="00D96818" w:rsidP="00D96818">
      <w:pPr>
        <w:spacing w:line="360" w:lineRule="auto"/>
      </w:pPr>
      <w:r w:rsidRPr="003908C7">
        <w:t>The Well-being of Future Generations Wales Act 2015 (WFG Act) is an important piece of legislation that has a substantial impact on individuals' health, wellbeing, and resilience in Wales (Davies, 2017). The WFG Act aims to improve Wales' social, economic, environmental, and cultural well-being. The Act came into effect in April 2015, following an extensive consultation phase known as the National Conversation (</w:t>
      </w:r>
      <w:proofErr w:type="spellStart"/>
      <w:r w:rsidRPr="003908C7">
        <w:t>Weatherup</w:t>
      </w:r>
      <w:proofErr w:type="spellEnd"/>
      <w:r w:rsidRPr="003908C7">
        <w:t>, Bennett, and Azam, 2016). It establishes a comprehensive approach to achieving a more Sustainable Wales by instructing public agencies to achieve seven Well-being Goals and implement the required Five Ways of Working (Davies, 2016). The WFG Act outlines seven well-being objectives that are: 'A healthier Wales', 'A more equitable Wales', 'A Wales of cohesive communities', 'A globally responsible Wales', 'A Wales of vibrant culture and thriving Welsh Language', 'A prosperous Wales', and 'A resilient Wales' (</w:t>
      </w:r>
      <w:proofErr w:type="spellStart"/>
      <w:r w:rsidRPr="003908C7">
        <w:t>Messham</w:t>
      </w:r>
      <w:proofErr w:type="spellEnd"/>
      <w:r w:rsidRPr="003908C7">
        <w:t>, and Sheard, 2020). Davies (2016) stated that the Act establishes seven legally enforceable shared goals for national and local government, local health boards, and other specified public entities. It specifies how specific public bodies must work and collaborate to increase the well-being of Wales. Furthermore, it involves collaborative efforts among public institutions to achieve sustainable development, ensuring that current needs are satisfied without jeopardising future generations' ability to meet their own (National Assembly for Wales, 2015). This provision encourages the Act's designated public authorities to take a longer-term view, create improved connection with individuals, communities, and among themselves, actively</w:t>
      </w:r>
      <w:r>
        <w:t xml:space="preserve"> explore preventive measures, and take a more integrated approach. Wales grapples with a multitude of contemporary and impending challenges, encompassing issues such as health, the ramifications of the coronavirus, </w:t>
      </w:r>
      <w:r w:rsidRPr="003908C7">
        <w:t>poverty, employment, climate concerns, and economic activity (Jones and Ross, 2016).</w:t>
      </w:r>
    </w:p>
    <w:p w14:paraId="6E9899BC" w14:textId="77777777" w:rsidR="00D96818" w:rsidRDefault="00D96818" w:rsidP="00D96818">
      <w:pPr>
        <w:spacing w:line="360" w:lineRule="auto"/>
      </w:pPr>
    </w:p>
    <w:p w14:paraId="1C64A835" w14:textId="78B88909" w:rsidR="001865CC" w:rsidRDefault="00D96818" w:rsidP="00D96818">
      <w:pPr>
        <w:spacing w:line="360" w:lineRule="auto"/>
      </w:pPr>
      <w:r w:rsidRPr="003908C7">
        <w:t>This signified a shift by the Welsh Government towards a fresh vision for Wales' future. Not only does the WFG Act mandate compliance and efforts towards these objectives from public bodies such as the National Health Service (NHS) and local councils, but it also encompasses the Welsh Government itself. The involvement of various public bodies allows the WFG Act to exert a diverse impact, both in the short and long term (</w:t>
      </w:r>
      <w:proofErr w:type="spellStart"/>
      <w:r w:rsidRPr="003908C7">
        <w:t>Delbridge</w:t>
      </w:r>
      <w:proofErr w:type="spellEnd"/>
      <w:r w:rsidRPr="003908C7">
        <w:t xml:space="preserve">, Henderson, and </w:t>
      </w:r>
      <w:r w:rsidRPr="003908C7">
        <w:lastRenderedPageBreak/>
        <w:t>Morgan., 2021). The WFG Act incorporates 'future trends' reports, which public bodies are mandated to utilise in planning services for forthcoming generations (Farrell, and Law, 2017). Annually, ministers in the Welsh Government assess the milestones established under the WFG Act. A total of 46 quantifiable indicators were developed as part of these milestones, enabling the monitoring of progress. These indicators cover areas such as 'gender pay difference', 'the ecological footprint of Wales', and 'healthy life expectancy at birth, including the disparity between the least and most deprived’ (Sharp, et al, 2022). The Act encourages collaborative efforts among public institutions to achieve sustainable development, ensuring that current needs are met without compromising the prospects of future generations (National Assembly for Wales, 2015).</w:t>
      </w:r>
    </w:p>
    <w:p w14:paraId="718E94D8" w14:textId="77777777" w:rsidR="00D96818" w:rsidRDefault="00D96818" w:rsidP="001865CC">
      <w:pPr>
        <w:spacing w:line="360" w:lineRule="auto"/>
      </w:pPr>
    </w:p>
    <w:p w14:paraId="3D627A07" w14:textId="7C8B14BA" w:rsidR="00760F22" w:rsidRPr="00CF0070" w:rsidRDefault="00CF0070" w:rsidP="001865CC">
      <w:pPr>
        <w:spacing w:line="360" w:lineRule="auto"/>
        <w:rPr>
          <w:b/>
          <w:bCs/>
          <w:i/>
          <w:iCs/>
        </w:rPr>
      </w:pPr>
      <w:r w:rsidRPr="00CF0070">
        <w:rPr>
          <w:b/>
          <w:bCs/>
        </w:rPr>
        <w:t xml:space="preserve">5.1 </w:t>
      </w:r>
      <w:r w:rsidR="00760F22" w:rsidRPr="00CF0070">
        <w:rPr>
          <w:b/>
          <w:bCs/>
        </w:rPr>
        <w:t xml:space="preserve">A </w:t>
      </w:r>
      <w:r w:rsidR="00F74334" w:rsidRPr="00CF0070">
        <w:rPr>
          <w:b/>
          <w:bCs/>
        </w:rPr>
        <w:t>R</w:t>
      </w:r>
      <w:r w:rsidR="00760F22" w:rsidRPr="00CF0070">
        <w:rPr>
          <w:b/>
          <w:bCs/>
        </w:rPr>
        <w:t xml:space="preserve">esilient Wales </w:t>
      </w:r>
      <w:r w:rsidR="00CC7BFE" w:rsidRPr="00CF0070">
        <w:rPr>
          <w:b/>
          <w:bCs/>
        </w:rPr>
        <w:t>– Goal 2.</w:t>
      </w:r>
      <w:r w:rsidR="00CC7BFE" w:rsidRPr="00CF0070">
        <w:rPr>
          <w:b/>
          <w:bCs/>
          <w:i/>
          <w:iCs/>
        </w:rPr>
        <w:t xml:space="preserve"> </w:t>
      </w:r>
    </w:p>
    <w:p w14:paraId="24D7C8D3" w14:textId="77777777" w:rsidR="00EC3496" w:rsidRDefault="00EC3496" w:rsidP="001865CC">
      <w:pPr>
        <w:spacing w:line="360" w:lineRule="auto"/>
        <w:rPr>
          <w:u w:val="single"/>
        </w:rPr>
      </w:pPr>
    </w:p>
    <w:p w14:paraId="26DB7884" w14:textId="77777777" w:rsidR="0089770F" w:rsidRDefault="00F30C8F" w:rsidP="0089770F">
      <w:pPr>
        <w:spacing w:line="360" w:lineRule="auto"/>
        <w:jc w:val="both"/>
      </w:pPr>
      <w:r w:rsidRPr="00F30C8F">
        <w:t xml:space="preserve">A resilient Wales aspires to be a nation committed to the preservation and promotion of a biodiverse natural environment with healthy, functional </w:t>
      </w:r>
      <w:r w:rsidRPr="00EC3496">
        <w:t>ecosystems</w:t>
      </w:r>
      <w:r w:rsidR="00F74334" w:rsidRPr="00EC3496">
        <w:t xml:space="preserve"> (</w:t>
      </w:r>
      <w:r w:rsidR="00EC3496" w:rsidRPr="00EC3496">
        <w:t>Jones</w:t>
      </w:r>
      <w:r w:rsidR="00EC3496">
        <w:t xml:space="preserve"> 2023)</w:t>
      </w:r>
      <w:r w:rsidRPr="00F30C8F">
        <w:t xml:space="preserve">. This commitment strives to strengthen the nation's social, economic, and ecological resilience, as well as its ability to adapt to diverse challenges, including climate </w:t>
      </w:r>
      <w:r w:rsidR="00F74334" w:rsidRPr="00F30C8F">
        <w:t>change</w:t>
      </w:r>
      <w:r w:rsidR="00EC3496">
        <w:t>.</w:t>
      </w:r>
      <w:r w:rsidR="0089770F">
        <w:t xml:space="preserve"> I</w:t>
      </w:r>
      <w:r w:rsidR="00CC7BFE">
        <w:t>n simple terms</w:t>
      </w:r>
      <w:r w:rsidR="0089770F">
        <w:t xml:space="preserve">, </w:t>
      </w:r>
      <w:r w:rsidR="00CC7BFE">
        <w:t xml:space="preserve">the key objectives underpinning A Resilient Wales is natural green space, knowledge of nature, water, and air quality, using natural resources, and biodiversity and soil (Jones, 2023). </w:t>
      </w:r>
    </w:p>
    <w:p w14:paraId="19374B14" w14:textId="58E0CE62" w:rsidR="0089770F" w:rsidRDefault="0089770F" w:rsidP="0089770F">
      <w:pPr>
        <w:spacing w:line="360" w:lineRule="auto"/>
        <w:jc w:val="both"/>
      </w:pPr>
      <w:r w:rsidRPr="0089770F">
        <w:t>The Welsh government has urged Public Service Boards (PSBs) and Local Authorities (LAs) to take a leadership role in achieving set targets and demonstrate a commitment to prioritizing community well-being and sustainability in their future planning. Despite this encouragement, concerns have been raised about the perceived lack of substance and guidance in the act. The insufficiency of local resources has been identified as a potential obstacle, posing a risk to both partnership trust and the feasibility of effectively implementing the act (</w:t>
      </w:r>
      <w:proofErr w:type="spellStart"/>
      <w:r w:rsidRPr="0089770F">
        <w:t>Nesom</w:t>
      </w:r>
      <w:proofErr w:type="spellEnd"/>
      <w:r w:rsidRPr="0089770F">
        <w:t>, 2021).</w:t>
      </w:r>
      <w:r>
        <w:t xml:space="preserve"> </w:t>
      </w:r>
      <w:r w:rsidRPr="000320EF">
        <w:t>The Future Generations Commissioner for Wales (FGC) holds the PSB accountable for its well-being plan and objectives through membership. Endowed with the authority to act as 'the guardian of future generations' (Future Generations Commissioner for Wales, 2019), the FGC actively monitors and evaluates 'the extent to which well-being objectives set by public bodies are being met' (WAG, 2015).</w:t>
      </w:r>
    </w:p>
    <w:p w14:paraId="369D2C10" w14:textId="46B03F06" w:rsidR="0089770F" w:rsidRDefault="0089770F" w:rsidP="0039798D">
      <w:pPr>
        <w:spacing w:line="360" w:lineRule="auto"/>
      </w:pPr>
    </w:p>
    <w:p w14:paraId="5DAE1409" w14:textId="0325A47C" w:rsidR="0039798D" w:rsidRPr="0039798D" w:rsidRDefault="00CC7BFE" w:rsidP="0039798D">
      <w:pPr>
        <w:spacing w:line="360" w:lineRule="auto"/>
      </w:pPr>
      <w:r w:rsidRPr="00CC7BFE">
        <w:t>Addressing issues related to biodiversity, soil, and natural green spaces, local authorities and public services boards recogni</w:t>
      </w:r>
      <w:r w:rsidR="00AF6C31">
        <w:t>s</w:t>
      </w:r>
      <w:r w:rsidRPr="00CC7BFE">
        <w:t>e</w:t>
      </w:r>
      <w:r w:rsidR="00AF6C31">
        <w:t>s</w:t>
      </w:r>
      <w:r w:rsidRPr="00CC7BFE">
        <w:t xml:space="preserve"> the crucial impact of these blue and green areas on community health and well-being</w:t>
      </w:r>
      <w:r w:rsidR="0089770F">
        <w:t xml:space="preserve"> (Jones, 2023)</w:t>
      </w:r>
      <w:r w:rsidRPr="00CC7BFE">
        <w:t xml:space="preserve">. </w:t>
      </w:r>
      <w:r w:rsidR="0089770F">
        <w:t xml:space="preserve"> </w:t>
      </w:r>
      <w:r w:rsidRPr="00CC7BFE">
        <w:t xml:space="preserve">They </w:t>
      </w:r>
      <w:r w:rsidRPr="0039798D">
        <w:t xml:space="preserve">bear the responsibility of ensuring the </w:t>
      </w:r>
      <w:r w:rsidRPr="0039798D">
        <w:lastRenderedPageBreak/>
        <w:t>proper maintenance and resilience of these spaces, acknowledging the vital role they play in supporting the overall health and vitality of the community</w:t>
      </w:r>
      <w:r w:rsidR="0039798D" w:rsidRPr="0039798D">
        <w:t xml:space="preserve"> </w:t>
      </w:r>
      <w:r w:rsidR="0039798D" w:rsidRPr="0039798D">
        <w:rPr>
          <w:color w:val="222222"/>
          <w:shd w:val="clear" w:color="auto" w:fill="FFFFFF"/>
        </w:rPr>
        <w:t xml:space="preserve">(Hoyle and </w:t>
      </w:r>
      <w:proofErr w:type="spellStart"/>
      <w:r w:rsidR="0039798D" w:rsidRPr="0039798D">
        <w:rPr>
          <w:color w:val="222222"/>
          <w:shd w:val="clear" w:color="auto" w:fill="FFFFFF"/>
        </w:rPr>
        <w:t>Sant’Anna</w:t>
      </w:r>
      <w:proofErr w:type="spellEnd"/>
      <w:r w:rsidR="0039798D" w:rsidRPr="0039798D">
        <w:rPr>
          <w:color w:val="222222"/>
          <w:shd w:val="clear" w:color="auto" w:fill="FFFFFF"/>
        </w:rPr>
        <w:t>, 2023).</w:t>
      </w:r>
    </w:p>
    <w:p w14:paraId="7E87B2A6" w14:textId="65B4918D" w:rsidR="0089770F" w:rsidRPr="0089770F" w:rsidRDefault="0089770F" w:rsidP="0089770F">
      <w:pPr>
        <w:spacing w:before="100" w:beforeAutospacing="1" w:after="100" w:afterAutospacing="1"/>
        <w:rPr>
          <w:rFonts w:ascii="Poppins" w:hAnsi="Poppins" w:cs="Poppins"/>
          <w:sz w:val="20"/>
          <w:szCs w:val="20"/>
        </w:rPr>
      </w:pPr>
      <w:r w:rsidRPr="0089770F">
        <w:rPr>
          <w:rFonts w:ascii="Poppins" w:hAnsi="Poppins" w:cs="Poppins"/>
          <w:sz w:val="20"/>
          <w:szCs w:val="20"/>
        </w:rPr>
        <w:t>Neath Port talbot</w:t>
      </w:r>
      <w:r>
        <w:rPr>
          <w:rFonts w:ascii="Poppins" w:hAnsi="Poppins" w:cs="Poppins"/>
          <w:sz w:val="20"/>
          <w:szCs w:val="20"/>
        </w:rPr>
        <w:t xml:space="preserve"> described Resilience within their well-being plan:</w:t>
      </w:r>
    </w:p>
    <w:p w14:paraId="6208FF08" w14:textId="435A6955" w:rsidR="00A15182" w:rsidRDefault="00A15182" w:rsidP="0089770F">
      <w:pPr>
        <w:spacing w:before="100" w:beforeAutospacing="1" w:after="100" w:afterAutospacing="1"/>
        <w:rPr>
          <w:rFonts w:ascii="Poppins" w:hAnsi="Poppins" w:cs="Poppins"/>
          <w:sz w:val="20"/>
          <w:szCs w:val="20"/>
        </w:rPr>
      </w:pPr>
      <w:r w:rsidRPr="00A15182">
        <w:rPr>
          <w:rFonts w:ascii="Poppins" w:hAnsi="Poppins" w:cs="Poppins"/>
          <w:i/>
          <w:iCs/>
          <w:sz w:val="20"/>
          <w:szCs w:val="20"/>
        </w:rPr>
        <w:t>“We are using stocks of our natural resources at a rate which is unsustainable and that our ecosystems are under increasing pressure and threat from the impacts of climate change, land use change, invasive non-native species (INNS), pollution and over-use</w:t>
      </w:r>
      <w:r w:rsidRPr="00A15182">
        <w:rPr>
          <w:rFonts w:ascii="Poppins" w:hAnsi="Poppins" w:cs="Poppins"/>
          <w:sz w:val="20"/>
          <w:szCs w:val="20"/>
        </w:rPr>
        <w:t>.</w:t>
      </w:r>
      <w:r>
        <w:rPr>
          <w:rFonts w:ascii="Poppins" w:hAnsi="Poppins" w:cs="Poppins"/>
          <w:sz w:val="20"/>
          <w:szCs w:val="20"/>
        </w:rPr>
        <w:t>”</w:t>
      </w:r>
    </w:p>
    <w:p w14:paraId="0B8745B3" w14:textId="7A482404" w:rsidR="00A15182" w:rsidRPr="003C4DE2" w:rsidRDefault="00F93F4A" w:rsidP="00A15182">
      <w:pPr>
        <w:spacing w:before="100" w:beforeAutospacing="1" w:after="100" w:afterAutospacing="1"/>
        <w:jc w:val="center"/>
      </w:pPr>
      <w:r w:rsidRPr="003C4DE2">
        <w:t xml:space="preserve">                                                                                (</w:t>
      </w:r>
      <w:r w:rsidR="00A15182" w:rsidRPr="003C4DE2">
        <w:t>Neath Port Talbot</w:t>
      </w:r>
      <w:r w:rsidRPr="003C4DE2">
        <w:t>- Wellbeing Pla</w:t>
      </w:r>
      <w:r w:rsidR="003C4DE2">
        <w:t>n,</w:t>
      </w:r>
      <w:r w:rsidRPr="003C4DE2">
        <w:t>2023)</w:t>
      </w:r>
    </w:p>
    <w:p w14:paraId="262922D3" w14:textId="77777777" w:rsidR="008F4DB6" w:rsidRDefault="008F4DB6" w:rsidP="008F4DB6">
      <w:pPr>
        <w:pStyle w:val="ssrcss-1q0x1qg-paragraph"/>
        <w:spacing w:before="0" w:beforeAutospacing="0" w:after="0" w:afterAutospacing="0" w:line="360" w:lineRule="auto"/>
        <w:jc w:val="both"/>
        <w:textAlignment w:val="baseline"/>
      </w:pPr>
    </w:p>
    <w:p w14:paraId="6F565B3C" w14:textId="28C64736" w:rsidR="007866A5" w:rsidRPr="007866A5" w:rsidRDefault="00A15182" w:rsidP="008F4DB6">
      <w:pPr>
        <w:pStyle w:val="ssrcss-1q0x1qg-paragraph"/>
        <w:spacing w:before="0" w:beforeAutospacing="0" w:after="0" w:afterAutospacing="0" w:line="360" w:lineRule="auto"/>
        <w:jc w:val="both"/>
        <w:textAlignment w:val="baseline"/>
      </w:pPr>
      <w:r w:rsidRPr="003C4DE2">
        <w:t xml:space="preserve"> </w:t>
      </w:r>
      <w:r w:rsidR="0089770F" w:rsidRPr="003C4DE2">
        <w:t>According to BEIS, Greenhouse Gas (2023), Neath port talbot</w:t>
      </w:r>
      <w:r w:rsidR="003C4DE2" w:rsidRPr="003C4DE2">
        <w:t xml:space="preserve"> emission per person is 50.1 (please Graph 1 in Appendix). This score is the highest in any area within </w:t>
      </w:r>
      <w:r w:rsidR="0089770F" w:rsidRPr="003C4DE2">
        <w:t>Wales</w:t>
      </w:r>
      <w:r w:rsidR="003C4DE2" w:rsidRPr="003C4DE2">
        <w:t xml:space="preserve">, </w:t>
      </w:r>
      <w:r w:rsidR="003C4DE2">
        <w:t>w</w:t>
      </w:r>
      <w:r w:rsidR="003C4DE2" w:rsidRPr="003C4DE2">
        <w:t xml:space="preserve">hilst Bridgend County borough has a score of 5.9. </w:t>
      </w:r>
      <w:r w:rsidR="00011012">
        <w:t xml:space="preserve">This is due to Tata Steelworks, which </w:t>
      </w:r>
      <w:r w:rsidR="003C4DE2" w:rsidRPr="003C4DE2">
        <w:rPr>
          <w:color w:val="141414"/>
        </w:rPr>
        <w:t>remains one of Wales' biggest employers.</w:t>
      </w:r>
      <w:r w:rsidR="00011012">
        <w:t xml:space="preserve"> </w:t>
      </w:r>
      <w:r w:rsidR="003C4DE2" w:rsidRPr="003C4DE2">
        <w:rPr>
          <w:color w:val="141414"/>
        </w:rPr>
        <w:t xml:space="preserve">At the heart of Tata Steel's UK operations, there have been </w:t>
      </w:r>
      <w:r w:rsidR="003C4DE2" w:rsidRPr="00B40AC2">
        <w:rPr>
          <w:color w:val="141414"/>
        </w:rPr>
        <w:t>renewed fears that a decision is imminent on ending blast furnace operations at the works, which could hit thousands of jobs</w:t>
      </w:r>
      <w:r w:rsidR="00011012" w:rsidRPr="00B40AC2">
        <w:rPr>
          <w:color w:val="141414"/>
        </w:rPr>
        <w:t xml:space="preserve"> but a chance to create a more resilient greener Wal</w:t>
      </w:r>
      <w:r w:rsidR="008F4DB6">
        <w:rPr>
          <w:color w:val="141414"/>
        </w:rPr>
        <w:t xml:space="preserve">es (Jones, 2023). </w:t>
      </w:r>
      <w:r w:rsidR="00011012" w:rsidRPr="00B40AC2">
        <w:rPr>
          <w:color w:val="141414"/>
        </w:rPr>
        <w:t xml:space="preserve"> Furthermore, the Wellbeing plan states it will be </w:t>
      </w:r>
      <w:r w:rsidR="00011012" w:rsidRPr="00B40AC2">
        <w:t>r</w:t>
      </w:r>
      <w:r w:rsidR="00011012" w:rsidRPr="00011012">
        <w:t>educing carbon use to net zero by 2030, working together to share good practice and collaborative approaches to carbon reduction plans and actions</w:t>
      </w:r>
      <w:r w:rsidR="00011012" w:rsidRPr="00B40AC2">
        <w:t>.</w:t>
      </w:r>
      <w:r w:rsidR="008F4DB6">
        <w:t xml:space="preserve"> </w:t>
      </w:r>
      <w:r w:rsidR="007866A5" w:rsidRPr="007866A5">
        <w:t xml:space="preserve">However, </w:t>
      </w:r>
      <w:r w:rsidR="008F4DB6" w:rsidRPr="007866A5">
        <w:t>in</w:t>
      </w:r>
      <w:r w:rsidR="007866A5" w:rsidRPr="007866A5">
        <w:t xml:space="preserve"> 2016, at Foundation Phase, Neath Port Talbot was placed 2</w:t>
      </w:r>
      <w:r w:rsidR="007866A5" w:rsidRPr="007866A5">
        <w:rPr>
          <w:sz w:val="22"/>
          <w:szCs w:val="22"/>
        </w:rPr>
        <w:t>2</w:t>
      </w:r>
      <w:r w:rsidR="007866A5" w:rsidRPr="007866A5">
        <w:rPr>
          <w:position w:val="10"/>
          <w:sz w:val="22"/>
          <w:szCs w:val="22"/>
        </w:rPr>
        <w:t xml:space="preserve">nd </w:t>
      </w:r>
      <w:r w:rsidR="007866A5" w:rsidRPr="007866A5">
        <w:t xml:space="preserve">of 22 Authorities in Wales in mathematical development, personal and social development, well-being and cultural diversity. Such of which aligns to </w:t>
      </w:r>
      <w:proofErr w:type="spellStart"/>
      <w:r w:rsidR="007866A5" w:rsidRPr="007866A5">
        <w:t>Nesom</w:t>
      </w:r>
      <w:proofErr w:type="spellEnd"/>
      <w:r w:rsidR="007866A5" w:rsidRPr="007866A5">
        <w:t xml:space="preserve"> (2021)</w:t>
      </w:r>
      <w:r w:rsidR="007866A5">
        <w:t xml:space="preserve"> regarding </w:t>
      </w:r>
      <w:r w:rsidR="007866A5" w:rsidRPr="0089770F">
        <w:t>posing a risk to both partnership trust and the feasibility of effectively implementing the act</w:t>
      </w:r>
      <w:r w:rsidR="007866A5">
        <w:t xml:space="preserve">. On the other hand, </w:t>
      </w:r>
      <w:r w:rsidR="008F4DB6" w:rsidRPr="008F4DB6">
        <w:t>Bridgend County Borough Council is actively transforming its green spaces into early years learning environments, fostering outdoor learning opportunities and experiences for children. These innovative initiatives hold importance not only for nature and wildlife but also contribute to positive emotional well-being for the individuals within the local communities (Wales F. G., 2023)</w:t>
      </w:r>
    </w:p>
    <w:p w14:paraId="3AA0EA19" w14:textId="77777777" w:rsidR="008F4DB6" w:rsidRDefault="008F4DB6" w:rsidP="008F4DB6">
      <w:pPr>
        <w:spacing w:line="360" w:lineRule="auto"/>
        <w:jc w:val="both"/>
      </w:pPr>
    </w:p>
    <w:p w14:paraId="5B52E88F" w14:textId="3204541D" w:rsidR="00760F22" w:rsidRDefault="00F30C8F" w:rsidP="004E0558">
      <w:pPr>
        <w:shd w:val="clear" w:color="auto" w:fill="FFFFFF" w:themeFill="background1"/>
        <w:spacing w:line="360" w:lineRule="auto"/>
      </w:pPr>
      <w:r w:rsidRPr="008F4DB6">
        <w:t>According to recent Joint Nature Conservation Committee (JNCC) estimates, Wales' worldwide footprint is gradually shrinking, indicating a progressive decline in the land area necessary to support its use of global resources.</w:t>
      </w:r>
      <w:r w:rsidR="00CC7BFE" w:rsidRPr="008F4DB6">
        <w:t xml:space="preserve"> </w:t>
      </w:r>
      <w:r w:rsidRPr="008F4DB6">
        <w:t>Between 2020 and 2021, average nitrogen dioxide exposure levels changed gradually while average airborne particulate matter concentrations increased slightly but remained lower than pre-COVID-19 levels</w:t>
      </w:r>
      <w:r w:rsidR="0039798D" w:rsidRPr="008F4DB6">
        <w:t xml:space="preserve"> </w:t>
      </w:r>
      <w:r w:rsidR="008F4DB6" w:rsidRPr="008F4DB6">
        <w:rPr>
          <w:color w:val="222222"/>
          <w:shd w:val="clear" w:color="auto" w:fill="FFFFFF"/>
        </w:rPr>
        <w:t>(</w:t>
      </w:r>
      <w:proofErr w:type="spellStart"/>
      <w:r w:rsidR="008F4DB6" w:rsidRPr="00EB670F">
        <w:rPr>
          <w:color w:val="222222"/>
          <w:shd w:val="clear" w:color="auto" w:fill="FFFFFF"/>
        </w:rPr>
        <w:t>Jephcote</w:t>
      </w:r>
      <w:proofErr w:type="spellEnd"/>
      <w:r w:rsidR="008F4DB6" w:rsidRPr="008F4DB6">
        <w:rPr>
          <w:color w:val="222222"/>
          <w:shd w:val="clear" w:color="auto" w:fill="FFFFFF"/>
        </w:rPr>
        <w:t xml:space="preserve"> et al, 2021)</w:t>
      </w:r>
      <w:r w:rsidR="008F4DB6">
        <w:rPr>
          <w:color w:val="222222"/>
          <w:shd w:val="clear" w:color="auto" w:fill="FFFFFF"/>
        </w:rPr>
        <w:t>.</w:t>
      </w:r>
      <w:r w:rsidR="008F4DB6">
        <w:t xml:space="preserve"> I</w:t>
      </w:r>
      <w:r w:rsidRPr="00F30C8F">
        <w:t xml:space="preserve">n 2021, the overall capacity of newly installed renewable energy plants more than </w:t>
      </w:r>
      <w:r w:rsidRPr="00F30C8F">
        <w:lastRenderedPageBreak/>
        <w:t>quadrupled compared to 2020. Despite this increase, the installation rate in 2021 is the second lowest in the last decade</w:t>
      </w:r>
      <w:r w:rsidR="004E0558">
        <w:t xml:space="preserve"> (Davies, 2020</w:t>
      </w:r>
      <w:proofErr w:type="gramStart"/>
      <w:r w:rsidR="004E0558">
        <w:t>).</w:t>
      </w:r>
      <w:r w:rsidRPr="00F30C8F">
        <w:t>.</w:t>
      </w:r>
      <w:proofErr w:type="gramEnd"/>
      <w:r>
        <w:t xml:space="preserve"> </w:t>
      </w:r>
      <w:r w:rsidRPr="00F30C8F">
        <w:t>As Wales strides towards its resilience goal, an analysis of national indicators reveals a varied landscape.</w:t>
      </w:r>
      <w:r>
        <w:t xml:space="preserve"> </w:t>
      </w:r>
      <w:r w:rsidRPr="00F30C8F">
        <w:t>Assessing the longer-term progress towards the goal reveals mixed findings across various national indicators.</w:t>
      </w:r>
      <w:r w:rsidR="008F4DB6">
        <w:t xml:space="preserve"> (Wales F.G., 2023). </w:t>
      </w:r>
      <w:r>
        <w:t>While statistics from several indicators show that Wales is making progress towards its resilience target, recent development has slowed, needing more improvements to meet both the goal and national milestone</w:t>
      </w:r>
      <w:r w:rsidR="008F4DB6">
        <w:t xml:space="preserve">s (Wales F.G., 2023). </w:t>
      </w:r>
      <w:r w:rsidRPr="00F30C8F">
        <w:t>By 2050, Wales' national aim for this indicator predicts using just its fair share of the world's resources. According to the most current comprehensive assessment of Welsh natural resources (</w:t>
      </w:r>
      <w:proofErr w:type="spellStart"/>
      <w:r w:rsidRPr="00F30C8F">
        <w:t>SoNaRR</w:t>
      </w:r>
      <w:proofErr w:type="spellEnd"/>
      <w:r w:rsidRPr="00F30C8F">
        <w:t xml:space="preserve"> 2020), biodiversity is declining overall. The national goal is to reverse the trend by 2030, with a clear recovery by 2050. An experimental indicator on the distribution of biological variety in Wales, published in 2021, shows a long-term fall in species distribution, which has lately stabilised.</w:t>
      </w:r>
    </w:p>
    <w:p w14:paraId="6F173633" w14:textId="0A675855" w:rsidR="00D96818" w:rsidRDefault="00D96818" w:rsidP="00760F22">
      <w:pPr>
        <w:spacing w:line="360" w:lineRule="auto"/>
        <w:rPr>
          <w:u w:val="single"/>
        </w:rPr>
      </w:pPr>
    </w:p>
    <w:p w14:paraId="530FAEC9" w14:textId="77777777" w:rsidR="003908C7" w:rsidRPr="00CF0070" w:rsidRDefault="003908C7" w:rsidP="00760F22">
      <w:pPr>
        <w:spacing w:line="360" w:lineRule="auto"/>
        <w:rPr>
          <w:b/>
          <w:bCs/>
        </w:rPr>
      </w:pPr>
    </w:p>
    <w:p w14:paraId="6E38622D" w14:textId="4D7B3C6E" w:rsidR="00760F22" w:rsidRPr="00CF0070" w:rsidRDefault="00CF0070" w:rsidP="00760F22">
      <w:pPr>
        <w:spacing w:line="360" w:lineRule="auto"/>
        <w:rPr>
          <w:b/>
          <w:bCs/>
        </w:rPr>
      </w:pPr>
      <w:r w:rsidRPr="00CF0070">
        <w:rPr>
          <w:b/>
          <w:bCs/>
        </w:rPr>
        <w:t xml:space="preserve">5.2 </w:t>
      </w:r>
      <w:r w:rsidR="00760F22" w:rsidRPr="00CF0070">
        <w:rPr>
          <w:b/>
          <w:bCs/>
        </w:rPr>
        <w:t xml:space="preserve">A healthier </w:t>
      </w:r>
      <w:r w:rsidR="004E0558" w:rsidRPr="00CF0070">
        <w:rPr>
          <w:b/>
          <w:bCs/>
        </w:rPr>
        <w:t>Wales - Goal Three</w:t>
      </w:r>
    </w:p>
    <w:p w14:paraId="2D12AC65" w14:textId="406C7396" w:rsidR="00D96818" w:rsidRPr="003908C7" w:rsidRDefault="00D96818" w:rsidP="003908C7">
      <w:pPr>
        <w:spacing w:line="360" w:lineRule="auto"/>
        <w:rPr>
          <w:u w:val="single"/>
        </w:rPr>
      </w:pPr>
    </w:p>
    <w:p w14:paraId="6A629BC6" w14:textId="77777777" w:rsidR="00340793" w:rsidRDefault="007C6003" w:rsidP="003908C7">
      <w:pPr>
        <w:spacing w:line="360" w:lineRule="auto"/>
      </w:pPr>
      <w:r w:rsidRPr="003908C7">
        <w:t>A healthier Wales entails a multifaceted approach to well-being that includes physical, mental, and social healt</w:t>
      </w:r>
      <w:r w:rsidR="004E0558">
        <w:t>h (</w:t>
      </w:r>
      <w:r w:rsidR="004E0558">
        <w:rPr>
          <w:noProof/>
        </w:rPr>
        <w:t>Williams, 2022)</w:t>
      </w:r>
      <w:r w:rsidRPr="003908C7">
        <w:t>. Various programmes and policies are being implemented in Wales to promote a healthier population. This comprises comprehensive healthcare services that prioritise preventative care, early intervention, and equitable access to high-quality treatment for all citizens.</w:t>
      </w:r>
      <w:r w:rsidR="004E0558">
        <w:t xml:space="preserve"> </w:t>
      </w:r>
      <w:r w:rsidRPr="003908C7">
        <w:t>There is also a focus on supporting healthy lives, such as regular exercise, balanced eating, and mental wellness practice</w:t>
      </w:r>
      <w:r w:rsidR="004E0558">
        <w:t>s (</w:t>
      </w:r>
      <w:r w:rsidR="004E0558">
        <w:rPr>
          <w:noProof/>
        </w:rPr>
        <w:t xml:space="preserve">futuregenerations.wales, 2023). </w:t>
      </w:r>
      <w:r w:rsidR="004E0558">
        <w:t xml:space="preserve"> </w:t>
      </w:r>
      <w:r w:rsidR="00340793" w:rsidRPr="00340793">
        <w:t>Local government and public service boards are tasked with focusing on four key indicators, namely, promoting an active nation, fostering compassion, establishing seamless and preventative organi</w:t>
      </w:r>
      <w:r w:rsidR="00340793">
        <w:t>s</w:t>
      </w:r>
      <w:r w:rsidR="00340793" w:rsidRPr="00340793">
        <w:t>ations and services, and enabling place-making while integrating community health and well-being.</w:t>
      </w:r>
    </w:p>
    <w:p w14:paraId="439F8AF1" w14:textId="77777777" w:rsidR="00340793" w:rsidRDefault="00340793" w:rsidP="003908C7">
      <w:pPr>
        <w:spacing w:line="360" w:lineRule="auto"/>
      </w:pPr>
    </w:p>
    <w:p w14:paraId="7B20FBE9" w14:textId="2C1487A9" w:rsidR="007C6003" w:rsidRPr="00747B67" w:rsidRDefault="00340793" w:rsidP="003908C7">
      <w:pPr>
        <w:spacing w:line="360" w:lineRule="auto"/>
      </w:pPr>
      <w:r w:rsidRPr="00340793">
        <w:t>To achieve these objectives, PSBs and LAs are encouraged to revisit policies, create opportunities, and provide experiences aimed at enhancing employee well-being. Additionally, efforts should be directed towards improving workplace conditions and offering mental health training for staff members.</w:t>
      </w:r>
      <w:r>
        <w:t xml:space="preserve"> </w:t>
      </w:r>
      <w:r w:rsidR="007C6003" w:rsidRPr="003908C7">
        <w:t>Community involvement and support networks are critical in resolving health inequalities and providing fair access to healthcare services</w:t>
      </w:r>
      <w:r>
        <w:t xml:space="preserve"> (Gov.wales, 2023)</w:t>
      </w:r>
      <w:r w:rsidR="00F74334" w:rsidRPr="003908C7">
        <w:t>.</w:t>
      </w:r>
      <w:r w:rsidR="007C6003" w:rsidRPr="003908C7">
        <w:t xml:space="preserve"> Partnerships between healthcare providers, public health agencies, and local communities are also encouraged in order to develop a complete healthcare system that </w:t>
      </w:r>
      <w:r w:rsidR="007C6003" w:rsidRPr="003908C7">
        <w:lastRenderedPageBreak/>
        <w:t>prioritises the well-being of individuals in Wales</w:t>
      </w:r>
      <w:r w:rsidR="004E0558">
        <w:t xml:space="preserve"> (Jones, 2023)</w:t>
      </w:r>
      <w:r w:rsidR="007C6003" w:rsidRPr="003908C7">
        <w:t>.</w:t>
      </w:r>
      <w:r>
        <w:t xml:space="preserve"> </w:t>
      </w:r>
      <w:r w:rsidR="007C6003" w:rsidRPr="003908C7">
        <w:t>Wales has made great steps towards a healthier population. According to the Welsh Health Survey, notable attempts to reduce smoking rates have resulted in a drop from 22% in 2017 to roughly 16% in 2021 among Welsh adults. Professional investment in mental health services has increased, in line with the 'Together for Mental Health' plan</w:t>
      </w:r>
      <w:r w:rsidR="004E0558">
        <w:t xml:space="preserve"> (</w:t>
      </w:r>
      <w:r>
        <w:t>Gov.wales, 203)</w:t>
      </w:r>
      <w:r w:rsidR="007C6003" w:rsidRPr="003908C7">
        <w:t>. Active living programmes such as 'Active Travel' and 'Healthy Weight: Healthy Wales' have promoted involvement, with Sport Wales reporting that about 60% of adults and 80% of children routinely engage in physical exercise. Furthermore, as indicated by NHS Wales, Wales exhibits dedication to universal healthcare access, with around 90% of patients obtaining scheduled services within targeted waiting time</w:t>
      </w:r>
      <w:r>
        <w:t xml:space="preserve">s (Williams, 2023). </w:t>
      </w:r>
      <w:r w:rsidR="00747B67">
        <w:t>T</w:t>
      </w:r>
      <w:r w:rsidR="00747B67" w:rsidRPr="00747B67">
        <w:t>he 2023 Wellbeing of Wales report (</w:t>
      </w:r>
      <w:proofErr w:type="spellStart"/>
      <w:proofErr w:type="gramStart"/>
      <w:r w:rsidR="00747B67" w:rsidRPr="00747B67">
        <w:t>gov.wales</w:t>
      </w:r>
      <w:proofErr w:type="spellEnd"/>
      <w:proofErr w:type="gramEnd"/>
      <w:r w:rsidR="00747B67" w:rsidRPr="00747B67">
        <w:t xml:space="preserve">, 2023) evaluates the performance of the 'A healthier Wales' goal and its associated indicators. Maternal health shows mixed results, with a decrease in pregnant women smokers but an increase in obesity and mental health conditions. Housing conditions have improved significantly, with over 80% of dwellings considered safe. However, life expectancy in Wales has declined, with a rise in annual deaths, especially in deprived areas. Substance misuse-related deaths are on the rise, particularly in deprived regions. Despite the introduction of the Well-being of Future Generations Act in 2015, healthy lifestyle </w:t>
      </w:r>
      <w:proofErr w:type="spellStart"/>
      <w:r w:rsidR="00747B67" w:rsidRPr="00747B67">
        <w:t>behaviors</w:t>
      </w:r>
      <w:proofErr w:type="spellEnd"/>
      <w:r w:rsidR="00747B67" w:rsidRPr="00747B67">
        <w:t xml:space="preserve"> have not improved. The mental health and wellbeing indicator, aiming to reduce disparities between affluent and deprived areas, has underperformed, resulting in lower life satisfaction scores for both adults and children in deprived areas</w:t>
      </w:r>
      <w:r w:rsidR="00747B67">
        <w:t xml:space="preserve"> (Gov.wales, 2023). </w:t>
      </w:r>
    </w:p>
    <w:p w14:paraId="290BB4EE" w14:textId="77777777" w:rsidR="007C4EF3" w:rsidRPr="003908C7" w:rsidRDefault="007C4EF3" w:rsidP="003908C7">
      <w:pPr>
        <w:shd w:val="clear" w:color="auto" w:fill="FFFFFF" w:themeFill="background1"/>
        <w:spacing w:line="360" w:lineRule="auto"/>
        <w:rPr>
          <w:b/>
          <w:bCs/>
          <w:highlight w:val="cyan"/>
          <w:shd w:val="clear" w:color="auto" w:fill="FFFFFF"/>
        </w:rPr>
      </w:pPr>
    </w:p>
    <w:p w14:paraId="0A7FC1E7" w14:textId="58F15251" w:rsidR="008B5EEF" w:rsidRDefault="00CF0070" w:rsidP="003908C7">
      <w:pPr>
        <w:shd w:val="clear" w:color="auto" w:fill="FFFFFF" w:themeFill="background1"/>
        <w:spacing w:line="360" w:lineRule="auto"/>
        <w:rPr>
          <w:b/>
          <w:bCs/>
          <w:shd w:val="clear" w:color="auto" w:fill="FFFFFF"/>
        </w:rPr>
      </w:pPr>
      <w:r>
        <w:rPr>
          <w:b/>
          <w:bCs/>
          <w:shd w:val="clear" w:color="auto" w:fill="FFFFFF"/>
        </w:rPr>
        <w:t xml:space="preserve">6.0 </w:t>
      </w:r>
      <w:r w:rsidR="00B31FF1">
        <w:rPr>
          <w:b/>
          <w:bCs/>
          <w:shd w:val="clear" w:color="auto" w:fill="FFFFFF"/>
        </w:rPr>
        <w:t>Blue Zones</w:t>
      </w:r>
    </w:p>
    <w:p w14:paraId="7F56654E" w14:textId="77777777" w:rsidR="00F3499B" w:rsidRPr="003908C7" w:rsidRDefault="00F3499B" w:rsidP="003908C7">
      <w:pPr>
        <w:shd w:val="clear" w:color="auto" w:fill="FFFFFF" w:themeFill="background1"/>
        <w:spacing w:line="360" w:lineRule="auto"/>
        <w:rPr>
          <w:b/>
          <w:bCs/>
          <w:highlight w:val="cyan"/>
          <w:shd w:val="clear" w:color="auto" w:fill="FFFFFF"/>
        </w:rPr>
      </w:pPr>
    </w:p>
    <w:p w14:paraId="75F42CD1" w14:textId="28FDEA04" w:rsidR="00B31FF1" w:rsidRPr="00B31FF1" w:rsidRDefault="00B31FF1" w:rsidP="00B31FF1">
      <w:pPr>
        <w:shd w:val="clear" w:color="auto" w:fill="FFFFFF" w:themeFill="background1"/>
        <w:spacing w:line="360" w:lineRule="auto"/>
        <w:rPr>
          <w:shd w:val="clear" w:color="auto" w:fill="FFFFFF"/>
        </w:rPr>
      </w:pPr>
      <w:r w:rsidRPr="00B31FF1">
        <w:rPr>
          <w:shd w:val="clear" w:color="auto" w:fill="FFFFFF"/>
        </w:rPr>
        <w:t>Blue Zones in Wales point to areas where people live exceptionally long and healthy lives. Following Dan Buettner's research, these places are getting attention for their positive impact on well-being. Our goal is to understand what makes these areas special for longevity in Wales.</w:t>
      </w:r>
      <w:r w:rsidR="00CD6667">
        <w:rPr>
          <w:shd w:val="clear" w:color="auto" w:fill="FFFFFF"/>
        </w:rPr>
        <w:t xml:space="preserve"> </w:t>
      </w:r>
      <w:r w:rsidRPr="00B31FF1">
        <w:rPr>
          <w:shd w:val="clear" w:color="auto" w:fill="FFFFFF"/>
        </w:rPr>
        <w:t xml:space="preserve">Wales is working on public health by promoting healthy living, exercise, and discouraging smoking. They strengthen community bonds through programs in community </w:t>
      </w:r>
      <w:r w:rsidR="00CD6667" w:rsidRPr="00B31FF1">
        <w:rPr>
          <w:shd w:val="clear" w:color="auto" w:fill="FFFFFF"/>
        </w:rPr>
        <w:t>centres</w:t>
      </w:r>
      <w:r w:rsidRPr="00B31FF1">
        <w:rPr>
          <w:shd w:val="clear" w:color="auto" w:fill="FFFFFF"/>
        </w:rPr>
        <w:t>, social clubs, and activities, promoting well-being.</w:t>
      </w:r>
    </w:p>
    <w:p w14:paraId="33685493" w14:textId="77777777" w:rsidR="00B31FF1" w:rsidRPr="00B31FF1" w:rsidRDefault="00B31FF1" w:rsidP="00B31FF1">
      <w:pPr>
        <w:shd w:val="clear" w:color="auto" w:fill="FFFFFF" w:themeFill="background1"/>
        <w:spacing w:line="360" w:lineRule="auto"/>
        <w:rPr>
          <w:shd w:val="clear" w:color="auto" w:fill="FFFFFF"/>
        </w:rPr>
      </w:pPr>
    </w:p>
    <w:p w14:paraId="44814E9D" w14:textId="56D29308" w:rsidR="00B31FF1" w:rsidRPr="00B31FF1" w:rsidRDefault="00B31FF1" w:rsidP="00B31FF1">
      <w:pPr>
        <w:shd w:val="clear" w:color="auto" w:fill="FFFFFF" w:themeFill="background1"/>
        <w:spacing w:line="360" w:lineRule="auto"/>
        <w:rPr>
          <w:shd w:val="clear" w:color="auto" w:fill="FFFFFF"/>
        </w:rPr>
      </w:pPr>
      <w:r w:rsidRPr="00B31FF1">
        <w:rPr>
          <w:shd w:val="clear" w:color="auto" w:fill="FFFFFF"/>
        </w:rPr>
        <w:t>While Wales is</w:t>
      </w:r>
      <w:r w:rsidR="00005714">
        <w:rPr>
          <w:shd w:val="clear" w:color="auto" w:fill="FFFFFF"/>
        </w:rPr>
        <w:t xml:space="preserve"> not</w:t>
      </w:r>
      <w:r w:rsidRPr="00B31FF1">
        <w:rPr>
          <w:shd w:val="clear" w:color="auto" w:fill="FFFFFF"/>
        </w:rPr>
        <w:t xml:space="preserve"> officially called a Blue Zone, it adopts principles seen in these zones. Buettner's research suggests that strong community ties, limited alcohol, and good diets contribute to long and healthy lives (2010). </w:t>
      </w:r>
      <w:proofErr w:type="spellStart"/>
      <w:r w:rsidRPr="00B31FF1">
        <w:rPr>
          <w:shd w:val="clear" w:color="auto" w:fill="FFFFFF"/>
        </w:rPr>
        <w:t>Dr.</w:t>
      </w:r>
      <w:proofErr w:type="spellEnd"/>
      <w:r w:rsidRPr="00B31FF1">
        <w:rPr>
          <w:shd w:val="clear" w:color="auto" w:fill="FFFFFF"/>
        </w:rPr>
        <w:t xml:space="preserve"> Bill Hettler's Wellness Model, covering physical, emotional, intellectual, spiritual, occupational, and social aspects, supports this </w:t>
      </w:r>
      <w:r w:rsidRPr="00B31FF1">
        <w:rPr>
          <w:shd w:val="clear" w:color="auto" w:fill="FFFFFF"/>
        </w:rPr>
        <w:lastRenderedPageBreak/>
        <w:t>approach. Also, relating well-being to Maslow's hierarchy of needs (1987) underlines the importance of meeting basic needs for a better life.</w:t>
      </w:r>
    </w:p>
    <w:p w14:paraId="2FB1B441" w14:textId="77777777" w:rsidR="00B31FF1" w:rsidRPr="00B31FF1" w:rsidRDefault="00B31FF1" w:rsidP="00B31FF1">
      <w:pPr>
        <w:shd w:val="clear" w:color="auto" w:fill="FFFFFF" w:themeFill="background1"/>
        <w:spacing w:line="360" w:lineRule="auto"/>
        <w:rPr>
          <w:shd w:val="clear" w:color="auto" w:fill="FFFFFF"/>
        </w:rPr>
      </w:pPr>
    </w:p>
    <w:p w14:paraId="4B6A994C" w14:textId="4F5CE593" w:rsidR="007C4EF3" w:rsidRPr="003908C7" w:rsidRDefault="00B31FF1" w:rsidP="00B31FF1">
      <w:pPr>
        <w:shd w:val="clear" w:color="auto" w:fill="FFFFFF" w:themeFill="background1"/>
        <w:spacing w:line="360" w:lineRule="auto"/>
        <w:rPr>
          <w:shd w:val="clear" w:color="auto" w:fill="FFFFFF"/>
        </w:rPr>
      </w:pPr>
      <w:r w:rsidRPr="00B31FF1">
        <w:rPr>
          <w:shd w:val="clear" w:color="auto" w:fill="FFFFFF"/>
        </w:rPr>
        <w:t>This combined approach from Blue Zones, wellness models, and psychological theories could be a practical strategy to boost overall well-being in Wales.</w:t>
      </w:r>
    </w:p>
    <w:p w14:paraId="1F72D6FE" w14:textId="77777777" w:rsidR="007C4EF3" w:rsidRPr="003908C7" w:rsidRDefault="007C4EF3" w:rsidP="003908C7">
      <w:pPr>
        <w:shd w:val="clear" w:color="auto" w:fill="FFFFFF" w:themeFill="background1"/>
        <w:spacing w:line="360" w:lineRule="auto"/>
        <w:rPr>
          <w:shd w:val="clear" w:color="auto" w:fill="FFFFFF"/>
        </w:rPr>
      </w:pPr>
    </w:p>
    <w:p w14:paraId="7AD546BD" w14:textId="6307CD99" w:rsidR="008B5EEF" w:rsidRPr="003908C7" w:rsidRDefault="008B5EEF" w:rsidP="003908C7">
      <w:pPr>
        <w:shd w:val="clear" w:color="auto" w:fill="FFFFFF" w:themeFill="background1"/>
        <w:spacing w:line="360" w:lineRule="auto"/>
        <w:rPr>
          <w:b/>
          <w:bCs/>
          <w:highlight w:val="cyan"/>
          <w:shd w:val="clear" w:color="auto" w:fill="FFFFFF"/>
        </w:rPr>
      </w:pPr>
    </w:p>
    <w:p w14:paraId="141B8CED" w14:textId="76D6D9EB" w:rsidR="003908C7" w:rsidRPr="00CD6667" w:rsidRDefault="00CF0070" w:rsidP="003908C7">
      <w:pPr>
        <w:shd w:val="clear" w:color="auto" w:fill="FFFFFF" w:themeFill="background1"/>
        <w:spacing w:line="360" w:lineRule="auto"/>
        <w:rPr>
          <w:b/>
          <w:bCs/>
          <w:shd w:val="clear" w:color="auto" w:fill="FFFFFF"/>
        </w:rPr>
      </w:pPr>
      <w:r>
        <w:rPr>
          <w:b/>
          <w:bCs/>
          <w:shd w:val="clear" w:color="auto" w:fill="FFFFFF"/>
        </w:rPr>
        <w:t xml:space="preserve">7.0 </w:t>
      </w:r>
      <w:r w:rsidR="003908C7" w:rsidRPr="00CD6667">
        <w:rPr>
          <w:b/>
          <w:bCs/>
          <w:shd w:val="clear" w:color="auto" w:fill="FFFFFF"/>
        </w:rPr>
        <w:t xml:space="preserve">Recommendations </w:t>
      </w:r>
    </w:p>
    <w:p w14:paraId="099A46F7" w14:textId="78B4CA8B" w:rsidR="00005714" w:rsidRDefault="002C00EE" w:rsidP="002C00EE">
      <w:pPr>
        <w:shd w:val="clear" w:color="auto" w:fill="FFFFFF" w:themeFill="background1"/>
        <w:spacing w:line="360" w:lineRule="auto"/>
        <w:rPr>
          <w:shd w:val="clear" w:color="auto" w:fill="FFFFFF"/>
        </w:rPr>
      </w:pPr>
      <w:r w:rsidRPr="002C00EE">
        <w:rPr>
          <w:shd w:val="clear" w:color="auto" w:fill="FFFFFF"/>
        </w:rPr>
        <w:t>Promoting and developing sustainable approaches holds a significant role in international policies, with the Well-being of Future Generations Act (WFG Act) recognised as an exemplary model for other nations to follow (Holden et al., 2017).</w:t>
      </w:r>
      <w:r>
        <w:rPr>
          <w:shd w:val="clear" w:color="auto" w:fill="FFFFFF"/>
        </w:rPr>
        <w:t xml:space="preserve"> </w:t>
      </w:r>
      <w:r w:rsidRPr="002C00EE">
        <w:rPr>
          <w:shd w:val="clear" w:color="auto" w:fill="FFFFFF"/>
        </w:rPr>
        <w:t xml:space="preserve">The synergy between sustainable development and public health forms a forward-looking strategy for </w:t>
      </w:r>
      <w:r w:rsidR="00005714" w:rsidRPr="002C00EE">
        <w:rPr>
          <w:shd w:val="clear" w:color="auto" w:fill="FFFFFF"/>
        </w:rPr>
        <w:t>Wales</w:t>
      </w:r>
      <w:r w:rsidR="00005714">
        <w:rPr>
          <w:shd w:val="clear" w:color="auto" w:fill="FFFFFF"/>
        </w:rPr>
        <w:t xml:space="preserve"> (Jones, 2023).</w:t>
      </w:r>
      <w:r w:rsidRPr="002C00EE">
        <w:rPr>
          <w:shd w:val="clear" w:color="auto" w:fill="FFFFFF"/>
        </w:rPr>
        <w:t xml:space="preserve"> This visionary legislation emphasi</w:t>
      </w:r>
      <w:r>
        <w:rPr>
          <w:shd w:val="clear" w:color="auto" w:fill="FFFFFF"/>
        </w:rPr>
        <w:t>s</w:t>
      </w:r>
      <w:r w:rsidRPr="002C00EE">
        <w:rPr>
          <w:shd w:val="clear" w:color="auto" w:fill="FFFFFF"/>
        </w:rPr>
        <w:t xml:space="preserve">es the interconnectedness of societal well-being, ecological resilience, and economic progress, setting the stage for an integrated </w:t>
      </w:r>
      <w:r w:rsidR="00005714" w:rsidRPr="002C00EE">
        <w:rPr>
          <w:shd w:val="clear" w:color="auto" w:fill="FFFFFF"/>
        </w:rPr>
        <w:t>approach. To</w:t>
      </w:r>
      <w:r w:rsidRPr="002C00EE">
        <w:rPr>
          <w:shd w:val="clear" w:color="auto" w:fill="FFFFFF"/>
        </w:rPr>
        <w:t xml:space="preserve"> achieve a holistic vision for public health, Wales must align its initiatives with sustainable development goals. Initiatives like 'Active Travel' and 'Healthy Weight: Healthy Wales' exemplify the positive impact of such integration. </w:t>
      </w:r>
      <w:r w:rsidR="00005714">
        <w:rPr>
          <w:shd w:val="clear" w:color="auto" w:fill="FFFFFF"/>
        </w:rPr>
        <w:t>There needs to be further</w:t>
      </w:r>
      <w:r w:rsidRPr="002C00EE">
        <w:rPr>
          <w:shd w:val="clear" w:color="auto" w:fill="FFFFFF"/>
        </w:rPr>
        <w:t xml:space="preserve"> expan</w:t>
      </w:r>
      <w:r w:rsidR="00005714">
        <w:rPr>
          <w:shd w:val="clear" w:color="auto" w:fill="FFFFFF"/>
        </w:rPr>
        <w:t xml:space="preserve">sion on </w:t>
      </w:r>
      <w:r w:rsidRPr="002C00EE">
        <w:rPr>
          <w:shd w:val="clear" w:color="auto" w:fill="FFFFFF"/>
        </w:rPr>
        <w:t>these efforts and incorporating evidence-based interventions</w:t>
      </w:r>
      <w:r w:rsidR="00005714">
        <w:rPr>
          <w:shd w:val="clear" w:color="auto" w:fill="FFFFFF"/>
        </w:rPr>
        <w:t xml:space="preserve">.  </w:t>
      </w:r>
      <w:r w:rsidR="00005714" w:rsidRPr="00005714">
        <w:rPr>
          <w:shd w:val="clear" w:color="auto" w:fill="FFFFFF"/>
        </w:rPr>
        <w:t xml:space="preserve">The Well-being of Future Generations (Wales) Act 2015 (WFG Act) allows room for variations as it delegates responsibilities to Local Authorities (LAs) and Public Service Boards (PSBs). </w:t>
      </w:r>
    </w:p>
    <w:p w14:paraId="073432E5" w14:textId="77777777" w:rsidR="00005714" w:rsidRDefault="00005714" w:rsidP="002C00EE">
      <w:pPr>
        <w:shd w:val="clear" w:color="auto" w:fill="FFFFFF" w:themeFill="background1"/>
        <w:spacing w:line="360" w:lineRule="auto"/>
        <w:rPr>
          <w:shd w:val="clear" w:color="auto" w:fill="FFFFFF"/>
        </w:rPr>
      </w:pPr>
    </w:p>
    <w:p w14:paraId="65396EED" w14:textId="6D079394" w:rsidR="002C00EE" w:rsidRPr="002C00EE" w:rsidRDefault="00005714" w:rsidP="002C00EE">
      <w:pPr>
        <w:shd w:val="clear" w:color="auto" w:fill="FFFFFF" w:themeFill="background1"/>
        <w:spacing w:line="360" w:lineRule="auto"/>
        <w:rPr>
          <w:shd w:val="clear" w:color="auto" w:fill="FFFFFF"/>
        </w:rPr>
      </w:pPr>
      <w:r w:rsidRPr="00005714">
        <w:rPr>
          <w:shd w:val="clear" w:color="auto" w:fill="FFFFFF"/>
        </w:rPr>
        <w:t>Moreover, the well-being plans crafted under this act exhibit discrepancies, with some outperforming others. To ensure a standardised approach, these plans should be developed considering the regions' past achievements, aligning expectations and goals for more effective implementation. It is imperative that LAs and PSBs receive financial support dedicated to staff training. This investment is crucial to empower them to formulate and implement sustainable strategies, addressing the unique inequalities prevalent in their respective regions. Such targeted training not only enhances the proficiency of personnel but also contributes to the reduction of regional disparities, fostering a more equitable and effective application of the well-being plans.</w:t>
      </w:r>
      <w:r>
        <w:rPr>
          <w:shd w:val="clear" w:color="auto" w:fill="FFFFFF"/>
        </w:rPr>
        <w:t xml:space="preserve"> Furthermore, i</w:t>
      </w:r>
      <w:r w:rsidR="002C00EE" w:rsidRPr="002C00EE">
        <w:rPr>
          <w:shd w:val="clear" w:color="auto" w:fill="FFFFFF"/>
        </w:rPr>
        <w:t xml:space="preserve">nspiration can be drawn from the concept of Blue Zones—regions known for the longevity and exceptional health of their inhabitants. Exploring Wales' own potential Blue Zones can yield insights into lifestyle factors, community dynamics, and health practices contributing to longevity. Applying these </w:t>
      </w:r>
      <w:r w:rsidR="002C00EE" w:rsidRPr="002C00EE">
        <w:rPr>
          <w:shd w:val="clear" w:color="auto" w:fill="FFFFFF"/>
        </w:rPr>
        <w:lastRenderedPageBreak/>
        <w:t>lessons allows Wales to tailor health policies and community initiatives for a healthier and more sustainable future.</w:t>
      </w:r>
    </w:p>
    <w:p w14:paraId="26F1AEC9" w14:textId="77777777" w:rsidR="002C00EE" w:rsidRPr="002C00EE" w:rsidRDefault="002C00EE" w:rsidP="002C00EE">
      <w:pPr>
        <w:shd w:val="clear" w:color="auto" w:fill="FFFFFF" w:themeFill="background1"/>
        <w:spacing w:line="360" w:lineRule="auto"/>
        <w:rPr>
          <w:shd w:val="clear" w:color="auto" w:fill="FFFFFF"/>
        </w:rPr>
      </w:pPr>
    </w:p>
    <w:p w14:paraId="7FFA0C01" w14:textId="77777777" w:rsidR="003908C7" w:rsidRPr="003908C7" w:rsidRDefault="003908C7" w:rsidP="003908C7">
      <w:pPr>
        <w:shd w:val="clear" w:color="auto" w:fill="FFFFFF" w:themeFill="background1"/>
        <w:spacing w:line="360" w:lineRule="auto"/>
        <w:rPr>
          <w:shd w:val="clear" w:color="auto" w:fill="FFFFFF"/>
        </w:rPr>
      </w:pPr>
    </w:p>
    <w:p w14:paraId="4D9CCE2D" w14:textId="7D5D8512" w:rsidR="008B5EEF" w:rsidRPr="00CD6667" w:rsidRDefault="00CF0070" w:rsidP="003908C7">
      <w:pPr>
        <w:shd w:val="clear" w:color="auto" w:fill="FFFFFF" w:themeFill="background1"/>
        <w:spacing w:line="360" w:lineRule="auto"/>
        <w:rPr>
          <w:b/>
          <w:bCs/>
          <w:highlight w:val="cyan"/>
          <w:shd w:val="clear" w:color="auto" w:fill="FFFFFF"/>
        </w:rPr>
      </w:pPr>
      <w:r>
        <w:rPr>
          <w:b/>
          <w:bCs/>
          <w:shd w:val="clear" w:color="auto" w:fill="FFFFFF"/>
        </w:rPr>
        <w:t xml:space="preserve">8.0 </w:t>
      </w:r>
      <w:r w:rsidR="00005714" w:rsidRPr="00CD6667">
        <w:rPr>
          <w:b/>
          <w:bCs/>
          <w:shd w:val="clear" w:color="auto" w:fill="FFFFFF"/>
        </w:rPr>
        <w:t>Conclusion</w:t>
      </w:r>
      <w:r w:rsidR="003908C7" w:rsidRPr="00CD6667">
        <w:rPr>
          <w:b/>
          <w:bCs/>
          <w:shd w:val="clear" w:color="auto" w:fill="FFFFFF"/>
        </w:rPr>
        <w:t>.</w:t>
      </w:r>
    </w:p>
    <w:p w14:paraId="264DC707" w14:textId="0ED60335" w:rsidR="007C6003" w:rsidRDefault="007C6003" w:rsidP="00760F22">
      <w:pPr>
        <w:spacing w:line="360" w:lineRule="auto"/>
        <w:rPr>
          <w:highlight w:val="cyan"/>
        </w:rPr>
      </w:pPr>
    </w:p>
    <w:p w14:paraId="4F6FCED3" w14:textId="109645B3" w:rsidR="003908C7" w:rsidRPr="00CD6667" w:rsidRDefault="003908C7" w:rsidP="00F72422">
      <w:pPr>
        <w:spacing w:line="360" w:lineRule="auto"/>
        <w:jc w:val="both"/>
      </w:pPr>
      <w:r>
        <w:t>In conclusion, the path to a sustainable and healthy future for Wales lies in the intersection of visionary policies, community engagement, and evidence-based interventions</w:t>
      </w:r>
      <w:r w:rsidR="00CD6667">
        <w:t xml:space="preserve"> (Jones, 2023)</w:t>
      </w:r>
      <w:r>
        <w:t>. The Well-being of Future Generations Act lays down a solid framework, emphasi</w:t>
      </w:r>
      <w:r w:rsidR="00CD6667">
        <w:t>s</w:t>
      </w:r>
      <w:r>
        <w:t>ing the interconnectedness of societal well-being, environmental sustainability, and economic prosperity</w:t>
      </w:r>
      <w:r w:rsidR="00CD6667">
        <w:t xml:space="preserve"> (Davies, 2017). T</w:t>
      </w:r>
      <w:r w:rsidR="00CD6667" w:rsidRPr="00CD6667">
        <w:t xml:space="preserve">he Welsh Government has introduced </w:t>
      </w:r>
      <w:proofErr w:type="spellStart"/>
      <w:r w:rsidR="00CD6667" w:rsidRPr="00CD6667">
        <w:t>groundbreaking</w:t>
      </w:r>
      <w:proofErr w:type="spellEnd"/>
      <w:r w:rsidR="00CD6667" w:rsidRPr="00CD6667">
        <w:t xml:space="preserve"> legislation aimed at addressing inequalities and ensuring the sustainability of its residents. This involves empowering Local Authorities (LAs) and Public Service Boards (PSBs) to take charge of policies, practices, and procedures, fostering innovative approaches to enhance the health and well-being of their populations. LAs and PSBs are tasked with establishing new partnerships, enhancing integration, and advancing education to encourage healthy lifestyles and </w:t>
      </w:r>
      <w:proofErr w:type="spellStart"/>
      <w:r w:rsidR="00CD6667" w:rsidRPr="00CD6667">
        <w:t>behaviors</w:t>
      </w:r>
      <w:proofErr w:type="spellEnd"/>
      <w:r w:rsidR="00CD6667" w:rsidRPr="00CD6667">
        <w:t xml:space="preserve">, ultimately leading to positive outcomes for everyone in their communities (Davies, 2017). The available evidence suggests that the ambitious objectives set by the Welsh Government surpass the immediate capacities of PSBs and LAs. However, ongoing efforts to implement innovative strategies, foster collaboration, and improve integration within communities are gradually yielding positive results, with targets being steadily </w:t>
      </w:r>
      <w:proofErr w:type="spellStart"/>
      <w:proofErr w:type="gramStart"/>
      <w:r w:rsidR="00CD6667" w:rsidRPr="00CD6667">
        <w:t>achieved.</w:t>
      </w:r>
      <w:r>
        <w:t>The</w:t>
      </w:r>
      <w:proofErr w:type="spellEnd"/>
      <w:proofErr w:type="gramEnd"/>
      <w:r>
        <w:t xml:space="preserve"> journey towards a sustainable and healthy Wales is an ongoing narrative, where the past informs the present, and the present shapes the future</w:t>
      </w:r>
      <w:r w:rsidR="00CD6667">
        <w:t xml:space="preserve"> (Davies, 2017)</w:t>
      </w:r>
      <w:r>
        <w:t>. By learning from the successes, addressing the challenges, and adapting to the evolving landscape, Wales can stand as a beacon of resilience and well-being. The principles embedded in the WFG Act serve as a guiding light, and their integration into public health policies ensures a trajectory toward a future where the well-being of every Welsh citizen is not just a goal but a shared reality.</w:t>
      </w:r>
    </w:p>
    <w:p w14:paraId="724927D2" w14:textId="77777777" w:rsidR="007C6003" w:rsidRPr="00FA46A2" w:rsidRDefault="007C6003" w:rsidP="00F72422">
      <w:pPr>
        <w:spacing w:line="360" w:lineRule="auto"/>
        <w:jc w:val="both"/>
        <w:rPr>
          <w:highlight w:val="cyan"/>
        </w:rPr>
      </w:pPr>
    </w:p>
    <w:p w14:paraId="691E5848" w14:textId="77777777" w:rsidR="007C6003" w:rsidRDefault="007C6003" w:rsidP="00F72422">
      <w:pPr>
        <w:spacing w:line="360" w:lineRule="auto"/>
        <w:jc w:val="both"/>
        <w:rPr>
          <w:highlight w:val="red"/>
        </w:rPr>
      </w:pPr>
    </w:p>
    <w:p w14:paraId="0F8F373D" w14:textId="77777777" w:rsidR="007C6003" w:rsidRDefault="007C6003" w:rsidP="00F72422">
      <w:pPr>
        <w:spacing w:line="360" w:lineRule="auto"/>
        <w:jc w:val="both"/>
        <w:rPr>
          <w:highlight w:val="red"/>
        </w:rPr>
      </w:pPr>
    </w:p>
    <w:p w14:paraId="2E0B31DE" w14:textId="77777777" w:rsidR="007C6003" w:rsidRDefault="007C6003" w:rsidP="00F72422">
      <w:pPr>
        <w:spacing w:line="360" w:lineRule="auto"/>
        <w:jc w:val="both"/>
        <w:rPr>
          <w:highlight w:val="red"/>
        </w:rPr>
      </w:pPr>
    </w:p>
    <w:p w14:paraId="4B8774E0" w14:textId="77777777" w:rsidR="007C6003" w:rsidRDefault="007C6003" w:rsidP="00F72422">
      <w:pPr>
        <w:spacing w:line="360" w:lineRule="auto"/>
        <w:jc w:val="both"/>
        <w:rPr>
          <w:highlight w:val="red"/>
        </w:rPr>
      </w:pPr>
    </w:p>
    <w:p w14:paraId="3DB33282" w14:textId="77777777" w:rsidR="006414CA" w:rsidRDefault="006414CA" w:rsidP="00F72422">
      <w:pPr>
        <w:jc w:val="both"/>
        <w:rPr>
          <w:u w:val="single"/>
        </w:rPr>
      </w:pPr>
    </w:p>
    <w:p w14:paraId="2C1E2D38" w14:textId="77777777" w:rsidR="00F72422" w:rsidRDefault="00F72422" w:rsidP="00F72422">
      <w:pPr>
        <w:jc w:val="both"/>
        <w:rPr>
          <w:b/>
          <w:bCs/>
        </w:rPr>
      </w:pPr>
    </w:p>
    <w:p w14:paraId="16B03A56" w14:textId="77777777" w:rsidR="00F72422" w:rsidRDefault="00F72422" w:rsidP="00F72422">
      <w:pPr>
        <w:jc w:val="both"/>
        <w:rPr>
          <w:b/>
          <w:bCs/>
        </w:rPr>
      </w:pPr>
    </w:p>
    <w:p w14:paraId="71B0A376" w14:textId="77777777" w:rsidR="00F72422" w:rsidRDefault="00F72422" w:rsidP="00F72422">
      <w:pPr>
        <w:jc w:val="both"/>
        <w:rPr>
          <w:b/>
          <w:bCs/>
        </w:rPr>
      </w:pPr>
    </w:p>
    <w:p w14:paraId="49284C64" w14:textId="77777777" w:rsidR="00F72422" w:rsidRDefault="00F72422" w:rsidP="00F72422">
      <w:pPr>
        <w:jc w:val="both"/>
        <w:rPr>
          <w:b/>
          <w:bCs/>
        </w:rPr>
      </w:pPr>
    </w:p>
    <w:p w14:paraId="75AB8703" w14:textId="77777777" w:rsidR="00CF0070" w:rsidRDefault="00CF0070" w:rsidP="00F72422">
      <w:pPr>
        <w:jc w:val="both"/>
        <w:rPr>
          <w:b/>
          <w:bCs/>
        </w:rPr>
      </w:pPr>
    </w:p>
    <w:p w14:paraId="2E02EDF5" w14:textId="77777777" w:rsidR="00CF0070" w:rsidRDefault="00CF0070" w:rsidP="00F72422">
      <w:pPr>
        <w:jc w:val="both"/>
        <w:rPr>
          <w:b/>
          <w:bCs/>
        </w:rPr>
      </w:pPr>
    </w:p>
    <w:p w14:paraId="70A059FF" w14:textId="77777777" w:rsidR="00CF0070" w:rsidRDefault="00CF0070" w:rsidP="00F72422">
      <w:pPr>
        <w:jc w:val="both"/>
        <w:rPr>
          <w:b/>
          <w:bCs/>
        </w:rPr>
      </w:pPr>
    </w:p>
    <w:p w14:paraId="3BB867B8" w14:textId="416F947D" w:rsidR="00571F49" w:rsidRPr="00CD6667" w:rsidRDefault="00571F49" w:rsidP="00F72422">
      <w:pPr>
        <w:jc w:val="both"/>
        <w:rPr>
          <w:b/>
          <w:bCs/>
        </w:rPr>
      </w:pPr>
      <w:r w:rsidRPr="00CD6667">
        <w:rPr>
          <w:b/>
          <w:bCs/>
        </w:rPr>
        <w:t>References</w:t>
      </w:r>
    </w:p>
    <w:p w14:paraId="3769B483" w14:textId="0C015350" w:rsidR="00E24C69" w:rsidRDefault="00E24C69" w:rsidP="00F72422">
      <w:pPr>
        <w:spacing w:line="360" w:lineRule="auto"/>
        <w:jc w:val="both"/>
      </w:pPr>
    </w:p>
    <w:p w14:paraId="0F9AFE2A" w14:textId="77777777" w:rsidR="00F72422" w:rsidRDefault="00F72422" w:rsidP="00F72422">
      <w:pPr>
        <w:spacing w:line="360" w:lineRule="auto"/>
      </w:pPr>
    </w:p>
    <w:p w14:paraId="48155777" w14:textId="77777777" w:rsidR="00F72422" w:rsidRDefault="00F72422" w:rsidP="00F72422">
      <w:pPr>
        <w:spacing w:line="360" w:lineRule="auto"/>
      </w:pPr>
      <w:proofErr w:type="spellStart"/>
      <w:r>
        <w:t>Addinsall</w:t>
      </w:r>
      <w:proofErr w:type="spellEnd"/>
      <w:r>
        <w:t xml:space="preserve">, C., Glencross, K., Scherrer, P., </w:t>
      </w:r>
      <w:proofErr w:type="spellStart"/>
      <w:r>
        <w:t>Weiler</w:t>
      </w:r>
      <w:proofErr w:type="spellEnd"/>
      <w:r>
        <w:t>, B., &amp; Nichols, D. (2015). Agroecology and sustainable rural livelihoods: A conceptual framework to guide development projects in the Pacific Islands. Agroecology and Sustainable Food Systems, 39(6), 691-723.</w:t>
      </w:r>
    </w:p>
    <w:p w14:paraId="75C951A2" w14:textId="77777777" w:rsidR="00F72422" w:rsidRDefault="00F72422" w:rsidP="00F72422">
      <w:pPr>
        <w:spacing w:line="360" w:lineRule="auto"/>
      </w:pPr>
    </w:p>
    <w:p w14:paraId="474DB926" w14:textId="77777777" w:rsidR="00F72422" w:rsidRDefault="00F72422" w:rsidP="00F72422">
      <w:pPr>
        <w:spacing w:line="360" w:lineRule="auto"/>
      </w:pPr>
      <w:proofErr w:type="spellStart"/>
      <w:r>
        <w:t>Ations.wales</w:t>
      </w:r>
      <w:proofErr w:type="spellEnd"/>
      <w:r>
        <w:t xml:space="preserve">. (2023, November 5). A Healthier Wales. Retrieved November 5, 2023, from </w:t>
      </w:r>
      <w:proofErr w:type="spellStart"/>
      <w:r>
        <w:t>FutureGenerationsCommisioner</w:t>
      </w:r>
      <w:proofErr w:type="spellEnd"/>
      <w:r>
        <w:t xml:space="preserve"> for Wales: https://www.futuregenerations.wales/aotp/health/</w:t>
      </w:r>
    </w:p>
    <w:p w14:paraId="0BC4C60B" w14:textId="77777777" w:rsidR="00F72422" w:rsidRDefault="00F72422" w:rsidP="00F72422">
      <w:pPr>
        <w:spacing w:line="360" w:lineRule="auto"/>
      </w:pPr>
    </w:p>
    <w:p w14:paraId="16EE424E" w14:textId="77777777" w:rsidR="00F72422" w:rsidRDefault="00F72422" w:rsidP="00F72422">
      <w:pPr>
        <w:spacing w:line="360" w:lineRule="auto"/>
      </w:pPr>
      <w:r>
        <w:t>Davies, H. (2016). The well-being of future generations (Wales) act 2015: duties or aspirations? Environmental Law Review, 18(1), 41-56.</w:t>
      </w:r>
    </w:p>
    <w:p w14:paraId="4D72678D" w14:textId="77777777" w:rsidR="00F72422" w:rsidRDefault="00F72422" w:rsidP="00F72422">
      <w:pPr>
        <w:spacing w:line="360" w:lineRule="auto"/>
      </w:pPr>
    </w:p>
    <w:p w14:paraId="38FB756C" w14:textId="77777777" w:rsidR="00F72422" w:rsidRDefault="00F72422" w:rsidP="00F72422">
      <w:pPr>
        <w:spacing w:line="360" w:lineRule="auto"/>
      </w:pPr>
      <w:r>
        <w:t>Davies, H. (2017). The Well-being of Future Generations (Wales) Act 2015—A Step Change in the Legal Protection of the Interests of Future Generations? Journal of Environmental Law, 29(1), 165-175.</w:t>
      </w:r>
    </w:p>
    <w:p w14:paraId="21D48AFA" w14:textId="77777777" w:rsidR="00F72422" w:rsidRDefault="00F72422" w:rsidP="00F72422">
      <w:pPr>
        <w:spacing w:line="360" w:lineRule="auto"/>
      </w:pPr>
    </w:p>
    <w:p w14:paraId="71E44B05" w14:textId="77777777" w:rsidR="00F72422" w:rsidRDefault="00F72422" w:rsidP="00F72422">
      <w:pPr>
        <w:spacing w:line="360" w:lineRule="auto"/>
      </w:pPr>
      <w:r>
        <w:t>Farrell, C., &amp; Law, J. (2017). The Well-being of Future Generations (Wales) Act (2015): Enablers and Barriers to new ways of working.</w:t>
      </w:r>
    </w:p>
    <w:p w14:paraId="5E1EF37A" w14:textId="77777777" w:rsidR="00F72422" w:rsidRDefault="00F72422" w:rsidP="00F72422">
      <w:pPr>
        <w:spacing w:line="360" w:lineRule="auto"/>
      </w:pPr>
    </w:p>
    <w:p w14:paraId="646F887A" w14:textId="77777777" w:rsidR="00F72422" w:rsidRDefault="00F72422" w:rsidP="00F72422">
      <w:pPr>
        <w:spacing w:line="360" w:lineRule="auto"/>
      </w:pPr>
      <w:r>
        <w:t>Gov.wales. (2023, 28 2023). Wellbeing of Wales, 2023. Retrieved November 11, 2023, from Welsh Government: https://www.gov.wales/sites/default/files/pdf-versions/2023/9/4/1695889848/wellbeing-wales-2023.pdf</w:t>
      </w:r>
    </w:p>
    <w:p w14:paraId="25D3A583" w14:textId="77777777" w:rsidR="00F72422" w:rsidRDefault="00F72422" w:rsidP="00F72422">
      <w:pPr>
        <w:spacing w:line="360" w:lineRule="auto"/>
      </w:pPr>
    </w:p>
    <w:p w14:paraId="4381495D" w14:textId="77777777" w:rsidR="00F72422" w:rsidRDefault="00F72422" w:rsidP="00F72422">
      <w:pPr>
        <w:spacing w:line="360" w:lineRule="auto"/>
      </w:pPr>
      <w:r>
        <w:t>Gov.wales. (2023, November 5). £22.7 million funding announced towards delivering A Healthier Wales. Retrieved November 5, 2023, from Welsh Government: https://www.gov.wales/funding-announced-towards-delivering-healthier-wales</w:t>
      </w:r>
    </w:p>
    <w:p w14:paraId="51E84628" w14:textId="77777777" w:rsidR="00F72422" w:rsidRDefault="00F72422" w:rsidP="00F72422">
      <w:pPr>
        <w:spacing w:line="360" w:lineRule="auto"/>
      </w:pPr>
    </w:p>
    <w:p w14:paraId="56D85069" w14:textId="77777777" w:rsidR="00F72422" w:rsidRDefault="00F72422" w:rsidP="00F72422">
      <w:pPr>
        <w:spacing w:line="360" w:lineRule="auto"/>
      </w:pPr>
      <w:r>
        <w:t>Gov.wales. (2023, September 28). Wellbeing of Wales, 2023. Retrieved November 8, 2023, from Welsh Government: https://www.gov.wales/wellbeing-wales-2023-healthier-wales-html</w:t>
      </w:r>
    </w:p>
    <w:p w14:paraId="4391AADB" w14:textId="77777777" w:rsidR="00F72422" w:rsidRDefault="00F72422" w:rsidP="00F72422">
      <w:pPr>
        <w:spacing w:line="360" w:lineRule="auto"/>
      </w:pPr>
    </w:p>
    <w:p w14:paraId="46545DD0" w14:textId="77777777" w:rsidR="00F72422" w:rsidRDefault="00F72422" w:rsidP="00F72422">
      <w:pPr>
        <w:spacing w:line="360" w:lineRule="auto"/>
      </w:pPr>
      <w:r>
        <w:t>Haines, A. C. (2004). Can the millennium development goals be attained? The British Medical Journal, 329(394).</w:t>
      </w:r>
    </w:p>
    <w:p w14:paraId="2D9FCEA1" w14:textId="77777777" w:rsidR="00F72422" w:rsidRDefault="00F72422" w:rsidP="00F72422">
      <w:pPr>
        <w:spacing w:line="360" w:lineRule="auto"/>
      </w:pPr>
    </w:p>
    <w:p w14:paraId="66C6B6B3" w14:textId="77777777" w:rsidR="00F72422" w:rsidRDefault="00F72422" w:rsidP="00F72422">
      <w:pPr>
        <w:spacing w:line="360" w:lineRule="auto"/>
      </w:pPr>
      <w:proofErr w:type="spellStart"/>
      <w:r>
        <w:t>Hajian</w:t>
      </w:r>
      <w:proofErr w:type="spellEnd"/>
      <w:r>
        <w:t xml:space="preserve">, M., &amp; </w:t>
      </w:r>
      <w:proofErr w:type="spellStart"/>
      <w:r>
        <w:t>Kashani</w:t>
      </w:r>
      <w:proofErr w:type="spellEnd"/>
      <w:r>
        <w:t>, S. J. (2021). Evolution of the concept of sustainability. From Brundtland Report to sustainable development goals. In Sustainable resource management (pp. 1-24). Elsevier.</w:t>
      </w:r>
    </w:p>
    <w:p w14:paraId="705BE46A" w14:textId="77777777" w:rsidR="00F72422" w:rsidRDefault="00F72422" w:rsidP="00F72422">
      <w:pPr>
        <w:spacing w:line="360" w:lineRule="auto"/>
      </w:pPr>
    </w:p>
    <w:p w14:paraId="1056AC39" w14:textId="77777777" w:rsidR="00F72422" w:rsidRDefault="00F72422" w:rsidP="00F72422">
      <w:pPr>
        <w:spacing w:line="360" w:lineRule="auto"/>
      </w:pPr>
      <w:proofErr w:type="spellStart"/>
      <w:r>
        <w:t>Halkos</w:t>
      </w:r>
      <w:proofErr w:type="spellEnd"/>
      <w:r>
        <w:t>, G. G. (2021). Where do we stand on the 17 Sustainable Development Goals? An overview of progress. ScienceDirect, 70, 94-122.</w:t>
      </w:r>
    </w:p>
    <w:p w14:paraId="6819C7F8" w14:textId="77777777" w:rsidR="00F72422" w:rsidRDefault="00F72422" w:rsidP="00F72422">
      <w:pPr>
        <w:spacing w:line="360" w:lineRule="auto"/>
      </w:pPr>
    </w:p>
    <w:p w14:paraId="401956F3" w14:textId="77777777" w:rsidR="00F72422" w:rsidRDefault="00F72422" w:rsidP="00F72422">
      <w:pPr>
        <w:spacing w:line="360" w:lineRule="auto"/>
      </w:pPr>
      <w:r>
        <w:t>Hickel, J. (2016). The true extent of global poverty and hunger: questioning the good news narrative of the Millennium Development Goals. Third World Quarterly, 37(5), 749-767.</w:t>
      </w:r>
    </w:p>
    <w:p w14:paraId="27298AA9" w14:textId="77777777" w:rsidR="00F72422" w:rsidRDefault="00F72422" w:rsidP="00F72422">
      <w:pPr>
        <w:spacing w:line="360" w:lineRule="auto"/>
      </w:pPr>
    </w:p>
    <w:p w14:paraId="7FB93BD3" w14:textId="77777777" w:rsidR="00F72422" w:rsidRDefault="00F72422" w:rsidP="00F72422">
      <w:pPr>
        <w:spacing w:line="360" w:lineRule="auto"/>
      </w:pPr>
      <w:r>
        <w:t>Holden, E. L. (2017). The Imperatives of Sustainable Development. Journal of Sustainable Development, 25(3), 213-226.</w:t>
      </w:r>
    </w:p>
    <w:p w14:paraId="003903F8" w14:textId="77777777" w:rsidR="00F72422" w:rsidRDefault="00F72422" w:rsidP="00F72422">
      <w:pPr>
        <w:spacing w:line="360" w:lineRule="auto"/>
      </w:pPr>
    </w:p>
    <w:p w14:paraId="2659ED61" w14:textId="77777777" w:rsidR="00F72422" w:rsidRDefault="00F72422" w:rsidP="00F72422">
      <w:pPr>
        <w:spacing w:line="360" w:lineRule="auto"/>
      </w:pPr>
      <w:r>
        <w:t>Hopwood, B., Mellor, M., &amp; O'Brien, G. (2005). Sustainable development: mapping different approaches. Sustainable Development, 13(1), 38-52.</w:t>
      </w:r>
    </w:p>
    <w:p w14:paraId="62F46320" w14:textId="77777777" w:rsidR="00F72422" w:rsidRDefault="00F72422" w:rsidP="00F72422">
      <w:pPr>
        <w:spacing w:line="360" w:lineRule="auto"/>
      </w:pPr>
    </w:p>
    <w:p w14:paraId="548BB663" w14:textId="77777777" w:rsidR="00F72422" w:rsidRDefault="00F72422" w:rsidP="00F72422">
      <w:pPr>
        <w:spacing w:line="360" w:lineRule="auto"/>
      </w:pPr>
      <w:r>
        <w:t>Ishak, W. W. (2020). The handbook of Wellness Medicine. Cambridge: Cambridge University Press.</w:t>
      </w:r>
    </w:p>
    <w:p w14:paraId="0EE0E629" w14:textId="77777777" w:rsidR="00F72422" w:rsidRDefault="00F72422" w:rsidP="00F72422">
      <w:pPr>
        <w:spacing w:line="360" w:lineRule="auto"/>
      </w:pPr>
    </w:p>
    <w:p w14:paraId="64EA5F7A" w14:textId="77777777" w:rsidR="00F72422" w:rsidRDefault="00F72422" w:rsidP="00F72422">
      <w:pPr>
        <w:spacing w:line="360" w:lineRule="auto"/>
      </w:pPr>
      <w:r>
        <w:t xml:space="preserve">Jones, L. (2023, September 28). Wellbeing of Wales, 2023. Retrieved November 8, 2023, from </w:t>
      </w:r>
      <w:proofErr w:type="spellStart"/>
      <w:proofErr w:type="gramStart"/>
      <w:r>
        <w:t>gov.wales</w:t>
      </w:r>
      <w:proofErr w:type="spellEnd"/>
      <w:proofErr w:type="gramEnd"/>
      <w:r>
        <w:t>: https://www.gov.wales/wellbeing-wales-2023-resilient-wales-html</w:t>
      </w:r>
    </w:p>
    <w:p w14:paraId="0E5DA816" w14:textId="77777777" w:rsidR="00F72422" w:rsidRDefault="00F72422" w:rsidP="00F72422">
      <w:pPr>
        <w:spacing w:line="360" w:lineRule="auto"/>
      </w:pPr>
    </w:p>
    <w:p w14:paraId="3A060286" w14:textId="77777777" w:rsidR="00F72422" w:rsidRDefault="00F72422" w:rsidP="00F72422">
      <w:pPr>
        <w:spacing w:line="360" w:lineRule="auto"/>
      </w:pPr>
      <w:r>
        <w:t>Jones, R. (2019). Governing the future and the search for spatial justice: Wales' Well-being of Future Generations Act. International Journal of Geography, 197(1), 8-24.</w:t>
      </w:r>
    </w:p>
    <w:p w14:paraId="139BA0CE" w14:textId="77777777" w:rsidR="00F72422" w:rsidRDefault="00F72422" w:rsidP="00F72422">
      <w:pPr>
        <w:spacing w:line="360" w:lineRule="auto"/>
      </w:pPr>
    </w:p>
    <w:p w14:paraId="5474B54F" w14:textId="77777777" w:rsidR="00F72422" w:rsidRDefault="00F72422" w:rsidP="00F72422">
      <w:pPr>
        <w:spacing w:line="360" w:lineRule="auto"/>
      </w:pPr>
      <w:r>
        <w:t xml:space="preserve">Jones, R., &amp; Ross, A. (2016). National </w:t>
      </w:r>
      <w:proofErr w:type="spellStart"/>
      <w:r>
        <w:t>sustainabilities</w:t>
      </w:r>
      <w:proofErr w:type="spellEnd"/>
      <w:r>
        <w:t>. Political Geography, 51, 53-62.</w:t>
      </w:r>
    </w:p>
    <w:p w14:paraId="1C5C7390" w14:textId="77777777" w:rsidR="00F72422" w:rsidRDefault="00F72422" w:rsidP="00F72422">
      <w:pPr>
        <w:spacing w:line="360" w:lineRule="auto"/>
      </w:pPr>
    </w:p>
    <w:p w14:paraId="21CA2951" w14:textId="77777777" w:rsidR="00F72422" w:rsidRDefault="00F72422" w:rsidP="00F72422">
      <w:pPr>
        <w:spacing w:line="360" w:lineRule="auto"/>
      </w:pPr>
      <w:r>
        <w:t>Jones, S. J. (2017). Twenty miles per hour speed limits: a sustainable solution to public health problems in Wales. British Medical Journal, 71(7), 699-706.</w:t>
      </w:r>
    </w:p>
    <w:p w14:paraId="639FBF45" w14:textId="77777777" w:rsidR="00F72422" w:rsidRDefault="00F72422" w:rsidP="00F72422">
      <w:pPr>
        <w:spacing w:line="360" w:lineRule="auto"/>
      </w:pPr>
    </w:p>
    <w:p w14:paraId="0279B8C6" w14:textId="77777777" w:rsidR="00F72422" w:rsidRDefault="00F72422" w:rsidP="00F72422">
      <w:pPr>
        <w:spacing w:line="360" w:lineRule="auto"/>
      </w:pPr>
      <w:proofErr w:type="spellStart"/>
      <w:r>
        <w:lastRenderedPageBreak/>
        <w:t>Knebel</w:t>
      </w:r>
      <w:proofErr w:type="spellEnd"/>
      <w:r>
        <w:t>, M. V. (2023). Cross-country comparative analysis and case study of institutions for future generations. Science Direct, 151, 103181.</w:t>
      </w:r>
    </w:p>
    <w:p w14:paraId="12B23D54" w14:textId="77777777" w:rsidR="00F72422" w:rsidRDefault="00F72422" w:rsidP="00F72422">
      <w:pPr>
        <w:spacing w:line="360" w:lineRule="auto"/>
      </w:pPr>
    </w:p>
    <w:p w14:paraId="5AE7783D" w14:textId="77777777" w:rsidR="00F72422" w:rsidRDefault="00F72422" w:rsidP="00F72422">
      <w:pPr>
        <w:spacing w:line="360" w:lineRule="auto"/>
      </w:pPr>
      <w:proofErr w:type="spellStart"/>
      <w:r>
        <w:t>Lomazzi</w:t>
      </w:r>
      <w:proofErr w:type="spellEnd"/>
      <w:r>
        <w:t xml:space="preserve">, M., </w:t>
      </w:r>
      <w:proofErr w:type="spellStart"/>
      <w:r>
        <w:t>Borisch</w:t>
      </w:r>
      <w:proofErr w:type="spellEnd"/>
      <w:r>
        <w:t xml:space="preserve">, B., &amp; </w:t>
      </w:r>
      <w:proofErr w:type="spellStart"/>
      <w:r>
        <w:t>Laaser</w:t>
      </w:r>
      <w:proofErr w:type="spellEnd"/>
      <w:r>
        <w:t>, U. (2014). The Millennium Development Goals: experiences, achievements, and what's next. Global health action, 7(1), 23695.</w:t>
      </w:r>
    </w:p>
    <w:p w14:paraId="7CFC99E4" w14:textId="77777777" w:rsidR="00F72422" w:rsidRDefault="00F72422" w:rsidP="00F72422">
      <w:pPr>
        <w:spacing w:line="360" w:lineRule="auto"/>
      </w:pPr>
    </w:p>
    <w:p w14:paraId="01A8C8F3" w14:textId="77777777" w:rsidR="00F72422" w:rsidRDefault="00F72422" w:rsidP="00F72422">
      <w:pPr>
        <w:spacing w:line="360" w:lineRule="auto"/>
      </w:pPr>
      <w:r>
        <w:t>Maslow, A. H. (1987). Motivation and personality. New York: Harper and Row.</w:t>
      </w:r>
    </w:p>
    <w:p w14:paraId="4331D557" w14:textId="77777777" w:rsidR="00F72422" w:rsidRDefault="00F72422" w:rsidP="00F72422">
      <w:pPr>
        <w:spacing w:line="360" w:lineRule="auto"/>
      </w:pPr>
    </w:p>
    <w:p w14:paraId="69D233E2" w14:textId="77777777" w:rsidR="00F72422" w:rsidRDefault="00F72422" w:rsidP="00F72422">
      <w:pPr>
        <w:spacing w:line="360" w:lineRule="auto"/>
      </w:pPr>
      <w:r>
        <w:t>Mensah, J. (2019). Sustainable development: Meaning, history, principles, pillars, and implications for human action: Literature review. Cogent social sciences, 5(1), 1653531.</w:t>
      </w:r>
    </w:p>
    <w:p w14:paraId="401D6322" w14:textId="77777777" w:rsidR="00F72422" w:rsidRDefault="00F72422" w:rsidP="00F72422">
      <w:pPr>
        <w:spacing w:line="360" w:lineRule="auto"/>
      </w:pPr>
    </w:p>
    <w:p w14:paraId="4270D6C2" w14:textId="77777777" w:rsidR="00F72422" w:rsidRDefault="00F72422" w:rsidP="00F72422">
      <w:pPr>
        <w:spacing w:line="360" w:lineRule="auto"/>
      </w:pPr>
      <w:proofErr w:type="spellStart"/>
      <w:r>
        <w:t>Messham</w:t>
      </w:r>
      <w:proofErr w:type="spellEnd"/>
      <w:r>
        <w:t>, E., &amp; Sheard, S. (2020). Taking the long view: the development of the Wellbeing of Future Generations (Wales) Act. Health Research Policy and Systems, 18(33), 1-12.</w:t>
      </w:r>
    </w:p>
    <w:p w14:paraId="7DEBAE49" w14:textId="77777777" w:rsidR="00F72422" w:rsidRDefault="00F72422" w:rsidP="00F72422">
      <w:pPr>
        <w:spacing w:line="360" w:lineRule="auto"/>
      </w:pPr>
    </w:p>
    <w:p w14:paraId="558A103E" w14:textId="77777777" w:rsidR="00F72422" w:rsidRDefault="00F72422" w:rsidP="00F72422">
      <w:pPr>
        <w:spacing w:line="360" w:lineRule="auto"/>
      </w:pPr>
      <w:proofErr w:type="spellStart"/>
      <w:r>
        <w:t>Misselbrook</w:t>
      </w:r>
      <w:proofErr w:type="spellEnd"/>
      <w:r>
        <w:t>, D. (2014). W is for Wellbeing and the WHO definition of health. British Journal of General Practice, 64(628), 582.</w:t>
      </w:r>
    </w:p>
    <w:p w14:paraId="2C9DFFC1" w14:textId="77777777" w:rsidR="00F72422" w:rsidRDefault="00F72422" w:rsidP="00F72422">
      <w:pPr>
        <w:spacing w:line="360" w:lineRule="auto"/>
      </w:pPr>
    </w:p>
    <w:p w14:paraId="446951CD" w14:textId="77777777" w:rsidR="00F72422" w:rsidRDefault="00F72422" w:rsidP="00F72422">
      <w:pPr>
        <w:spacing w:line="360" w:lineRule="auto"/>
      </w:pPr>
      <w:r>
        <w:t>Myers, S. S. (2009). Emerging Threats to Human Health from Global Environmental Change. Annual Reviews, 34(1), 223-252.</w:t>
      </w:r>
    </w:p>
    <w:p w14:paraId="1773F247" w14:textId="77777777" w:rsidR="00F72422" w:rsidRDefault="00F72422" w:rsidP="00F72422">
      <w:pPr>
        <w:spacing w:line="360" w:lineRule="auto"/>
      </w:pPr>
    </w:p>
    <w:p w14:paraId="5622483C" w14:textId="77777777" w:rsidR="00F72422" w:rsidRDefault="00F72422" w:rsidP="00F72422">
      <w:pPr>
        <w:spacing w:line="360" w:lineRule="auto"/>
      </w:pPr>
      <w:proofErr w:type="spellStart"/>
      <w:r>
        <w:t>Nesom</w:t>
      </w:r>
      <w:proofErr w:type="spellEnd"/>
      <w:r>
        <w:t>, S. M. (2021). What matters in the implementation of sustainable development policies? Findings from the Well-Being of Future Generations (Wales) Act, 2015. Journal of Environmental Policy and Planning, 23(4), 432-445.</w:t>
      </w:r>
    </w:p>
    <w:p w14:paraId="7C3A19B5" w14:textId="77777777" w:rsidR="00F72422" w:rsidRDefault="00F72422" w:rsidP="00F72422">
      <w:pPr>
        <w:spacing w:line="360" w:lineRule="auto"/>
      </w:pPr>
    </w:p>
    <w:p w14:paraId="5BF934E1" w14:textId="77777777" w:rsidR="00F72422" w:rsidRDefault="00F72422" w:rsidP="00F72422">
      <w:pPr>
        <w:spacing w:line="360" w:lineRule="auto"/>
      </w:pPr>
      <w:r>
        <w:t>npt.gov.uk. (2023, December 1). NEATH PORT TALBOT PUBLIC SERVICES BOARD: WELL-BEING PLAN 2023-2028. Retrieved December 1, 2023, from Neath Port Talbot Council: http://www.nptpsb.org.uk/downloads/Neath-Port-Talbot-Wellbeing-Plan-English-Final.pdf</w:t>
      </w:r>
    </w:p>
    <w:p w14:paraId="026E8CF6" w14:textId="77777777" w:rsidR="00F72422" w:rsidRDefault="00F72422" w:rsidP="00F72422">
      <w:pPr>
        <w:spacing w:line="360" w:lineRule="auto"/>
      </w:pPr>
    </w:p>
    <w:p w14:paraId="66225816" w14:textId="77777777" w:rsidR="00F72422" w:rsidRDefault="00F72422" w:rsidP="00F72422">
      <w:pPr>
        <w:spacing w:line="360" w:lineRule="auto"/>
      </w:pPr>
      <w:proofErr w:type="spellStart"/>
      <w:r>
        <w:t>Redclift</w:t>
      </w:r>
      <w:proofErr w:type="spellEnd"/>
      <w:r>
        <w:t>, M. (2005). Sustainable development (1987–2005): an oxymoron comes of age. Sustainable development, 13(4), 212-227.</w:t>
      </w:r>
    </w:p>
    <w:p w14:paraId="4E9A2FF7" w14:textId="77777777" w:rsidR="00F72422" w:rsidRDefault="00F72422" w:rsidP="00F72422">
      <w:pPr>
        <w:spacing w:line="360" w:lineRule="auto"/>
      </w:pPr>
    </w:p>
    <w:p w14:paraId="0C2EFDC3" w14:textId="77777777" w:rsidR="00F72422" w:rsidRDefault="00F72422" w:rsidP="00F72422">
      <w:pPr>
        <w:spacing w:line="360" w:lineRule="auto"/>
      </w:pPr>
      <w:r>
        <w:t xml:space="preserve">Sharp, C. A., Mackintosh, K. A., </w:t>
      </w:r>
      <w:proofErr w:type="spellStart"/>
      <w:r>
        <w:t>Willmot</w:t>
      </w:r>
      <w:proofErr w:type="spellEnd"/>
      <w:r>
        <w:t xml:space="preserve">, R., Hughes, R., </w:t>
      </w:r>
      <w:proofErr w:type="spellStart"/>
      <w:r>
        <w:t>McNarry</w:t>
      </w:r>
      <w:proofErr w:type="spellEnd"/>
      <w:r>
        <w:t xml:space="preserve">, M. A., &amp; Milton, K. (2022). National policy response to the United Nations Sustainable Development Goals: A </w:t>
      </w:r>
      <w:r>
        <w:lastRenderedPageBreak/>
        <w:t>physical activity case study of Wales. Journal of Physical Activity and Health, 19(4), 316-326.</w:t>
      </w:r>
    </w:p>
    <w:p w14:paraId="01C9CBF4" w14:textId="77777777" w:rsidR="00F72422" w:rsidRDefault="00F72422" w:rsidP="00F72422">
      <w:pPr>
        <w:spacing w:line="360" w:lineRule="auto"/>
      </w:pPr>
    </w:p>
    <w:p w14:paraId="35A20644" w14:textId="77777777" w:rsidR="00F72422" w:rsidRDefault="00F72422" w:rsidP="00F72422">
      <w:pPr>
        <w:spacing w:line="360" w:lineRule="auto"/>
      </w:pPr>
      <w:r>
        <w:t>Sneddon, C., Howarth, R. B., &amp; Norgaard, R. B. (2006). Sustainable development in a post-Brundtland world. Ecological economics, 57(2), 253-268.</w:t>
      </w:r>
    </w:p>
    <w:p w14:paraId="23D72225" w14:textId="77777777" w:rsidR="00F72422" w:rsidRDefault="00F72422" w:rsidP="00F72422">
      <w:pPr>
        <w:spacing w:line="360" w:lineRule="auto"/>
      </w:pPr>
    </w:p>
    <w:p w14:paraId="56E711DF" w14:textId="0F459BD8" w:rsidR="00F72422" w:rsidRDefault="00F72422" w:rsidP="00F72422">
      <w:pPr>
        <w:spacing w:line="360" w:lineRule="auto"/>
      </w:pPr>
      <w:proofErr w:type="spellStart"/>
      <w:r>
        <w:t>Weatherup</w:t>
      </w:r>
      <w:proofErr w:type="spellEnd"/>
      <w:r>
        <w:t xml:space="preserve">, C., Bennett, L., &amp; Azam, S. (2016). Legislating for the health and well-being of future generations in Wales: Cathy </w:t>
      </w:r>
      <w:proofErr w:type="spellStart"/>
      <w:r>
        <w:t>Weatherup</w:t>
      </w:r>
      <w:proofErr w:type="spellEnd"/>
      <w:r>
        <w:t>. The European Journal of Public Health, 26(suppl_1), ckw175-004.</w:t>
      </w:r>
    </w:p>
    <w:p w14:paraId="306E3E1F" w14:textId="77777777" w:rsidR="00F72422" w:rsidRDefault="00F72422" w:rsidP="00E24C69">
      <w:pPr>
        <w:spacing w:line="360" w:lineRule="auto"/>
        <w:rPr>
          <w:b/>
          <w:bCs/>
        </w:rPr>
      </w:pPr>
    </w:p>
    <w:p w14:paraId="360D82F2" w14:textId="77777777" w:rsidR="00F72422" w:rsidRDefault="00F72422" w:rsidP="00E24C69">
      <w:pPr>
        <w:spacing w:line="360" w:lineRule="auto"/>
        <w:rPr>
          <w:b/>
          <w:bCs/>
        </w:rPr>
      </w:pPr>
    </w:p>
    <w:p w14:paraId="27865565" w14:textId="1052081A" w:rsidR="00E24C69" w:rsidRPr="00F72422" w:rsidRDefault="00F72422" w:rsidP="00E24C69">
      <w:pPr>
        <w:spacing w:line="360" w:lineRule="auto"/>
        <w:rPr>
          <w:b/>
          <w:bCs/>
        </w:rPr>
      </w:pPr>
      <w:r w:rsidRPr="00F72422">
        <w:rPr>
          <w:b/>
          <w:bCs/>
        </w:rPr>
        <w:t>Appendices:</w:t>
      </w:r>
    </w:p>
    <w:p w14:paraId="395859D3" w14:textId="66216744" w:rsidR="00E24C69" w:rsidRDefault="00E24C69" w:rsidP="00E24C69">
      <w:pPr>
        <w:spacing w:line="360" w:lineRule="auto"/>
      </w:pPr>
    </w:p>
    <w:p w14:paraId="123CC118" w14:textId="5E081517" w:rsidR="00E24C69" w:rsidRPr="006414CA" w:rsidRDefault="00F72422" w:rsidP="00571F49">
      <w:r>
        <w:rPr>
          <w:noProof/>
        </w:rPr>
        <w:drawing>
          <wp:anchor distT="0" distB="0" distL="114300" distR="114300" simplePos="0" relativeHeight="251658240" behindDoc="1" locked="0" layoutInCell="1" allowOverlap="1" wp14:anchorId="4F28BC71" wp14:editId="4DA3B4BC">
            <wp:simplePos x="0" y="0"/>
            <wp:positionH relativeFrom="column">
              <wp:posOffset>0</wp:posOffset>
            </wp:positionH>
            <wp:positionV relativeFrom="paragraph">
              <wp:posOffset>309691</wp:posOffset>
            </wp:positionV>
            <wp:extent cx="5250873" cy="4846960"/>
            <wp:effectExtent l="0" t="0" r="0" b="4445"/>
            <wp:wrapTight wrapText="bothSides">
              <wp:wrapPolygon edited="0">
                <wp:start x="0" y="0"/>
                <wp:lineTo x="0" y="21563"/>
                <wp:lineTo x="21524" y="21563"/>
                <wp:lineTo x="21524" y="0"/>
                <wp:lineTo x="0" y="0"/>
              </wp:wrapPolygon>
            </wp:wrapTight>
            <wp:docPr id="1" name="Picture 1" descr="A graph of gas emiss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gas emission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250873" cy="4846960"/>
                    </a:xfrm>
                    <a:prstGeom prst="rect">
                      <a:avLst/>
                    </a:prstGeom>
                  </pic:spPr>
                </pic:pic>
              </a:graphicData>
            </a:graphic>
            <wp14:sizeRelH relativeFrom="page">
              <wp14:pctWidth>0</wp14:pctWidth>
            </wp14:sizeRelH>
            <wp14:sizeRelV relativeFrom="page">
              <wp14:pctHeight>0</wp14:pctHeight>
            </wp14:sizeRelV>
          </wp:anchor>
        </w:drawing>
      </w:r>
      <w:r>
        <w:t xml:space="preserve">Image 1: </w:t>
      </w:r>
    </w:p>
    <w:sectPr w:rsidR="00E24C69" w:rsidRPr="006414CA" w:rsidSect="006414CA">
      <w:footerReference w:type="even" r:id="rId9"/>
      <w:footerReference w:type="default" r:id="rId1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4A2F0" w14:textId="77777777" w:rsidR="009B7E8A" w:rsidRDefault="009B7E8A" w:rsidP="006414CA">
      <w:r>
        <w:separator/>
      </w:r>
    </w:p>
  </w:endnote>
  <w:endnote w:type="continuationSeparator" w:id="0">
    <w:p w14:paraId="19DC713C" w14:textId="77777777" w:rsidR="009B7E8A" w:rsidRDefault="009B7E8A" w:rsidP="00641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oppins">
    <w:panose1 w:val="00000500000000000000"/>
    <w:charset w:val="4D"/>
    <w:family w:val="auto"/>
    <w:pitch w:val="variable"/>
    <w:sig w:usb0="00008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6561477"/>
      <w:docPartObj>
        <w:docPartGallery w:val="Page Numbers (Bottom of Page)"/>
        <w:docPartUnique/>
      </w:docPartObj>
    </w:sdtPr>
    <w:sdtEndPr>
      <w:rPr>
        <w:rStyle w:val="PageNumber"/>
      </w:rPr>
    </w:sdtEndPr>
    <w:sdtContent>
      <w:p w14:paraId="75014B10" w14:textId="7EED4A7A" w:rsidR="006414CA" w:rsidRDefault="006414CA" w:rsidP="008802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558CA4" w14:textId="77777777" w:rsidR="006414CA" w:rsidRDefault="006414CA" w:rsidP="006414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0364402"/>
      <w:docPartObj>
        <w:docPartGallery w:val="Page Numbers (Bottom of Page)"/>
        <w:docPartUnique/>
      </w:docPartObj>
    </w:sdtPr>
    <w:sdtEndPr>
      <w:rPr>
        <w:rStyle w:val="PageNumber"/>
      </w:rPr>
    </w:sdtEndPr>
    <w:sdtContent>
      <w:p w14:paraId="196B1EF1" w14:textId="56A68A7C" w:rsidR="006414CA" w:rsidRDefault="006414CA" w:rsidP="008802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895ABE" w14:textId="77777777" w:rsidR="006414CA" w:rsidRDefault="006414CA" w:rsidP="006414C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15302" w14:textId="77777777" w:rsidR="009B7E8A" w:rsidRDefault="009B7E8A" w:rsidP="006414CA">
      <w:r>
        <w:separator/>
      </w:r>
    </w:p>
  </w:footnote>
  <w:footnote w:type="continuationSeparator" w:id="0">
    <w:p w14:paraId="00E91CA1" w14:textId="77777777" w:rsidR="009B7E8A" w:rsidRDefault="009B7E8A" w:rsidP="006414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547F44"/>
    <w:multiLevelType w:val="hybridMultilevel"/>
    <w:tmpl w:val="7354E90C"/>
    <w:lvl w:ilvl="0" w:tplc="61B499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774EDA"/>
    <w:multiLevelType w:val="multilevel"/>
    <w:tmpl w:val="87EE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704E20"/>
    <w:multiLevelType w:val="hybridMultilevel"/>
    <w:tmpl w:val="D34EF1A8"/>
    <w:lvl w:ilvl="0" w:tplc="61B499A6">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5ED5638"/>
    <w:multiLevelType w:val="multilevel"/>
    <w:tmpl w:val="C1A0A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6E0567"/>
    <w:multiLevelType w:val="multilevel"/>
    <w:tmpl w:val="E07A3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FCB3D0E"/>
    <w:multiLevelType w:val="hybridMultilevel"/>
    <w:tmpl w:val="FDD0A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5CC"/>
    <w:rsid w:val="00005714"/>
    <w:rsid w:val="00011012"/>
    <w:rsid w:val="000320EF"/>
    <w:rsid w:val="000D0D0A"/>
    <w:rsid w:val="000E523E"/>
    <w:rsid w:val="001865CC"/>
    <w:rsid w:val="001C4158"/>
    <w:rsid w:val="00200655"/>
    <w:rsid w:val="002C00EE"/>
    <w:rsid w:val="003071EA"/>
    <w:rsid w:val="00340793"/>
    <w:rsid w:val="003908C7"/>
    <w:rsid w:val="0039798D"/>
    <w:rsid w:val="003A313E"/>
    <w:rsid w:val="003C4DE2"/>
    <w:rsid w:val="00417304"/>
    <w:rsid w:val="004C35A9"/>
    <w:rsid w:val="004E0558"/>
    <w:rsid w:val="00524816"/>
    <w:rsid w:val="00571F49"/>
    <w:rsid w:val="006414CA"/>
    <w:rsid w:val="00736440"/>
    <w:rsid w:val="00747B67"/>
    <w:rsid w:val="00760F22"/>
    <w:rsid w:val="007866A5"/>
    <w:rsid w:val="007C4EF3"/>
    <w:rsid w:val="007C6003"/>
    <w:rsid w:val="0089770F"/>
    <w:rsid w:val="008B5EEF"/>
    <w:rsid w:val="008F4DB6"/>
    <w:rsid w:val="00914E1A"/>
    <w:rsid w:val="009B7E8A"/>
    <w:rsid w:val="00A15182"/>
    <w:rsid w:val="00A87AB7"/>
    <w:rsid w:val="00AC34D4"/>
    <w:rsid w:val="00AD1EE9"/>
    <w:rsid w:val="00AF6C31"/>
    <w:rsid w:val="00B31FF1"/>
    <w:rsid w:val="00B40AC2"/>
    <w:rsid w:val="00B80391"/>
    <w:rsid w:val="00C21869"/>
    <w:rsid w:val="00CC7BFE"/>
    <w:rsid w:val="00CD6667"/>
    <w:rsid w:val="00CF0070"/>
    <w:rsid w:val="00D62F83"/>
    <w:rsid w:val="00D96818"/>
    <w:rsid w:val="00DE39A7"/>
    <w:rsid w:val="00E24C69"/>
    <w:rsid w:val="00EC3496"/>
    <w:rsid w:val="00F30C8F"/>
    <w:rsid w:val="00F3499B"/>
    <w:rsid w:val="00F72422"/>
    <w:rsid w:val="00F74334"/>
    <w:rsid w:val="00F93F4A"/>
    <w:rsid w:val="00FA3FC3"/>
    <w:rsid w:val="00FA4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CA459"/>
  <w15:chartTrackingRefBased/>
  <w15:docId w15:val="{60742AEC-B11F-C94F-AE4C-2E5764808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818"/>
    <w:rPr>
      <w:rFonts w:ascii="Times New Roman" w:eastAsia="Times New Roman" w:hAnsi="Times New Roman" w:cs="Times New Roman"/>
      <w:lang w:eastAsia="en-GB"/>
    </w:rPr>
  </w:style>
  <w:style w:type="paragraph" w:styleId="Heading1">
    <w:name w:val="heading 1"/>
    <w:basedOn w:val="Normal"/>
    <w:link w:val="Heading1Char"/>
    <w:uiPriority w:val="9"/>
    <w:qFormat/>
    <w:rsid w:val="00D9681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65CC"/>
    <w:pPr>
      <w:ind w:left="720"/>
      <w:contextualSpacing/>
    </w:pPr>
  </w:style>
  <w:style w:type="character" w:customStyle="1" w:styleId="apple-converted-space">
    <w:name w:val="apple-converted-space"/>
    <w:basedOn w:val="DefaultParagraphFont"/>
    <w:rsid w:val="00571F49"/>
  </w:style>
  <w:style w:type="paragraph" w:styleId="Footer">
    <w:name w:val="footer"/>
    <w:basedOn w:val="Normal"/>
    <w:link w:val="FooterChar"/>
    <w:uiPriority w:val="99"/>
    <w:unhideWhenUsed/>
    <w:rsid w:val="006414CA"/>
    <w:pPr>
      <w:tabs>
        <w:tab w:val="center" w:pos="4513"/>
        <w:tab w:val="right" w:pos="9026"/>
      </w:tabs>
    </w:pPr>
  </w:style>
  <w:style w:type="character" w:customStyle="1" w:styleId="FooterChar">
    <w:name w:val="Footer Char"/>
    <w:basedOn w:val="DefaultParagraphFont"/>
    <w:link w:val="Footer"/>
    <w:uiPriority w:val="99"/>
    <w:rsid w:val="006414CA"/>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6414CA"/>
  </w:style>
  <w:style w:type="character" w:customStyle="1" w:styleId="Heading1Char">
    <w:name w:val="Heading 1 Char"/>
    <w:basedOn w:val="DefaultParagraphFont"/>
    <w:link w:val="Heading1"/>
    <w:uiPriority w:val="9"/>
    <w:rsid w:val="00D96818"/>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D96818"/>
    <w:rPr>
      <w:b/>
      <w:bCs/>
    </w:rPr>
  </w:style>
  <w:style w:type="paragraph" w:styleId="NormalWeb">
    <w:name w:val="Normal (Web)"/>
    <w:basedOn w:val="Normal"/>
    <w:uiPriority w:val="99"/>
    <w:semiHidden/>
    <w:unhideWhenUsed/>
    <w:rsid w:val="00D96818"/>
    <w:pPr>
      <w:spacing w:before="100" w:beforeAutospacing="1" w:after="100" w:afterAutospacing="1"/>
    </w:pPr>
  </w:style>
  <w:style w:type="paragraph" w:customStyle="1" w:styleId="ssrcss-1q0x1qg-paragraph">
    <w:name w:val="ssrcss-1q0x1qg-paragraph"/>
    <w:basedOn w:val="Normal"/>
    <w:rsid w:val="003C4DE2"/>
    <w:pPr>
      <w:spacing w:before="100" w:beforeAutospacing="1" w:after="100" w:afterAutospacing="1"/>
    </w:pPr>
  </w:style>
  <w:style w:type="paragraph" w:styleId="Bibliography">
    <w:name w:val="Bibliography"/>
    <w:basedOn w:val="Normal"/>
    <w:next w:val="Normal"/>
    <w:uiPriority w:val="37"/>
    <w:unhideWhenUsed/>
    <w:rsid w:val="00F72422"/>
    <w:pPr>
      <w:spacing w:line="360" w:lineRule="auto"/>
    </w:pPr>
    <w:rPr>
      <w:rFonts w:eastAsiaTheme="minorHAnsi"/>
      <w:kern w:val="2"/>
      <w:lang w:eastAsia="en-US"/>
      <w14:ligatures w14:val="standardContextual"/>
    </w:rPr>
  </w:style>
  <w:style w:type="character" w:styleId="Hyperlink">
    <w:name w:val="Hyperlink"/>
    <w:basedOn w:val="DefaultParagraphFont"/>
    <w:uiPriority w:val="99"/>
    <w:unhideWhenUsed/>
    <w:rsid w:val="00F72422"/>
    <w:rPr>
      <w:color w:val="0563C1" w:themeColor="hyperlink"/>
      <w:u w:val="single"/>
    </w:rPr>
  </w:style>
  <w:style w:type="character" w:styleId="UnresolvedMention">
    <w:name w:val="Unresolved Mention"/>
    <w:basedOn w:val="DefaultParagraphFont"/>
    <w:uiPriority w:val="99"/>
    <w:semiHidden/>
    <w:unhideWhenUsed/>
    <w:rsid w:val="00F724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4063">
      <w:bodyDiv w:val="1"/>
      <w:marLeft w:val="0"/>
      <w:marRight w:val="0"/>
      <w:marTop w:val="0"/>
      <w:marBottom w:val="0"/>
      <w:divBdr>
        <w:top w:val="none" w:sz="0" w:space="0" w:color="auto"/>
        <w:left w:val="none" w:sz="0" w:space="0" w:color="auto"/>
        <w:bottom w:val="none" w:sz="0" w:space="0" w:color="auto"/>
        <w:right w:val="none" w:sz="0" w:space="0" w:color="auto"/>
      </w:divBdr>
    </w:div>
    <w:div w:id="63651200">
      <w:bodyDiv w:val="1"/>
      <w:marLeft w:val="0"/>
      <w:marRight w:val="0"/>
      <w:marTop w:val="0"/>
      <w:marBottom w:val="0"/>
      <w:divBdr>
        <w:top w:val="none" w:sz="0" w:space="0" w:color="auto"/>
        <w:left w:val="none" w:sz="0" w:space="0" w:color="auto"/>
        <w:bottom w:val="none" w:sz="0" w:space="0" w:color="auto"/>
        <w:right w:val="none" w:sz="0" w:space="0" w:color="auto"/>
      </w:divBdr>
    </w:div>
    <w:div w:id="84696173">
      <w:bodyDiv w:val="1"/>
      <w:marLeft w:val="0"/>
      <w:marRight w:val="0"/>
      <w:marTop w:val="0"/>
      <w:marBottom w:val="0"/>
      <w:divBdr>
        <w:top w:val="none" w:sz="0" w:space="0" w:color="auto"/>
        <w:left w:val="none" w:sz="0" w:space="0" w:color="auto"/>
        <w:bottom w:val="none" w:sz="0" w:space="0" w:color="auto"/>
        <w:right w:val="none" w:sz="0" w:space="0" w:color="auto"/>
      </w:divBdr>
    </w:div>
    <w:div w:id="87502484">
      <w:bodyDiv w:val="1"/>
      <w:marLeft w:val="0"/>
      <w:marRight w:val="0"/>
      <w:marTop w:val="0"/>
      <w:marBottom w:val="0"/>
      <w:divBdr>
        <w:top w:val="none" w:sz="0" w:space="0" w:color="auto"/>
        <w:left w:val="none" w:sz="0" w:space="0" w:color="auto"/>
        <w:bottom w:val="none" w:sz="0" w:space="0" w:color="auto"/>
        <w:right w:val="none" w:sz="0" w:space="0" w:color="auto"/>
      </w:divBdr>
    </w:div>
    <w:div w:id="88358870">
      <w:bodyDiv w:val="1"/>
      <w:marLeft w:val="0"/>
      <w:marRight w:val="0"/>
      <w:marTop w:val="0"/>
      <w:marBottom w:val="0"/>
      <w:divBdr>
        <w:top w:val="none" w:sz="0" w:space="0" w:color="auto"/>
        <w:left w:val="none" w:sz="0" w:space="0" w:color="auto"/>
        <w:bottom w:val="none" w:sz="0" w:space="0" w:color="auto"/>
        <w:right w:val="none" w:sz="0" w:space="0" w:color="auto"/>
      </w:divBdr>
    </w:div>
    <w:div w:id="135075661">
      <w:bodyDiv w:val="1"/>
      <w:marLeft w:val="0"/>
      <w:marRight w:val="0"/>
      <w:marTop w:val="0"/>
      <w:marBottom w:val="0"/>
      <w:divBdr>
        <w:top w:val="none" w:sz="0" w:space="0" w:color="auto"/>
        <w:left w:val="none" w:sz="0" w:space="0" w:color="auto"/>
        <w:bottom w:val="none" w:sz="0" w:space="0" w:color="auto"/>
        <w:right w:val="none" w:sz="0" w:space="0" w:color="auto"/>
      </w:divBdr>
    </w:div>
    <w:div w:id="206337622">
      <w:bodyDiv w:val="1"/>
      <w:marLeft w:val="0"/>
      <w:marRight w:val="0"/>
      <w:marTop w:val="0"/>
      <w:marBottom w:val="0"/>
      <w:divBdr>
        <w:top w:val="none" w:sz="0" w:space="0" w:color="auto"/>
        <w:left w:val="none" w:sz="0" w:space="0" w:color="auto"/>
        <w:bottom w:val="none" w:sz="0" w:space="0" w:color="auto"/>
        <w:right w:val="none" w:sz="0" w:space="0" w:color="auto"/>
      </w:divBdr>
    </w:div>
    <w:div w:id="319776303">
      <w:bodyDiv w:val="1"/>
      <w:marLeft w:val="0"/>
      <w:marRight w:val="0"/>
      <w:marTop w:val="0"/>
      <w:marBottom w:val="0"/>
      <w:divBdr>
        <w:top w:val="none" w:sz="0" w:space="0" w:color="auto"/>
        <w:left w:val="none" w:sz="0" w:space="0" w:color="auto"/>
        <w:bottom w:val="none" w:sz="0" w:space="0" w:color="auto"/>
        <w:right w:val="none" w:sz="0" w:space="0" w:color="auto"/>
      </w:divBdr>
    </w:div>
    <w:div w:id="340275806">
      <w:bodyDiv w:val="1"/>
      <w:marLeft w:val="0"/>
      <w:marRight w:val="0"/>
      <w:marTop w:val="0"/>
      <w:marBottom w:val="0"/>
      <w:divBdr>
        <w:top w:val="none" w:sz="0" w:space="0" w:color="auto"/>
        <w:left w:val="none" w:sz="0" w:space="0" w:color="auto"/>
        <w:bottom w:val="none" w:sz="0" w:space="0" w:color="auto"/>
        <w:right w:val="none" w:sz="0" w:space="0" w:color="auto"/>
      </w:divBdr>
    </w:div>
    <w:div w:id="411315851">
      <w:bodyDiv w:val="1"/>
      <w:marLeft w:val="0"/>
      <w:marRight w:val="0"/>
      <w:marTop w:val="0"/>
      <w:marBottom w:val="0"/>
      <w:divBdr>
        <w:top w:val="none" w:sz="0" w:space="0" w:color="auto"/>
        <w:left w:val="none" w:sz="0" w:space="0" w:color="auto"/>
        <w:bottom w:val="none" w:sz="0" w:space="0" w:color="auto"/>
        <w:right w:val="none" w:sz="0" w:space="0" w:color="auto"/>
      </w:divBdr>
    </w:div>
    <w:div w:id="455375669">
      <w:bodyDiv w:val="1"/>
      <w:marLeft w:val="0"/>
      <w:marRight w:val="0"/>
      <w:marTop w:val="0"/>
      <w:marBottom w:val="0"/>
      <w:divBdr>
        <w:top w:val="none" w:sz="0" w:space="0" w:color="auto"/>
        <w:left w:val="none" w:sz="0" w:space="0" w:color="auto"/>
        <w:bottom w:val="none" w:sz="0" w:space="0" w:color="auto"/>
        <w:right w:val="none" w:sz="0" w:space="0" w:color="auto"/>
      </w:divBdr>
      <w:divsChild>
        <w:div w:id="2091540044">
          <w:marLeft w:val="0"/>
          <w:marRight w:val="0"/>
          <w:marTop w:val="0"/>
          <w:marBottom w:val="0"/>
          <w:divBdr>
            <w:top w:val="none" w:sz="0" w:space="0" w:color="auto"/>
            <w:left w:val="none" w:sz="0" w:space="0" w:color="auto"/>
            <w:bottom w:val="none" w:sz="0" w:space="0" w:color="auto"/>
            <w:right w:val="none" w:sz="0" w:space="0" w:color="auto"/>
          </w:divBdr>
          <w:divsChild>
            <w:div w:id="572617969">
              <w:marLeft w:val="0"/>
              <w:marRight w:val="0"/>
              <w:marTop w:val="0"/>
              <w:marBottom w:val="0"/>
              <w:divBdr>
                <w:top w:val="none" w:sz="0" w:space="0" w:color="auto"/>
                <w:left w:val="none" w:sz="0" w:space="0" w:color="auto"/>
                <w:bottom w:val="none" w:sz="0" w:space="0" w:color="auto"/>
                <w:right w:val="none" w:sz="0" w:space="0" w:color="auto"/>
              </w:divBdr>
              <w:divsChild>
                <w:div w:id="100856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076104">
      <w:bodyDiv w:val="1"/>
      <w:marLeft w:val="0"/>
      <w:marRight w:val="0"/>
      <w:marTop w:val="0"/>
      <w:marBottom w:val="0"/>
      <w:divBdr>
        <w:top w:val="none" w:sz="0" w:space="0" w:color="auto"/>
        <w:left w:val="none" w:sz="0" w:space="0" w:color="auto"/>
        <w:bottom w:val="none" w:sz="0" w:space="0" w:color="auto"/>
        <w:right w:val="none" w:sz="0" w:space="0" w:color="auto"/>
      </w:divBdr>
    </w:div>
    <w:div w:id="563872628">
      <w:bodyDiv w:val="1"/>
      <w:marLeft w:val="0"/>
      <w:marRight w:val="0"/>
      <w:marTop w:val="0"/>
      <w:marBottom w:val="0"/>
      <w:divBdr>
        <w:top w:val="none" w:sz="0" w:space="0" w:color="auto"/>
        <w:left w:val="none" w:sz="0" w:space="0" w:color="auto"/>
        <w:bottom w:val="none" w:sz="0" w:space="0" w:color="auto"/>
        <w:right w:val="none" w:sz="0" w:space="0" w:color="auto"/>
      </w:divBdr>
    </w:div>
    <w:div w:id="708383540">
      <w:bodyDiv w:val="1"/>
      <w:marLeft w:val="0"/>
      <w:marRight w:val="0"/>
      <w:marTop w:val="0"/>
      <w:marBottom w:val="0"/>
      <w:divBdr>
        <w:top w:val="none" w:sz="0" w:space="0" w:color="auto"/>
        <w:left w:val="none" w:sz="0" w:space="0" w:color="auto"/>
        <w:bottom w:val="none" w:sz="0" w:space="0" w:color="auto"/>
        <w:right w:val="none" w:sz="0" w:space="0" w:color="auto"/>
      </w:divBdr>
    </w:div>
    <w:div w:id="759062614">
      <w:bodyDiv w:val="1"/>
      <w:marLeft w:val="0"/>
      <w:marRight w:val="0"/>
      <w:marTop w:val="0"/>
      <w:marBottom w:val="0"/>
      <w:divBdr>
        <w:top w:val="none" w:sz="0" w:space="0" w:color="auto"/>
        <w:left w:val="none" w:sz="0" w:space="0" w:color="auto"/>
        <w:bottom w:val="none" w:sz="0" w:space="0" w:color="auto"/>
        <w:right w:val="none" w:sz="0" w:space="0" w:color="auto"/>
      </w:divBdr>
      <w:divsChild>
        <w:div w:id="450900987">
          <w:marLeft w:val="0"/>
          <w:marRight w:val="0"/>
          <w:marTop w:val="0"/>
          <w:marBottom w:val="0"/>
          <w:divBdr>
            <w:top w:val="none" w:sz="0" w:space="0" w:color="auto"/>
            <w:left w:val="none" w:sz="0" w:space="0" w:color="auto"/>
            <w:bottom w:val="none" w:sz="0" w:space="0" w:color="auto"/>
            <w:right w:val="none" w:sz="0" w:space="0" w:color="auto"/>
          </w:divBdr>
          <w:divsChild>
            <w:div w:id="1595894609">
              <w:marLeft w:val="0"/>
              <w:marRight w:val="0"/>
              <w:marTop w:val="0"/>
              <w:marBottom w:val="0"/>
              <w:divBdr>
                <w:top w:val="none" w:sz="0" w:space="0" w:color="auto"/>
                <w:left w:val="none" w:sz="0" w:space="0" w:color="auto"/>
                <w:bottom w:val="none" w:sz="0" w:space="0" w:color="auto"/>
                <w:right w:val="none" w:sz="0" w:space="0" w:color="auto"/>
              </w:divBdr>
              <w:divsChild>
                <w:div w:id="403600318">
                  <w:marLeft w:val="0"/>
                  <w:marRight w:val="0"/>
                  <w:marTop w:val="0"/>
                  <w:marBottom w:val="0"/>
                  <w:divBdr>
                    <w:top w:val="none" w:sz="0" w:space="0" w:color="auto"/>
                    <w:left w:val="none" w:sz="0" w:space="0" w:color="auto"/>
                    <w:bottom w:val="none" w:sz="0" w:space="0" w:color="auto"/>
                    <w:right w:val="none" w:sz="0" w:space="0" w:color="auto"/>
                  </w:divBdr>
                  <w:divsChild>
                    <w:div w:id="103843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784146">
      <w:bodyDiv w:val="1"/>
      <w:marLeft w:val="0"/>
      <w:marRight w:val="0"/>
      <w:marTop w:val="0"/>
      <w:marBottom w:val="0"/>
      <w:divBdr>
        <w:top w:val="none" w:sz="0" w:space="0" w:color="auto"/>
        <w:left w:val="none" w:sz="0" w:space="0" w:color="auto"/>
        <w:bottom w:val="none" w:sz="0" w:space="0" w:color="auto"/>
        <w:right w:val="none" w:sz="0" w:space="0" w:color="auto"/>
      </w:divBdr>
    </w:div>
    <w:div w:id="885679155">
      <w:bodyDiv w:val="1"/>
      <w:marLeft w:val="0"/>
      <w:marRight w:val="0"/>
      <w:marTop w:val="0"/>
      <w:marBottom w:val="0"/>
      <w:divBdr>
        <w:top w:val="none" w:sz="0" w:space="0" w:color="auto"/>
        <w:left w:val="none" w:sz="0" w:space="0" w:color="auto"/>
        <w:bottom w:val="none" w:sz="0" w:space="0" w:color="auto"/>
        <w:right w:val="none" w:sz="0" w:space="0" w:color="auto"/>
      </w:divBdr>
    </w:div>
    <w:div w:id="916668593">
      <w:bodyDiv w:val="1"/>
      <w:marLeft w:val="0"/>
      <w:marRight w:val="0"/>
      <w:marTop w:val="0"/>
      <w:marBottom w:val="0"/>
      <w:divBdr>
        <w:top w:val="none" w:sz="0" w:space="0" w:color="auto"/>
        <w:left w:val="none" w:sz="0" w:space="0" w:color="auto"/>
        <w:bottom w:val="none" w:sz="0" w:space="0" w:color="auto"/>
        <w:right w:val="none" w:sz="0" w:space="0" w:color="auto"/>
      </w:divBdr>
    </w:div>
    <w:div w:id="1019507285">
      <w:bodyDiv w:val="1"/>
      <w:marLeft w:val="0"/>
      <w:marRight w:val="0"/>
      <w:marTop w:val="0"/>
      <w:marBottom w:val="0"/>
      <w:divBdr>
        <w:top w:val="none" w:sz="0" w:space="0" w:color="auto"/>
        <w:left w:val="none" w:sz="0" w:space="0" w:color="auto"/>
        <w:bottom w:val="none" w:sz="0" w:space="0" w:color="auto"/>
        <w:right w:val="none" w:sz="0" w:space="0" w:color="auto"/>
      </w:divBdr>
    </w:div>
    <w:div w:id="1021321370">
      <w:bodyDiv w:val="1"/>
      <w:marLeft w:val="0"/>
      <w:marRight w:val="0"/>
      <w:marTop w:val="0"/>
      <w:marBottom w:val="0"/>
      <w:divBdr>
        <w:top w:val="none" w:sz="0" w:space="0" w:color="auto"/>
        <w:left w:val="none" w:sz="0" w:space="0" w:color="auto"/>
        <w:bottom w:val="none" w:sz="0" w:space="0" w:color="auto"/>
        <w:right w:val="none" w:sz="0" w:space="0" w:color="auto"/>
      </w:divBdr>
    </w:div>
    <w:div w:id="1040856607">
      <w:bodyDiv w:val="1"/>
      <w:marLeft w:val="0"/>
      <w:marRight w:val="0"/>
      <w:marTop w:val="0"/>
      <w:marBottom w:val="0"/>
      <w:divBdr>
        <w:top w:val="none" w:sz="0" w:space="0" w:color="auto"/>
        <w:left w:val="none" w:sz="0" w:space="0" w:color="auto"/>
        <w:bottom w:val="none" w:sz="0" w:space="0" w:color="auto"/>
        <w:right w:val="none" w:sz="0" w:space="0" w:color="auto"/>
      </w:divBdr>
      <w:divsChild>
        <w:div w:id="301737608">
          <w:marLeft w:val="0"/>
          <w:marRight w:val="0"/>
          <w:marTop w:val="0"/>
          <w:marBottom w:val="0"/>
          <w:divBdr>
            <w:top w:val="none" w:sz="0" w:space="0" w:color="auto"/>
            <w:left w:val="none" w:sz="0" w:space="0" w:color="auto"/>
            <w:bottom w:val="none" w:sz="0" w:space="0" w:color="auto"/>
            <w:right w:val="none" w:sz="0" w:space="0" w:color="auto"/>
          </w:divBdr>
          <w:divsChild>
            <w:div w:id="1884825763">
              <w:marLeft w:val="0"/>
              <w:marRight w:val="0"/>
              <w:marTop w:val="0"/>
              <w:marBottom w:val="0"/>
              <w:divBdr>
                <w:top w:val="none" w:sz="0" w:space="0" w:color="auto"/>
                <w:left w:val="none" w:sz="0" w:space="0" w:color="auto"/>
                <w:bottom w:val="none" w:sz="0" w:space="0" w:color="auto"/>
                <w:right w:val="none" w:sz="0" w:space="0" w:color="auto"/>
              </w:divBdr>
              <w:divsChild>
                <w:div w:id="256644634">
                  <w:marLeft w:val="0"/>
                  <w:marRight w:val="0"/>
                  <w:marTop w:val="0"/>
                  <w:marBottom w:val="0"/>
                  <w:divBdr>
                    <w:top w:val="none" w:sz="0" w:space="0" w:color="auto"/>
                    <w:left w:val="none" w:sz="0" w:space="0" w:color="auto"/>
                    <w:bottom w:val="none" w:sz="0" w:space="0" w:color="auto"/>
                    <w:right w:val="none" w:sz="0" w:space="0" w:color="auto"/>
                  </w:divBdr>
                </w:div>
              </w:divsChild>
            </w:div>
            <w:div w:id="734157900">
              <w:marLeft w:val="0"/>
              <w:marRight w:val="0"/>
              <w:marTop w:val="0"/>
              <w:marBottom w:val="0"/>
              <w:divBdr>
                <w:top w:val="none" w:sz="0" w:space="0" w:color="auto"/>
                <w:left w:val="none" w:sz="0" w:space="0" w:color="auto"/>
                <w:bottom w:val="none" w:sz="0" w:space="0" w:color="auto"/>
                <w:right w:val="none" w:sz="0" w:space="0" w:color="auto"/>
              </w:divBdr>
              <w:divsChild>
                <w:div w:id="412240335">
                  <w:marLeft w:val="0"/>
                  <w:marRight w:val="0"/>
                  <w:marTop w:val="0"/>
                  <w:marBottom w:val="0"/>
                  <w:divBdr>
                    <w:top w:val="none" w:sz="0" w:space="0" w:color="auto"/>
                    <w:left w:val="none" w:sz="0" w:space="0" w:color="auto"/>
                    <w:bottom w:val="none" w:sz="0" w:space="0" w:color="auto"/>
                    <w:right w:val="none" w:sz="0" w:space="0" w:color="auto"/>
                  </w:divBdr>
                </w:div>
              </w:divsChild>
            </w:div>
            <w:div w:id="1470512336">
              <w:marLeft w:val="0"/>
              <w:marRight w:val="0"/>
              <w:marTop w:val="0"/>
              <w:marBottom w:val="0"/>
              <w:divBdr>
                <w:top w:val="none" w:sz="0" w:space="0" w:color="auto"/>
                <w:left w:val="none" w:sz="0" w:space="0" w:color="auto"/>
                <w:bottom w:val="none" w:sz="0" w:space="0" w:color="auto"/>
                <w:right w:val="none" w:sz="0" w:space="0" w:color="auto"/>
              </w:divBdr>
              <w:divsChild>
                <w:div w:id="1882857069">
                  <w:marLeft w:val="0"/>
                  <w:marRight w:val="0"/>
                  <w:marTop w:val="0"/>
                  <w:marBottom w:val="0"/>
                  <w:divBdr>
                    <w:top w:val="none" w:sz="0" w:space="0" w:color="auto"/>
                    <w:left w:val="none" w:sz="0" w:space="0" w:color="auto"/>
                    <w:bottom w:val="none" w:sz="0" w:space="0" w:color="auto"/>
                    <w:right w:val="none" w:sz="0" w:space="0" w:color="auto"/>
                  </w:divBdr>
                </w:div>
              </w:divsChild>
            </w:div>
            <w:div w:id="2030253511">
              <w:marLeft w:val="0"/>
              <w:marRight w:val="0"/>
              <w:marTop w:val="0"/>
              <w:marBottom w:val="0"/>
              <w:divBdr>
                <w:top w:val="none" w:sz="0" w:space="0" w:color="auto"/>
                <w:left w:val="none" w:sz="0" w:space="0" w:color="auto"/>
                <w:bottom w:val="none" w:sz="0" w:space="0" w:color="auto"/>
                <w:right w:val="none" w:sz="0" w:space="0" w:color="auto"/>
              </w:divBdr>
              <w:divsChild>
                <w:div w:id="330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015657">
      <w:bodyDiv w:val="1"/>
      <w:marLeft w:val="0"/>
      <w:marRight w:val="0"/>
      <w:marTop w:val="0"/>
      <w:marBottom w:val="0"/>
      <w:divBdr>
        <w:top w:val="none" w:sz="0" w:space="0" w:color="auto"/>
        <w:left w:val="none" w:sz="0" w:space="0" w:color="auto"/>
        <w:bottom w:val="none" w:sz="0" w:space="0" w:color="auto"/>
        <w:right w:val="none" w:sz="0" w:space="0" w:color="auto"/>
      </w:divBdr>
    </w:div>
    <w:div w:id="1167861921">
      <w:bodyDiv w:val="1"/>
      <w:marLeft w:val="0"/>
      <w:marRight w:val="0"/>
      <w:marTop w:val="0"/>
      <w:marBottom w:val="0"/>
      <w:divBdr>
        <w:top w:val="none" w:sz="0" w:space="0" w:color="auto"/>
        <w:left w:val="none" w:sz="0" w:space="0" w:color="auto"/>
        <w:bottom w:val="none" w:sz="0" w:space="0" w:color="auto"/>
        <w:right w:val="none" w:sz="0" w:space="0" w:color="auto"/>
      </w:divBdr>
      <w:divsChild>
        <w:div w:id="610019242">
          <w:marLeft w:val="0"/>
          <w:marRight w:val="0"/>
          <w:marTop w:val="0"/>
          <w:marBottom w:val="0"/>
          <w:divBdr>
            <w:top w:val="none" w:sz="0" w:space="0" w:color="auto"/>
            <w:left w:val="none" w:sz="0" w:space="0" w:color="auto"/>
            <w:bottom w:val="none" w:sz="0" w:space="0" w:color="auto"/>
            <w:right w:val="none" w:sz="0" w:space="0" w:color="auto"/>
          </w:divBdr>
          <w:divsChild>
            <w:div w:id="1955400158">
              <w:marLeft w:val="0"/>
              <w:marRight w:val="0"/>
              <w:marTop w:val="0"/>
              <w:marBottom w:val="0"/>
              <w:divBdr>
                <w:top w:val="none" w:sz="0" w:space="0" w:color="auto"/>
                <w:left w:val="none" w:sz="0" w:space="0" w:color="auto"/>
                <w:bottom w:val="none" w:sz="0" w:space="0" w:color="auto"/>
                <w:right w:val="none" w:sz="0" w:space="0" w:color="auto"/>
              </w:divBdr>
              <w:divsChild>
                <w:div w:id="1737510063">
                  <w:marLeft w:val="0"/>
                  <w:marRight w:val="0"/>
                  <w:marTop w:val="0"/>
                  <w:marBottom w:val="0"/>
                  <w:divBdr>
                    <w:top w:val="none" w:sz="0" w:space="0" w:color="auto"/>
                    <w:left w:val="none" w:sz="0" w:space="0" w:color="auto"/>
                    <w:bottom w:val="none" w:sz="0" w:space="0" w:color="auto"/>
                    <w:right w:val="none" w:sz="0" w:space="0" w:color="auto"/>
                  </w:divBdr>
                  <w:divsChild>
                    <w:div w:id="177255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666228">
      <w:bodyDiv w:val="1"/>
      <w:marLeft w:val="0"/>
      <w:marRight w:val="0"/>
      <w:marTop w:val="0"/>
      <w:marBottom w:val="0"/>
      <w:divBdr>
        <w:top w:val="none" w:sz="0" w:space="0" w:color="auto"/>
        <w:left w:val="none" w:sz="0" w:space="0" w:color="auto"/>
        <w:bottom w:val="none" w:sz="0" w:space="0" w:color="auto"/>
        <w:right w:val="none" w:sz="0" w:space="0" w:color="auto"/>
      </w:divBdr>
      <w:divsChild>
        <w:div w:id="79303303">
          <w:marLeft w:val="0"/>
          <w:marRight w:val="0"/>
          <w:marTop w:val="0"/>
          <w:marBottom w:val="0"/>
          <w:divBdr>
            <w:top w:val="none" w:sz="0" w:space="0" w:color="auto"/>
            <w:left w:val="none" w:sz="0" w:space="0" w:color="auto"/>
            <w:bottom w:val="none" w:sz="0" w:space="0" w:color="auto"/>
            <w:right w:val="none" w:sz="0" w:space="0" w:color="auto"/>
          </w:divBdr>
          <w:divsChild>
            <w:div w:id="547716959">
              <w:marLeft w:val="0"/>
              <w:marRight w:val="0"/>
              <w:marTop w:val="0"/>
              <w:marBottom w:val="0"/>
              <w:divBdr>
                <w:top w:val="none" w:sz="0" w:space="0" w:color="auto"/>
                <w:left w:val="none" w:sz="0" w:space="0" w:color="auto"/>
                <w:bottom w:val="none" w:sz="0" w:space="0" w:color="auto"/>
                <w:right w:val="none" w:sz="0" w:space="0" w:color="auto"/>
              </w:divBdr>
              <w:divsChild>
                <w:div w:id="111201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860820">
      <w:bodyDiv w:val="1"/>
      <w:marLeft w:val="0"/>
      <w:marRight w:val="0"/>
      <w:marTop w:val="0"/>
      <w:marBottom w:val="0"/>
      <w:divBdr>
        <w:top w:val="none" w:sz="0" w:space="0" w:color="auto"/>
        <w:left w:val="none" w:sz="0" w:space="0" w:color="auto"/>
        <w:bottom w:val="none" w:sz="0" w:space="0" w:color="auto"/>
        <w:right w:val="none" w:sz="0" w:space="0" w:color="auto"/>
      </w:divBdr>
    </w:div>
    <w:div w:id="1291671526">
      <w:bodyDiv w:val="1"/>
      <w:marLeft w:val="0"/>
      <w:marRight w:val="0"/>
      <w:marTop w:val="0"/>
      <w:marBottom w:val="0"/>
      <w:divBdr>
        <w:top w:val="none" w:sz="0" w:space="0" w:color="auto"/>
        <w:left w:val="none" w:sz="0" w:space="0" w:color="auto"/>
        <w:bottom w:val="none" w:sz="0" w:space="0" w:color="auto"/>
        <w:right w:val="none" w:sz="0" w:space="0" w:color="auto"/>
      </w:divBdr>
    </w:div>
    <w:div w:id="1331523988">
      <w:bodyDiv w:val="1"/>
      <w:marLeft w:val="0"/>
      <w:marRight w:val="0"/>
      <w:marTop w:val="0"/>
      <w:marBottom w:val="0"/>
      <w:divBdr>
        <w:top w:val="none" w:sz="0" w:space="0" w:color="auto"/>
        <w:left w:val="none" w:sz="0" w:space="0" w:color="auto"/>
        <w:bottom w:val="none" w:sz="0" w:space="0" w:color="auto"/>
        <w:right w:val="none" w:sz="0" w:space="0" w:color="auto"/>
      </w:divBdr>
      <w:divsChild>
        <w:div w:id="2105228027">
          <w:marLeft w:val="0"/>
          <w:marRight w:val="0"/>
          <w:marTop w:val="0"/>
          <w:marBottom w:val="0"/>
          <w:divBdr>
            <w:top w:val="none" w:sz="0" w:space="0" w:color="auto"/>
            <w:left w:val="none" w:sz="0" w:space="0" w:color="auto"/>
            <w:bottom w:val="none" w:sz="0" w:space="0" w:color="auto"/>
            <w:right w:val="none" w:sz="0" w:space="0" w:color="auto"/>
          </w:divBdr>
          <w:divsChild>
            <w:div w:id="974138027">
              <w:marLeft w:val="0"/>
              <w:marRight w:val="0"/>
              <w:marTop w:val="0"/>
              <w:marBottom w:val="0"/>
              <w:divBdr>
                <w:top w:val="none" w:sz="0" w:space="0" w:color="auto"/>
                <w:left w:val="none" w:sz="0" w:space="0" w:color="auto"/>
                <w:bottom w:val="none" w:sz="0" w:space="0" w:color="auto"/>
                <w:right w:val="none" w:sz="0" w:space="0" w:color="auto"/>
              </w:divBdr>
              <w:divsChild>
                <w:div w:id="107435939">
                  <w:marLeft w:val="0"/>
                  <w:marRight w:val="0"/>
                  <w:marTop w:val="0"/>
                  <w:marBottom w:val="0"/>
                  <w:divBdr>
                    <w:top w:val="none" w:sz="0" w:space="0" w:color="auto"/>
                    <w:left w:val="none" w:sz="0" w:space="0" w:color="auto"/>
                    <w:bottom w:val="none" w:sz="0" w:space="0" w:color="auto"/>
                    <w:right w:val="none" w:sz="0" w:space="0" w:color="auto"/>
                  </w:divBdr>
                  <w:divsChild>
                    <w:div w:id="22375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919882">
      <w:bodyDiv w:val="1"/>
      <w:marLeft w:val="0"/>
      <w:marRight w:val="0"/>
      <w:marTop w:val="0"/>
      <w:marBottom w:val="0"/>
      <w:divBdr>
        <w:top w:val="none" w:sz="0" w:space="0" w:color="auto"/>
        <w:left w:val="none" w:sz="0" w:space="0" w:color="auto"/>
        <w:bottom w:val="none" w:sz="0" w:space="0" w:color="auto"/>
        <w:right w:val="none" w:sz="0" w:space="0" w:color="auto"/>
      </w:divBdr>
    </w:div>
    <w:div w:id="1412048996">
      <w:bodyDiv w:val="1"/>
      <w:marLeft w:val="0"/>
      <w:marRight w:val="0"/>
      <w:marTop w:val="0"/>
      <w:marBottom w:val="0"/>
      <w:divBdr>
        <w:top w:val="none" w:sz="0" w:space="0" w:color="auto"/>
        <w:left w:val="none" w:sz="0" w:space="0" w:color="auto"/>
        <w:bottom w:val="none" w:sz="0" w:space="0" w:color="auto"/>
        <w:right w:val="none" w:sz="0" w:space="0" w:color="auto"/>
      </w:divBdr>
    </w:div>
    <w:div w:id="1516264939">
      <w:bodyDiv w:val="1"/>
      <w:marLeft w:val="0"/>
      <w:marRight w:val="0"/>
      <w:marTop w:val="0"/>
      <w:marBottom w:val="0"/>
      <w:divBdr>
        <w:top w:val="none" w:sz="0" w:space="0" w:color="auto"/>
        <w:left w:val="none" w:sz="0" w:space="0" w:color="auto"/>
        <w:bottom w:val="none" w:sz="0" w:space="0" w:color="auto"/>
        <w:right w:val="none" w:sz="0" w:space="0" w:color="auto"/>
      </w:divBdr>
    </w:div>
    <w:div w:id="1519346709">
      <w:bodyDiv w:val="1"/>
      <w:marLeft w:val="0"/>
      <w:marRight w:val="0"/>
      <w:marTop w:val="0"/>
      <w:marBottom w:val="0"/>
      <w:divBdr>
        <w:top w:val="none" w:sz="0" w:space="0" w:color="auto"/>
        <w:left w:val="none" w:sz="0" w:space="0" w:color="auto"/>
        <w:bottom w:val="none" w:sz="0" w:space="0" w:color="auto"/>
        <w:right w:val="none" w:sz="0" w:space="0" w:color="auto"/>
      </w:divBdr>
      <w:divsChild>
        <w:div w:id="1552380168">
          <w:marLeft w:val="0"/>
          <w:marRight w:val="0"/>
          <w:marTop w:val="0"/>
          <w:marBottom w:val="0"/>
          <w:divBdr>
            <w:top w:val="none" w:sz="0" w:space="0" w:color="auto"/>
            <w:left w:val="none" w:sz="0" w:space="0" w:color="auto"/>
            <w:bottom w:val="none" w:sz="0" w:space="0" w:color="auto"/>
            <w:right w:val="none" w:sz="0" w:space="0" w:color="auto"/>
          </w:divBdr>
          <w:divsChild>
            <w:div w:id="1468233635">
              <w:marLeft w:val="0"/>
              <w:marRight w:val="0"/>
              <w:marTop w:val="0"/>
              <w:marBottom w:val="0"/>
              <w:divBdr>
                <w:top w:val="none" w:sz="0" w:space="0" w:color="auto"/>
                <w:left w:val="none" w:sz="0" w:space="0" w:color="auto"/>
                <w:bottom w:val="none" w:sz="0" w:space="0" w:color="auto"/>
                <w:right w:val="none" w:sz="0" w:space="0" w:color="auto"/>
              </w:divBdr>
              <w:divsChild>
                <w:div w:id="1913344411">
                  <w:marLeft w:val="0"/>
                  <w:marRight w:val="0"/>
                  <w:marTop w:val="0"/>
                  <w:marBottom w:val="0"/>
                  <w:divBdr>
                    <w:top w:val="none" w:sz="0" w:space="0" w:color="auto"/>
                    <w:left w:val="none" w:sz="0" w:space="0" w:color="auto"/>
                    <w:bottom w:val="none" w:sz="0" w:space="0" w:color="auto"/>
                    <w:right w:val="none" w:sz="0" w:space="0" w:color="auto"/>
                  </w:divBdr>
                  <w:divsChild>
                    <w:div w:id="1435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128566">
      <w:bodyDiv w:val="1"/>
      <w:marLeft w:val="0"/>
      <w:marRight w:val="0"/>
      <w:marTop w:val="0"/>
      <w:marBottom w:val="0"/>
      <w:divBdr>
        <w:top w:val="none" w:sz="0" w:space="0" w:color="auto"/>
        <w:left w:val="none" w:sz="0" w:space="0" w:color="auto"/>
        <w:bottom w:val="none" w:sz="0" w:space="0" w:color="auto"/>
        <w:right w:val="none" w:sz="0" w:space="0" w:color="auto"/>
      </w:divBdr>
    </w:div>
    <w:div w:id="1683972809">
      <w:bodyDiv w:val="1"/>
      <w:marLeft w:val="0"/>
      <w:marRight w:val="0"/>
      <w:marTop w:val="0"/>
      <w:marBottom w:val="0"/>
      <w:divBdr>
        <w:top w:val="none" w:sz="0" w:space="0" w:color="auto"/>
        <w:left w:val="none" w:sz="0" w:space="0" w:color="auto"/>
        <w:bottom w:val="none" w:sz="0" w:space="0" w:color="auto"/>
        <w:right w:val="none" w:sz="0" w:space="0" w:color="auto"/>
      </w:divBdr>
    </w:div>
    <w:div w:id="1766537464">
      <w:bodyDiv w:val="1"/>
      <w:marLeft w:val="0"/>
      <w:marRight w:val="0"/>
      <w:marTop w:val="0"/>
      <w:marBottom w:val="0"/>
      <w:divBdr>
        <w:top w:val="none" w:sz="0" w:space="0" w:color="auto"/>
        <w:left w:val="none" w:sz="0" w:space="0" w:color="auto"/>
        <w:bottom w:val="none" w:sz="0" w:space="0" w:color="auto"/>
        <w:right w:val="none" w:sz="0" w:space="0" w:color="auto"/>
      </w:divBdr>
    </w:div>
    <w:div w:id="1771513138">
      <w:bodyDiv w:val="1"/>
      <w:marLeft w:val="0"/>
      <w:marRight w:val="0"/>
      <w:marTop w:val="0"/>
      <w:marBottom w:val="0"/>
      <w:divBdr>
        <w:top w:val="none" w:sz="0" w:space="0" w:color="auto"/>
        <w:left w:val="none" w:sz="0" w:space="0" w:color="auto"/>
        <w:bottom w:val="none" w:sz="0" w:space="0" w:color="auto"/>
        <w:right w:val="none" w:sz="0" w:space="0" w:color="auto"/>
      </w:divBdr>
    </w:div>
    <w:div w:id="1772579312">
      <w:bodyDiv w:val="1"/>
      <w:marLeft w:val="0"/>
      <w:marRight w:val="0"/>
      <w:marTop w:val="0"/>
      <w:marBottom w:val="0"/>
      <w:divBdr>
        <w:top w:val="none" w:sz="0" w:space="0" w:color="auto"/>
        <w:left w:val="none" w:sz="0" w:space="0" w:color="auto"/>
        <w:bottom w:val="none" w:sz="0" w:space="0" w:color="auto"/>
        <w:right w:val="none" w:sz="0" w:space="0" w:color="auto"/>
      </w:divBdr>
    </w:div>
    <w:div w:id="1795296096">
      <w:bodyDiv w:val="1"/>
      <w:marLeft w:val="0"/>
      <w:marRight w:val="0"/>
      <w:marTop w:val="0"/>
      <w:marBottom w:val="0"/>
      <w:divBdr>
        <w:top w:val="none" w:sz="0" w:space="0" w:color="auto"/>
        <w:left w:val="none" w:sz="0" w:space="0" w:color="auto"/>
        <w:bottom w:val="none" w:sz="0" w:space="0" w:color="auto"/>
        <w:right w:val="none" w:sz="0" w:space="0" w:color="auto"/>
      </w:divBdr>
    </w:div>
    <w:div w:id="1802112440">
      <w:bodyDiv w:val="1"/>
      <w:marLeft w:val="0"/>
      <w:marRight w:val="0"/>
      <w:marTop w:val="0"/>
      <w:marBottom w:val="0"/>
      <w:divBdr>
        <w:top w:val="none" w:sz="0" w:space="0" w:color="auto"/>
        <w:left w:val="none" w:sz="0" w:space="0" w:color="auto"/>
        <w:bottom w:val="none" w:sz="0" w:space="0" w:color="auto"/>
        <w:right w:val="none" w:sz="0" w:space="0" w:color="auto"/>
      </w:divBdr>
    </w:div>
    <w:div w:id="1815872823">
      <w:bodyDiv w:val="1"/>
      <w:marLeft w:val="0"/>
      <w:marRight w:val="0"/>
      <w:marTop w:val="0"/>
      <w:marBottom w:val="0"/>
      <w:divBdr>
        <w:top w:val="none" w:sz="0" w:space="0" w:color="auto"/>
        <w:left w:val="none" w:sz="0" w:space="0" w:color="auto"/>
        <w:bottom w:val="none" w:sz="0" w:space="0" w:color="auto"/>
        <w:right w:val="none" w:sz="0" w:space="0" w:color="auto"/>
      </w:divBdr>
    </w:div>
    <w:div w:id="1818833994">
      <w:bodyDiv w:val="1"/>
      <w:marLeft w:val="0"/>
      <w:marRight w:val="0"/>
      <w:marTop w:val="0"/>
      <w:marBottom w:val="0"/>
      <w:divBdr>
        <w:top w:val="none" w:sz="0" w:space="0" w:color="auto"/>
        <w:left w:val="none" w:sz="0" w:space="0" w:color="auto"/>
        <w:bottom w:val="none" w:sz="0" w:space="0" w:color="auto"/>
        <w:right w:val="none" w:sz="0" w:space="0" w:color="auto"/>
      </w:divBdr>
    </w:div>
    <w:div w:id="1855074076">
      <w:bodyDiv w:val="1"/>
      <w:marLeft w:val="0"/>
      <w:marRight w:val="0"/>
      <w:marTop w:val="0"/>
      <w:marBottom w:val="0"/>
      <w:divBdr>
        <w:top w:val="none" w:sz="0" w:space="0" w:color="auto"/>
        <w:left w:val="none" w:sz="0" w:space="0" w:color="auto"/>
        <w:bottom w:val="none" w:sz="0" w:space="0" w:color="auto"/>
        <w:right w:val="none" w:sz="0" w:space="0" w:color="auto"/>
      </w:divBdr>
    </w:div>
    <w:div w:id="1981382045">
      <w:bodyDiv w:val="1"/>
      <w:marLeft w:val="0"/>
      <w:marRight w:val="0"/>
      <w:marTop w:val="0"/>
      <w:marBottom w:val="0"/>
      <w:divBdr>
        <w:top w:val="none" w:sz="0" w:space="0" w:color="auto"/>
        <w:left w:val="none" w:sz="0" w:space="0" w:color="auto"/>
        <w:bottom w:val="none" w:sz="0" w:space="0" w:color="auto"/>
        <w:right w:val="none" w:sz="0" w:space="0" w:color="auto"/>
      </w:divBdr>
    </w:div>
    <w:div w:id="1992055738">
      <w:bodyDiv w:val="1"/>
      <w:marLeft w:val="0"/>
      <w:marRight w:val="0"/>
      <w:marTop w:val="0"/>
      <w:marBottom w:val="0"/>
      <w:divBdr>
        <w:top w:val="none" w:sz="0" w:space="0" w:color="auto"/>
        <w:left w:val="none" w:sz="0" w:space="0" w:color="auto"/>
        <w:bottom w:val="none" w:sz="0" w:space="0" w:color="auto"/>
        <w:right w:val="none" w:sz="0" w:space="0" w:color="auto"/>
      </w:divBdr>
    </w:div>
    <w:div w:id="1992321524">
      <w:bodyDiv w:val="1"/>
      <w:marLeft w:val="0"/>
      <w:marRight w:val="0"/>
      <w:marTop w:val="0"/>
      <w:marBottom w:val="0"/>
      <w:divBdr>
        <w:top w:val="none" w:sz="0" w:space="0" w:color="auto"/>
        <w:left w:val="none" w:sz="0" w:space="0" w:color="auto"/>
        <w:bottom w:val="none" w:sz="0" w:space="0" w:color="auto"/>
        <w:right w:val="none" w:sz="0" w:space="0" w:color="auto"/>
      </w:divBdr>
      <w:divsChild>
        <w:div w:id="1307927924">
          <w:marLeft w:val="0"/>
          <w:marRight w:val="0"/>
          <w:marTop w:val="0"/>
          <w:marBottom w:val="0"/>
          <w:divBdr>
            <w:top w:val="none" w:sz="0" w:space="0" w:color="auto"/>
            <w:left w:val="none" w:sz="0" w:space="0" w:color="auto"/>
            <w:bottom w:val="none" w:sz="0" w:space="0" w:color="auto"/>
            <w:right w:val="none" w:sz="0" w:space="0" w:color="auto"/>
          </w:divBdr>
          <w:divsChild>
            <w:div w:id="99570612">
              <w:marLeft w:val="0"/>
              <w:marRight w:val="0"/>
              <w:marTop w:val="0"/>
              <w:marBottom w:val="0"/>
              <w:divBdr>
                <w:top w:val="none" w:sz="0" w:space="0" w:color="auto"/>
                <w:left w:val="none" w:sz="0" w:space="0" w:color="auto"/>
                <w:bottom w:val="none" w:sz="0" w:space="0" w:color="auto"/>
                <w:right w:val="none" w:sz="0" w:space="0" w:color="auto"/>
              </w:divBdr>
            </w:div>
          </w:divsChild>
        </w:div>
        <w:div w:id="289284592">
          <w:marLeft w:val="0"/>
          <w:marRight w:val="0"/>
          <w:marTop w:val="0"/>
          <w:marBottom w:val="0"/>
          <w:divBdr>
            <w:top w:val="none" w:sz="0" w:space="0" w:color="auto"/>
            <w:left w:val="none" w:sz="0" w:space="0" w:color="auto"/>
            <w:bottom w:val="none" w:sz="0" w:space="0" w:color="auto"/>
            <w:right w:val="none" w:sz="0" w:space="0" w:color="auto"/>
          </w:divBdr>
          <w:divsChild>
            <w:div w:id="74753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2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Wor87</b:Tag>
    <b:SourceType>Book</b:SourceType>
    <b:Guid>{51790E9F-E095-4750-8B4F-1A0C89417971}</b:Guid>
    <b:Title>Our Common Future</b:Title>
    <b:Year>1987</b:Year>
    <b:Author>
      <b:Author>
        <b:NameList>
          <b:Person>
            <b:Last>WCED</b:Last>
          </b:Person>
        </b:NameList>
      </b:Author>
    </b:Author>
    <b:City>Oxford</b:City>
    <b:Publisher>Oxford University Press</b:Publisher>
    <b:RefOrder>1</b:RefOrder>
  </b:Source>
  <b:Source>
    <b:Tag>Jon191</b:Tag>
    <b:SourceType>JournalArticle</b:SourceType>
    <b:Guid>{82F3BAA4-944F-4413-9ACC-C60B133A7021}</b:Guid>
    <b:Author>
      <b:Author>
        <b:NameList>
          <b:Person>
            <b:Last>Jones</b:Last>
            <b:First>R.</b:First>
          </b:Person>
        </b:NameList>
      </b:Author>
    </b:Author>
    <b:Title>Governing the future and the search for spatial justice: Wales' Well-being of Future Generations Act</b:Title>
    <b:JournalName>International Journal of Geography</b:JournalName>
    <b:Year>2019</b:Year>
    <b:Pages>8-24</b:Pages>
    <b:Volume>197</b:Volume>
    <b:Issue>1</b:Issue>
    <b:RefOrder>2</b:RefOrder>
  </b:Source>
  <b:Source>
    <b:Tag>Dav172</b:Tag>
    <b:SourceType>JournalArticle</b:SourceType>
    <b:Guid>{152F452B-263D-493F-8897-603EDBBE16F8}</b:Guid>
    <b:Author>
      <b:Author>
        <b:NameList>
          <b:Person>
            <b:Last>Davies</b:Last>
            <b:First>H.</b:First>
          </b:Person>
        </b:NameList>
      </b:Author>
    </b:Author>
    <b:Title>The Well-being of Future Generations (Wales) Act 2015—A Step Change in the Legal Protection of the Interests of Future Generations?</b:Title>
    <b:JournalName>Journal of environmental Law</b:JournalName>
    <b:Year>2017</b:Year>
    <b:Pages>165-175</b:Pages>
    <b:Volume>29</b:Volume>
    <b:Issue>1</b:Issue>
    <b:RefOrder>3</b:RefOrder>
  </b:Source>
  <b:Source>
    <b:Tag>Wag04</b:Tag>
    <b:SourceType>Book</b:SourceType>
    <b:Guid>{349775DE-BA73-46BB-8C3D-69A4EA83CE47}</b:Guid>
    <b:Title>the Millenium development Goals for Health: Rising to the Challenges</b:Title>
    <b:Year>2004</b:Year>
    <b:Author>
      <b:Author>
        <b:NameList>
          <b:Person>
            <b:Last>Wagstaff</b:Last>
            <b:First>A.</b:First>
          </b:Person>
        </b:NameList>
      </b:Author>
    </b:Author>
    <b:City>Washington</b:City>
    <b:Publisher>World Bank Publications</b:Publisher>
    <b:RefOrder>4</b:RefOrder>
  </b:Source>
  <b:Source>
    <b:Tag>Fle17</b:Tag>
    <b:SourceType>JournalArticle</b:SourceType>
    <b:Guid>{C4BE92F9-DEEE-4C8B-991F-D4A41A3006A2}</b:Guid>
    <b:Title>The sustainable development goals: A case study</b:Title>
    <b:Year>2017</b:Year>
    <b:Author>
      <b:Author>
        <b:NameList>
          <b:Person>
            <b:Last>Fleming</b:Last>
            <b:First>A.</b:First>
            <b:Middle>Wise, R. M. Hansen, H. Sams, L.</b:Middle>
          </b:Person>
        </b:NameList>
      </b:Author>
    </b:Author>
    <b:JournalName>ScienceDirect</b:JournalName>
    <b:Pages>94-103</b:Pages>
    <b:Volume>86</b:Volume>
    <b:RefOrder>5</b:RefOrder>
  </b:Source>
  <b:Source>
    <b:Tag>Ros78</b:Tag>
    <b:SourceType>Book</b:SourceType>
    <b:Guid>{250DE712-BA9E-4793-B287-02BD425DC7DD}</b:Guid>
    <b:Author>
      <b:Author>
        <b:NameList>
          <b:Person>
            <b:Last>Rostow</b:Last>
            <b:First>W.W.</b:First>
          </b:Person>
        </b:NameList>
      </b:Author>
    </b:Author>
    <b:Title>The World Economy: History and Prospect</b:Title>
    <b:Year>1978</b:Year>
    <b:City>Austin</b:City>
    <b:Publisher>University of Texas Press</b:Publisher>
    <b:Volume>1</b:Volume>
    <b:RefOrder>6</b:RefOrder>
  </b:Source>
  <b:Source>
    <b:Tag>Uni21</b:Tag>
    <b:SourceType>Book</b:SourceType>
    <b:Guid>{9ECE25D5-9601-44DC-862A-63DC98519E92}</b:Guid>
    <b:Author>
      <b:Author>
        <b:Corporate>United Nations</b:Corporate>
      </b:Author>
    </b:Author>
    <b:Title>United Nations Framework Convention on Climate Change</b:Title>
    <b:Year>2021</b:Year>
    <b:City>Glasgow</b:City>
    <b:Publisher>Good Press</b:Publisher>
    <b:RefOrder>7</b:RefOrder>
  </b:Source>
  <b:Source>
    <b:Tag>Obe95</b:Tag>
    <b:SourceType>JournalArticle</b:SourceType>
    <b:Guid>{41A831EC-5D08-4260-A029-CC13A101DFEE}</b:Guid>
    <b:Title>The First Conference of the Parties</b:Title>
    <b:Year>1995</b:Year>
    <b:Author>
      <b:Author>
        <b:NameList>
          <b:Person>
            <b:Last>Oberthur</b:Last>
            <b:First>S.</b:First>
            <b:Middle>Ott, H.</b:Middle>
          </b:Person>
        </b:NameList>
      </b:Author>
    </b:Author>
    <b:JournalName>Environmental Policy and Law</b:JournalName>
    <b:Pages>144</b:Pages>
    <b:Volume>25</b:Volume>
    <b:Issue>4/5</b:Issue>
    <b:RefOrder>8</b:RefOrder>
  </b:Source>
  <b:Source>
    <b:Tag>Sac04</b:Tag>
    <b:SourceType>JournalArticle</b:SourceType>
    <b:Guid>{760E622C-E20E-4284-9B01-0CFDC87FD707}</b:Guid>
    <b:Title>Health in the developing world: achieving the Millenium Development Goals</b:Title>
    <b:JournalName>SciELO Public Health</b:JournalName>
    <b:Year>2004</b:Year>
    <b:Pages>947-952</b:Pages>
    <b:Author>
      <b:Author>
        <b:NameList>
          <b:Person>
            <b:Last>Sachs</b:Last>
            <b:First>J.</b:First>
            <b:Middle>D.</b:Middle>
          </b:Person>
        </b:NameList>
      </b:Author>
    </b:Author>
    <b:Publisher>World Health Organization</b:Publisher>
    <b:Volume>82</b:Volume>
    <b:RefOrder>9</b:RefOrder>
  </b:Source>
  <b:Source>
    <b:Tag>Hic01</b:Tag>
    <b:SourceType>JournalArticle</b:SourceType>
    <b:Guid>{750D3A4F-7DC7-4BBA-B3AE-B33778915D81}</b:Guid>
    <b:Author>
      <b:Author>
        <b:NameList>
          <b:Person>
            <b:Last>Hickel</b:Last>
            <b:First>J.</b:First>
          </b:Person>
        </b:NameList>
      </b:Author>
    </b:Author>
    <b:Title>The true extent of global poverty and hunger: questioning the good news narrative of the Millennium Development Goals</b:Title>
    <b:JournalName>Third World Quarterly</b:JournalName>
    <b:Year>2016</b:Year>
    <b:Pages>749-767</b:Pages>
    <b:Volume>37</b:Volume>
    <b:Issue>5</b:Issue>
    <b:RefOrder>10</b:RefOrder>
  </b:Source>
  <b:Source>
    <b:Tag>WHO13</b:Tag>
    <b:SourceType>InternetSite</b:SourceType>
    <b:Guid>{D72A8D23-85BC-4A24-8D7D-B9EC32E7511A}</b:Guid>
    <b:Title>UN: Global child deaths down by almost half since 1990</b:Title>
    <b:Year>2013</b:Year>
    <b:Author>
      <b:Author>
        <b:Corporate>WHO</b:Corporate>
      </b:Author>
    </b:Author>
    <b:InternetSiteTitle>World Health Organization</b:InternetSiteTitle>
    <b:Month>September</b:Month>
    <b:Day>13</b:Day>
    <b:URL>https://www.who.int/news/item/13-09-2013-un-global-child-deaths-down-by-almost-half-since-1990</b:URL>
    <b:YearAccessed>2023</b:YearAccessed>
    <b:MonthAccessed>November</b:MonthAccessed>
    <b:DayAccessed>1</b:DayAccessed>
    <b:RefOrder>11</b:RefOrder>
  </b:Source>
  <b:Source>
    <b:Tag>Vog15</b:Tag>
    <b:SourceType>JournalArticle</b:SourceType>
    <b:Guid>{837D324B-4313-43D0-9AE1-E48A65101BEE}</b:Guid>
    <b:Author>
      <b:Author>
        <b:NameList>
          <b:Person>
            <b:Last>Vogel</b:Last>
            <b:First>J.</b:First>
            <b:Middle>P. Pileggi-Castro, C. Chandra-Mouli, V. Pileggi, V. N. Souza, J. P. Chou, D. Say, L.</b:Middle>
          </b:Person>
        </b:NameList>
      </b:Author>
    </b:Author>
    <b:Title>Millennium Development Goal 5 and adolescents: looking back, moving forward</b:Title>
    <b:JournalName>Archives of Disease in Childhood</b:JournalName>
    <b:Year>2015</b:Year>
    <b:Pages>43-47</b:Pages>
    <b:Volume>100</b:Volume>
    <b:RefOrder>12</b:RefOrder>
  </b:Source>
  <b:Source>
    <b:Tag>Uni23</b:Tag>
    <b:SourceType>InternetSite</b:SourceType>
    <b:Guid>{0E0364E4-C8B5-453D-ADD9-4B689DAA3CBF}</b:Guid>
    <b:Author>
      <b:Author>
        <b:Corporate>United Nations</b:Corporate>
      </b:Author>
    </b:Author>
    <b:Title>Sustainable Development Goals</b:Title>
    <b:InternetSiteTitle>United Nations</b:InternetSiteTitle>
    <b:URL>https://www.un.org/sustainabledevelopment/sustainable-development-goals/</b:URL>
    <b:YearAccessed>2023</b:YearAccessed>
    <b:MonthAccessed>November</b:MonthAccessed>
    <b:DayAccessed>1</b:DayAccessed>
    <b:Year>2023</b:Year>
    <b:Month>November</b:Month>
    <b:Day>1</b:Day>
    <b:RefOrder>13</b:RefOrder>
  </b:Source>
  <b:Source>
    <b:Tag>Mis14</b:Tag>
    <b:SourceType>JournalArticle</b:SourceType>
    <b:Guid>{DC2A6456-E28C-4397-AAA7-80DEF3CF083B}</b:Guid>
    <b:Title>W is for Wellbeing and the WHO definition of health</b:Title>
    <b:JournalName>British Journal of General Practice</b:JournalName>
    <b:Year>2014</b:Year>
    <b:Pages>582</b:Pages>
    <b:Author>
      <b:Author>
        <b:NameList>
          <b:Person>
            <b:Last>Misselbrook</b:Last>
            <b:First>D.</b:First>
          </b:Person>
        </b:NameList>
      </b:Author>
    </b:Author>
    <b:Volume>64</b:Volume>
    <b:Issue>628</b:Issue>
    <b:RefOrder>14</b:RefOrder>
  </b:Source>
  <b:Source>
    <b:Tag>WHO15</b:Tag>
    <b:SourceType>InternetSite</b:SourceType>
    <b:Guid>{39666B54-EC27-4912-826C-ED6D23ECAA91}</b:Guid>
    <b:Author>
      <b:Author>
        <b:Corporate>WHO</b:Corporate>
      </b:Author>
    </b:Author>
    <b:Title>Health in 2015: from MDGs, millennium development goals to SDGs, sustainable development goals</b:Title>
    <b:InternetSiteTitle>World Health organization</b:InternetSiteTitle>
    <b:Year>2015</b:Year>
    <b:URL>https://iris.who.int/bitstream/handle/10665/200009/?sequence=1</b:URL>
    <b:YearAccessed>2023</b:YearAccessed>
    <b:MonthAccessed>November</b:MonthAccessed>
    <b:DayAccessed>1</b:DayAccessed>
    <b:RefOrder>15</b:RefOrder>
  </b:Source>
  <b:Source>
    <b:Tag>Uni231</b:Tag>
    <b:SourceType>InternetSite</b:SourceType>
    <b:Guid>{C40C4980-ED1A-41D0-8362-426A14979A6D}</b:Guid>
    <b:Author>
      <b:Author>
        <b:Corporate>United Nations</b:Corporate>
      </b:Author>
    </b:Author>
    <b:Title>The 17 Goals</b:Title>
    <b:InternetSiteTitle>United Nations</b:InternetSiteTitle>
    <b:Year>2023</b:Year>
    <b:Month>November</b:Month>
    <b:Day>1</b:Day>
    <b:URL>https://sdgs.un.org/goals#:~:text=Every%20year%2C%20the%20UN%20Secretary%20General%20presents%20an,systems%20and%20information%20collected%20at%20the%20regional%20level.</b:URL>
    <b:YearAccessed>2023</b:YearAccessed>
    <b:MonthAccessed>November</b:MonthAccessed>
    <b:DayAccessed>1</b:DayAccessed>
    <b:RefOrder>16</b:RefOrder>
  </b:Source>
  <b:Source>
    <b:Tag>Hal21</b:Tag>
    <b:SourceType>JournalArticle</b:SourceType>
    <b:Guid>{EF785692-A469-4DF8-BFB7-AF4AA9237A3C}</b:Guid>
    <b:Title>Where do we stand on the 17 Sustainable Development Goals? An overview on progress</b:Title>
    <b:Year>2021</b:Year>
    <b:Pages>94-122</b:Pages>
    <b:Author>
      <b:Author>
        <b:NameList>
          <b:Person>
            <b:Last>Halkos</b:Last>
            <b:First>G.</b:First>
            <b:Middle>Gkampoura, E.C.</b:Middle>
          </b:Person>
        </b:NameList>
      </b:Author>
    </b:Author>
    <b:JournalName>ScienceDirect</b:JournalName>
    <b:Volume>70</b:Volume>
    <b:RefOrder>17</b:RefOrder>
  </b:Source>
</b:Sources>
</file>

<file path=customXml/itemProps1.xml><?xml version="1.0" encoding="utf-8"?>
<ds:datastoreItem xmlns:ds="http://schemas.openxmlformats.org/officeDocument/2006/customXml" ds:itemID="{89E5D397-674C-9F4C-B9F4-7F0412D42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4550</Words>
  <Characters>27122</Characters>
  <Application>Microsoft Office Word</Application>
  <DocSecurity>0</DocSecurity>
  <Lines>2260</Lines>
  <Paragraphs>459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Jones (2109767)</dc:creator>
  <cp:keywords/>
  <dc:description/>
  <cp:lastModifiedBy>Ashley Jones (2109767)</cp:lastModifiedBy>
  <cp:revision>2</cp:revision>
  <dcterms:created xsi:type="dcterms:W3CDTF">2024-01-08T23:43:00Z</dcterms:created>
  <dcterms:modified xsi:type="dcterms:W3CDTF">2024-01-08T23:43:00Z</dcterms:modified>
</cp:coreProperties>
</file>