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47D82" w14:textId="77777777" w:rsidR="009D1EF5" w:rsidRDefault="009D1EF5" w:rsidP="009A5163">
      <w:pPr>
        <w:jc w:val="center"/>
        <w:rPr>
          <w:rFonts w:ascii="Arial" w:hAnsi="Arial" w:cs="Arial"/>
          <w:b/>
          <w:bCs/>
          <w:color w:val="FFFFFF"/>
          <w:sz w:val="32"/>
          <w:szCs w:val="32"/>
          <w:shd w:val="clear" w:color="auto" w:fill="323131"/>
        </w:rPr>
      </w:pPr>
    </w:p>
    <w:p w14:paraId="3C243093" w14:textId="23CF959B" w:rsidR="009A5163" w:rsidRPr="009D1EF5" w:rsidRDefault="009A5163" w:rsidP="009A5163">
      <w:pPr>
        <w:jc w:val="center"/>
        <w:rPr>
          <w:rFonts w:ascii="Arial" w:hAnsi="Arial" w:cs="Arial"/>
          <w:b/>
          <w:bCs/>
          <w:sz w:val="32"/>
          <w:szCs w:val="32"/>
        </w:rPr>
      </w:pPr>
      <w:r w:rsidRPr="009D1EF5">
        <w:rPr>
          <w:rFonts w:ascii="Arial" w:hAnsi="Arial" w:cs="Arial"/>
          <w:b/>
          <w:bCs/>
          <w:color w:val="FFFFFF"/>
          <w:sz w:val="32"/>
          <w:szCs w:val="32"/>
          <w:shd w:val="clear" w:color="auto" w:fill="323131"/>
        </w:rPr>
        <w:t>The impact of mental health on an individual's economic and social wellbeing</w:t>
      </w:r>
    </w:p>
    <w:p w14:paraId="0CB9A05D" w14:textId="1373F044" w:rsidR="009A5163" w:rsidRDefault="009D1EF5" w:rsidP="009A5163">
      <w:pPr>
        <w:jc w:val="center"/>
      </w:pPr>
      <w:r>
        <w:t>(Adriana E. Steinweg. 1906022)</w:t>
      </w:r>
    </w:p>
    <w:p w14:paraId="69B00D85" w14:textId="4849C283"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The diseases associated with mental health are very wide. According to the WHO, 1 in 4 people will develop mental health problems. It is estimated that in the year 2030, depression will be the leading cause of disability.</w:t>
      </w:r>
    </w:p>
    <w:p w14:paraId="7D3C3927" w14:textId="5D201E5D"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Despite there is evidence that unemployment is associated with mental health conditions (McKee Ryan et al), and that, in general, work and lack of work are deeply connected with health (Bambra, 2011), politics Career guidance community and public policy have not paid much attention to this factor, focusing their policy objectives on lifelong learning, the </w:t>
      </w:r>
      <w:proofErr w:type="spellStart"/>
      <w:r w:rsidRPr="009D1EF5">
        <w:rPr>
          <w:rFonts w:ascii="Arial" w:hAnsi="Arial" w:cs="Arial"/>
          <w:sz w:val="24"/>
          <w:szCs w:val="24"/>
        </w:rPr>
        <w:t>labor</w:t>
      </w:r>
      <w:proofErr w:type="spellEnd"/>
      <w:r w:rsidRPr="009D1EF5">
        <w:rPr>
          <w:rFonts w:ascii="Arial" w:hAnsi="Arial" w:cs="Arial"/>
          <w:sz w:val="24"/>
          <w:szCs w:val="24"/>
        </w:rPr>
        <w:t xml:space="preserve"> market and social equity.</w:t>
      </w:r>
    </w:p>
    <w:p w14:paraId="0A699A56" w14:textId="0432D7E0"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According to the study carried out by McKee-Ryan, Song, </w:t>
      </w:r>
      <w:proofErr w:type="spellStart"/>
      <w:r w:rsidRPr="009D1EF5">
        <w:rPr>
          <w:rFonts w:ascii="Arial" w:hAnsi="Arial" w:cs="Arial"/>
          <w:sz w:val="24"/>
          <w:szCs w:val="24"/>
        </w:rPr>
        <w:t>Wanberg</w:t>
      </w:r>
      <w:proofErr w:type="spellEnd"/>
      <w:r w:rsidRPr="009D1EF5">
        <w:rPr>
          <w:rFonts w:ascii="Arial" w:hAnsi="Arial" w:cs="Arial"/>
          <w:sz w:val="24"/>
          <w:szCs w:val="24"/>
        </w:rPr>
        <w:t xml:space="preserve"> and Kinicki, unemployment affects the mental health of the individual and their quality of life and that of their family, due to not being able to cover their basic needs, feeling excluded from society, feeling stressed, anxiety, depression, which in turn cause a lowered physical health.</w:t>
      </w:r>
    </w:p>
    <w:p w14:paraId="105290D0" w14:textId="77777777"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Additionally, unemployed people are more likely to drink, smoke, or be physically inactive.</w:t>
      </w:r>
    </w:p>
    <w:p w14:paraId="348E6989" w14:textId="50A9FBDB"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Mounting evidence suggests that an individual’s level of consumption, </w:t>
      </w:r>
      <w:r w:rsidRPr="009D1EF5">
        <w:rPr>
          <w:rFonts w:ascii="Arial" w:hAnsi="Arial" w:cs="Arial"/>
          <w:sz w:val="24"/>
          <w:szCs w:val="24"/>
        </w:rPr>
        <w:t>self-esteem</w:t>
      </w:r>
      <w:r w:rsidRPr="009D1EF5">
        <w:rPr>
          <w:rFonts w:ascii="Arial" w:hAnsi="Arial" w:cs="Arial"/>
          <w:sz w:val="24"/>
          <w:szCs w:val="24"/>
        </w:rPr>
        <w:t>, social-status, and even happiness depend to a large extent on not just</w:t>
      </w:r>
      <w:r w:rsidRPr="009D1EF5">
        <w:rPr>
          <w:rFonts w:ascii="Arial" w:hAnsi="Arial" w:cs="Arial"/>
          <w:sz w:val="24"/>
          <w:szCs w:val="24"/>
        </w:rPr>
        <w:t xml:space="preserve"> </w:t>
      </w:r>
      <w:r w:rsidRPr="009D1EF5">
        <w:rPr>
          <w:rFonts w:ascii="Arial" w:hAnsi="Arial" w:cs="Arial"/>
          <w:sz w:val="24"/>
          <w:szCs w:val="24"/>
        </w:rPr>
        <w:t>income, but also social status, associated with occupational attainment. (Brown, Sessions and Taylor, 2004)</w:t>
      </w:r>
    </w:p>
    <w:p w14:paraId="465FE13E" w14:textId="77777777"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In 1989, Herr and </w:t>
      </w:r>
      <w:proofErr w:type="spellStart"/>
      <w:r w:rsidRPr="009D1EF5">
        <w:rPr>
          <w:rFonts w:ascii="Arial" w:hAnsi="Arial" w:cs="Arial"/>
          <w:sz w:val="24"/>
          <w:szCs w:val="24"/>
        </w:rPr>
        <w:t>Loughhead</w:t>
      </w:r>
      <w:proofErr w:type="spellEnd"/>
      <w:r w:rsidRPr="009D1EF5">
        <w:rPr>
          <w:rFonts w:ascii="Arial" w:hAnsi="Arial" w:cs="Arial"/>
          <w:sz w:val="24"/>
          <w:szCs w:val="24"/>
        </w:rPr>
        <w:t xml:space="preserve"> suggested that the Guiding Race should adopt a role in preventing and treating health problems associated with employment and unemployment.</w:t>
      </w:r>
    </w:p>
    <w:p w14:paraId="6750F2E5" w14:textId="77777777"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In 2008, </w:t>
      </w:r>
      <w:proofErr w:type="spellStart"/>
      <w:r w:rsidRPr="009D1EF5">
        <w:rPr>
          <w:rFonts w:ascii="Arial" w:hAnsi="Arial" w:cs="Arial"/>
          <w:sz w:val="24"/>
          <w:szCs w:val="24"/>
        </w:rPr>
        <w:t>Blustein</w:t>
      </w:r>
      <w:proofErr w:type="spellEnd"/>
      <w:r w:rsidRPr="009D1EF5">
        <w:rPr>
          <w:rFonts w:ascii="Arial" w:hAnsi="Arial" w:cs="Arial"/>
          <w:sz w:val="24"/>
          <w:szCs w:val="24"/>
        </w:rPr>
        <w:t xml:space="preserve"> noted that advances in occupational health psychology, vocational rehabilitation, and positive psychology have the potential to inform career guidance.</w:t>
      </w:r>
    </w:p>
    <w:p w14:paraId="27832032" w14:textId="77777777"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These ideas are just beginning to be considered.</w:t>
      </w:r>
    </w:p>
    <w:p w14:paraId="6C76F24E" w14:textId="77777777"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In 2009, </w:t>
      </w:r>
      <w:proofErr w:type="spellStart"/>
      <w:r w:rsidRPr="009D1EF5">
        <w:rPr>
          <w:rFonts w:ascii="Arial" w:hAnsi="Arial" w:cs="Arial"/>
          <w:sz w:val="24"/>
          <w:szCs w:val="24"/>
        </w:rPr>
        <w:t>Bimrose</w:t>
      </w:r>
      <w:proofErr w:type="spellEnd"/>
      <w:r w:rsidRPr="009D1EF5">
        <w:rPr>
          <w:rFonts w:ascii="Arial" w:hAnsi="Arial" w:cs="Arial"/>
          <w:sz w:val="24"/>
          <w:szCs w:val="24"/>
        </w:rPr>
        <w:t xml:space="preserve"> suggested that while career guidance funding addresses employment and unemployment and creating and maintaining an efficient economy, it could also contribute to the health and well-being of the Nation.</w:t>
      </w:r>
    </w:p>
    <w:p w14:paraId="6071CBF3" w14:textId="2740DA33"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These ideas have been underdeveloped and are just beginning to be considered.</w:t>
      </w:r>
    </w:p>
    <w:p w14:paraId="08AA1241" w14:textId="3F8FE4AB"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Bearing in mind that one of the objectives of Carrera </w:t>
      </w:r>
      <w:r w:rsidR="009D1EF5" w:rsidRPr="009D1EF5">
        <w:rPr>
          <w:rFonts w:ascii="Arial" w:hAnsi="Arial" w:cs="Arial"/>
          <w:sz w:val="24"/>
          <w:szCs w:val="24"/>
        </w:rPr>
        <w:t>Guidance</w:t>
      </w:r>
      <w:r w:rsidRPr="009D1EF5">
        <w:rPr>
          <w:rFonts w:ascii="Arial" w:hAnsi="Arial" w:cs="Arial"/>
          <w:sz w:val="24"/>
          <w:szCs w:val="24"/>
        </w:rPr>
        <w:t xml:space="preserve"> is social equity, the harmful factors for health caused by inequality and exclusion should be </w:t>
      </w:r>
      <w:proofErr w:type="gramStart"/>
      <w:r w:rsidRPr="009D1EF5">
        <w:rPr>
          <w:rFonts w:ascii="Arial" w:hAnsi="Arial" w:cs="Arial"/>
          <w:sz w:val="24"/>
          <w:szCs w:val="24"/>
        </w:rPr>
        <w:t>taken into account</w:t>
      </w:r>
      <w:proofErr w:type="gramEnd"/>
      <w:r w:rsidRPr="009D1EF5">
        <w:rPr>
          <w:rFonts w:ascii="Arial" w:hAnsi="Arial" w:cs="Arial"/>
          <w:sz w:val="24"/>
          <w:szCs w:val="24"/>
        </w:rPr>
        <w:t xml:space="preserve">, and that these not only affect society, both </w:t>
      </w:r>
      <w:r w:rsidRPr="009D1EF5">
        <w:rPr>
          <w:rFonts w:ascii="Arial" w:hAnsi="Arial" w:cs="Arial"/>
          <w:sz w:val="24"/>
          <w:szCs w:val="24"/>
        </w:rPr>
        <w:t>employers</w:t>
      </w:r>
      <w:r w:rsidRPr="009D1EF5">
        <w:rPr>
          <w:rFonts w:ascii="Arial" w:hAnsi="Arial" w:cs="Arial"/>
          <w:sz w:val="24"/>
          <w:szCs w:val="24"/>
        </w:rPr>
        <w:t xml:space="preserve"> and employees, if not also the economy.</w:t>
      </w:r>
    </w:p>
    <w:p w14:paraId="7F8B0D71" w14:textId="77777777" w:rsidR="009A5163"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t xml:space="preserve">The best option is to invest in the prevention and early treatment of diseases related to mental health, achieving a direct benefit for the well-being of individuals, </w:t>
      </w:r>
      <w:proofErr w:type="gramStart"/>
      <w:r w:rsidRPr="009D1EF5">
        <w:rPr>
          <w:rFonts w:ascii="Arial" w:hAnsi="Arial" w:cs="Arial"/>
          <w:sz w:val="24"/>
          <w:szCs w:val="24"/>
        </w:rPr>
        <w:t>and also</w:t>
      </w:r>
      <w:proofErr w:type="gramEnd"/>
      <w:r w:rsidRPr="009D1EF5">
        <w:rPr>
          <w:rFonts w:ascii="Arial" w:hAnsi="Arial" w:cs="Arial"/>
          <w:sz w:val="24"/>
          <w:szCs w:val="24"/>
        </w:rPr>
        <w:t xml:space="preserve"> causing an indirect economic benefit, by reducing the demand for public health services.</w:t>
      </w:r>
    </w:p>
    <w:p w14:paraId="47B84364" w14:textId="23E3C205" w:rsidR="007A623D" w:rsidRPr="009D1EF5" w:rsidRDefault="009A5163" w:rsidP="009A5163">
      <w:pPr>
        <w:spacing w:after="0" w:line="276" w:lineRule="auto"/>
        <w:jc w:val="both"/>
        <w:rPr>
          <w:rFonts w:ascii="Arial" w:hAnsi="Arial" w:cs="Arial"/>
          <w:sz w:val="24"/>
          <w:szCs w:val="24"/>
        </w:rPr>
      </w:pPr>
      <w:r w:rsidRPr="009D1EF5">
        <w:rPr>
          <w:rFonts w:ascii="Arial" w:hAnsi="Arial" w:cs="Arial"/>
          <w:sz w:val="24"/>
          <w:szCs w:val="24"/>
        </w:rPr>
        <w:lastRenderedPageBreak/>
        <w:t>The need to demonstrate the effectiveness and cost-effectiveness of mental health care is one of the main social barriers</w:t>
      </w:r>
      <w:r w:rsidRPr="009D1EF5">
        <w:rPr>
          <w:rFonts w:ascii="Arial" w:hAnsi="Arial" w:cs="Arial"/>
          <w:sz w:val="24"/>
          <w:szCs w:val="24"/>
        </w:rPr>
        <w:t xml:space="preserve"> </w:t>
      </w:r>
      <w:r w:rsidRPr="009D1EF5">
        <w:rPr>
          <w:rFonts w:ascii="Arial" w:hAnsi="Arial" w:cs="Arial"/>
          <w:sz w:val="24"/>
          <w:szCs w:val="24"/>
        </w:rPr>
        <w:t>when it comes to getting the necessary investments for mental health. Governments could consider reorienting budgets to protect</w:t>
      </w:r>
      <w:r w:rsidRPr="009D1EF5">
        <w:rPr>
          <w:rFonts w:ascii="Arial" w:hAnsi="Arial" w:cs="Arial"/>
          <w:sz w:val="24"/>
          <w:szCs w:val="24"/>
        </w:rPr>
        <w:t xml:space="preserve"> </w:t>
      </w:r>
      <w:proofErr w:type="spellStart"/>
      <w:r w:rsidRPr="009D1EF5">
        <w:rPr>
          <w:rFonts w:ascii="Arial" w:hAnsi="Arial" w:cs="Arial"/>
          <w:sz w:val="24"/>
          <w:szCs w:val="24"/>
        </w:rPr>
        <w:t>opulations</w:t>
      </w:r>
      <w:proofErr w:type="spellEnd"/>
      <w:r w:rsidRPr="009D1EF5">
        <w:rPr>
          <w:rFonts w:ascii="Arial" w:hAnsi="Arial" w:cs="Arial"/>
          <w:sz w:val="24"/>
          <w:szCs w:val="24"/>
        </w:rPr>
        <w:t xml:space="preserve"> now and in the future by budgeting for measures that keep people employed, helping those who lose their jobs and their families to overcome the negative effects of unemployment and enabling unemployed people to regain work quickly. (World Health Organization, 2011)</w:t>
      </w:r>
    </w:p>
    <w:p w14:paraId="7396F9F4" w14:textId="01FFF211" w:rsidR="001122CE" w:rsidRPr="009D1EF5" w:rsidRDefault="001122CE" w:rsidP="009A5163">
      <w:pPr>
        <w:spacing w:after="0" w:line="276" w:lineRule="auto"/>
        <w:jc w:val="both"/>
        <w:rPr>
          <w:rFonts w:ascii="Arial" w:hAnsi="Arial" w:cs="Arial"/>
          <w:sz w:val="24"/>
          <w:szCs w:val="24"/>
        </w:rPr>
      </w:pPr>
    </w:p>
    <w:p w14:paraId="52F6235B" w14:textId="47B74835" w:rsidR="001122CE" w:rsidRPr="009D1EF5" w:rsidRDefault="001122CE" w:rsidP="009A5163">
      <w:pPr>
        <w:spacing w:after="0" w:line="276" w:lineRule="auto"/>
        <w:jc w:val="both"/>
        <w:rPr>
          <w:rFonts w:ascii="Arial" w:hAnsi="Arial" w:cs="Arial"/>
          <w:sz w:val="24"/>
          <w:szCs w:val="24"/>
        </w:rPr>
      </w:pPr>
    </w:p>
    <w:p w14:paraId="5D59E42E" w14:textId="5C93AB20" w:rsidR="001122CE" w:rsidRPr="009D1EF5" w:rsidRDefault="001122CE" w:rsidP="009A5163">
      <w:pPr>
        <w:spacing w:after="0" w:line="276" w:lineRule="auto"/>
        <w:jc w:val="both"/>
        <w:rPr>
          <w:rFonts w:ascii="Arial" w:hAnsi="Arial" w:cs="Arial"/>
          <w:sz w:val="24"/>
          <w:szCs w:val="24"/>
        </w:rPr>
      </w:pPr>
    </w:p>
    <w:p w14:paraId="769F61DE" w14:textId="5B7A88BE" w:rsidR="009A5163" w:rsidRPr="009D1EF5" w:rsidRDefault="009A5163" w:rsidP="009A5163">
      <w:pPr>
        <w:spacing w:after="0" w:line="276" w:lineRule="auto"/>
        <w:jc w:val="both"/>
        <w:rPr>
          <w:rFonts w:ascii="Arial" w:hAnsi="Arial" w:cs="Arial"/>
          <w:sz w:val="24"/>
          <w:szCs w:val="24"/>
        </w:rPr>
      </w:pPr>
    </w:p>
    <w:p w14:paraId="339A0C3E" w14:textId="29D457A9" w:rsidR="001122CE" w:rsidRPr="009D1EF5" w:rsidRDefault="001122CE" w:rsidP="001122CE">
      <w:pPr>
        <w:spacing w:after="0" w:line="276" w:lineRule="auto"/>
        <w:jc w:val="center"/>
        <w:rPr>
          <w:rFonts w:ascii="Arial" w:hAnsi="Arial" w:cs="Arial"/>
          <w:b/>
          <w:bCs/>
          <w:color w:val="000000" w:themeColor="text1"/>
          <w:sz w:val="24"/>
          <w:szCs w:val="24"/>
          <w:shd w:val="clear" w:color="auto" w:fill="FCFCFC"/>
        </w:rPr>
      </w:pPr>
      <w:r w:rsidRPr="009D1EF5">
        <w:rPr>
          <w:rFonts w:ascii="Arial" w:hAnsi="Arial" w:cs="Arial"/>
          <w:b/>
          <w:bCs/>
          <w:color w:val="000000" w:themeColor="text1"/>
          <w:sz w:val="24"/>
          <w:szCs w:val="24"/>
          <w:shd w:val="clear" w:color="auto" w:fill="FCFCFC"/>
        </w:rPr>
        <w:t>REFERENCE LIST:</w:t>
      </w:r>
    </w:p>
    <w:p w14:paraId="5233AF95" w14:textId="77777777" w:rsidR="001122CE" w:rsidRPr="009D1EF5" w:rsidRDefault="001122CE" w:rsidP="009A5163">
      <w:pPr>
        <w:spacing w:after="0" w:line="276" w:lineRule="auto"/>
        <w:rPr>
          <w:rFonts w:ascii="Arial" w:hAnsi="Arial" w:cs="Arial"/>
          <w:color w:val="000000" w:themeColor="text1"/>
          <w:sz w:val="24"/>
          <w:szCs w:val="24"/>
          <w:shd w:val="clear" w:color="auto" w:fill="FCFCFC"/>
        </w:rPr>
      </w:pPr>
    </w:p>
    <w:p w14:paraId="2C59DEF1" w14:textId="09F5BE81" w:rsidR="009A5163" w:rsidRPr="009D1EF5" w:rsidRDefault="001122CE" w:rsidP="009A5163">
      <w:pPr>
        <w:spacing w:after="0" w:line="276" w:lineRule="auto"/>
        <w:rPr>
          <w:rFonts w:ascii="Arial" w:hAnsi="Arial" w:cs="Arial"/>
          <w:color w:val="000000" w:themeColor="text1"/>
          <w:sz w:val="24"/>
          <w:szCs w:val="24"/>
          <w:shd w:val="clear" w:color="auto" w:fill="FCFCFC"/>
        </w:rPr>
      </w:pPr>
      <w:proofErr w:type="gramStart"/>
      <w:r w:rsidRPr="009D1EF5">
        <w:rPr>
          <w:rFonts w:ascii="Arial" w:hAnsi="Arial" w:cs="Arial"/>
          <w:color w:val="000000" w:themeColor="text1"/>
          <w:sz w:val="24"/>
          <w:szCs w:val="24"/>
          <w:shd w:val="clear" w:color="auto" w:fill="FCFCFC"/>
        </w:rPr>
        <w:t>.</w:t>
      </w:r>
      <w:r w:rsidR="009A5163" w:rsidRPr="009D1EF5">
        <w:rPr>
          <w:rFonts w:ascii="Arial" w:hAnsi="Arial" w:cs="Arial"/>
          <w:color w:val="000000" w:themeColor="text1"/>
          <w:sz w:val="24"/>
          <w:szCs w:val="24"/>
          <w:shd w:val="clear" w:color="auto" w:fill="FCFCFC"/>
        </w:rPr>
        <w:t>Bambra</w:t>
      </w:r>
      <w:proofErr w:type="gramEnd"/>
      <w:r w:rsidR="009A5163" w:rsidRPr="009D1EF5">
        <w:rPr>
          <w:rFonts w:ascii="Arial" w:hAnsi="Arial" w:cs="Arial"/>
          <w:color w:val="000000" w:themeColor="text1"/>
          <w:sz w:val="24"/>
          <w:szCs w:val="24"/>
          <w:shd w:val="clear" w:color="auto" w:fill="FCFCFC"/>
        </w:rPr>
        <w:t>, C. (2011). </w:t>
      </w:r>
      <w:r w:rsidR="009A5163" w:rsidRPr="009D1EF5">
        <w:rPr>
          <w:rFonts w:ascii="Arial" w:hAnsi="Arial" w:cs="Arial"/>
          <w:i/>
          <w:iCs/>
          <w:color w:val="000000" w:themeColor="text1"/>
          <w:sz w:val="24"/>
          <w:szCs w:val="24"/>
          <w:shd w:val="clear" w:color="auto" w:fill="FCFCFC"/>
        </w:rPr>
        <w:t>Work, worklessness and the political economy of health</w:t>
      </w:r>
      <w:r w:rsidR="009A5163" w:rsidRPr="009D1EF5">
        <w:rPr>
          <w:rFonts w:ascii="Arial" w:hAnsi="Arial" w:cs="Arial"/>
          <w:color w:val="000000" w:themeColor="text1"/>
          <w:sz w:val="24"/>
          <w:szCs w:val="24"/>
          <w:shd w:val="clear" w:color="auto" w:fill="FCFCFC"/>
        </w:rPr>
        <w:t>. Oxford, UK: Oxford University Press.</w:t>
      </w:r>
    </w:p>
    <w:p w14:paraId="6D8FEAAE" w14:textId="77777777" w:rsidR="001122CE" w:rsidRPr="009D1EF5" w:rsidRDefault="001122CE" w:rsidP="009A5163">
      <w:pPr>
        <w:spacing w:after="0" w:line="276" w:lineRule="auto"/>
        <w:rPr>
          <w:rFonts w:ascii="Arial" w:hAnsi="Arial" w:cs="Arial"/>
          <w:color w:val="000000" w:themeColor="text1"/>
          <w:sz w:val="24"/>
          <w:szCs w:val="24"/>
          <w:shd w:val="clear" w:color="auto" w:fill="FCFCFC"/>
        </w:rPr>
      </w:pPr>
    </w:p>
    <w:p w14:paraId="1D2B8AE8" w14:textId="41132248" w:rsidR="001122CE" w:rsidRPr="009D1EF5" w:rsidRDefault="001122CE" w:rsidP="009A5163">
      <w:pPr>
        <w:spacing w:after="0" w:line="276" w:lineRule="auto"/>
        <w:rPr>
          <w:rFonts w:ascii="Arial" w:hAnsi="Arial" w:cs="Arial"/>
          <w:color w:val="000000" w:themeColor="text1"/>
          <w:sz w:val="24"/>
          <w:szCs w:val="24"/>
          <w:shd w:val="clear" w:color="auto" w:fill="FCFCFC"/>
        </w:rPr>
      </w:pPr>
      <w:r w:rsidRPr="009D1EF5">
        <w:rPr>
          <w:rFonts w:ascii="Arial" w:hAnsi="Arial" w:cs="Arial"/>
          <w:color w:val="000000" w:themeColor="text1"/>
          <w:sz w:val="24"/>
          <w:szCs w:val="24"/>
          <w:shd w:val="clear" w:color="auto" w:fill="FCFCFC"/>
        </w:rPr>
        <w:t xml:space="preserve">. </w:t>
      </w:r>
      <w:proofErr w:type="spellStart"/>
      <w:r w:rsidRPr="009D1EF5">
        <w:rPr>
          <w:rFonts w:ascii="Arial" w:hAnsi="Arial" w:cs="Arial"/>
          <w:color w:val="000000" w:themeColor="text1"/>
          <w:sz w:val="24"/>
          <w:szCs w:val="24"/>
          <w:shd w:val="clear" w:color="auto" w:fill="FCFCFC"/>
        </w:rPr>
        <w:t>Blustein</w:t>
      </w:r>
      <w:proofErr w:type="spellEnd"/>
      <w:r w:rsidRPr="009D1EF5">
        <w:rPr>
          <w:rFonts w:ascii="Arial" w:hAnsi="Arial" w:cs="Arial"/>
          <w:color w:val="000000" w:themeColor="text1"/>
          <w:sz w:val="24"/>
          <w:szCs w:val="24"/>
          <w:shd w:val="clear" w:color="auto" w:fill="FCFCFC"/>
        </w:rPr>
        <w:t>, D. (1987). Integrating career counselling and psychotherapy: A comprehensive treatment strategy. </w:t>
      </w:r>
      <w:r w:rsidRPr="009D1EF5">
        <w:rPr>
          <w:rFonts w:ascii="Arial" w:hAnsi="Arial" w:cs="Arial"/>
          <w:i/>
          <w:iCs/>
          <w:color w:val="000000" w:themeColor="text1"/>
          <w:sz w:val="24"/>
          <w:szCs w:val="24"/>
          <w:shd w:val="clear" w:color="auto" w:fill="FCFCFC"/>
        </w:rPr>
        <w:t>Psychotherapy, Research, Practice, Training,</w:t>
      </w:r>
      <w:r w:rsidRPr="009D1EF5">
        <w:rPr>
          <w:rFonts w:ascii="Arial" w:hAnsi="Arial" w:cs="Arial"/>
          <w:color w:val="000000" w:themeColor="text1"/>
          <w:sz w:val="24"/>
          <w:szCs w:val="24"/>
          <w:shd w:val="clear" w:color="auto" w:fill="FCFCFC"/>
        </w:rPr>
        <w:t> </w:t>
      </w:r>
      <w:r w:rsidRPr="009D1EF5">
        <w:rPr>
          <w:rFonts w:ascii="Arial" w:hAnsi="Arial" w:cs="Arial"/>
          <w:i/>
          <w:iCs/>
          <w:color w:val="000000" w:themeColor="text1"/>
          <w:sz w:val="24"/>
          <w:szCs w:val="24"/>
          <w:shd w:val="clear" w:color="auto" w:fill="FCFCFC"/>
        </w:rPr>
        <w:t>24</w:t>
      </w:r>
      <w:r w:rsidRPr="009D1EF5">
        <w:rPr>
          <w:rFonts w:ascii="Arial" w:hAnsi="Arial" w:cs="Arial"/>
          <w:color w:val="000000" w:themeColor="text1"/>
          <w:sz w:val="24"/>
          <w:szCs w:val="24"/>
          <w:shd w:val="clear" w:color="auto" w:fill="FCFCFC"/>
        </w:rPr>
        <w:t>, 794–799. doi:</w:t>
      </w:r>
      <w:hyperlink r:id="rId6" w:history="1">
        <w:r w:rsidRPr="009D1EF5">
          <w:rPr>
            <w:rStyle w:val="Hipervnculo"/>
            <w:rFonts w:ascii="Arial" w:hAnsi="Arial" w:cs="Arial"/>
            <w:color w:val="000000" w:themeColor="text1"/>
            <w:sz w:val="24"/>
            <w:szCs w:val="24"/>
            <w:shd w:val="clear" w:color="auto" w:fill="FCFCFC"/>
          </w:rPr>
          <w:t>10.1037/h0085781</w:t>
        </w:r>
      </w:hyperlink>
      <w:r w:rsidRPr="009D1EF5">
        <w:rPr>
          <w:rFonts w:ascii="Arial" w:hAnsi="Arial" w:cs="Arial"/>
          <w:color w:val="000000" w:themeColor="text1"/>
          <w:sz w:val="24"/>
          <w:szCs w:val="24"/>
          <w:shd w:val="clear" w:color="auto" w:fill="FCFCFC"/>
        </w:rPr>
        <w:t>.</w:t>
      </w:r>
    </w:p>
    <w:p w14:paraId="0E5DF2FF" w14:textId="1690924D" w:rsidR="009A5163" w:rsidRPr="009D1EF5" w:rsidRDefault="009A5163" w:rsidP="009A5163">
      <w:pPr>
        <w:spacing w:after="0" w:line="276" w:lineRule="auto"/>
        <w:rPr>
          <w:rFonts w:ascii="Arial" w:hAnsi="Arial" w:cs="Arial"/>
          <w:color w:val="000000" w:themeColor="text1"/>
          <w:sz w:val="24"/>
          <w:szCs w:val="24"/>
          <w:shd w:val="clear" w:color="auto" w:fill="FCFCFC"/>
        </w:rPr>
      </w:pPr>
    </w:p>
    <w:p w14:paraId="434957DC" w14:textId="3A0ECEAE" w:rsidR="001122CE" w:rsidRPr="009D1EF5" w:rsidRDefault="001122CE" w:rsidP="009A5163">
      <w:pPr>
        <w:spacing w:after="0" w:line="276" w:lineRule="auto"/>
        <w:rPr>
          <w:rFonts w:ascii="Arial" w:hAnsi="Arial" w:cs="Arial"/>
          <w:color w:val="000000" w:themeColor="text1"/>
          <w:sz w:val="24"/>
          <w:szCs w:val="24"/>
        </w:rPr>
      </w:pPr>
      <w:proofErr w:type="gramStart"/>
      <w:r w:rsidRPr="009D1EF5">
        <w:rPr>
          <w:rFonts w:ascii="Arial" w:hAnsi="Arial" w:cs="Arial"/>
          <w:color w:val="000000" w:themeColor="text1"/>
          <w:sz w:val="24"/>
          <w:szCs w:val="24"/>
        </w:rPr>
        <w:t>.</w:t>
      </w:r>
      <w:r w:rsidRPr="009D1EF5">
        <w:rPr>
          <w:rFonts w:ascii="Arial" w:hAnsi="Arial" w:cs="Arial"/>
          <w:color w:val="000000" w:themeColor="text1"/>
          <w:sz w:val="24"/>
          <w:szCs w:val="24"/>
        </w:rPr>
        <w:t>Brown</w:t>
      </w:r>
      <w:proofErr w:type="gramEnd"/>
      <w:r w:rsidRPr="009D1EF5">
        <w:rPr>
          <w:rFonts w:ascii="Arial" w:hAnsi="Arial" w:cs="Arial"/>
          <w:color w:val="000000" w:themeColor="text1"/>
          <w:sz w:val="24"/>
          <w:szCs w:val="24"/>
        </w:rPr>
        <w:t xml:space="preserve">, Sessions and Taylor </w:t>
      </w:r>
      <w:r w:rsidRPr="009D1EF5">
        <w:rPr>
          <w:rFonts w:ascii="Arial" w:hAnsi="Arial" w:cs="Arial"/>
          <w:color w:val="000000" w:themeColor="text1"/>
          <w:sz w:val="24"/>
          <w:szCs w:val="24"/>
        </w:rPr>
        <w:t>(</w:t>
      </w:r>
      <w:r w:rsidRPr="009D1EF5">
        <w:rPr>
          <w:rFonts w:ascii="Arial" w:hAnsi="Arial" w:cs="Arial"/>
          <w:color w:val="000000" w:themeColor="text1"/>
          <w:sz w:val="24"/>
          <w:szCs w:val="24"/>
        </w:rPr>
        <w:t>2004)</w:t>
      </w:r>
      <w:r w:rsidRPr="009D1EF5">
        <w:rPr>
          <w:rFonts w:ascii="Arial" w:hAnsi="Arial" w:cs="Arial"/>
          <w:color w:val="000000" w:themeColor="text1"/>
          <w:sz w:val="24"/>
          <w:szCs w:val="24"/>
        </w:rPr>
        <w:t xml:space="preserve"> </w:t>
      </w:r>
      <w:r w:rsidRPr="009D1EF5">
        <w:rPr>
          <w:rFonts w:ascii="Arial" w:hAnsi="Arial" w:cs="Arial"/>
          <w:color w:val="000000" w:themeColor="text1"/>
          <w:sz w:val="24"/>
          <w:szCs w:val="24"/>
        </w:rPr>
        <w:t>Careers guidance, identity and development</w:t>
      </w:r>
    </w:p>
    <w:p w14:paraId="265F2665" w14:textId="2B50CAFC" w:rsidR="001122CE" w:rsidRPr="009D1EF5" w:rsidRDefault="001122CE" w:rsidP="009A5163">
      <w:pPr>
        <w:spacing w:after="0" w:line="276" w:lineRule="auto"/>
        <w:rPr>
          <w:rFonts w:ascii="Arial" w:hAnsi="Arial" w:cs="Arial"/>
          <w:color w:val="000000" w:themeColor="text1"/>
          <w:sz w:val="24"/>
          <w:szCs w:val="24"/>
        </w:rPr>
      </w:pPr>
    </w:p>
    <w:p w14:paraId="276258DF" w14:textId="651BCBAA" w:rsidR="001122CE" w:rsidRPr="009D1EF5" w:rsidRDefault="001122CE" w:rsidP="001122CE">
      <w:pPr>
        <w:pStyle w:val="Ttulo1"/>
        <w:shd w:val="clear" w:color="auto" w:fill="FFFFFF"/>
        <w:spacing w:before="0" w:beforeAutospacing="0" w:after="105" w:afterAutospacing="0" w:line="360" w:lineRule="atLeast"/>
        <w:rPr>
          <w:rFonts w:ascii="Arial" w:hAnsi="Arial" w:cs="Arial"/>
          <w:b w:val="0"/>
          <w:bCs w:val="0"/>
          <w:color w:val="000000" w:themeColor="text1"/>
          <w:sz w:val="24"/>
          <w:szCs w:val="24"/>
        </w:rPr>
      </w:pPr>
      <w:proofErr w:type="gramStart"/>
      <w:r w:rsidRPr="009D1EF5">
        <w:rPr>
          <w:rFonts w:ascii="Arial" w:hAnsi="Arial" w:cs="Arial"/>
          <w:b w:val="0"/>
          <w:bCs w:val="0"/>
          <w:color w:val="000000" w:themeColor="text1"/>
          <w:sz w:val="24"/>
          <w:szCs w:val="24"/>
        </w:rPr>
        <w:t>.Herr</w:t>
      </w:r>
      <w:proofErr w:type="gramEnd"/>
      <w:r w:rsidRPr="009D1EF5">
        <w:rPr>
          <w:rFonts w:ascii="Arial" w:hAnsi="Arial" w:cs="Arial"/>
          <w:b w:val="0"/>
          <w:bCs w:val="0"/>
          <w:color w:val="000000" w:themeColor="text1"/>
          <w:sz w:val="24"/>
          <w:szCs w:val="24"/>
        </w:rPr>
        <w:t xml:space="preserve">, E. (1989). </w:t>
      </w:r>
      <w:r w:rsidRPr="009D1EF5">
        <w:rPr>
          <w:rFonts w:ascii="Arial" w:hAnsi="Arial" w:cs="Arial"/>
          <w:b w:val="0"/>
          <w:bCs w:val="0"/>
          <w:color w:val="000000" w:themeColor="text1"/>
          <w:sz w:val="24"/>
          <w:szCs w:val="24"/>
        </w:rPr>
        <w:t>Career Development and Mental Health</w:t>
      </w:r>
    </w:p>
    <w:p w14:paraId="06DE3B2B" w14:textId="77777777" w:rsidR="001122CE" w:rsidRPr="009D1EF5" w:rsidRDefault="001122CE" w:rsidP="009A5163">
      <w:pPr>
        <w:spacing w:after="0" w:line="276" w:lineRule="auto"/>
        <w:rPr>
          <w:rFonts w:ascii="Arial" w:hAnsi="Arial" w:cs="Arial"/>
          <w:color w:val="000000" w:themeColor="text1"/>
          <w:sz w:val="24"/>
          <w:szCs w:val="24"/>
          <w:shd w:val="clear" w:color="auto" w:fill="FCFCFC"/>
        </w:rPr>
      </w:pPr>
    </w:p>
    <w:p w14:paraId="06DCCE0C" w14:textId="76612C85" w:rsidR="009A5163" w:rsidRPr="009D1EF5" w:rsidRDefault="001122CE" w:rsidP="009A5163">
      <w:pPr>
        <w:spacing w:after="0" w:line="276" w:lineRule="auto"/>
        <w:rPr>
          <w:rFonts w:ascii="Arial" w:hAnsi="Arial" w:cs="Arial"/>
          <w:color w:val="000000" w:themeColor="text1"/>
          <w:sz w:val="24"/>
          <w:szCs w:val="24"/>
        </w:rPr>
      </w:pPr>
      <w:proofErr w:type="gramStart"/>
      <w:r w:rsidRPr="009D1EF5">
        <w:rPr>
          <w:rFonts w:ascii="Arial" w:hAnsi="Arial" w:cs="Arial"/>
          <w:color w:val="000000" w:themeColor="text1"/>
          <w:sz w:val="24"/>
          <w:szCs w:val="24"/>
          <w:shd w:val="clear" w:color="auto" w:fill="FCFCFC"/>
        </w:rPr>
        <w:t>.</w:t>
      </w:r>
      <w:r w:rsidR="009A5163" w:rsidRPr="009D1EF5">
        <w:rPr>
          <w:rFonts w:ascii="Arial" w:hAnsi="Arial" w:cs="Arial"/>
          <w:color w:val="000000" w:themeColor="text1"/>
          <w:sz w:val="24"/>
          <w:szCs w:val="24"/>
          <w:shd w:val="clear" w:color="auto" w:fill="FCFCFC"/>
        </w:rPr>
        <w:t>McKee</w:t>
      </w:r>
      <w:proofErr w:type="gramEnd"/>
      <w:r w:rsidR="009A5163" w:rsidRPr="009D1EF5">
        <w:rPr>
          <w:rFonts w:ascii="Arial" w:hAnsi="Arial" w:cs="Arial"/>
          <w:color w:val="000000" w:themeColor="text1"/>
          <w:sz w:val="24"/>
          <w:szCs w:val="24"/>
          <w:shd w:val="clear" w:color="auto" w:fill="FCFCFC"/>
        </w:rPr>
        <w:t xml:space="preserve">-Ryan, F. M., Song, Z., </w:t>
      </w:r>
      <w:proofErr w:type="spellStart"/>
      <w:r w:rsidR="009A5163" w:rsidRPr="009D1EF5">
        <w:rPr>
          <w:rFonts w:ascii="Arial" w:hAnsi="Arial" w:cs="Arial"/>
          <w:color w:val="000000" w:themeColor="text1"/>
          <w:sz w:val="24"/>
          <w:szCs w:val="24"/>
          <w:shd w:val="clear" w:color="auto" w:fill="FCFCFC"/>
        </w:rPr>
        <w:t>Wanbeg</w:t>
      </w:r>
      <w:proofErr w:type="spellEnd"/>
      <w:r w:rsidR="009A5163" w:rsidRPr="009D1EF5">
        <w:rPr>
          <w:rFonts w:ascii="Arial" w:hAnsi="Arial" w:cs="Arial"/>
          <w:color w:val="000000" w:themeColor="text1"/>
          <w:sz w:val="24"/>
          <w:szCs w:val="24"/>
          <w:shd w:val="clear" w:color="auto" w:fill="FCFCFC"/>
        </w:rPr>
        <w:t xml:space="preserve">, C. R., &amp; Kinicki, A. J. (2005). Psychological and physical </w:t>
      </w:r>
      <w:proofErr w:type="spellStart"/>
      <w:r w:rsidR="009A5163" w:rsidRPr="009D1EF5">
        <w:rPr>
          <w:rFonts w:ascii="Arial" w:hAnsi="Arial" w:cs="Arial"/>
          <w:color w:val="000000" w:themeColor="text1"/>
          <w:sz w:val="24"/>
          <w:szCs w:val="24"/>
          <w:shd w:val="clear" w:color="auto" w:fill="FCFCFC"/>
        </w:rPr>
        <w:t>well being</w:t>
      </w:r>
      <w:proofErr w:type="spellEnd"/>
      <w:r w:rsidR="009A5163" w:rsidRPr="009D1EF5">
        <w:rPr>
          <w:rFonts w:ascii="Arial" w:hAnsi="Arial" w:cs="Arial"/>
          <w:color w:val="000000" w:themeColor="text1"/>
          <w:sz w:val="24"/>
          <w:szCs w:val="24"/>
          <w:shd w:val="clear" w:color="auto" w:fill="FCFCFC"/>
        </w:rPr>
        <w:t xml:space="preserve"> during unemployment: A meta-analytic study. </w:t>
      </w:r>
      <w:r w:rsidR="009A5163" w:rsidRPr="009D1EF5">
        <w:rPr>
          <w:rFonts w:ascii="Arial" w:hAnsi="Arial" w:cs="Arial"/>
          <w:i/>
          <w:iCs/>
          <w:color w:val="000000" w:themeColor="text1"/>
          <w:sz w:val="24"/>
          <w:szCs w:val="24"/>
          <w:shd w:val="clear" w:color="auto" w:fill="FCFCFC"/>
        </w:rPr>
        <w:t>Journal of Applied Psychology,</w:t>
      </w:r>
      <w:r w:rsidR="009A5163" w:rsidRPr="009D1EF5">
        <w:rPr>
          <w:rFonts w:ascii="Arial" w:hAnsi="Arial" w:cs="Arial"/>
          <w:color w:val="000000" w:themeColor="text1"/>
          <w:sz w:val="24"/>
          <w:szCs w:val="24"/>
          <w:shd w:val="clear" w:color="auto" w:fill="FCFCFC"/>
        </w:rPr>
        <w:t> </w:t>
      </w:r>
      <w:r w:rsidR="009A5163" w:rsidRPr="009D1EF5">
        <w:rPr>
          <w:rFonts w:ascii="Arial" w:hAnsi="Arial" w:cs="Arial"/>
          <w:i/>
          <w:iCs/>
          <w:color w:val="000000" w:themeColor="text1"/>
          <w:sz w:val="24"/>
          <w:szCs w:val="24"/>
          <w:shd w:val="clear" w:color="auto" w:fill="FCFCFC"/>
        </w:rPr>
        <w:t>90</w:t>
      </w:r>
      <w:r w:rsidR="009A5163" w:rsidRPr="009D1EF5">
        <w:rPr>
          <w:rFonts w:ascii="Arial" w:hAnsi="Arial" w:cs="Arial"/>
          <w:color w:val="000000" w:themeColor="text1"/>
          <w:sz w:val="24"/>
          <w:szCs w:val="24"/>
          <w:shd w:val="clear" w:color="auto" w:fill="FCFCFC"/>
        </w:rPr>
        <w:t>, 53–76. doi:</w:t>
      </w:r>
      <w:hyperlink r:id="rId7" w:history="1">
        <w:r w:rsidR="009A5163" w:rsidRPr="009D1EF5">
          <w:rPr>
            <w:rStyle w:val="Hipervnculo"/>
            <w:rFonts w:ascii="Arial" w:hAnsi="Arial" w:cs="Arial"/>
            <w:color w:val="000000" w:themeColor="text1"/>
            <w:sz w:val="24"/>
            <w:szCs w:val="24"/>
            <w:shd w:val="clear" w:color="auto" w:fill="FCFCFC"/>
          </w:rPr>
          <w:t>10.1037/0021-9010.90.1.53</w:t>
        </w:r>
      </w:hyperlink>
      <w:r w:rsidR="009A5163" w:rsidRPr="009D1EF5">
        <w:rPr>
          <w:rFonts w:ascii="Arial" w:hAnsi="Arial" w:cs="Arial"/>
          <w:color w:val="000000" w:themeColor="text1"/>
          <w:sz w:val="24"/>
          <w:szCs w:val="24"/>
          <w:shd w:val="clear" w:color="auto" w:fill="FCFCFC"/>
        </w:rPr>
        <w:t>.</w:t>
      </w:r>
    </w:p>
    <w:p w14:paraId="5B193A2C" w14:textId="77777777" w:rsidR="001122CE" w:rsidRPr="009D1EF5" w:rsidRDefault="001122CE" w:rsidP="009A5163">
      <w:pPr>
        <w:spacing w:after="0" w:line="276" w:lineRule="auto"/>
        <w:jc w:val="both"/>
        <w:rPr>
          <w:rFonts w:ascii="Arial" w:hAnsi="Arial" w:cs="Arial"/>
          <w:color w:val="000000" w:themeColor="text1"/>
          <w:sz w:val="24"/>
          <w:szCs w:val="24"/>
        </w:rPr>
      </w:pPr>
    </w:p>
    <w:p w14:paraId="3B68BD77" w14:textId="71D986BE" w:rsidR="009A5163" w:rsidRPr="009D1EF5" w:rsidRDefault="001122CE" w:rsidP="009A5163">
      <w:pPr>
        <w:spacing w:after="0" w:line="276" w:lineRule="auto"/>
        <w:jc w:val="both"/>
        <w:rPr>
          <w:rFonts w:ascii="Arial" w:hAnsi="Arial" w:cs="Arial"/>
          <w:color w:val="000000" w:themeColor="text1"/>
          <w:sz w:val="24"/>
          <w:szCs w:val="24"/>
        </w:rPr>
      </w:pPr>
      <w:proofErr w:type="gramStart"/>
      <w:r w:rsidRPr="009D1EF5">
        <w:rPr>
          <w:rFonts w:ascii="Arial" w:hAnsi="Arial" w:cs="Arial"/>
          <w:color w:val="000000" w:themeColor="text1"/>
          <w:sz w:val="24"/>
          <w:szCs w:val="24"/>
        </w:rPr>
        <w:t>.</w:t>
      </w:r>
      <w:r w:rsidRPr="009D1EF5">
        <w:rPr>
          <w:rFonts w:ascii="Arial" w:hAnsi="Arial" w:cs="Arial"/>
          <w:color w:val="000000" w:themeColor="text1"/>
          <w:sz w:val="24"/>
          <w:szCs w:val="24"/>
        </w:rPr>
        <w:t>World</w:t>
      </w:r>
      <w:proofErr w:type="gramEnd"/>
      <w:r w:rsidRPr="009D1EF5">
        <w:rPr>
          <w:rFonts w:ascii="Arial" w:hAnsi="Arial" w:cs="Arial"/>
          <w:color w:val="000000" w:themeColor="text1"/>
          <w:sz w:val="24"/>
          <w:szCs w:val="24"/>
        </w:rPr>
        <w:t xml:space="preserve"> Health Organization</w:t>
      </w:r>
      <w:r w:rsidRPr="009D1EF5">
        <w:rPr>
          <w:rFonts w:ascii="Arial" w:hAnsi="Arial" w:cs="Arial"/>
          <w:color w:val="000000" w:themeColor="text1"/>
          <w:sz w:val="24"/>
          <w:szCs w:val="24"/>
        </w:rPr>
        <w:t>.</w:t>
      </w:r>
      <w:r w:rsidRPr="009D1EF5">
        <w:rPr>
          <w:rFonts w:ascii="Arial" w:hAnsi="Arial" w:cs="Arial"/>
          <w:color w:val="000000" w:themeColor="text1"/>
          <w:sz w:val="24"/>
          <w:szCs w:val="24"/>
        </w:rPr>
        <w:t xml:space="preserve"> </w:t>
      </w:r>
      <w:r w:rsidRPr="009D1EF5">
        <w:rPr>
          <w:rFonts w:ascii="Arial" w:hAnsi="Arial" w:cs="Arial"/>
          <w:color w:val="000000" w:themeColor="text1"/>
          <w:sz w:val="24"/>
          <w:szCs w:val="24"/>
        </w:rPr>
        <w:t>(</w:t>
      </w:r>
      <w:r w:rsidRPr="009D1EF5">
        <w:rPr>
          <w:rFonts w:ascii="Arial" w:hAnsi="Arial" w:cs="Arial"/>
          <w:color w:val="000000" w:themeColor="text1"/>
          <w:sz w:val="24"/>
          <w:szCs w:val="24"/>
        </w:rPr>
        <w:t>2011</w:t>
      </w:r>
      <w:r w:rsidRPr="009D1EF5">
        <w:rPr>
          <w:rFonts w:ascii="Arial" w:hAnsi="Arial" w:cs="Arial"/>
          <w:color w:val="000000" w:themeColor="text1"/>
          <w:sz w:val="24"/>
          <w:szCs w:val="24"/>
        </w:rPr>
        <w:t xml:space="preserve">) </w:t>
      </w:r>
      <w:r w:rsidRPr="009D1EF5">
        <w:rPr>
          <w:rFonts w:ascii="Arial" w:hAnsi="Arial" w:cs="Arial"/>
          <w:color w:val="000000" w:themeColor="text1"/>
          <w:sz w:val="24"/>
          <w:szCs w:val="24"/>
        </w:rPr>
        <w:t>Impact of economic crises on mental health</w:t>
      </w:r>
    </w:p>
    <w:p w14:paraId="6E904D01" w14:textId="6B0D0BF3" w:rsidR="009A5163" w:rsidRPr="009D1EF5" w:rsidRDefault="009A5163" w:rsidP="009A5163">
      <w:pPr>
        <w:spacing w:after="0" w:line="276" w:lineRule="auto"/>
        <w:jc w:val="both"/>
        <w:rPr>
          <w:rFonts w:ascii="Arial" w:hAnsi="Arial" w:cs="Arial"/>
          <w:sz w:val="28"/>
          <w:szCs w:val="28"/>
        </w:rPr>
      </w:pPr>
    </w:p>
    <w:p w14:paraId="2CAF2697" w14:textId="566827A6" w:rsidR="009A5163" w:rsidRPr="009D1EF5" w:rsidRDefault="009A5163" w:rsidP="009A5163">
      <w:pPr>
        <w:spacing w:after="0" w:line="276" w:lineRule="auto"/>
        <w:jc w:val="both"/>
        <w:rPr>
          <w:rFonts w:ascii="Arial" w:hAnsi="Arial" w:cs="Arial"/>
          <w:sz w:val="28"/>
          <w:szCs w:val="28"/>
        </w:rPr>
      </w:pPr>
    </w:p>
    <w:p w14:paraId="74C5FF5E" w14:textId="6AE2A0D9" w:rsidR="009A5163" w:rsidRDefault="009A5163" w:rsidP="009A5163">
      <w:pPr>
        <w:spacing w:after="0" w:line="276" w:lineRule="auto"/>
        <w:jc w:val="both"/>
        <w:rPr>
          <w:rFonts w:ascii="Arial" w:hAnsi="Arial" w:cs="Arial"/>
        </w:rPr>
      </w:pPr>
    </w:p>
    <w:p w14:paraId="13418DA9" w14:textId="54E4445D" w:rsidR="009A5163" w:rsidRDefault="009A5163" w:rsidP="009A5163">
      <w:pPr>
        <w:spacing w:after="0" w:line="276" w:lineRule="auto"/>
        <w:jc w:val="both"/>
        <w:rPr>
          <w:rFonts w:ascii="Arial" w:hAnsi="Arial" w:cs="Arial"/>
        </w:rPr>
      </w:pPr>
    </w:p>
    <w:p w14:paraId="541F97EC" w14:textId="5B142767" w:rsidR="009A5163" w:rsidRDefault="009A5163" w:rsidP="009A5163">
      <w:pPr>
        <w:spacing w:after="0" w:line="276" w:lineRule="auto"/>
        <w:jc w:val="both"/>
        <w:rPr>
          <w:rFonts w:ascii="Arial" w:hAnsi="Arial" w:cs="Arial"/>
        </w:rPr>
      </w:pPr>
    </w:p>
    <w:p w14:paraId="2F387F1F" w14:textId="2571A6E6" w:rsidR="009A5163" w:rsidRDefault="009A5163" w:rsidP="009A5163">
      <w:pPr>
        <w:spacing w:after="0" w:line="276" w:lineRule="auto"/>
        <w:jc w:val="both"/>
        <w:rPr>
          <w:rFonts w:ascii="Arial" w:hAnsi="Arial" w:cs="Arial"/>
        </w:rPr>
      </w:pPr>
    </w:p>
    <w:p w14:paraId="141C88D8" w14:textId="25BA7E4B" w:rsidR="009A5163" w:rsidRDefault="009A5163" w:rsidP="009A5163">
      <w:pPr>
        <w:spacing w:after="0" w:line="276" w:lineRule="auto"/>
        <w:jc w:val="both"/>
        <w:rPr>
          <w:rFonts w:ascii="Arial" w:hAnsi="Arial" w:cs="Arial"/>
        </w:rPr>
      </w:pPr>
    </w:p>
    <w:p w14:paraId="7E8BC315" w14:textId="52C7F38A" w:rsidR="009A5163" w:rsidRDefault="009A5163" w:rsidP="009A5163">
      <w:pPr>
        <w:spacing w:after="0" w:line="276" w:lineRule="auto"/>
        <w:jc w:val="both"/>
        <w:rPr>
          <w:rFonts w:ascii="Arial" w:hAnsi="Arial" w:cs="Arial"/>
        </w:rPr>
      </w:pPr>
    </w:p>
    <w:p w14:paraId="5BD6D929" w14:textId="5C55E68A" w:rsidR="009A5163" w:rsidRDefault="009A5163" w:rsidP="009A5163">
      <w:pPr>
        <w:spacing w:after="0" w:line="276" w:lineRule="auto"/>
        <w:jc w:val="both"/>
        <w:rPr>
          <w:rFonts w:ascii="Arial" w:hAnsi="Arial" w:cs="Arial"/>
        </w:rPr>
      </w:pPr>
    </w:p>
    <w:p w14:paraId="667A2482" w14:textId="76D76A09" w:rsidR="009A5163" w:rsidRDefault="009A5163" w:rsidP="009A5163">
      <w:pPr>
        <w:spacing w:after="0" w:line="276" w:lineRule="auto"/>
        <w:jc w:val="both"/>
        <w:rPr>
          <w:rFonts w:ascii="Arial" w:hAnsi="Arial" w:cs="Arial"/>
        </w:rPr>
      </w:pPr>
    </w:p>
    <w:p w14:paraId="410BE12B" w14:textId="77777777" w:rsidR="009A5163" w:rsidRPr="009A5163" w:rsidRDefault="009A5163" w:rsidP="009A5163">
      <w:pPr>
        <w:spacing w:after="0" w:line="276" w:lineRule="auto"/>
        <w:jc w:val="both"/>
        <w:rPr>
          <w:rFonts w:ascii="Arial" w:hAnsi="Arial" w:cs="Arial"/>
        </w:rPr>
      </w:pPr>
    </w:p>
    <w:sectPr w:rsidR="009A5163" w:rsidRPr="009A51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BED91" w14:textId="77777777" w:rsidR="00C12675" w:rsidRDefault="00C12675" w:rsidP="009A5163">
      <w:pPr>
        <w:spacing w:after="0" w:line="240" w:lineRule="auto"/>
      </w:pPr>
      <w:r>
        <w:separator/>
      </w:r>
    </w:p>
  </w:endnote>
  <w:endnote w:type="continuationSeparator" w:id="0">
    <w:p w14:paraId="45956B70" w14:textId="77777777" w:rsidR="00C12675" w:rsidRDefault="00C12675" w:rsidP="009A5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ACFE1" w14:textId="77777777" w:rsidR="00C12675" w:rsidRDefault="00C12675" w:rsidP="009A5163">
      <w:pPr>
        <w:spacing w:after="0" w:line="240" w:lineRule="auto"/>
      </w:pPr>
      <w:r>
        <w:separator/>
      </w:r>
    </w:p>
  </w:footnote>
  <w:footnote w:type="continuationSeparator" w:id="0">
    <w:p w14:paraId="1494F532" w14:textId="77777777" w:rsidR="00C12675" w:rsidRDefault="00C12675" w:rsidP="009A51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163"/>
    <w:rsid w:val="001122CE"/>
    <w:rsid w:val="00317AD8"/>
    <w:rsid w:val="00462613"/>
    <w:rsid w:val="009A5163"/>
    <w:rsid w:val="009D1EF5"/>
    <w:rsid w:val="00C12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CDFA7"/>
  <w15:chartTrackingRefBased/>
  <w15:docId w15:val="{BCD32D2D-966E-424C-9DB4-9F32C0E5A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122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5163"/>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9A5163"/>
  </w:style>
  <w:style w:type="paragraph" w:styleId="Piedepgina">
    <w:name w:val="footer"/>
    <w:basedOn w:val="Normal"/>
    <w:link w:val="PiedepginaCar"/>
    <w:uiPriority w:val="99"/>
    <w:unhideWhenUsed/>
    <w:rsid w:val="009A5163"/>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9A5163"/>
  </w:style>
  <w:style w:type="character" w:styleId="Hipervnculo">
    <w:name w:val="Hyperlink"/>
    <w:basedOn w:val="Fuentedeprrafopredeter"/>
    <w:uiPriority w:val="99"/>
    <w:semiHidden/>
    <w:unhideWhenUsed/>
    <w:rsid w:val="009A5163"/>
    <w:rPr>
      <w:color w:val="0000FF"/>
      <w:u w:val="single"/>
    </w:rPr>
  </w:style>
  <w:style w:type="character" w:customStyle="1" w:styleId="Ttulo1Car">
    <w:name w:val="Título 1 Car"/>
    <w:basedOn w:val="Fuentedeprrafopredeter"/>
    <w:link w:val="Ttulo1"/>
    <w:uiPriority w:val="9"/>
    <w:rsid w:val="001122C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0937005">
      <w:bodyDiv w:val="1"/>
      <w:marLeft w:val="0"/>
      <w:marRight w:val="0"/>
      <w:marTop w:val="0"/>
      <w:marBottom w:val="0"/>
      <w:divBdr>
        <w:top w:val="none" w:sz="0" w:space="0" w:color="auto"/>
        <w:left w:val="none" w:sz="0" w:space="0" w:color="auto"/>
        <w:bottom w:val="none" w:sz="0" w:space="0" w:color="auto"/>
        <w:right w:val="none" w:sz="0" w:space="0" w:color="auto"/>
      </w:divBdr>
    </w:div>
    <w:div w:id="1461990769">
      <w:bodyDiv w:val="1"/>
      <w:marLeft w:val="0"/>
      <w:marRight w:val="0"/>
      <w:marTop w:val="0"/>
      <w:marBottom w:val="0"/>
      <w:divBdr>
        <w:top w:val="none" w:sz="0" w:space="0" w:color="auto"/>
        <w:left w:val="none" w:sz="0" w:space="0" w:color="auto"/>
        <w:bottom w:val="none" w:sz="0" w:space="0" w:color="auto"/>
        <w:right w:val="none" w:sz="0" w:space="0" w:color="auto"/>
      </w:divBdr>
    </w:div>
    <w:div w:id="1594776271">
      <w:bodyDiv w:val="1"/>
      <w:marLeft w:val="0"/>
      <w:marRight w:val="0"/>
      <w:marTop w:val="0"/>
      <w:marBottom w:val="0"/>
      <w:divBdr>
        <w:top w:val="none" w:sz="0" w:space="0" w:color="auto"/>
        <w:left w:val="none" w:sz="0" w:space="0" w:color="auto"/>
        <w:bottom w:val="none" w:sz="0" w:space="0" w:color="auto"/>
        <w:right w:val="none" w:sz="0" w:space="0" w:color="auto"/>
      </w:divBdr>
    </w:div>
    <w:div w:id="193593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37/0021-9010.90.1.5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h008578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620</Words>
  <Characters>3439</Characters>
  <Application>Microsoft Office Word</Application>
  <DocSecurity>0</DocSecurity>
  <Lines>52</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 Steinweg</dc:creator>
  <cp:keywords/>
  <dc:description/>
  <cp:lastModifiedBy>Mey Steinweg</cp:lastModifiedBy>
  <cp:revision>1</cp:revision>
  <dcterms:created xsi:type="dcterms:W3CDTF">2021-02-11T12:44:00Z</dcterms:created>
  <dcterms:modified xsi:type="dcterms:W3CDTF">2021-02-11T13:16:00Z</dcterms:modified>
</cp:coreProperties>
</file>