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0B351EE3" w14:textId="346A7B41" w:rsidR="00067BC2" w:rsidRPr="00CA2FC8" w:rsidRDefault="55AD9FD9" w:rsidP="580BBF7F">
      <w:pPr>
        <w:spacing w:line="360" w:lineRule="auto"/>
        <w:rPr>
          <w:rFonts w:ascii="Arial" w:eastAsia="Arial" w:hAnsi="Arial" w:cs="Arial"/>
          <w:i/>
          <w:iCs/>
          <w:color w:val="501549" w:themeColor="accent5" w:themeShade="80"/>
          <w:sz w:val="40"/>
          <w:szCs w:val="40"/>
        </w:rPr>
      </w:pPr>
      <w:r w:rsidRPr="00CA2FC8">
        <w:rPr>
          <w:rFonts w:ascii="Arial Black" w:eastAsia="Arial Black" w:hAnsi="Arial Black" w:cs="Arial Black"/>
          <w:b/>
          <w:bCs/>
          <w:i/>
          <w:iCs/>
          <w:color w:val="501549" w:themeColor="accent5" w:themeShade="80"/>
          <w:sz w:val="40"/>
          <w:szCs w:val="40"/>
        </w:rPr>
        <w:t>CONTEMPORARY HUMAN RESOURCE CHALLENGES AND HR PRACTICE AT BT GROUP PLC</w:t>
      </w:r>
    </w:p>
    <w:p w14:paraId="1AAEC97B" w14:textId="672771AD" w:rsidR="00067BC2" w:rsidRDefault="005861CE" w:rsidP="005861CE">
      <w:pPr>
        <w:spacing w:line="360" w:lineRule="auto"/>
        <w:jc w:val="center"/>
        <w:rPr>
          <w:rFonts w:ascii="Arial" w:eastAsia="Arial" w:hAnsi="Arial" w:cs="Arial"/>
          <w:color w:val="000000" w:themeColor="text1"/>
          <w:sz w:val="40"/>
          <w:szCs w:val="40"/>
        </w:rPr>
      </w:pPr>
      <w:r>
        <w:rPr>
          <w:noProof/>
        </w:rPr>
        <w:drawing>
          <wp:inline distT="0" distB="0" distL="0" distR="0" wp14:anchorId="6123C37A" wp14:editId="4FE7864E">
            <wp:extent cx="4481047" cy="2152650"/>
            <wp:effectExtent l="0" t="0" r="0" b="0"/>
            <wp:docPr id="1583451655" name="Picture 1" descr="BT Group BT Mobile Logo BT TV Business, Business, blue, text png | PNGE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T Group BT Mobile Logo BT TV Business, Business, blue, text png | PNGEg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89251" cy="2156591"/>
                    </a:xfrm>
                    <a:prstGeom prst="rect">
                      <a:avLst/>
                    </a:prstGeom>
                    <a:noFill/>
                    <a:ln>
                      <a:noFill/>
                    </a:ln>
                  </pic:spPr>
                </pic:pic>
              </a:graphicData>
            </a:graphic>
          </wp:inline>
        </w:drawing>
      </w:r>
    </w:p>
    <w:p w14:paraId="5EAFC6D1" w14:textId="29FA6384" w:rsidR="00067BC2" w:rsidRPr="00402B36" w:rsidRDefault="00067BC2" w:rsidP="64009085">
      <w:pPr>
        <w:spacing w:line="360" w:lineRule="auto"/>
        <w:rPr>
          <w:sz w:val="32"/>
          <w:szCs w:val="32"/>
        </w:rPr>
      </w:pPr>
    </w:p>
    <w:p w14:paraId="184D2BD2" w14:textId="412B0AD1" w:rsidR="00067BC2" w:rsidRPr="00402B36" w:rsidRDefault="55AD9FD9" w:rsidP="580BBF7F">
      <w:pPr>
        <w:spacing w:line="360" w:lineRule="auto"/>
        <w:rPr>
          <w:rFonts w:ascii="Arial" w:eastAsia="Arial" w:hAnsi="Arial" w:cs="Arial"/>
          <w:color w:val="000000" w:themeColor="text1"/>
          <w:sz w:val="32"/>
          <w:szCs w:val="32"/>
        </w:rPr>
      </w:pPr>
      <w:r w:rsidRPr="00402B36">
        <w:rPr>
          <w:rFonts w:ascii="Arial" w:eastAsia="Arial" w:hAnsi="Arial" w:cs="Arial"/>
          <w:b/>
          <w:bCs/>
          <w:color w:val="000000" w:themeColor="text1"/>
          <w:sz w:val="32"/>
          <w:szCs w:val="32"/>
        </w:rPr>
        <w:t>Student Name:</w:t>
      </w:r>
      <w:r w:rsidRPr="00402B36">
        <w:rPr>
          <w:rFonts w:ascii="Arial" w:eastAsia="Arial" w:hAnsi="Arial" w:cs="Arial"/>
          <w:color w:val="000000" w:themeColor="text1"/>
          <w:sz w:val="32"/>
          <w:szCs w:val="32"/>
        </w:rPr>
        <w:t xml:space="preserve">  Muhammad Waheed Nadeem</w:t>
      </w:r>
      <w:r w:rsidR="000A7370" w:rsidRPr="00402B36">
        <w:rPr>
          <w:sz w:val="32"/>
          <w:szCs w:val="32"/>
        </w:rPr>
        <w:br/>
      </w:r>
      <w:r w:rsidRPr="00402B36">
        <w:rPr>
          <w:rFonts w:ascii="Arial" w:eastAsia="Arial" w:hAnsi="Arial" w:cs="Arial"/>
          <w:b/>
          <w:bCs/>
          <w:color w:val="000000" w:themeColor="text1"/>
          <w:sz w:val="32"/>
          <w:szCs w:val="32"/>
        </w:rPr>
        <w:t>Student Number:</w:t>
      </w:r>
      <w:r w:rsidRPr="00402B36">
        <w:rPr>
          <w:rFonts w:ascii="Arial" w:eastAsia="Arial" w:hAnsi="Arial" w:cs="Arial"/>
          <w:color w:val="000000" w:themeColor="text1"/>
          <w:sz w:val="32"/>
          <w:szCs w:val="32"/>
        </w:rPr>
        <w:t xml:space="preserve"> 2434525</w:t>
      </w:r>
      <w:r w:rsidR="000A7370" w:rsidRPr="00402B36">
        <w:rPr>
          <w:sz w:val="32"/>
          <w:szCs w:val="32"/>
        </w:rPr>
        <w:br/>
      </w:r>
      <w:r w:rsidRPr="00402B36">
        <w:rPr>
          <w:rFonts w:ascii="Arial" w:eastAsia="Arial" w:hAnsi="Arial" w:cs="Arial"/>
          <w:b/>
          <w:bCs/>
          <w:color w:val="000000" w:themeColor="text1"/>
          <w:sz w:val="32"/>
          <w:szCs w:val="32"/>
        </w:rPr>
        <w:t>Module Code and Title:</w:t>
      </w:r>
      <w:r w:rsidRPr="00402B36">
        <w:rPr>
          <w:rFonts w:ascii="Arial" w:eastAsia="Arial" w:hAnsi="Arial" w:cs="Arial"/>
          <w:color w:val="000000" w:themeColor="text1"/>
          <w:sz w:val="32"/>
          <w:szCs w:val="32"/>
        </w:rPr>
        <w:t xml:space="preserve"> LCLM5002 – BA Leadership and Management Skills for the Workplace</w:t>
      </w:r>
      <w:r w:rsidR="000A7370" w:rsidRPr="00402B36">
        <w:rPr>
          <w:sz w:val="32"/>
          <w:szCs w:val="32"/>
        </w:rPr>
        <w:br/>
      </w:r>
      <w:r w:rsidRPr="00402B36">
        <w:rPr>
          <w:rFonts w:ascii="Arial" w:eastAsia="Arial" w:hAnsi="Arial" w:cs="Arial"/>
          <w:b/>
          <w:bCs/>
          <w:color w:val="000000" w:themeColor="text1"/>
          <w:sz w:val="32"/>
          <w:szCs w:val="32"/>
        </w:rPr>
        <w:t>Lecturer Name:</w:t>
      </w:r>
      <w:r w:rsidRPr="00402B36">
        <w:rPr>
          <w:rFonts w:ascii="Arial" w:eastAsia="Arial" w:hAnsi="Arial" w:cs="Arial"/>
          <w:color w:val="000000" w:themeColor="text1"/>
          <w:sz w:val="32"/>
          <w:szCs w:val="32"/>
        </w:rPr>
        <w:t xml:space="preserve"> SAMSON OLADEJO</w:t>
      </w:r>
      <w:r w:rsidR="000A7370" w:rsidRPr="00402B36">
        <w:rPr>
          <w:sz w:val="32"/>
          <w:szCs w:val="32"/>
        </w:rPr>
        <w:br/>
      </w:r>
      <w:r w:rsidRPr="00402B36">
        <w:rPr>
          <w:rFonts w:ascii="Arial" w:eastAsia="Arial" w:hAnsi="Arial" w:cs="Arial"/>
          <w:b/>
          <w:bCs/>
          <w:color w:val="000000" w:themeColor="text1"/>
          <w:sz w:val="32"/>
          <w:szCs w:val="32"/>
        </w:rPr>
        <w:t>Assignment Title:</w:t>
      </w:r>
      <w:r w:rsidRPr="00402B36">
        <w:rPr>
          <w:rFonts w:ascii="Arial" w:eastAsia="Arial" w:hAnsi="Arial" w:cs="Arial"/>
          <w:color w:val="000000" w:themeColor="text1"/>
          <w:sz w:val="32"/>
          <w:szCs w:val="32"/>
        </w:rPr>
        <w:t xml:space="preserve"> Contemporary Human Resource Challenges and HR Practice at BT Group plc</w:t>
      </w:r>
    </w:p>
    <w:p w14:paraId="511C639F" w14:textId="2C72D856" w:rsidR="00067BC2" w:rsidRPr="00402B36" w:rsidRDefault="55AD9FD9" w:rsidP="64009085">
      <w:pPr>
        <w:spacing w:line="360" w:lineRule="auto"/>
        <w:rPr>
          <w:sz w:val="32"/>
          <w:szCs w:val="32"/>
        </w:rPr>
      </w:pPr>
      <w:r w:rsidRPr="00402B36">
        <w:rPr>
          <w:rFonts w:ascii="Arial" w:eastAsia="Arial" w:hAnsi="Arial" w:cs="Arial"/>
          <w:b/>
          <w:bCs/>
          <w:color w:val="000000" w:themeColor="text1"/>
          <w:sz w:val="32"/>
          <w:szCs w:val="32"/>
        </w:rPr>
        <w:t>Submission date:</w:t>
      </w:r>
      <w:r w:rsidRPr="00402B36">
        <w:rPr>
          <w:rFonts w:ascii="Arial" w:eastAsia="Arial" w:hAnsi="Arial" w:cs="Arial"/>
          <w:color w:val="000000" w:themeColor="text1"/>
          <w:sz w:val="32"/>
          <w:szCs w:val="32"/>
        </w:rPr>
        <w:t xml:space="preserve"> 20</w:t>
      </w:r>
      <w:r w:rsidRPr="00402B36">
        <w:rPr>
          <w:rFonts w:ascii="Arial" w:eastAsia="Arial" w:hAnsi="Arial" w:cs="Arial"/>
          <w:color w:val="000000" w:themeColor="text1"/>
          <w:sz w:val="32"/>
          <w:szCs w:val="32"/>
          <w:vertAlign w:val="superscript"/>
        </w:rPr>
        <w:t>th</w:t>
      </w:r>
      <w:r w:rsidRPr="00402B36">
        <w:rPr>
          <w:rFonts w:ascii="Arial" w:eastAsia="Arial" w:hAnsi="Arial" w:cs="Arial"/>
          <w:color w:val="000000" w:themeColor="text1"/>
          <w:sz w:val="32"/>
          <w:szCs w:val="32"/>
        </w:rPr>
        <w:t xml:space="preserve"> July 2026</w:t>
      </w:r>
    </w:p>
    <w:p w14:paraId="3EEDA9A7" w14:textId="3B1EFA0F" w:rsidR="00402B36" w:rsidRDefault="00402B36" w:rsidP="580BBF7F">
      <w:pPr>
        <w:spacing w:line="360" w:lineRule="auto"/>
        <w:jc w:val="center"/>
        <w:rPr>
          <w:rFonts w:ascii="Arial" w:eastAsia="Arial" w:hAnsi="Arial" w:cs="Arial"/>
          <w:b/>
          <w:bCs/>
          <w:color w:val="000000" w:themeColor="text1"/>
          <w:sz w:val="40"/>
          <w:szCs w:val="40"/>
        </w:rPr>
      </w:pPr>
    </w:p>
    <w:p w14:paraId="0C701EAE" w14:textId="08C1AB7C" w:rsidR="00402B36" w:rsidRDefault="00402B36" w:rsidP="580BBF7F">
      <w:pPr>
        <w:spacing w:line="360" w:lineRule="auto"/>
        <w:jc w:val="center"/>
        <w:rPr>
          <w:rFonts w:ascii="Arial" w:eastAsia="Arial" w:hAnsi="Arial" w:cs="Arial"/>
          <w:b/>
          <w:bCs/>
          <w:color w:val="000000" w:themeColor="text1"/>
          <w:sz w:val="40"/>
          <w:szCs w:val="40"/>
        </w:rPr>
      </w:pPr>
    </w:p>
    <w:p w14:paraId="14A6ACCD" w14:textId="3E92450F" w:rsidR="3D433A84" w:rsidRPr="00402B36" w:rsidRDefault="3D433A84" w:rsidP="580BBF7F">
      <w:pPr>
        <w:spacing w:line="360" w:lineRule="auto"/>
        <w:jc w:val="center"/>
      </w:pPr>
      <w:r w:rsidRPr="00402B36">
        <w:rPr>
          <w:rFonts w:ascii="Arial" w:eastAsia="Arial" w:hAnsi="Arial" w:cs="Arial"/>
          <w:b/>
          <w:bCs/>
          <w:color w:val="000000" w:themeColor="text1"/>
          <w:sz w:val="40"/>
          <w:szCs w:val="40"/>
        </w:rPr>
        <w:t>Table of contents</w:t>
      </w:r>
    </w:p>
    <w:sdt>
      <w:sdtPr>
        <w:id w:val="636834542"/>
        <w:docPartObj>
          <w:docPartGallery w:val="Table of Contents"/>
          <w:docPartUnique/>
        </w:docPartObj>
      </w:sdtPr>
      <w:sdtEndPr>
        <w:rPr>
          <w:b/>
          <w:bCs/>
        </w:rPr>
      </w:sdtEndPr>
      <w:sdtContent>
        <w:p w14:paraId="07A3D2A8" w14:textId="796FA2DE" w:rsidR="00EB315D" w:rsidRPr="00CA2FC8" w:rsidRDefault="580BBF7F">
          <w:pPr>
            <w:pStyle w:val="TOC2"/>
            <w:tabs>
              <w:tab w:val="right" w:leader="dot" w:pos="9016"/>
            </w:tabs>
            <w:rPr>
              <w:b/>
              <w:bCs/>
              <w:noProof/>
              <w:kern w:val="2"/>
              <w:lang w:eastAsia="en-GB"/>
              <w14:ligatures w14:val="standardContextual"/>
            </w:rPr>
          </w:pPr>
          <w:r w:rsidRPr="009D0D3D">
            <w:rPr>
              <w:b/>
              <w:bCs/>
            </w:rPr>
            <w:fldChar w:fldCharType="begin"/>
          </w:r>
          <w:r w:rsidRPr="009D0D3D">
            <w:rPr>
              <w:b/>
              <w:bCs/>
            </w:rPr>
            <w:instrText>TOC \o \z \u \h</w:instrText>
          </w:r>
          <w:r w:rsidRPr="009D0D3D">
            <w:rPr>
              <w:b/>
              <w:bCs/>
            </w:rPr>
            <w:fldChar w:fldCharType="separate"/>
          </w:r>
          <w:hyperlink w:anchor="_Toc235326118" w:history="1">
            <w:r w:rsidR="00EB315D" w:rsidRPr="009D0D3D">
              <w:rPr>
                <w:rStyle w:val="Hyperlink"/>
                <w:b/>
                <w:bCs/>
                <w:noProof/>
                <w:u w:val="none"/>
              </w:rPr>
              <w:t>Executive</w:t>
            </w:r>
            <w:r w:rsidR="00EB315D" w:rsidRPr="00CA2FC8">
              <w:rPr>
                <w:rStyle w:val="Hyperlink"/>
                <w:b/>
                <w:bCs/>
                <w:noProof/>
              </w:rPr>
              <w:t xml:space="preserve"> Summary</w:t>
            </w:r>
            <w:r w:rsidR="00EB315D" w:rsidRPr="00CA2FC8">
              <w:rPr>
                <w:b/>
                <w:bCs/>
                <w:noProof/>
                <w:webHidden/>
              </w:rPr>
              <w:tab/>
            </w:r>
            <w:r w:rsidR="00EB315D" w:rsidRPr="00CA2FC8">
              <w:rPr>
                <w:b/>
                <w:bCs/>
                <w:noProof/>
                <w:webHidden/>
              </w:rPr>
              <w:fldChar w:fldCharType="begin"/>
            </w:r>
            <w:r w:rsidR="00EB315D" w:rsidRPr="00CA2FC8">
              <w:rPr>
                <w:b/>
                <w:bCs/>
                <w:noProof/>
                <w:webHidden/>
              </w:rPr>
              <w:instrText xml:space="preserve"> PAGEREF _Toc235326118 \h </w:instrText>
            </w:r>
            <w:r w:rsidR="00EB315D" w:rsidRPr="00CA2FC8">
              <w:rPr>
                <w:b/>
                <w:bCs/>
                <w:noProof/>
                <w:webHidden/>
              </w:rPr>
            </w:r>
            <w:r w:rsidR="00EB315D" w:rsidRPr="00CA2FC8">
              <w:rPr>
                <w:b/>
                <w:bCs/>
                <w:noProof/>
                <w:webHidden/>
              </w:rPr>
              <w:fldChar w:fldCharType="separate"/>
            </w:r>
            <w:r w:rsidR="00EB315D" w:rsidRPr="00CA2FC8">
              <w:rPr>
                <w:b/>
                <w:bCs/>
                <w:noProof/>
                <w:webHidden/>
              </w:rPr>
              <w:t>3</w:t>
            </w:r>
            <w:r w:rsidR="00EB315D" w:rsidRPr="00CA2FC8">
              <w:rPr>
                <w:b/>
                <w:bCs/>
                <w:noProof/>
                <w:webHidden/>
              </w:rPr>
              <w:fldChar w:fldCharType="end"/>
            </w:r>
          </w:hyperlink>
        </w:p>
        <w:p w14:paraId="32D53A51" w14:textId="7A5A22AE" w:rsidR="00EB315D" w:rsidRPr="00CA2FC8" w:rsidRDefault="00EB315D">
          <w:pPr>
            <w:pStyle w:val="TOC2"/>
            <w:tabs>
              <w:tab w:val="right" w:leader="dot" w:pos="9016"/>
            </w:tabs>
            <w:rPr>
              <w:b/>
              <w:bCs/>
              <w:noProof/>
              <w:kern w:val="2"/>
              <w:lang w:eastAsia="en-GB"/>
              <w14:ligatures w14:val="standardContextual"/>
            </w:rPr>
          </w:pPr>
          <w:hyperlink w:anchor="_Toc235326119" w:history="1">
            <w:r w:rsidRPr="00CA2FC8">
              <w:rPr>
                <w:rStyle w:val="Hyperlink"/>
                <w:rFonts w:ascii="Arial" w:eastAsia="Arial" w:hAnsi="Arial" w:cs="Arial"/>
                <w:b/>
                <w:bCs/>
                <w:noProof/>
              </w:rPr>
              <w:t>1. Introduction</w:t>
            </w:r>
            <w:r w:rsidRPr="00CA2FC8">
              <w:rPr>
                <w:b/>
                <w:bCs/>
                <w:noProof/>
                <w:webHidden/>
              </w:rPr>
              <w:tab/>
            </w:r>
            <w:r w:rsidRPr="00CA2FC8">
              <w:rPr>
                <w:b/>
                <w:bCs/>
                <w:noProof/>
                <w:webHidden/>
              </w:rPr>
              <w:fldChar w:fldCharType="begin"/>
            </w:r>
            <w:r w:rsidRPr="00CA2FC8">
              <w:rPr>
                <w:b/>
                <w:bCs/>
                <w:noProof/>
                <w:webHidden/>
              </w:rPr>
              <w:instrText xml:space="preserve"> PAGEREF _Toc235326119 \h </w:instrText>
            </w:r>
            <w:r w:rsidRPr="00CA2FC8">
              <w:rPr>
                <w:b/>
                <w:bCs/>
                <w:noProof/>
                <w:webHidden/>
              </w:rPr>
            </w:r>
            <w:r w:rsidRPr="00CA2FC8">
              <w:rPr>
                <w:b/>
                <w:bCs/>
                <w:noProof/>
                <w:webHidden/>
              </w:rPr>
              <w:fldChar w:fldCharType="separate"/>
            </w:r>
            <w:r w:rsidRPr="00CA2FC8">
              <w:rPr>
                <w:b/>
                <w:bCs/>
                <w:noProof/>
                <w:webHidden/>
              </w:rPr>
              <w:t>3</w:t>
            </w:r>
            <w:r w:rsidRPr="00CA2FC8">
              <w:rPr>
                <w:b/>
                <w:bCs/>
                <w:noProof/>
                <w:webHidden/>
              </w:rPr>
              <w:fldChar w:fldCharType="end"/>
            </w:r>
          </w:hyperlink>
        </w:p>
        <w:p w14:paraId="392B139D" w14:textId="3EBD3028" w:rsidR="00EB315D" w:rsidRPr="00CA2FC8" w:rsidRDefault="00EB315D">
          <w:pPr>
            <w:pStyle w:val="TOC2"/>
            <w:tabs>
              <w:tab w:val="right" w:leader="dot" w:pos="9016"/>
            </w:tabs>
            <w:rPr>
              <w:b/>
              <w:bCs/>
              <w:noProof/>
              <w:kern w:val="2"/>
              <w:lang w:eastAsia="en-GB"/>
              <w14:ligatures w14:val="standardContextual"/>
            </w:rPr>
          </w:pPr>
          <w:hyperlink w:anchor="_Toc235326120" w:history="1">
            <w:r w:rsidRPr="00CA2FC8">
              <w:rPr>
                <w:rStyle w:val="Hyperlink"/>
                <w:b/>
                <w:bCs/>
                <w:noProof/>
              </w:rPr>
              <w:t>2. Key Organisational Factors Affecting BT Group</w:t>
            </w:r>
            <w:r w:rsidRPr="00CA2FC8">
              <w:rPr>
                <w:b/>
                <w:bCs/>
                <w:noProof/>
                <w:webHidden/>
              </w:rPr>
              <w:tab/>
            </w:r>
            <w:r w:rsidRPr="00CA2FC8">
              <w:rPr>
                <w:b/>
                <w:bCs/>
                <w:noProof/>
                <w:webHidden/>
              </w:rPr>
              <w:fldChar w:fldCharType="begin"/>
            </w:r>
            <w:r w:rsidRPr="00CA2FC8">
              <w:rPr>
                <w:b/>
                <w:bCs/>
                <w:noProof/>
                <w:webHidden/>
              </w:rPr>
              <w:instrText xml:space="preserve"> PAGEREF _Toc235326120 \h </w:instrText>
            </w:r>
            <w:r w:rsidRPr="00CA2FC8">
              <w:rPr>
                <w:b/>
                <w:bCs/>
                <w:noProof/>
                <w:webHidden/>
              </w:rPr>
            </w:r>
            <w:r w:rsidRPr="00CA2FC8">
              <w:rPr>
                <w:b/>
                <w:bCs/>
                <w:noProof/>
                <w:webHidden/>
              </w:rPr>
              <w:fldChar w:fldCharType="separate"/>
            </w:r>
            <w:r w:rsidRPr="00CA2FC8">
              <w:rPr>
                <w:b/>
                <w:bCs/>
                <w:noProof/>
                <w:webHidden/>
              </w:rPr>
              <w:t>3</w:t>
            </w:r>
            <w:r w:rsidRPr="00CA2FC8">
              <w:rPr>
                <w:b/>
                <w:bCs/>
                <w:noProof/>
                <w:webHidden/>
              </w:rPr>
              <w:fldChar w:fldCharType="end"/>
            </w:r>
          </w:hyperlink>
        </w:p>
        <w:p w14:paraId="449C2DE0" w14:textId="78E4D9E0" w:rsidR="00EB315D" w:rsidRPr="00CA2FC8" w:rsidRDefault="00EB315D">
          <w:pPr>
            <w:pStyle w:val="TOC2"/>
            <w:tabs>
              <w:tab w:val="right" w:leader="dot" w:pos="9016"/>
            </w:tabs>
            <w:rPr>
              <w:b/>
              <w:bCs/>
              <w:noProof/>
              <w:kern w:val="2"/>
              <w:lang w:eastAsia="en-GB"/>
              <w14:ligatures w14:val="standardContextual"/>
            </w:rPr>
          </w:pPr>
          <w:hyperlink w:anchor="_Toc235326121" w:history="1">
            <w:r w:rsidRPr="00CA2FC8">
              <w:rPr>
                <w:rStyle w:val="Hyperlink"/>
                <w:rFonts w:cstheme="minorHAnsi"/>
                <w:b/>
                <w:bCs/>
                <w:noProof/>
              </w:rPr>
              <w:t>2.1 Adapting to Technological Advancements</w:t>
            </w:r>
            <w:r w:rsidRPr="00CA2FC8">
              <w:rPr>
                <w:b/>
                <w:bCs/>
                <w:noProof/>
                <w:webHidden/>
              </w:rPr>
              <w:tab/>
            </w:r>
            <w:r w:rsidRPr="00CA2FC8">
              <w:rPr>
                <w:b/>
                <w:bCs/>
                <w:noProof/>
                <w:webHidden/>
              </w:rPr>
              <w:fldChar w:fldCharType="begin"/>
            </w:r>
            <w:r w:rsidRPr="00CA2FC8">
              <w:rPr>
                <w:b/>
                <w:bCs/>
                <w:noProof/>
                <w:webHidden/>
              </w:rPr>
              <w:instrText xml:space="preserve"> PAGEREF _Toc235326121 \h </w:instrText>
            </w:r>
            <w:r w:rsidRPr="00CA2FC8">
              <w:rPr>
                <w:b/>
                <w:bCs/>
                <w:noProof/>
                <w:webHidden/>
              </w:rPr>
            </w:r>
            <w:r w:rsidRPr="00CA2FC8">
              <w:rPr>
                <w:b/>
                <w:bCs/>
                <w:noProof/>
                <w:webHidden/>
              </w:rPr>
              <w:fldChar w:fldCharType="separate"/>
            </w:r>
            <w:r w:rsidRPr="00CA2FC8">
              <w:rPr>
                <w:b/>
                <w:bCs/>
                <w:noProof/>
                <w:webHidden/>
              </w:rPr>
              <w:t>3</w:t>
            </w:r>
            <w:r w:rsidRPr="00CA2FC8">
              <w:rPr>
                <w:b/>
                <w:bCs/>
                <w:noProof/>
                <w:webHidden/>
              </w:rPr>
              <w:fldChar w:fldCharType="end"/>
            </w:r>
          </w:hyperlink>
        </w:p>
        <w:p w14:paraId="3698BAEC" w14:textId="2966254F" w:rsidR="00EB315D" w:rsidRPr="00CA2FC8" w:rsidRDefault="00EB315D">
          <w:pPr>
            <w:pStyle w:val="TOC2"/>
            <w:tabs>
              <w:tab w:val="right" w:leader="dot" w:pos="9016"/>
            </w:tabs>
            <w:rPr>
              <w:b/>
              <w:bCs/>
              <w:noProof/>
              <w:kern w:val="2"/>
              <w:lang w:eastAsia="en-GB"/>
              <w14:ligatures w14:val="standardContextual"/>
            </w:rPr>
          </w:pPr>
          <w:hyperlink w:anchor="_Toc235326122" w:history="1">
            <w:r w:rsidRPr="00CA2FC8">
              <w:rPr>
                <w:rStyle w:val="Hyperlink"/>
                <w:rFonts w:cstheme="minorHAnsi"/>
                <w:b/>
                <w:bCs/>
                <w:noProof/>
              </w:rPr>
              <w:t>2.2 Talent Acquisition and Retention</w:t>
            </w:r>
            <w:r w:rsidRPr="00CA2FC8">
              <w:rPr>
                <w:b/>
                <w:bCs/>
                <w:noProof/>
                <w:webHidden/>
              </w:rPr>
              <w:tab/>
            </w:r>
            <w:r w:rsidRPr="00CA2FC8">
              <w:rPr>
                <w:b/>
                <w:bCs/>
                <w:noProof/>
                <w:webHidden/>
              </w:rPr>
              <w:fldChar w:fldCharType="begin"/>
            </w:r>
            <w:r w:rsidRPr="00CA2FC8">
              <w:rPr>
                <w:b/>
                <w:bCs/>
                <w:noProof/>
                <w:webHidden/>
              </w:rPr>
              <w:instrText xml:space="preserve"> PAGEREF _Toc235326122 \h </w:instrText>
            </w:r>
            <w:r w:rsidRPr="00CA2FC8">
              <w:rPr>
                <w:b/>
                <w:bCs/>
                <w:noProof/>
                <w:webHidden/>
              </w:rPr>
            </w:r>
            <w:r w:rsidRPr="00CA2FC8">
              <w:rPr>
                <w:b/>
                <w:bCs/>
                <w:noProof/>
                <w:webHidden/>
              </w:rPr>
              <w:fldChar w:fldCharType="separate"/>
            </w:r>
            <w:r w:rsidRPr="00CA2FC8">
              <w:rPr>
                <w:b/>
                <w:bCs/>
                <w:noProof/>
                <w:webHidden/>
              </w:rPr>
              <w:t>4</w:t>
            </w:r>
            <w:r w:rsidRPr="00CA2FC8">
              <w:rPr>
                <w:b/>
                <w:bCs/>
                <w:noProof/>
                <w:webHidden/>
              </w:rPr>
              <w:fldChar w:fldCharType="end"/>
            </w:r>
          </w:hyperlink>
        </w:p>
        <w:p w14:paraId="1C47D3B1" w14:textId="226180F2" w:rsidR="00EB315D" w:rsidRPr="00CA2FC8" w:rsidRDefault="00EB315D">
          <w:pPr>
            <w:pStyle w:val="TOC2"/>
            <w:tabs>
              <w:tab w:val="right" w:leader="dot" w:pos="9016"/>
            </w:tabs>
            <w:rPr>
              <w:b/>
              <w:bCs/>
              <w:noProof/>
              <w:kern w:val="2"/>
              <w:lang w:eastAsia="en-GB"/>
              <w14:ligatures w14:val="standardContextual"/>
            </w:rPr>
          </w:pPr>
          <w:hyperlink w:anchor="_Toc235326123" w:history="1">
            <w:r w:rsidRPr="00CA2FC8">
              <w:rPr>
                <w:rStyle w:val="Hyperlink"/>
                <w:rFonts w:cstheme="minorHAnsi"/>
                <w:b/>
                <w:bCs/>
                <w:noProof/>
              </w:rPr>
              <w:t>2.3 Diversity, Equity and Inclusion (DEI)</w:t>
            </w:r>
            <w:r w:rsidRPr="00CA2FC8">
              <w:rPr>
                <w:b/>
                <w:bCs/>
                <w:noProof/>
                <w:webHidden/>
              </w:rPr>
              <w:tab/>
            </w:r>
            <w:r w:rsidRPr="00CA2FC8">
              <w:rPr>
                <w:b/>
                <w:bCs/>
                <w:noProof/>
                <w:webHidden/>
              </w:rPr>
              <w:fldChar w:fldCharType="begin"/>
            </w:r>
            <w:r w:rsidRPr="00CA2FC8">
              <w:rPr>
                <w:b/>
                <w:bCs/>
                <w:noProof/>
                <w:webHidden/>
              </w:rPr>
              <w:instrText xml:space="preserve"> PAGEREF _Toc235326123 \h </w:instrText>
            </w:r>
            <w:r w:rsidRPr="00CA2FC8">
              <w:rPr>
                <w:b/>
                <w:bCs/>
                <w:noProof/>
                <w:webHidden/>
              </w:rPr>
            </w:r>
            <w:r w:rsidRPr="00CA2FC8">
              <w:rPr>
                <w:b/>
                <w:bCs/>
                <w:noProof/>
                <w:webHidden/>
              </w:rPr>
              <w:fldChar w:fldCharType="separate"/>
            </w:r>
            <w:r w:rsidRPr="00CA2FC8">
              <w:rPr>
                <w:b/>
                <w:bCs/>
                <w:noProof/>
                <w:webHidden/>
              </w:rPr>
              <w:t>4</w:t>
            </w:r>
            <w:r w:rsidRPr="00CA2FC8">
              <w:rPr>
                <w:b/>
                <w:bCs/>
                <w:noProof/>
                <w:webHidden/>
              </w:rPr>
              <w:fldChar w:fldCharType="end"/>
            </w:r>
          </w:hyperlink>
        </w:p>
        <w:p w14:paraId="0A90EC9E" w14:textId="3D0FACCF" w:rsidR="00EB315D" w:rsidRPr="00CA2FC8" w:rsidRDefault="00EB315D">
          <w:pPr>
            <w:pStyle w:val="TOC1"/>
            <w:tabs>
              <w:tab w:val="right" w:leader="dot" w:pos="9016"/>
            </w:tabs>
            <w:rPr>
              <w:b/>
              <w:bCs/>
              <w:noProof/>
              <w:kern w:val="2"/>
              <w:lang w:eastAsia="en-GB"/>
              <w14:ligatures w14:val="standardContextual"/>
            </w:rPr>
          </w:pPr>
          <w:hyperlink w:anchor="_Toc235326124" w:history="1">
            <w:r w:rsidRPr="00CA2FC8">
              <w:rPr>
                <w:rStyle w:val="Hyperlink"/>
                <w:rFonts w:ascii="Arial" w:eastAsia="Arial" w:hAnsi="Arial" w:cs="Arial"/>
                <w:b/>
                <w:bCs/>
                <w:noProof/>
              </w:rPr>
              <w:t xml:space="preserve">3. </w:t>
            </w:r>
            <w:r w:rsidRPr="00CA2FC8">
              <w:rPr>
                <w:rStyle w:val="Hyperlink"/>
                <w:b/>
                <w:bCs/>
                <w:noProof/>
              </w:rPr>
              <w:t>Evaluation of Contemporary HR Practices</w:t>
            </w:r>
            <w:r w:rsidRPr="00CA2FC8">
              <w:rPr>
                <w:b/>
                <w:bCs/>
                <w:noProof/>
                <w:webHidden/>
              </w:rPr>
              <w:tab/>
            </w:r>
            <w:r w:rsidRPr="00CA2FC8">
              <w:rPr>
                <w:b/>
                <w:bCs/>
                <w:noProof/>
                <w:webHidden/>
              </w:rPr>
              <w:fldChar w:fldCharType="begin"/>
            </w:r>
            <w:r w:rsidRPr="00CA2FC8">
              <w:rPr>
                <w:b/>
                <w:bCs/>
                <w:noProof/>
                <w:webHidden/>
              </w:rPr>
              <w:instrText xml:space="preserve"> PAGEREF _Toc235326124 \h </w:instrText>
            </w:r>
            <w:r w:rsidRPr="00CA2FC8">
              <w:rPr>
                <w:b/>
                <w:bCs/>
                <w:noProof/>
                <w:webHidden/>
              </w:rPr>
            </w:r>
            <w:r w:rsidRPr="00CA2FC8">
              <w:rPr>
                <w:b/>
                <w:bCs/>
                <w:noProof/>
                <w:webHidden/>
              </w:rPr>
              <w:fldChar w:fldCharType="separate"/>
            </w:r>
            <w:r w:rsidRPr="00CA2FC8">
              <w:rPr>
                <w:b/>
                <w:bCs/>
                <w:noProof/>
                <w:webHidden/>
              </w:rPr>
              <w:t>5</w:t>
            </w:r>
            <w:r w:rsidRPr="00CA2FC8">
              <w:rPr>
                <w:b/>
                <w:bCs/>
                <w:noProof/>
                <w:webHidden/>
              </w:rPr>
              <w:fldChar w:fldCharType="end"/>
            </w:r>
          </w:hyperlink>
        </w:p>
        <w:p w14:paraId="74D22F87" w14:textId="51E9FCC1" w:rsidR="00EB315D" w:rsidRPr="00CA2FC8" w:rsidRDefault="00EB315D">
          <w:pPr>
            <w:pStyle w:val="TOC2"/>
            <w:tabs>
              <w:tab w:val="right" w:leader="dot" w:pos="9016"/>
            </w:tabs>
            <w:rPr>
              <w:b/>
              <w:bCs/>
              <w:noProof/>
              <w:kern w:val="2"/>
              <w:lang w:eastAsia="en-GB"/>
              <w14:ligatures w14:val="standardContextual"/>
            </w:rPr>
          </w:pPr>
          <w:hyperlink w:anchor="_Toc235326125" w:history="1">
            <w:r w:rsidRPr="00CA2FC8">
              <w:rPr>
                <w:rStyle w:val="Hyperlink"/>
                <w:rFonts w:cstheme="minorHAnsi"/>
                <w:b/>
                <w:bCs/>
                <w:noProof/>
              </w:rPr>
              <w:t>3.1 HR Practices for Adapting to Technological Advancement</w:t>
            </w:r>
            <w:r w:rsidRPr="00CA2FC8">
              <w:rPr>
                <w:b/>
                <w:bCs/>
                <w:noProof/>
                <w:webHidden/>
              </w:rPr>
              <w:tab/>
            </w:r>
            <w:r w:rsidRPr="00CA2FC8">
              <w:rPr>
                <w:b/>
                <w:bCs/>
                <w:noProof/>
                <w:webHidden/>
              </w:rPr>
              <w:fldChar w:fldCharType="begin"/>
            </w:r>
            <w:r w:rsidRPr="00CA2FC8">
              <w:rPr>
                <w:b/>
                <w:bCs/>
                <w:noProof/>
                <w:webHidden/>
              </w:rPr>
              <w:instrText xml:space="preserve"> PAGEREF _Toc235326125 \h </w:instrText>
            </w:r>
            <w:r w:rsidRPr="00CA2FC8">
              <w:rPr>
                <w:b/>
                <w:bCs/>
                <w:noProof/>
                <w:webHidden/>
              </w:rPr>
            </w:r>
            <w:r w:rsidRPr="00CA2FC8">
              <w:rPr>
                <w:b/>
                <w:bCs/>
                <w:noProof/>
                <w:webHidden/>
              </w:rPr>
              <w:fldChar w:fldCharType="separate"/>
            </w:r>
            <w:r w:rsidRPr="00CA2FC8">
              <w:rPr>
                <w:b/>
                <w:bCs/>
                <w:noProof/>
                <w:webHidden/>
              </w:rPr>
              <w:t>5</w:t>
            </w:r>
            <w:r w:rsidRPr="00CA2FC8">
              <w:rPr>
                <w:b/>
                <w:bCs/>
                <w:noProof/>
                <w:webHidden/>
              </w:rPr>
              <w:fldChar w:fldCharType="end"/>
            </w:r>
          </w:hyperlink>
        </w:p>
        <w:p w14:paraId="3E764ED8" w14:textId="43F0E630" w:rsidR="00EB315D" w:rsidRPr="00CA2FC8" w:rsidRDefault="00EB315D">
          <w:pPr>
            <w:pStyle w:val="TOC1"/>
            <w:tabs>
              <w:tab w:val="right" w:leader="dot" w:pos="9016"/>
            </w:tabs>
            <w:rPr>
              <w:b/>
              <w:bCs/>
              <w:noProof/>
              <w:kern w:val="2"/>
              <w:lang w:eastAsia="en-GB"/>
              <w14:ligatures w14:val="standardContextual"/>
            </w:rPr>
          </w:pPr>
          <w:hyperlink w:anchor="_Toc235326126" w:history="1">
            <w:r w:rsidRPr="00CA2FC8">
              <w:rPr>
                <w:rStyle w:val="Hyperlink"/>
                <w:rFonts w:cstheme="minorHAnsi"/>
                <w:b/>
                <w:bCs/>
                <w:noProof/>
              </w:rPr>
              <w:t>3.2 HR Practices for Talent Acquisition and Retention</w:t>
            </w:r>
            <w:r w:rsidRPr="00CA2FC8">
              <w:rPr>
                <w:b/>
                <w:bCs/>
                <w:noProof/>
                <w:webHidden/>
              </w:rPr>
              <w:tab/>
            </w:r>
            <w:r w:rsidRPr="00CA2FC8">
              <w:rPr>
                <w:b/>
                <w:bCs/>
                <w:noProof/>
                <w:webHidden/>
              </w:rPr>
              <w:fldChar w:fldCharType="begin"/>
            </w:r>
            <w:r w:rsidRPr="00CA2FC8">
              <w:rPr>
                <w:b/>
                <w:bCs/>
                <w:noProof/>
                <w:webHidden/>
              </w:rPr>
              <w:instrText xml:space="preserve"> PAGEREF _Toc235326126 \h </w:instrText>
            </w:r>
            <w:r w:rsidRPr="00CA2FC8">
              <w:rPr>
                <w:b/>
                <w:bCs/>
                <w:noProof/>
                <w:webHidden/>
              </w:rPr>
            </w:r>
            <w:r w:rsidRPr="00CA2FC8">
              <w:rPr>
                <w:b/>
                <w:bCs/>
                <w:noProof/>
                <w:webHidden/>
              </w:rPr>
              <w:fldChar w:fldCharType="separate"/>
            </w:r>
            <w:r w:rsidRPr="00CA2FC8">
              <w:rPr>
                <w:b/>
                <w:bCs/>
                <w:noProof/>
                <w:webHidden/>
              </w:rPr>
              <w:t>6</w:t>
            </w:r>
            <w:r w:rsidRPr="00CA2FC8">
              <w:rPr>
                <w:b/>
                <w:bCs/>
                <w:noProof/>
                <w:webHidden/>
              </w:rPr>
              <w:fldChar w:fldCharType="end"/>
            </w:r>
          </w:hyperlink>
        </w:p>
        <w:p w14:paraId="5BBB9799" w14:textId="35F715D9" w:rsidR="00EB315D" w:rsidRPr="00CA2FC8" w:rsidRDefault="00EB315D">
          <w:pPr>
            <w:pStyle w:val="TOC1"/>
            <w:tabs>
              <w:tab w:val="right" w:leader="dot" w:pos="9016"/>
            </w:tabs>
            <w:rPr>
              <w:b/>
              <w:bCs/>
              <w:noProof/>
              <w:kern w:val="2"/>
              <w:lang w:eastAsia="en-GB"/>
              <w14:ligatures w14:val="standardContextual"/>
            </w:rPr>
          </w:pPr>
          <w:hyperlink w:anchor="_Toc235326127" w:history="1">
            <w:r w:rsidRPr="00CA2FC8">
              <w:rPr>
                <w:rStyle w:val="Hyperlink"/>
                <w:rFonts w:cstheme="minorHAnsi"/>
                <w:b/>
                <w:bCs/>
                <w:noProof/>
              </w:rPr>
              <w:t>3.3 HR Practices for Diversity, Equity and Inclusion (DEI)</w:t>
            </w:r>
            <w:r w:rsidRPr="00CA2FC8">
              <w:rPr>
                <w:b/>
                <w:bCs/>
                <w:noProof/>
                <w:webHidden/>
              </w:rPr>
              <w:tab/>
            </w:r>
            <w:r w:rsidRPr="00CA2FC8">
              <w:rPr>
                <w:b/>
                <w:bCs/>
                <w:noProof/>
                <w:webHidden/>
              </w:rPr>
              <w:fldChar w:fldCharType="begin"/>
            </w:r>
            <w:r w:rsidRPr="00CA2FC8">
              <w:rPr>
                <w:b/>
                <w:bCs/>
                <w:noProof/>
                <w:webHidden/>
              </w:rPr>
              <w:instrText xml:space="preserve"> PAGEREF _Toc235326127 \h </w:instrText>
            </w:r>
            <w:r w:rsidRPr="00CA2FC8">
              <w:rPr>
                <w:b/>
                <w:bCs/>
                <w:noProof/>
                <w:webHidden/>
              </w:rPr>
            </w:r>
            <w:r w:rsidRPr="00CA2FC8">
              <w:rPr>
                <w:b/>
                <w:bCs/>
                <w:noProof/>
                <w:webHidden/>
              </w:rPr>
              <w:fldChar w:fldCharType="separate"/>
            </w:r>
            <w:r w:rsidRPr="00CA2FC8">
              <w:rPr>
                <w:b/>
                <w:bCs/>
                <w:noProof/>
                <w:webHidden/>
              </w:rPr>
              <w:t>6</w:t>
            </w:r>
            <w:r w:rsidRPr="00CA2FC8">
              <w:rPr>
                <w:b/>
                <w:bCs/>
                <w:noProof/>
                <w:webHidden/>
              </w:rPr>
              <w:fldChar w:fldCharType="end"/>
            </w:r>
          </w:hyperlink>
        </w:p>
        <w:p w14:paraId="46B3AE56" w14:textId="27E02025" w:rsidR="00EB315D" w:rsidRPr="00CA2FC8" w:rsidRDefault="00EB315D">
          <w:pPr>
            <w:pStyle w:val="TOC2"/>
            <w:tabs>
              <w:tab w:val="right" w:leader="dot" w:pos="9016"/>
            </w:tabs>
            <w:rPr>
              <w:b/>
              <w:bCs/>
              <w:noProof/>
              <w:kern w:val="2"/>
              <w:lang w:eastAsia="en-GB"/>
              <w14:ligatures w14:val="standardContextual"/>
            </w:rPr>
          </w:pPr>
          <w:hyperlink w:anchor="_Toc235326128" w:history="1">
            <w:r w:rsidRPr="00CA2FC8">
              <w:rPr>
                <w:rStyle w:val="Hyperlink"/>
                <w:rFonts w:ascii="Arial" w:eastAsia="Arial" w:hAnsi="Arial" w:cs="Arial"/>
                <w:b/>
                <w:bCs/>
                <w:noProof/>
              </w:rPr>
              <w:t xml:space="preserve">4. </w:t>
            </w:r>
            <w:r w:rsidRPr="00CA2FC8">
              <w:rPr>
                <w:rStyle w:val="Hyperlink"/>
                <w:rFonts w:cstheme="minorHAnsi"/>
                <w:b/>
                <w:bCs/>
                <w:noProof/>
              </w:rPr>
              <w:t>Critical Evaluation of Managerial Implementation</w:t>
            </w:r>
            <w:r w:rsidRPr="00CA2FC8">
              <w:rPr>
                <w:b/>
                <w:bCs/>
                <w:noProof/>
                <w:webHidden/>
              </w:rPr>
              <w:tab/>
            </w:r>
            <w:r w:rsidRPr="00CA2FC8">
              <w:rPr>
                <w:b/>
                <w:bCs/>
                <w:noProof/>
                <w:webHidden/>
              </w:rPr>
              <w:fldChar w:fldCharType="begin"/>
            </w:r>
            <w:r w:rsidRPr="00CA2FC8">
              <w:rPr>
                <w:b/>
                <w:bCs/>
                <w:noProof/>
                <w:webHidden/>
              </w:rPr>
              <w:instrText xml:space="preserve"> PAGEREF _Toc235326128 \h </w:instrText>
            </w:r>
            <w:r w:rsidRPr="00CA2FC8">
              <w:rPr>
                <w:b/>
                <w:bCs/>
                <w:noProof/>
                <w:webHidden/>
              </w:rPr>
            </w:r>
            <w:r w:rsidRPr="00CA2FC8">
              <w:rPr>
                <w:b/>
                <w:bCs/>
                <w:noProof/>
                <w:webHidden/>
              </w:rPr>
              <w:fldChar w:fldCharType="separate"/>
            </w:r>
            <w:r w:rsidRPr="00CA2FC8">
              <w:rPr>
                <w:b/>
                <w:bCs/>
                <w:noProof/>
                <w:webHidden/>
              </w:rPr>
              <w:t>7</w:t>
            </w:r>
            <w:r w:rsidRPr="00CA2FC8">
              <w:rPr>
                <w:b/>
                <w:bCs/>
                <w:noProof/>
                <w:webHidden/>
              </w:rPr>
              <w:fldChar w:fldCharType="end"/>
            </w:r>
          </w:hyperlink>
        </w:p>
        <w:p w14:paraId="7633E657" w14:textId="50B3FFF8" w:rsidR="00EB315D" w:rsidRPr="00CA2FC8" w:rsidRDefault="00EB315D">
          <w:pPr>
            <w:pStyle w:val="TOC1"/>
            <w:tabs>
              <w:tab w:val="right" w:leader="dot" w:pos="9016"/>
            </w:tabs>
            <w:rPr>
              <w:b/>
              <w:bCs/>
              <w:noProof/>
              <w:kern w:val="2"/>
              <w:lang w:eastAsia="en-GB"/>
              <w14:ligatures w14:val="standardContextual"/>
            </w:rPr>
          </w:pPr>
          <w:hyperlink w:anchor="_Toc235326129" w:history="1">
            <w:r w:rsidRPr="00CA2FC8">
              <w:rPr>
                <w:rStyle w:val="Hyperlink"/>
                <w:rFonts w:cstheme="minorHAnsi"/>
                <w:b/>
                <w:bCs/>
                <w:noProof/>
              </w:rPr>
              <w:t>4.1 Leadership Accountability</w:t>
            </w:r>
            <w:r w:rsidRPr="00CA2FC8">
              <w:rPr>
                <w:b/>
                <w:bCs/>
                <w:noProof/>
                <w:webHidden/>
              </w:rPr>
              <w:tab/>
            </w:r>
            <w:r w:rsidRPr="00CA2FC8">
              <w:rPr>
                <w:b/>
                <w:bCs/>
                <w:noProof/>
                <w:webHidden/>
              </w:rPr>
              <w:fldChar w:fldCharType="begin"/>
            </w:r>
            <w:r w:rsidRPr="00CA2FC8">
              <w:rPr>
                <w:b/>
                <w:bCs/>
                <w:noProof/>
                <w:webHidden/>
              </w:rPr>
              <w:instrText xml:space="preserve"> PAGEREF _Toc235326129 \h </w:instrText>
            </w:r>
            <w:r w:rsidRPr="00CA2FC8">
              <w:rPr>
                <w:b/>
                <w:bCs/>
                <w:noProof/>
                <w:webHidden/>
              </w:rPr>
            </w:r>
            <w:r w:rsidRPr="00CA2FC8">
              <w:rPr>
                <w:b/>
                <w:bCs/>
                <w:noProof/>
                <w:webHidden/>
              </w:rPr>
              <w:fldChar w:fldCharType="separate"/>
            </w:r>
            <w:r w:rsidRPr="00CA2FC8">
              <w:rPr>
                <w:b/>
                <w:bCs/>
                <w:noProof/>
                <w:webHidden/>
              </w:rPr>
              <w:t>7</w:t>
            </w:r>
            <w:r w:rsidRPr="00CA2FC8">
              <w:rPr>
                <w:b/>
                <w:bCs/>
                <w:noProof/>
                <w:webHidden/>
              </w:rPr>
              <w:fldChar w:fldCharType="end"/>
            </w:r>
          </w:hyperlink>
        </w:p>
        <w:p w14:paraId="40189449" w14:textId="69BD37FF" w:rsidR="00EB315D" w:rsidRPr="00CA2FC8" w:rsidRDefault="00EB315D">
          <w:pPr>
            <w:pStyle w:val="TOC1"/>
            <w:tabs>
              <w:tab w:val="right" w:leader="dot" w:pos="9016"/>
            </w:tabs>
            <w:rPr>
              <w:b/>
              <w:bCs/>
              <w:noProof/>
              <w:kern w:val="2"/>
              <w:lang w:eastAsia="en-GB"/>
              <w14:ligatures w14:val="standardContextual"/>
            </w:rPr>
          </w:pPr>
          <w:hyperlink w:anchor="_Toc235326130" w:history="1">
            <w:r w:rsidRPr="00CA2FC8">
              <w:rPr>
                <w:rStyle w:val="Hyperlink"/>
                <w:rFonts w:cstheme="minorHAnsi"/>
                <w:b/>
                <w:bCs/>
                <w:noProof/>
              </w:rPr>
              <w:t>4.2 Change Management and Communication</w:t>
            </w:r>
            <w:r w:rsidRPr="00CA2FC8">
              <w:rPr>
                <w:b/>
                <w:bCs/>
                <w:noProof/>
                <w:webHidden/>
              </w:rPr>
              <w:tab/>
            </w:r>
            <w:r w:rsidRPr="00CA2FC8">
              <w:rPr>
                <w:b/>
                <w:bCs/>
                <w:noProof/>
                <w:webHidden/>
              </w:rPr>
              <w:fldChar w:fldCharType="begin"/>
            </w:r>
            <w:r w:rsidRPr="00CA2FC8">
              <w:rPr>
                <w:b/>
                <w:bCs/>
                <w:noProof/>
                <w:webHidden/>
              </w:rPr>
              <w:instrText xml:space="preserve"> PAGEREF _Toc235326130 \h </w:instrText>
            </w:r>
            <w:r w:rsidRPr="00CA2FC8">
              <w:rPr>
                <w:b/>
                <w:bCs/>
                <w:noProof/>
                <w:webHidden/>
              </w:rPr>
            </w:r>
            <w:r w:rsidRPr="00CA2FC8">
              <w:rPr>
                <w:b/>
                <w:bCs/>
                <w:noProof/>
                <w:webHidden/>
              </w:rPr>
              <w:fldChar w:fldCharType="separate"/>
            </w:r>
            <w:r w:rsidRPr="00CA2FC8">
              <w:rPr>
                <w:b/>
                <w:bCs/>
                <w:noProof/>
                <w:webHidden/>
              </w:rPr>
              <w:t>8</w:t>
            </w:r>
            <w:r w:rsidRPr="00CA2FC8">
              <w:rPr>
                <w:b/>
                <w:bCs/>
                <w:noProof/>
                <w:webHidden/>
              </w:rPr>
              <w:fldChar w:fldCharType="end"/>
            </w:r>
          </w:hyperlink>
        </w:p>
        <w:p w14:paraId="09FD97F4" w14:textId="52790A82" w:rsidR="00EB315D" w:rsidRPr="00CA2FC8" w:rsidRDefault="00EB315D">
          <w:pPr>
            <w:pStyle w:val="TOC1"/>
            <w:tabs>
              <w:tab w:val="right" w:leader="dot" w:pos="9016"/>
            </w:tabs>
            <w:rPr>
              <w:b/>
              <w:bCs/>
              <w:noProof/>
              <w:kern w:val="2"/>
              <w:lang w:eastAsia="en-GB"/>
              <w14:ligatures w14:val="standardContextual"/>
            </w:rPr>
          </w:pPr>
          <w:hyperlink w:anchor="_Toc235326131" w:history="1">
            <w:r w:rsidRPr="00CA2FC8">
              <w:rPr>
                <w:rStyle w:val="Hyperlink"/>
                <w:rFonts w:cstheme="minorHAnsi"/>
                <w:b/>
                <w:bCs/>
                <w:noProof/>
              </w:rPr>
              <w:t>4.3 Monitoring HR Performance and Organisational Culture</w:t>
            </w:r>
            <w:r w:rsidRPr="00CA2FC8">
              <w:rPr>
                <w:b/>
                <w:bCs/>
                <w:noProof/>
                <w:webHidden/>
              </w:rPr>
              <w:tab/>
            </w:r>
            <w:r w:rsidRPr="00CA2FC8">
              <w:rPr>
                <w:b/>
                <w:bCs/>
                <w:noProof/>
                <w:webHidden/>
              </w:rPr>
              <w:fldChar w:fldCharType="begin"/>
            </w:r>
            <w:r w:rsidRPr="00CA2FC8">
              <w:rPr>
                <w:b/>
                <w:bCs/>
                <w:noProof/>
                <w:webHidden/>
              </w:rPr>
              <w:instrText xml:space="preserve"> PAGEREF _Toc235326131 \h </w:instrText>
            </w:r>
            <w:r w:rsidRPr="00CA2FC8">
              <w:rPr>
                <w:b/>
                <w:bCs/>
                <w:noProof/>
                <w:webHidden/>
              </w:rPr>
            </w:r>
            <w:r w:rsidRPr="00CA2FC8">
              <w:rPr>
                <w:b/>
                <w:bCs/>
                <w:noProof/>
                <w:webHidden/>
              </w:rPr>
              <w:fldChar w:fldCharType="separate"/>
            </w:r>
            <w:r w:rsidRPr="00CA2FC8">
              <w:rPr>
                <w:b/>
                <w:bCs/>
                <w:noProof/>
                <w:webHidden/>
              </w:rPr>
              <w:t>9</w:t>
            </w:r>
            <w:r w:rsidRPr="00CA2FC8">
              <w:rPr>
                <w:b/>
                <w:bCs/>
                <w:noProof/>
                <w:webHidden/>
              </w:rPr>
              <w:fldChar w:fldCharType="end"/>
            </w:r>
          </w:hyperlink>
        </w:p>
        <w:p w14:paraId="60BB208A" w14:textId="5597DBB1" w:rsidR="00EB315D" w:rsidRPr="00CA2FC8" w:rsidRDefault="00EB315D">
          <w:pPr>
            <w:pStyle w:val="TOC2"/>
            <w:tabs>
              <w:tab w:val="right" w:leader="dot" w:pos="9016"/>
            </w:tabs>
            <w:rPr>
              <w:b/>
              <w:bCs/>
              <w:noProof/>
              <w:kern w:val="2"/>
              <w:lang w:eastAsia="en-GB"/>
              <w14:ligatures w14:val="standardContextual"/>
            </w:rPr>
          </w:pPr>
          <w:hyperlink w:anchor="_Toc235326132" w:history="1">
            <w:r w:rsidRPr="00CA2FC8">
              <w:rPr>
                <w:rStyle w:val="Hyperlink"/>
                <w:rFonts w:ascii="Arial" w:eastAsia="Arial" w:hAnsi="Arial" w:cs="Arial"/>
                <w:b/>
                <w:bCs/>
                <w:noProof/>
              </w:rPr>
              <w:t>5. Conclusion</w:t>
            </w:r>
            <w:r w:rsidRPr="00CA2FC8">
              <w:rPr>
                <w:b/>
                <w:bCs/>
                <w:noProof/>
                <w:webHidden/>
              </w:rPr>
              <w:tab/>
            </w:r>
            <w:r w:rsidRPr="00CA2FC8">
              <w:rPr>
                <w:b/>
                <w:bCs/>
                <w:noProof/>
                <w:webHidden/>
              </w:rPr>
              <w:fldChar w:fldCharType="begin"/>
            </w:r>
            <w:r w:rsidRPr="00CA2FC8">
              <w:rPr>
                <w:b/>
                <w:bCs/>
                <w:noProof/>
                <w:webHidden/>
              </w:rPr>
              <w:instrText xml:space="preserve"> PAGEREF _Toc235326132 \h </w:instrText>
            </w:r>
            <w:r w:rsidRPr="00CA2FC8">
              <w:rPr>
                <w:b/>
                <w:bCs/>
                <w:noProof/>
                <w:webHidden/>
              </w:rPr>
            </w:r>
            <w:r w:rsidRPr="00CA2FC8">
              <w:rPr>
                <w:b/>
                <w:bCs/>
                <w:noProof/>
                <w:webHidden/>
              </w:rPr>
              <w:fldChar w:fldCharType="separate"/>
            </w:r>
            <w:r w:rsidRPr="00CA2FC8">
              <w:rPr>
                <w:b/>
                <w:bCs/>
                <w:noProof/>
                <w:webHidden/>
              </w:rPr>
              <w:t>10</w:t>
            </w:r>
            <w:r w:rsidRPr="00CA2FC8">
              <w:rPr>
                <w:b/>
                <w:bCs/>
                <w:noProof/>
                <w:webHidden/>
              </w:rPr>
              <w:fldChar w:fldCharType="end"/>
            </w:r>
          </w:hyperlink>
        </w:p>
        <w:p w14:paraId="05DC311E" w14:textId="088F727A" w:rsidR="00EB315D" w:rsidRPr="00CA2FC8" w:rsidRDefault="00EB315D">
          <w:pPr>
            <w:pStyle w:val="TOC2"/>
            <w:tabs>
              <w:tab w:val="right" w:leader="dot" w:pos="9016"/>
            </w:tabs>
            <w:rPr>
              <w:b/>
              <w:bCs/>
              <w:noProof/>
              <w:kern w:val="2"/>
              <w:lang w:eastAsia="en-GB"/>
              <w14:ligatures w14:val="standardContextual"/>
            </w:rPr>
          </w:pPr>
          <w:hyperlink w:anchor="_Toc235326133" w:history="1">
            <w:r w:rsidRPr="00CA2FC8">
              <w:rPr>
                <w:rStyle w:val="Hyperlink"/>
                <w:rFonts w:ascii="Arial" w:eastAsia="Arial" w:hAnsi="Arial" w:cs="Arial"/>
                <w:b/>
                <w:bCs/>
                <w:noProof/>
              </w:rPr>
              <w:t>6. Recommendations</w:t>
            </w:r>
            <w:r w:rsidRPr="00CA2FC8">
              <w:rPr>
                <w:b/>
                <w:bCs/>
                <w:noProof/>
                <w:webHidden/>
              </w:rPr>
              <w:tab/>
            </w:r>
            <w:r w:rsidRPr="00CA2FC8">
              <w:rPr>
                <w:b/>
                <w:bCs/>
                <w:noProof/>
                <w:webHidden/>
              </w:rPr>
              <w:fldChar w:fldCharType="begin"/>
            </w:r>
            <w:r w:rsidRPr="00CA2FC8">
              <w:rPr>
                <w:b/>
                <w:bCs/>
                <w:noProof/>
                <w:webHidden/>
              </w:rPr>
              <w:instrText xml:space="preserve"> PAGEREF _Toc235326133 \h </w:instrText>
            </w:r>
            <w:r w:rsidRPr="00CA2FC8">
              <w:rPr>
                <w:b/>
                <w:bCs/>
                <w:noProof/>
                <w:webHidden/>
              </w:rPr>
            </w:r>
            <w:r w:rsidRPr="00CA2FC8">
              <w:rPr>
                <w:b/>
                <w:bCs/>
                <w:noProof/>
                <w:webHidden/>
              </w:rPr>
              <w:fldChar w:fldCharType="separate"/>
            </w:r>
            <w:r w:rsidRPr="00CA2FC8">
              <w:rPr>
                <w:b/>
                <w:bCs/>
                <w:noProof/>
                <w:webHidden/>
              </w:rPr>
              <w:t>11</w:t>
            </w:r>
            <w:r w:rsidRPr="00CA2FC8">
              <w:rPr>
                <w:b/>
                <w:bCs/>
                <w:noProof/>
                <w:webHidden/>
              </w:rPr>
              <w:fldChar w:fldCharType="end"/>
            </w:r>
          </w:hyperlink>
        </w:p>
        <w:p w14:paraId="6B54FD59" w14:textId="3A796BCD" w:rsidR="00EB315D" w:rsidRPr="00CA2FC8" w:rsidRDefault="00EB315D">
          <w:pPr>
            <w:pStyle w:val="TOC1"/>
            <w:tabs>
              <w:tab w:val="right" w:leader="dot" w:pos="9016"/>
            </w:tabs>
            <w:rPr>
              <w:b/>
              <w:bCs/>
              <w:noProof/>
              <w:kern w:val="2"/>
              <w:lang w:eastAsia="en-GB"/>
              <w14:ligatures w14:val="standardContextual"/>
            </w:rPr>
          </w:pPr>
          <w:hyperlink w:anchor="_Toc235326134" w:history="1">
            <w:r w:rsidRPr="00CA2FC8">
              <w:rPr>
                <w:rStyle w:val="Hyperlink"/>
                <w:rFonts w:ascii="Arial" w:eastAsia="Arial" w:hAnsi="Arial" w:cs="Arial"/>
                <w:b/>
                <w:bCs/>
                <w:noProof/>
              </w:rPr>
              <w:t>References</w:t>
            </w:r>
            <w:r w:rsidRPr="00CA2FC8">
              <w:rPr>
                <w:b/>
                <w:bCs/>
                <w:noProof/>
                <w:webHidden/>
              </w:rPr>
              <w:tab/>
            </w:r>
            <w:r w:rsidRPr="00CA2FC8">
              <w:rPr>
                <w:b/>
                <w:bCs/>
                <w:noProof/>
                <w:webHidden/>
              </w:rPr>
              <w:fldChar w:fldCharType="begin"/>
            </w:r>
            <w:r w:rsidRPr="00CA2FC8">
              <w:rPr>
                <w:b/>
                <w:bCs/>
                <w:noProof/>
                <w:webHidden/>
              </w:rPr>
              <w:instrText xml:space="preserve"> PAGEREF _Toc235326134 \h </w:instrText>
            </w:r>
            <w:r w:rsidRPr="00CA2FC8">
              <w:rPr>
                <w:b/>
                <w:bCs/>
                <w:noProof/>
                <w:webHidden/>
              </w:rPr>
            </w:r>
            <w:r w:rsidRPr="00CA2FC8">
              <w:rPr>
                <w:b/>
                <w:bCs/>
                <w:noProof/>
                <w:webHidden/>
              </w:rPr>
              <w:fldChar w:fldCharType="separate"/>
            </w:r>
            <w:r w:rsidRPr="00CA2FC8">
              <w:rPr>
                <w:b/>
                <w:bCs/>
                <w:noProof/>
                <w:webHidden/>
              </w:rPr>
              <w:t>12</w:t>
            </w:r>
            <w:r w:rsidRPr="00CA2FC8">
              <w:rPr>
                <w:b/>
                <w:bCs/>
                <w:noProof/>
                <w:webHidden/>
              </w:rPr>
              <w:fldChar w:fldCharType="end"/>
            </w:r>
          </w:hyperlink>
        </w:p>
        <w:p w14:paraId="664A2110" w14:textId="36883B0A" w:rsidR="0075412F" w:rsidRPr="00CA2FC8" w:rsidRDefault="580BBF7F" w:rsidP="0075412F">
          <w:pPr>
            <w:rPr>
              <w:b/>
              <w:bCs/>
            </w:rPr>
          </w:pPr>
          <w:r w:rsidRPr="00CA2FC8">
            <w:rPr>
              <w:b/>
              <w:bCs/>
            </w:rPr>
            <w:fldChar w:fldCharType="end"/>
          </w:r>
        </w:p>
      </w:sdtContent>
    </w:sdt>
    <w:p w14:paraId="6E200701" w14:textId="77777777" w:rsidR="0075412F" w:rsidRDefault="0075412F">
      <w:pPr>
        <w:rPr>
          <w:rFonts w:asciiTheme="majorHAnsi" w:eastAsiaTheme="majorEastAsia" w:hAnsiTheme="majorHAnsi" w:cstheme="majorBidi"/>
          <w:b/>
          <w:bCs/>
          <w:color w:val="0F4761" w:themeColor="accent1" w:themeShade="BF"/>
          <w:sz w:val="36"/>
          <w:szCs w:val="36"/>
        </w:rPr>
      </w:pPr>
      <w:r>
        <w:rPr>
          <w:b/>
          <w:bCs/>
          <w:sz w:val="36"/>
          <w:szCs w:val="36"/>
        </w:rPr>
        <w:br w:type="page"/>
      </w:r>
    </w:p>
    <w:p w14:paraId="7612C5F2" w14:textId="0E6FB283" w:rsidR="6D673CC9" w:rsidRDefault="6D673CC9" w:rsidP="580BBF7F">
      <w:pPr>
        <w:pStyle w:val="Heading2"/>
        <w:spacing w:before="299" w:after="299"/>
        <w:rPr>
          <w:b/>
          <w:bCs/>
          <w:sz w:val="36"/>
          <w:szCs w:val="36"/>
        </w:rPr>
      </w:pPr>
      <w:bookmarkStart w:id="0" w:name="_Toc235326118"/>
      <w:r w:rsidRPr="580BBF7F">
        <w:rPr>
          <w:b/>
          <w:bCs/>
          <w:sz w:val="36"/>
          <w:szCs w:val="36"/>
        </w:rPr>
        <w:t>Executive Summary</w:t>
      </w:r>
      <w:bookmarkEnd w:id="0"/>
    </w:p>
    <w:p w14:paraId="7DF87F84" w14:textId="2F075494" w:rsidR="6D673CC9" w:rsidRDefault="6D673CC9" w:rsidP="00405AB4">
      <w:pPr>
        <w:spacing w:before="240" w:after="240" w:line="360" w:lineRule="auto"/>
      </w:pPr>
      <w:r w:rsidRPr="580BBF7F">
        <w:rPr>
          <w:sz w:val="22"/>
          <w:szCs w:val="22"/>
        </w:rPr>
        <w:t>This report examines the key Human Resource Management (HRM) challenges facing BT Group plc in a rapidly changing business environment. It focuses on three issues: technological advancement, talent acquisition and retention, and diversity, equity and inclusion (DEI). The report evaluates how these challenges affect organisational performance, employee engagement and long-term sustainability. It applies relevant HR theories to assess contemporary practices, including workforce analytics, digital learning, employer branding and inclusive leadership. The report also critically evaluates the role of departmental managers in implementing these practices through leadership, communication and performance management. Finally, it provides practical recommendations to strengthen workforce capability, improve employee retention, promote inclusion and support BT's long-term organisational success.</w:t>
      </w:r>
    </w:p>
    <w:p w14:paraId="45AAD060" w14:textId="0104EEA8" w:rsidR="558121C2" w:rsidRDefault="558121C2" w:rsidP="580BBF7F">
      <w:pPr>
        <w:pStyle w:val="Heading2"/>
        <w:spacing w:before="299" w:after="299"/>
        <w:rPr>
          <w:rFonts w:ascii="Arial" w:eastAsia="Arial" w:hAnsi="Arial" w:cs="Arial"/>
          <w:b/>
          <w:bCs/>
          <w:sz w:val="36"/>
          <w:szCs w:val="36"/>
        </w:rPr>
      </w:pPr>
      <w:bookmarkStart w:id="1" w:name="_Toc235326119"/>
      <w:r w:rsidRPr="580BBF7F">
        <w:rPr>
          <w:rFonts w:ascii="Arial" w:eastAsia="Arial" w:hAnsi="Arial" w:cs="Arial"/>
          <w:b/>
          <w:bCs/>
          <w:sz w:val="36"/>
          <w:szCs w:val="36"/>
        </w:rPr>
        <w:t>1. Introduction</w:t>
      </w:r>
      <w:bookmarkEnd w:id="1"/>
    </w:p>
    <w:p w14:paraId="0636E542" w14:textId="77777777" w:rsidR="005861CE" w:rsidRPr="00405AB4" w:rsidRDefault="005861CE" w:rsidP="00405AB4">
      <w:pPr>
        <w:spacing w:before="240" w:after="240" w:line="360" w:lineRule="auto"/>
        <w:rPr>
          <w:sz w:val="22"/>
          <w:szCs w:val="22"/>
        </w:rPr>
      </w:pPr>
      <w:r w:rsidRPr="00405AB4">
        <w:rPr>
          <w:sz w:val="22"/>
          <w:szCs w:val="22"/>
        </w:rPr>
        <w:t>Human Resource Management (HRM) is now a strategic function that supports organisational performance, workforce capability and long-term competitive advantage. Armstrong and Taylor (2023) state that effective HRM helps organisations manage change and achieve business objectives. Today, organisations must respond to rapid technological change, competition for skilled employees and increasing expectations for diversity, equity and inclusion (DEI). This report examines these challenges within BT Group plc, focusing on technological advancement, talent acquisition and retention, and DEI. It evaluates contemporary HR practices and critically assesses how managers can implement these practices to improve organisational performance and long-term sustainability (BT Group, 2025a; BT Group, 2025c).</w:t>
      </w:r>
    </w:p>
    <w:p w14:paraId="10F51498" w14:textId="446B6E3C" w:rsidR="580BBF7F" w:rsidRDefault="580BBF7F" w:rsidP="580BBF7F">
      <w:pPr>
        <w:spacing w:before="240" w:after="240"/>
      </w:pPr>
    </w:p>
    <w:p w14:paraId="7A18F474" w14:textId="456A9ACC" w:rsidR="580BBF7F" w:rsidRDefault="580BBF7F" w:rsidP="580BBF7F">
      <w:pPr>
        <w:spacing w:before="240" w:after="240"/>
        <w:rPr>
          <w:sz w:val="22"/>
          <w:szCs w:val="22"/>
        </w:rPr>
      </w:pPr>
    </w:p>
    <w:p w14:paraId="6291DD90" w14:textId="6F9695D3" w:rsidR="713091F7" w:rsidRDefault="713091F7" w:rsidP="580BBF7F">
      <w:pPr>
        <w:pStyle w:val="Heading2"/>
        <w:spacing w:before="299" w:after="299"/>
        <w:rPr>
          <w:b/>
          <w:bCs/>
          <w:sz w:val="36"/>
          <w:szCs w:val="36"/>
        </w:rPr>
      </w:pPr>
      <w:bookmarkStart w:id="2" w:name="_Toc235326120"/>
      <w:r w:rsidRPr="580BBF7F">
        <w:rPr>
          <w:b/>
          <w:bCs/>
          <w:sz w:val="36"/>
          <w:szCs w:val="36"/>
        </w:rPr>
        <w:t>2. Key Organisational Factors Affecting BT Group</w:t>
      </w:r>
      <w:bookmarkEnd w:id="2"/>
    </w:p>
    <w:p w14:paraId="2E120F80" w14:textId="77777777" w:rsidR="005861CE" w:rsidRDefault="005861CE" w:rsidP="009561A4">
      <w:pPr>
        <w:pStyle w:val="Heading2"/>
        <w:rPr>
          <w:rFonts w:asciiTheme="minorHAnsi" w:hAnsiTheme="minorHAnsi" w:cstheme="minorHAnsi"/>
          <w:b/>
          <w:bCs/>
        </w:rPr>
      </w:pPr>
      <w:bookmarkStart w:id="3" w:name="_Toc235326121"/>
      <w:r w:rsidRPr="009561A4">
        <w:rPr>
          <w:rFonts w:asciiTheme="minorHAnsi" w:hAnsiTheme="minorHAnsi" w:cstheme="minorHAnsi"/>
          <w:b/>
          <w:bCs/>
        </w:rPr>
        <w:t>2.1 Adapting to Technological Advancements</w:t>
      </w:r>
      <w:bookmarkEnd w:id="3"/>
    </w:p>
    <w:p w14:paraId="55C4772C" w14:textId="77777777" w:rsidR="009561A4" w:rsidRPr="009561A4" w:rsidRDefault="009561A4" w:rsidP="009561A4">
      <w:pPr>
        <w:spacing w:line="360" w:lineRule="auto"/>
        <w:rPr>
          <w:sz w:val="22"/>
          <w:szCs w:val="22"/>
        </w:rPr>
      </w:pPr>
      <w:r w:rsidRPr="009561A4">
        <w:rPr>
          <w:sz w:val="22"/>
          <w:szCs w:val="22"/>
        </w:rPr>
        <w:t>One of the main challenges facing BT Group is adapting to rapid technological advancement. As a leading UK telecommunications provider, BT is using artificial intelligence (AI), cloud computing and digital technologies to transform its operations. According to BT's Annual Report, over 48,000 employees use AI productivity tools and thousands have completed digital training, showing that digital transformation is already reshaping workforce capability (BT Group, 2025a).</w:t>
      </w:r>
    </w:p>
    <w:p w14:paraId="6D1CBE34" w14:textId="77777777" w:rsidR="009561A4" w:rsidRPr="009561A4" w:rsidRDefault="009561A4" w:rsidP="009561A4">
      <w:pPr>
        <w:spacing w:line="360" w:lineRule="auto"/>
        <w:rPr>
          <w:sz w:val="22"/>
          <w:szCs w:val="22"/>
        </w:rPr>
      </w:pPr>
      <w:r w:rsidRPr="009561A4">
        <w:rPr>
          <w:sz w:val="22"/>
          <w:szCs w:val="22"/>
        </w:rPr>
        <w:t>From an HR perspective, technological change increases the risk of skills obsolescence as employees may lack the capabilities required for new roles. Vrontis et al. (2022) argue that organisations must prioritise workforce planning, reskilling and change management to respond effectively to AI. This reflects the Resource-Based View (RBV), which suggests competitive advantage depends on developing valuable human resources rather than technology alone (Barney, 1991).</w:t>
      </w:r>
    </w:p>
    <w:p w14:paraId="02B9CE53" w14:textId="77777777" w:rsidR="009561A4" w:rsidRPr="009561A4" w:rsidRDefault="009561A4" w:rsidP="009561A4">
      <w:pPr>
        <w:spacing w:line="360" w:lineRule="auto"/>
        <w:rPr>
          <w:sz w:val="22"/>
          <w:szCs w:val="22"/>
        </w:rPr>
      </w:pPr>
      <w:r w:rsidRPr="009561A4">
        <w:rPr>
          <w:sz w:val="22"/>
          <w:szCs w:val="22"/>
        </w:rPr>
        <w:t>Technological change may also reduce employee confidence if automation is viewed as a threat to job security. Lewin's Change Management Model highlights the importance of preparing employees for change and reinforcing new behaviours. Therefore, BT should combine digital investment with effective change management and communication to reduce resistance and support successful transformation.</w:t>
      </w:r>
    </w:p>
    <w:p w14:paraId="3B713046" w14:textId="24DEEADB" w:rsidR="009561A4" w:rsidRPr="009561A4" w:rsidRDefault="009561A4" w:rsidP="009561A4"/>
    <w:p w14:paraId="62FB3C56" w14:textId="621F81EB" w:rsidR="009561A4" w:rsidRDefault="005861CE" w:rsidP="009561A4">
      <w:pPr>
        <w:pStyle w:val="Heading2"/>
        <w:rPr>
          <w:rFonts w:asciiTheme="minorHAnsi" w:hAnsiTheme="minorHAnsi" w:cstheme="minorHAnsi"/>
          <w:b/>
          <w:bCs/>
        </w:rPr>
      </w:pPr>
      <w:bookmarkStart w:id="4" w:name="_Toc235326122"/>
      <w:r w:rsidRPr="009561A4">
        <w:rPr>
          <w:rFonts w:asciiTheme="minorHAnsi" w:hAnsiTheme="minorHAnsi" w:cstheme="minorHAnsi"/>
          <w:b/>
          <w:bCs/>
        </w:rPr>
        <w:t>2.2 Talent Acquisition and Retention</w:t>
      </w:r>
      <w:bookmarkEnd w:id="4"/>
    </w:p>
    <w:p w14:paraId="740308B8" w14:textId="77777777" w:rsidR="009561A4" w:rsidRPr="009561A4" w:rsidRDefault="009561A4" w:rsidP="009561A4">
      <w:pPr>
        <w:spacing w:line="360" w:lineRule="auto"/>
        <w:rPr>
          <w:sz w:val="22"/>
          <w:szCs w:val="22"/>
        </w:rPr>
      </w:pPr>
      <w:r w:rsidRPr="009561A4">
        <w:rPr>
          <w:sz w:val="22"/>
          <w:szCs w:val="22"/>
        </w:rPr>
        <w:t xml:space="preserve">A second challenge is attracting and retaining employees with specialist digital skills. BT requires expertise in cyber security, software engineering, AI and data analytics, but competition from technology firms and consultancies makes recruitment difficult. To address this, BT recruited over 600 apprentices and graduates in 2025 to strengthen its future talent pipeline (BT Group, 2025b). However, this does not immediately address shortages in experienced technical roles. </w:t>
      </w:r>
      <w:proofErr w:type="spellStart"/>
      <w:r w:rsidRPr="009561A4">
        <w:rPr>
          <w:sz w:val="22"/>
          <w:szCs w:val="22"/>
        </w:rPr>
        <w:t>Ployhart</w:t>
      </w:r>
      <w:proofErr w:type="spellEnd"/>
      <w:r w:rsidRPr="009561A4">
        <w:rPr>
          <w:sz w:val="22"/>
          <w:szCs w:val="22"/>
        </w:rPr>
        <w:t xml:space="preserve"> (2006) argues that recruitment creates strategic value only when integrated with employee development and retention.</w:t>
      </w:r>
    </w:p>
    <w:p w14:paraId="337273C7" w14:textId="77777777" w:rsidR="009561A4" w:rsidRPr="009561A4" w:rsidRDefault="009561A4" w:rsidP="009561A4">
      <w:pPr>
        <w:spacing w:line="360" w:lineRule="auto"/>
        <w:rPr>
          <w:sz w:val="22"/>
          <w:szCs w:val="22"/>
        </w:rPr>
      </w:pPr>
      <w:r w:rsidRPr="009561A4">
        <w:rPr>
          <w:sz w:val="22"/>
          <w:szCs w:val="22"/>
        </w:rPr>
        <w:t>Retention is equally important because losing skilled employees increases costs and reduces organisational capability. BT reported significant employee turnover during the year (BT Group, 2025a). Employees also expect career development, flexible working and wellbeing alongside competitive pay. Therefore, BT should strengthen its employee value proposition by combining reward with learning opportunities, supportive leadership and clear career progression to improve long-term retention.</w:t>
      </w:r>
    </w:p>
    <w:p w14:paraId="2AE4D576" w14:textId="77777777" w:rsidR="009561A4" w:rsidRPr="009561A4" w:rsidRDefault="009561A4" w:rsidP="009561A4">
      <w:pPr>
        <w:rPr>
          <w:sz w:val="22"/>
          <w:szCs w:val="22"/>
        </w:rPr>
      </w:pPr>
    </w:p>
    <w:p w14:paraId="33361C6B" w14:textId="53C5B69B" w:rsidR="005861CE" w:rsidRPr="009561A4" w:rsidRDefault="005861CE" w:rsidP="009561A4">
      <w:pPr>
        <w:pStyle w:val="Heading2"/>
        <w:rPr>
          <w:rFonts w:asciiTheme="minorHAnsi" w:hAnsiTheme="minorHAnsi" w:cstheme="minorHAnsi"/>
          <w:b/>
          <w:bCs/>
        </w:rPr>
      </w:pPr>
      <w:bookmarkStart w:id="5" w:name="_Toc235326123"/>
      <w:r w:rsidRPr="009561A4">
        <w:rPr>
          <w:rFonts w:asciiTheme="minorHAnsi" w:hAnsiTheme="minorHAnsi" w:cstheme="minorHAnsi"/>
          <w:b/>
          <w:bCs/>
        </w:rPr>
        <w:t>2.3 Diversity, Equity and Inclusion (DEI)</w:t>
      </w:r>
      <w:bookmarkEnd w:id="5"/>
    </w:p>
    <w:p w14:paraId="69972D53" w14:textId="7BAB8045" w:rsidR="0075412F" w:rsidRDefault="005861CE" w:rsidP="00405AB4">
      <w:pPr>
        <w:spacing w:before="240" w:after="240" w:line="360" w:lineRule="auto"/>
        <w:rPr>
          <w:noProof/>
        </w:rPr>
      </w:pPr>
      <w:r w:rsidRPr="00405AB4">
        <w:rPr>
          <w:sz w:val="22"/>
          <w:szCs w:val="22"/>
        </w:rPr>
        <w:t>The third challenge is promoting diversity, equity and inclusion (DEI). For BT, DEI extends beyond legal compliance and contributes to innovation, employee engagement and organisational reputation. BT publishes annual gender, ethnicity and disability pay-gap data to improve transparency and accountability (BT Group, 2025c). However, these figures indicate that achieving genuine equality remains an ongoing challenge.</w:t>
      </w:r>
      <w:r w:rsidR="0075412F" w:rsidRPr="0075412F">
        <w:rPr>
          <w:noProof/>
        </w:rPr>
        <w:t xml:space="preserve"> </w:t>
      </w:r>
    </w:p>
    <w:p w14:paraId="481E2786" w14:textId="7D64CF06" w:rsidR="005861CE" w:rsidRPr="00405AB4" w:rsidRDefault="0075412F" w:rsidP="00405AB4">
      <w:pPr>
        <w:spacing w:before="240" w:after="240" w:line="360" w:lineRule="auto"/>
        <w:rPr>
          <w:sz w:val="22"/>
          <w:szCs w:val="22"/>
        </w:rPr>
      </w:pPr>
      <w:r>
        <w:rPr>
          <w:noProof/>
        </w:rPr>
        <w:drawing>
          <wp:anchor distT="0" distB="0" distL="114300" distR="114300" simplePos="0" relativeHeight="251658240" behindDoc="0" locked="0" layoutInCell="1" allowOverlap="1" wp14:anchorId="62632A33" wp14:editId="1F67120B">
            <wp:simplePos x="0" y="0"/>
            <wp:positionH relativeFrom="margin">
              <wp:align>left</wp:align>
            </wp:positionH>
            <wp:positionV relativeFrom="paragraph">
              <wp:posOffset>6350</wp:posOffset>
            </wp:positionV>
            <wp:extent cx="3181350" cy="3124200"/>
            <wp:effectExtent l="0" t="0" r="0" b="0"/>
            <wp:wrapSquare wrapText="bothSides"/>
            <wp:docPr id="609047528" name="Picture 5" descr="Is Diversity, Equity And Inclusion Bringing Us Together, Or Pushing Us Further A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s Diversity, Equity And Inclusion Bringing Us Together, Or Pushing Us Further Apar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81350" cy="3124200"/>
                    </a:xfrm>
                    <a:prstGeom prst="rect">
                      <a:avLst/>
                    </a:prstGeom>
                    <a:noFill/>
                    <a:ln>
                      <a:noFill/>
                    </a:ln>
                  </pic:spPr>
                </pic:pic>
              </a:graphicData>
            </a:graphic>
            <wp14:sizeRelV relativeFrom="margin">
              <wp14:pctHeight>0</wp14:pctHeight>
            </wp14:sizeRelV>
          </wp:anchor>
        </w:drawing>
      </w:r>
      <w:r w:rsidR="005861CE" w:rsidRPr="00405AB4">
        <w:rPr>
          <w:sz w:val="22"/>
          <w:szCs w:val="22"/>
        </w:rPr>
        <w:t>Shore et al. (2011) argue that inclusion requires employees to feel respected, valued and actively involved in organisational life rather than simply being represented within the workforce. This highlights that increasing workforce diversity alone does not guarantee equal access to promotion, leadership opportunities or career development. BT must therefore create an inclusive culture where equitable opportunities exist throughout the employee lifecycle.</w:t>
      </w:r>
    </w:p>
    <w:p w14:paraId="6AE9F062" w14:textId="3537EAEA" w:rsidR="580BBF7F" w:rsidRPr="009561A4" w:rsidRDefault="009561A4" w:rsidP="009561A4">
      <w:pPr>
        <w:spacing w:line="360" w:lineRule="auto"/>
        <w:rPr>
          <w:sz w:val="22"/>
          <w:szCs w:val="22"/>
        </w:rPr>
      </w:pPr>
      <w:r w:rsidRPr="009561A4">
        <w:rPr>
          <w:sz w:val="22"/>
          <w:szCs w:val="22"/>
        </w:rPr>
        <w:t>Inclusive organisations can improve innovation, decision-making and employee commitment (Roberson, 2019). When employees experience fairness and inclusion, they are more likely to engage and contribute to organisational goals. Therefore, BT should embed inclusive leadership and equitable HR practices across recruitment, development and promotion rather than treating DEI as a separate initiative.</w:t>
      </w:r>
    </w:p>
    <w:p w14:paraId="13439004" w14:textId="77777777" w:rsidR="00405AB4" w:rsidRPr="005861CE" w:rsidRDefault="2E1025D2" w:rsidP="00405AB4">
      <w:pPr>
        <w:pStyle w:val="Heading1"/>
      </w:pPr>
      <w:bookmarkStart w:id="6" w:name="_Toc235326124"/>
      <w:r w:rsidRPr="009561A4">
        <w:rPr>
          <w:rFonts w:ascii="Arial" w:eastAsia="Arial" w:hAnsi="Arial" w:cs="Arial"/>
          <w:b/>
          <w:bCs/>
        </w:rPr>
        <w:t>3</w:t>
      </w:r>
      <w:r w:rsidR="005861CE">
        <w:rPr>
          <w:rFonts w:ascii="Arial" w:eastAsia="Arial" w:hAnsi="Arial" w:cs="Arial"/>
        </w:rPr>
        <w:t xml:space="preserve">. </w:t>
      </w:r>
      <w:r w:rsidR="00405AB4" w:rsidRPr="00405AB4">
        <w:rPr>
          <w:b/>
          <w:bCs/>
        </w:rPr>
        <w:t>Evaluation of Contemporary HR Practices</w:t>
      </w:r>
      <w:bookmarkEnd w:id="6"/>
    </w:p>
    <w:p w14:paraId="7E5AABDD" w14:textId="77777777" w:rsidR="005861CE" w:rsidRPr="009561A4" w:rsidRDefault="005861CE" w:rsidP="009561A4">
      <w:pPr>
        <w:pStyle w:val="Heading2"/>
        <w:rPr>
          <w:rFonts w:asciiTheme="minorHAnsi" w:hAnsiTheme="minorHAnsi" w:cstheme="minorHAnsi"/>
          <w:b/>
          <w:bCs/>
        </w:rPr>
      </w:pPr>
      <w:bookmarkStart w:id="7" w:name="_Toc235326125"/>
      <w:r w:rsidRPr="009561A4">
        <w:rPr>
          <w:rFonts w:asciiTheme="minorHAnsi" w:hAnsiTheme="minorHAnsi" w:cstheme="minorHAnsi"/>
          <w:b/>
          <w:bCs/>
        </w:rPr>
        <w:t>3.1 HR Practices for Adapting to Technological Advancement</w:t>
      </w:r>
      <w:bookmarkEnd w:id="7"/>
    </w:p>
    <w:p w14:paraId="7780474D" w14:textId="77777777" w:rsidR="005861CE" w:rsidRPr="00405AB4" w:rsidRDefault="005861CE" w:rsidP="00405AB4">
      <w:pPr>
        <w:spacing w:line="360" w:lineRule="auto"/>
        <w:rPr>
          <w:sz w:val="22"/>
          <w:szCs w:val="22"/>
        </w:rPr>
      </w:pPr>
      <w:r w:rsidRPr="00405AB4">
        <w:rPr>
          <w:sz w:val="22"/>
          <w:szCs w:val="22"/>
        </w:rPr>
        <w:t>To respond effectively to technological change, BT should adopt an integrated HR approach combining workforce analytics, digital learning, reskilling and internal mobility. As digital transformation changes workforce requirements, HR must develop employee capabilities rather than rely solely on external recruitment. Marler and Boudreau (2017) argue that HR analytics supports evidence-based decision-making by linking workforce data with organisational performance. At BT, this can identify digital skills gaps, forecast future capability needs and evaluate training effectiveness.</w:t>
      </w:r>
    </w:p>
    <w:p w14:paraId="0F3C454B" w14:textId="77777777" w:rsidR="005861CE" w:rsidRPr="00405AB4" w:rsidRDefault="005861CE" w:rsidP="00405AB4">
      <w:pPr>
        <w:spacing w:line="360" w:lineRule="auto"/>
        <w:rPr>
          <w:sz w:val="22"/>
          <w:szCs w:val="22"/>
        </w:rPr>
      </w:pPr>
      <w:r w:rsidRPr="00405AB4">
        <w:rPr>
          <w:sz w:val="22"/>
          <w:szCs w:val="22"/>
        </w:rPr>
        <w:t>A key strength of workforce analytics is that it supports proactive workforce planning by anticipating future demand for AI, cyber security and cloud computing skills. This reflects the Resource-Based View, which emphasises developing valuable internal capabilities to achieve competitive advantage (Barney, 1991). However, workforce analytics cannot explain the reasons behind employee behaviour. Low training participation may result from workload pressures, poor leadership or job insecurity rather than a lack of motivation. Therefore, workforce data should support managerial judgement rather than replace it. BT should also link reskilling programmes with internal career opportunities to improve retention and organisational agility.</w:t>
      </w:r>
    </w:p>
    <w:p w14:paraId="2E4DBCBA" w14:textId="77777777" w:rsidR="00405AB4" w:rsidRDefault="00405AB4" w:rsidP="005861CE">
      <w:pPr>
        <w:rPr>
          <w:b/>
          <w:bCs/>
        </w:rPr>
      </w:pPr>
    </w:p>
    <w:p w14:paraId="163B0C84" w14:textId="1F698631" w:rsidR="005861CE" w:rsidRPr="005540AF" w:rsidRDefault="005861CE" w:rsidP="005540AF">
      <w:pPr>
        <w:pStyle w:val="Heading1"/>
        <w:rPr>
          <w:rFonts w:asciiTheme="minorHAnsi" w:hAnsiTheme="minorHAnsi" w:cstheme="minorHAnsi"/>
          <w:b/>
          <w:bCs/>
          <w:sz w:val="28"/>
          <w:szCs w:val="28"/>
        </w:rPr>
      </w:pPr>
      <w:bookmarkStart w:id="8" w:name="_Toc235326126"/>
      <w:r w:rsidRPr="005540AF">
        <w:rPr>
          <w:rFonts w:asciiTheme="minorHAnsi" w:hAnsiTheme="minorHAnsi" w:cstheme="minorHAnsi"/>
          <w:b/>
          <w:bCs/>
          <w:sz w:val="28"/>
          <w:szCs w:val="28"/>
        </w:rPr>
        <w:t>3.2 HR Practices for Talent Acquisition and Retention</w:t>
      </w:r>
      <w:bookmarkEnd w:id="8"/>
    </w:p>
    <w:p w14:paraId="090726CF" w14:textId="77777777" w:rsidR="0075412F" w:rsidRDefault="005861CE" w:rsidP="00405AB4">
      <w:pPr>
        <w:spacing w:line="360" w:lineRule="auto"/>
        <w:rPr>
          <w:sz w:val="22"/>
          <w:szCs w:val="22"/>
        </w:rPr>
      </w:pPr>
      <w:r w:rsidRPr="00405AB4">
        <w:rPr>
          <w:sz w:val="22"/>
          <w:szCs w:val="22"/>
        </w:rPr>
        <w:t xml:space="preserve">BT should adopt a strategic talent management approach combining workforce planning, employer branding, career development and employee engagement. Although apprenticeship and graduate programmes strengthen future capability (BT Group, 2025b), recruitment alone cannot solve skills shortages. </w:t>
      </w:r>
      <w:proofErr w:type="spellStart"/>
      <w:r w:rsidRPr="00405AB4">
        <w:rPr>
          <w:sz w:val="22"/>
          <w:szCs w:val="22"/>
        </w:rPr>
        <w:t>Ployhart</w:t>
      </w:r>
      <w:proofErr w:type="spellEnd"/>
      <w:r w:rsidRPr="00405AB4">
        <w:rPr>
          <w:sz w:val="22"/>
          <w:szCs w:val="22"/>
        </w:rPr>
        <w:t xml:space="preserve"> (2006) argues that recruitment creates long-term value only when integrated with employee development and retention.</w:t>
      </w:r>
    </w:p>
    <w:p w14:paraId="48110C62" w14:textId="5EE4C284" w:rsidR="005861CE" w:rsidRPr="00405AB4" w:rsidRDefault="00402B36" w:rsidP="00405AB4">
      <w:pPr>
        <w:spacing w:line="360" w:lineRule="auto"/>
        <w:rPr>
          <w:sz w:val="22"/>
          <w:szCs w:val="22"/>
        </w:rPr>
      </w:pPr>
      <w:r>
        <w:rPr>
          <w:noProof/>
        </w:rPr>
        <w:drawing>
          <wp:anchor distT="0" distB="0" distL="114300" distR="114300" simplePos="0" relativeHeight="251658241" behindDoc="1" locked="0" layoutInCell="1" allowOverlap="1" wp14:anchorId="162226C6" wp14:editId="4C24BC51">
            <wp:simplePos x="0" y="0"/>
            <wp:positionH relativeFrom="column">
              <wp:posOffset>2609850</wp:posOffset>
            </wp:positionH>
            <wp:positionV relativeFrom="paragraph">
              <wp:posOffset>0</wp:posOffset>
            </wp:positionV>
            <wp:extent cx="3708400" cy="2781300"/>
            <wp:effectExtent l="0" t="0" r="6350" b="0"/>
            <wp:wrapTight wrapText="bothSides">
              <wp:wrapPolygon edited="0">
                <wp:start x="0" y="0"/>
                <wp:lineTo x="0" y="21452"/>
                <wp:lineTo x="21526" y="21452"/>
                <wp:lineTo x="21526" y="0"/>
                <wp:lineTo x="0" y="0"/>
              </wp:wrapPolygon>
            </wp:wrapTight>
            <wp:docPr id="740483798" name="Picture 4" descr="Talent Acquisition and Retention Strategies: A Comprehensive Guide - Aeon Nex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alent Acquisition and Retention Strategies: A Comprehensive Guide - Aeon Nexu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08400" cy="2781300"/>
                    </a:xfrm>
                    <a:prstGeom prst="rect">
                      <a:avLst/>
                    </a:prstGeom>
                    <a:noFill/>
                    <a:ln>
                      <a:noFill/>
                    </a:ln>
                  </pic:spPr>
                </pic:pic>
              </a:graphicData>
            </a:graphic>
          </wp:anchor>
        </w:drawing>
      </w:r>
      <w:r w:rsidR="005861CE" w:rsidRPr="00405AB4">
        <w:rPr>
          <w:sz w:val="22"/>
          <w:szCs w:val="22"/>
        </w:rPr>
        <w:t xml:space="preserve">Employer branding is increasingly important because many </w:t>
      </w:r>
      <w:r w:rsidR="0075412F" w:rsidRPr="00405AB4">
        <w:rPr>
          <w:sz w:val="22"/>
          <w:szCs w:val="22"/>
        </w:rPr>
        <w:t>candidates’</w:t>
      </w:r>
      <w:r w:rsidR="005861CE" w:rsidRPr="00405AB4">
        <w:rPr>
          <w:sz w:val="22"/>
          <w:szCs w:val="22"/>
        </w:rPr>
        <w:t xml:space="preserve"> value career development, flexibility, wellbeing and organisational purpose alongside salary. BT's investment in digital learning supports its employer brand, but these commitments must be reflected in employees' everyday experience. Armstrong and Taylor (2023) argue that effective reward extends beyond pay to include recognition, career development and work-life balance. Therefore, BT should combine competitive reward with mentoring, internal mobility and continuous learning. Although these practices require investment, they can reduce turnover, protect organisational knowledge and improve long-term employee commitment.</w:t>
      </w:r>
    </w:p>
    <w:p w14:paraId="5114E97C" w14:textId="77777777" w:rsidR="005861CE" w:rsidRPr="005540AF" w:rsidRDefault="005861CE" w:rsidP="005540AF">
      <w:pPr>
        <w:pStyle w:val="Heading1"/>
        <w:rPr>
          <w:rFonts w:asciiTheme="minorHAnsi" w:hAnsiTheme="minorHAnsi" w:cstheme="minorHAnsi"/>
          <w:b/>
          <w:bCs/>
          <w:sz w:val="28"/>
          <w:szCs w:val="28"/>
        </w:rPr>
      </w:pPr>
      <w:bookmarkStart w:id="9" w:name="_Toc235326127"/>
      <w:r w:rsidRPr="005540AF">
        <w:rPr>
          <w:rFonts w:asciiTheme="minorHAnsi" w:hAnsiTheme="minorHAnsi" w:cstheme="minorHAnsi"/>
          <w:b/>
          <w:bCs/>
          <w:sz w:val="28"/>
          <w:szCs w:val="28"/>
        </w:rPr>
        <w:t>3.3 HR Practices for Diversity, Equity and Inclusion (DEI)</w:t>
      </w:r>
      <w:bookmarkEnd w:id="9"/>
    </w:p>
    <w:p w14:paraId="108C57AD" w14:textId="595F3628" w:rsidR="0075412F" w:rsidRPr="005E2E42" w:rsidRDefault="005861CE" w:rsidP="005E2E42">
      <w:pPr>
        <w:spacing w:line="360" w:lineRule="auto"/>
        <w:rPr>
          <w:sz w:val="22"/>
          <w:szCs w:val="22"/>
        </w:rPr>
      </w:pPr>
      <w:r w:rsidRPr="005E2E42">
        <w:rPr>
          <w:sz w:val="22"/>
          <w:szCs w:val="22"/>
        </w:rPr>
        <w:t>An effective DEI strategy should extend across recruitment, development, promotion and leadership. BT has strengthened transparency by publishing gender, ethnicity and disability pay-gap data (BT Group, 2025c). However, reporting alone does not ensure equal opportunity.</w:t>
      </w:r>
      <w:r w:rsidR="0075412F">
        <w:rPr>
          <w:noProof/>
        </w:rPr>
        <w:drawing>
          <wp:anchor distT="0" distB="0" distL="114300" distR="114300" simplePos="0" relativeHeight="251658242" behindDoc="1" locked="0" layoutInCell="1" allowOverlap="1" wp14:anchorId="5CDE9052" wp14:editId="463E26B1">
            <wp:simplePos x="0" y="0"/>
            <wp:positionH relativeFrom="margin">
              <wp:align>left</wp:align>
            </wp:positionH>
            <wp:positionV relativeFrom="paragraph">
              <wp:posOffset>340360</wp:posOffset>
            </wp:positionV>
            <wp:extent cx="4064000" cy="3022600"/>
            <wp:effectExtent l="0" t="0" r="0" b="6350"/>
            <wp:wrapTight wrapText="bothSides">
              <wp:wrapPolygon edited="0">
                <wp:start x="0" y="0"/>
                <wp:lineTo x="0" y="21509"/>
                <wp:lineTo x="21465" y="21509"/>
                <wp:lineTo x="21465" y="0"/>
                <wp:lineTo x="0" y="0"/>
              </wp:wrapPolygon>
            </wp:wrapTight>
            <wp:docPr id="550063201" name="Picture 7" descr="DIVERSITY, EQUITY AND INCLUSION (DEI) AT THE WORKPLACE By Lucy Nuthu - College of Human Resourc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IVERSITY, EQUITY AND INCLUSION (DEI) AT THE WORKPLACE By Lucy Nuthu - College of Human Resource Manage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64000" cy="3022600"/>
                    </a:xfrm>
                    <a:prstGeom prst="rect">
                      <a:avLst/>
                    </a:prstGeom>
                    <a:noFill/>
                    <a:ln>
                      <a:noFill/>
                    </a:ln>
                  </pic:spPr>
                </pic:pic>
              </a:graphicData>
            </a:graphic>
            <wp14:sizeRelV relativeFrom="margin">
              <wp14:pctHeight>0</wp14:pctHeight>
            </wp14:sizeRelV>
          </wp:anchor>
        </w:drawing>
      </w:r>
    </w:p>
    <w:p w14:paraId="13CA75B2" w14:textId="77777777" w:rsidR="005861CE" w:rsidRPr="005E2E42" w:rsidRDefault="005861CE" w:rsidP="005E2E42">
      <w:pPr>
        <w:spacing w:line="360" w:lineRule="auto"/>
        <w:rPr>
          <w:sz w:val="22"/>
          <w:szCs w:val="22"/>
        </w:rPr>
      </w:pPr>
      <w:r w:rsidRPr="005E2E42">
        <w:rPr>
          <w:sz w:val="22"/>
          <w:szCs w:val="22"/>
        </w:rPr>
        <w:t>Inclusive recruitment, structured interviews and diverse selection panels can reduce bias and widen access to employment. Nevertheless, these practices mainly influence entry into the organisation and do not guarantee fair progression. Shore et al. (2011) argue that inclusion exists when employees feel valued and actively involved in organisational life. This highlights the importance of equitable promotion, mentoring and inclusive leadership development.</w:t>
      </w:r>
    </w:p>
    <w:p w14:paraId="5911E9C1" w14:textId="77777777" w:rsidR="005861CE" w:rsidRPr="005E2E42" w:rsidRDefault="005861CE" w:rsidP="005E2E42">
      <w:pPr>
        <w:spacing w:line="360" w:lineRule="auto"/>
        <w:rPr>
          <w:sz w:val="22"/>
          <w:szCs w:val="22"/>
        </w:rPr>
      </w:pPr>
      <w:r w:rsidRPr="005E2E42">
        <w:rPr>
          <w:sz w:val="22"/>
          <w:szCs w:val="22"/>
        </w:rPr>
        <w:t>Roberson (2019) also suggests that inclusive organisations achieve stronger innovation and organisational performance by benefiting from diverse perspectives. However, DEI initiatives may become symbolic if organisations focus only on reporting statistics instead of changing organisational culture. BT should therefore combine pay-gap monitoring with employee feedback, leadership accountability and regular reviews of promotion and development outcomes. Embedding DEI into performance management and succession planning is more likely to achieve sustainable organisational change than treating inclusion as a separate HR initiative.</w:t>
      </w:r>
    </w:p>
    <w:p w14:paraId="7E74E725" w14:textId="75E92BB3" w:rsidR="2ACFDE15" w:rsidRDefault="005E2E42" w:rsidP="005E2E42">
      <w:pPr>
        <w:pStyle w:val="Heading2"/>
        <w:spacing w:before="299" w:after="299" w:line="360" w:lineRule="auto"/>
        <w:rPr>
          <w:b/>
          <w:bCs/>
        </w:rPr>
      </w:pPr>
      <w:bookmarkStart w:id="10" w:name="_Toc235326128"/>
      <w:r w:rsidRPr="005E2E42">
        <w:rPr>
          <w:rFonts w:ascii="Arial" w:eastAsia="Arial" w:hAnsi="Arial" w:cs="Arial"/>
          <w:b/>
          <w:bCs/>
        </w:rPr>
        <w:t xml:space="preserve">4. </w:t>
      </w:r>
      <w:r w:rsidRPr="005540AF">
        <w:rPr>
          <w:rFonts w:asciiTheme="minorHAnsi" w:hAnsiTheme="minorHAnsi" w:cstheme="minorHAnsi"/>
          <w:b/>
          <w:bCs/>
        </w:rPr>
        <w:t>Critical Evaluation of Managerial Implementation</w:t>
      </w:r>
      <w:bookmarkEnd w:id="10"/>
    </w:p>
    <w:p w14:paraId="3AD23918" w14:textId="160809E6" w:rsidR="007A75AB" w:rsidRPr="005540AF" w:rsidRDefault="007A75AB" w:rsidP="005540AF">
      <w:pPr>
        <w:pStyle w:val="Heading1"/>
        <w:rPr>
          <w:rFonts w:asciiTheme="minorHAnsi" w:hAnsiTheme="minorHAnsi" w:cstheme="minorHAnsi"/>
          <w:b/>
          <w:bCs/>
          <w:sz w:val="32"/>
          <w:szCs w:val="32"/>
        </w:rPr>
      </w:pPr>
      <w:bookmarkStart w:id="11" w:name="_Toc235326129"/>
      <w:r w:rsidRPr="005540AF">
        <w:rPr>
          <w:rFonts w:asciiTheme="minorHAnsi" w:hAnsiTheme="minorHAnsi" w:cstheme="minorHAnsi"/>
          <w:b/>
          <w:bCs/>
          <w:sz w:val="32"/>
          <w:szCs w:val="32"/>
        </w:rPr>
        <w:t>4.1 Leadership Accountability</w:t>
      </w:r>
      <w:bookmarkEnd w:id="11"/>
    </w:p>
    <w:p w14:paraId="542FB14E" w14:textId="43DBB5E4" w:rsidR="005861CE" w:rsidRDefault="005861CE" w:rsidP="005E2E42">
      <w:pPr>
        <w:spacing w:line="360" w:lineRule="auto"/>
        <w:rPr>
          <w:sz w:val="22"/>
          <w:szCs w:val="22"/>
        </w:rPr>
      </w:pPr>
      <w:r w:rsidRPr="005E2E42">
        <w:rPr>
          <w:sz w:val="22"/>
          <w:szCs w:val="22"/>
        </w:rPr>
        <w:t xml:space="preserve">The success of BT Group's HR strategy depends on how effectively departmental managers implement HR practices. While HR develops policies and frameworks, managers shape employees' daily experiences through communication, performance management, coaching and career development. Consequently, the success of technological transformation, talent retention and diversity, equity and inclusion (DEI) </w:t>
      </w:r>
      <w:r w:rsidR="005E2E42" w:rsidRPr="005E2E42">
        <w:rPr>
          <w:sz w:val="22"/>
          <w:szCs w:val="22"/>
        </w:rPr>
        <w:t>depend</w:t>
      </w:r>
      <w:r w:rsidRPr="005E2E42">
        <w:rPr>
          <w:sz w:val="22"/>
          <w:szCs w:val="22"/>
        </w:rPr>
        <w:t xml:space="preserve"> on managerial capability as well as HR policy. This reflects the principles of High-Performance Work Systems (HPWS), which argue that organisational performance improves when HR practices are consistently supported through leadership, employee involvement and continuous development (Armstrong and Taylor, 2023).</w:t>
      </w:r>
    </w:p>
    <w:p w14:paraId="4005A80C" w14:textId="0699F88D" w:rsidR="00CD5C63" w:rsidRPr="005E2E42" w:rsidRDefault="00CD5C63" w:rsidP="005E2E42">
      <w:pPr>
        <w:spacing w:line="360" w:lineRule="auto"/>
        <w:rPr>
          <w:sz w:val="22"/>
          <w:szCs w:val="22"/>
        </w:rPr>
      </w:pPr>
      <w:r>
        <w:rPr>
          <w:noProof/>
        </w:rPr>
        <w:drawing>
          <wp:inline distT="0" distB="0" distL="0" distR="0" wp14:anchorId="0DA36AAE" wp14:editId="3A3888FF">
            <wp:extent cx="5731510" cy="3215005"/>
            <wp:effectExtent l="0" t="0" r="2540" b="4445"/>
            <wp:docPr id="312585546" name="Picture 8" descr="Critical Evaluation Stock Photos, Images and Background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ritical Evaluation Stock Photos, Images and Backgrounds for Free Downloa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15005"/>
                    </a:xfrm>
                    <a:prstGeom prst="rect">
                      <a:avLst/>
                    </a:prstGeom>
                    <a:noFill/>
                    <a:ln>
                      <a:noFill/>
                    </a:ln>
                  </pic:spPr>
                </pic:pic>
              </a:graphicData>
            </a:graphic>
          </wp:inline>
        </w:drawing>
      </w:r>
    </w:p>
    <w:p w14:paraId="44B1D035" w14:textId="08EDDBD1" w:rsidR="005861CE" w:rsidRDefault="009561A4" w:rsidP="005E2E42">
      <w:pPr>
        <w:spacing w:line="360" w:lineRule="auto"/>
        <w:rPr>
          <w:sz w:val="22"/>
          <w:szCs w:val="22"/>
        </w:rPr>
      </w:pPr>
      <w:r w:rsidRPr="009561A4">
        <w:rPr>
          <w:sz w:val="22"/>
          <w:szCs w:val="22"/>
        </w:rPr>
        <w:t>A key managerial responsibility is leadership accountability. Managers should be evaluated on people outcomes as well as operational performance by supporting skills development, internal mobility and fair recruitment and promotion. Focusing only on short-term productivity may reduce investment in employee development and wellbeing. Therefore, BT should include measures such as engagement, retention, learning participation and inclusion within managers’ performance objectives to support strategic HR priorities.</w:t>
      </w:r>
    </w:p>
    <w:p w14:paraId="6DD730F4" w14:textId="10701B2B" w:rsidR="007A75AB" w:rsidRPr="005540AF" w:rsidRDefault="007A75AB" w:rsidP="005540AF">
      <w:pPr>
        <w:pStyle w:val="Heading1"/>
        <w:rPr>
          <w:rFonts w:asciiTheme="minorHAnsi" w:hAnsiTheme="minorHAnsi" w:cstheme="minorHAnsi"/>
          <w:b/>
          <w:bCs/>
          <w:sz w:val="32"/>
          <w:szCs w:val="32"/>
        </w:rPr>
      </w:pPr>
      <w:bookmarkStart w:id="12" w:name="_Toc235326130"/>
      <w:r w:rsidRPr="005540AF">
        <w:rPr>
          <w:rFonts w:asciiTheme="minorHAnsi" w:hAnsiTheme="minorHAnsi" w:cstheme="minorHAnsi"/>
          <w:b/>
          <w:bCs/>
          <w:sz w:val="32"/>
          <w:szCs w:val="32"/>
        </w:rPr>
        <w:t>4.2 Change Management and Communication</w:t>
      </w:r>
      <w:bookmarkEnd w:id="12"/>
    </w:p>
    <w:p w14:paraId="748D570B" w14:textId="77777777" w:rsidR="005861CE" w:rsidRPr="005E2E42" w:rsidRDefault="005861CE" w:rsidP="005E2E42">
      <w:pPr>
        <w:spacing w:line="360" w:lineRule="auto"/>
        <w:rPr>
          <w:sz w:val="22"/>
          <w:szCs w:val="22"/>
        </w:rPr>
      </w:pPr>
      <w:r w:rsidRPr="005E2E42">
        <w:rPr>
          <w:sz w:val="22"/>
          <w:szCs w:val="22"/>
        </w:rPr>
        <w:t>Managers must also recognise the urgency of implementing HR initiatives during organisational transformation. Delays in reskilling employees or addressing retention issues may increase skills shortages, reduce service quality and weaken BT's competitive position. However, urgency should not lead to rushed implementation. Kotter (1996) argues that successful organisational change requires leaders to communicate a clear vision, build employee commitment and reinforce new behaviours through continuous support. Applying this model at BT would reduce resistance, strengthen engagement and improve the success of digital transformation.</w:t>
      </w:r>
    </w:p>
    <w:p w14:paraId="6D51405F" w14:textId="3D14FE82" w:rsidR="005861CE" w:rsidRDefault="007A75AB" w:rsidP="005E2E42">
      <w:pPr>
        <w:spacing w:line="360" w:lineRule="auto"/>
        <w:rPr>
          <w:sz w:val="22"/>
          <w:szCs w:val="22"/>
        </w:rPr>
      </w:pPr>
      <w:r>
        <w:rPr>
          <w:noProof/>
        </w:rPr>
        <w:drawing>
          <wp:anchor distT="0" distB="0" distL="114300" distR="114300" simplePos="0" relativeHeight="251658245" behindDoc="1" locked="0" layoutInCell="1" allowOverlap="1" wp14:anchorId="7607880B" wp14:editId="5A8E26B2">
            <wp:simplePos x="0" y="0"/>
            <wp:positionH relativeFrom="margin">
              <wp:align>right</wp:align>
            </wp:positionH>
            <wp:positionV relativeFrom="paragraph">
              <wp:posOffset>756920</wp:posOffset>
            </wp:positionV>
            <wp:extent cx="3782060" cy="2555240"/>
            <wp:effectExtent l="0" t="0" r="8890" b="0"/>
            <wp:wrapTight wrapText="bothSides">
              <wp:wrapPolygon edited="0">
                <wp:start x="0" y="0"/>
                <wp:lineTo x="0" y="21417"/>
                <wp:lineTo x="21542" y="21417"/>
                <wp:lineTo x="21542" y="0"/>
                <wp:lineTo x="0" y="0"/>
              </wp:wrapPolygon>
            </wp:wrapTight>
            <wp:docPr id="255115400" name="Picture 9" descr="Effective Communication Skills: How to speak with Grace - Oak Health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Effective Communication Skills: How to speak with Grace - Oak Health Found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82060" cy="2555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861CE" w:rsidRPr="005E2E42">
        <w:rPr>
          <w:sz w:val="22"/>
          <w:szCs w:val="22"/>
        </w:rPr>
        <w:t xml:space="preserve">Effective communication is equally important during restructuring and technological change. Employees often experience uncertainty about job security, changing responsibilities and future career opportunities. Managers should therefore provide regular, honest and two-way communication that explains why change is necessary, how it will affect employees and what support is available. Encouraging employee feedback through meetings and individual discussions can strengthen trust and increase commitment to organisational change. Without effective communication, employees may resist change, </w:t>
      </w:r>
      <w:r w:rsidRPr="005E2E42">
        <w:rPr>
          <w:sz w:val="22"/>
          <w:szCs w:val="22"/>
        </w:rPr>
        <w:t>reduce</w:t>
      </w:r>
      <w:r w:rsidR="005861CE" w:rsidRPr="005E2E42">
        <w:rPr>
          <w:sz w:val="22"/>
          <w:szCs w:val="22"/>
        </w:rPr>
        <w:t xml:space="preserve"> motivation and </w:t>
      </w:r>
      <w:proofErr w:type="gramStart"/>
      <w:r w:rsidR="005861CE" w:rsidRPr="005E2E42">
        <w:rPr>
          <w:sz w:val="22"/>
          <w:szCs w:val="22"/>
        </w:rPr>
        <w:t>increasing</w:t>
      </w:r>
      <w:proofErr w:type="gramEnd"/>
      <w:r w:rsidR="005861CE" w:rsidRPr="005E2E42">
        <w:rPr>
          <w:sz w:val="22"/>
          <w:szCs w:val="22"/>
        </w:rPr>
        <w:t xml:space="preserve"> voluntary turnover.</w:t>
      </w:r>
    </w:p>
    <w:p w14:paraId="1CB02FA4" w14:textId="7D00B709" w:rsidR="007A75AB" w:rsidRPr="005540AF" w:rsidRDefault="007A75AB" w:rsidP="005540AF">
      <w:pPr>
        <w:pStyle w:val="Heading1"/>
        <w:rPr>
          <w:rFonts w:asciiTheme="minorHAnsi" w:hAnsiTheme="minorHAnsi" w:cstheme="minorHAnsi"/>
          <w:b/>
          <w:bCs/>
          <w:sz w:val="28"/>
          <w:szCs w:val="28"/>
        </w:rPr>
      </w:pPr>
      <w:bookmarkStart w:id="13" w:name="_Toc235326131"/>
      <w:r w:rsidRPr="005540AF">
        <w:rPr>
          <w:rFonts w:asciiTheme="minorHAnsi" w:hAnsiTheme="minorHAnsi" w:cstheme="minorHAnsi"/>
          <w:b/>
          <w:bCs/>
          <w:sz w:val="28"/>
          <w:szCs w:val="28"/>
        </w:rPr>
        <w:t>4.3 Monitoring HR Performance and Organisational Culture</w:t>
      </w:r>
      <w:bookmarkEnd w:id="13"/>
    </w:p>
    <w:p w14:paraId="611F749F" w14:textId="77777777" w:rsidR="005861CE" w:rsidRPr="005E2E42" w:rsidRDefault="005861CE" w:rsidP="005E2E42">
      <w:pPr>
        <w:spacing w:line="360" w:lineRule="auto"/>
        <w:rPr>
          <w:sz w:val="22"/>
          <w:szCs w:val="22"/>
        </w:rPr>
      </w:pPr>
      <w:r w:rsidRPr="005E2E42">
        <w:rPr>
          <w:sz w:val="22"/>
          <w:szCs w:val="22"/>
        </w:rPr>
        <w:t>Managers should also monitor the effectiveness of HR initiatives using evidence-based performance measures such as employee engagement, turnover, promotion rates, training participation and workforce diversity. These indicators help managers evaluate whether HR strategies achieve their intended outcomes. However, quantitative data alone cannot fully capture employees' experiences of fairness or inclusion. Managers should therefore combine workforce analytics with qualitative feedback from employee surveys and exit interviews to identify underlying issues and improve decision-making (Marler and Boudreau, 2017).</w:t>
      </w:r>
    </w:p>
    <w:p w14:paraId="188C6CE8" w14:textId="3D2EEED5" w:rsidR="005861CE" w:rsidRPr="005540AF" w:rsidRDefault="005540AF" w:rsidP="005540AF">
      <w:pPr>
        <w:spacing w:line="360" w:lineRule="auto"/>
        <w:rPr>
          <w:sz w:val="22"/>
          <w:szCs w:val="22"/>
        </w:rPr>
      </w:pPr>
      <w:r w:rsidRPr="005540AF">
        <w:rPr>
          <w:sz w:val="22"/>
          <w:szCs w:val="22"/>
        </w:rPr>
        <w:t>Finally, managers play a vital role in shaping organisational culture. However, they may face barriers such as employee resistance to change, concerns about AI, inconsistent leadership and pressure to prioritise short-term performance. To overcome these challenges, BT should provide managers with training in change management and inclusive leadership, encourage employee involvement, and align performance measures with learning, development and inclusion rather than short-term operational targets. Developing these capabilities will improve consistency across departments and strengthen employee trust. Ultimately, sustainable organisational performance depends on aligning HR strategy, leadership behaviour, organisational culture and performance management so that employees view change as an opportunity rather than a threat.</w:t>
      </w:r>
    </w:p>
    <w:p w14:paraId="226A01B0" w14:textId="2BE2EC94" w:rsidR="68B0465D" w:rsidRPr="00CD5C63" w:rsidRDefault="68B0465D" w:rsidP="580BBF7F">
      <w:pPr>
        <w:pStyle w:val="Heading2"/>
        <w:spacing w:before="299" w:after="299"/>
        <w:rPr>
          <w:rFonts w:ascii="Arial" w:eastAsia="Arial" w:hAnsi="Arial" w:cs="Arial"/>
          <w:b/>
          <w:bCs/>
          <w:sz w:val="36"/>
          <w:szCs w:val="36"/>
        </w:rPr>
      </w:pPr>
      <w:bookmarkStart w:id="14" w:name="_Toc235326132"/>
      <w:r w:rsidRPr="00CD5C63">
        <w:rPr>
          <w:rFonts w:ascii="Arial" w:eastAsia="Arial" w:hAnsi="Arial" w:cs="Arial"/>
          <w:b/>
          <w:bCs/>
          <w:sz w:val="36"/>
          <w:szCs w:val="36"/>
        </w:rPr>
        <w:t>5. Conclusion</w:t>
      </w:r>
      <w:bookmarkEnd w:id="14"/>
    </w:p>
    <w:p w14:paraId="4CB9D40F" w14:textId="42B24B28" w:rsidR="005861CE" w:rsidRDefault="00CD5C63" w:rsidP="005E2E42">
      <w:pPr>
        <w:spacing w:line="360" w:lineRule="auto"/>
        <w:rPr>
          <w:sz w:val="22"/>
          <w:szCs w:val="22"/>
        </w:rPr>
      </w:pPr>
      <w:r>
        <w:rPr>
          <w:noProof/>
        </w:rPr>
        <w:drawing>
          <wp:anchor distT="0" distB="0" distL="114300" distR="114300" simplePos="0" relativeHeight="251658243" behindDoc="1" locked="0" layoutInCell="1" allowOverlap="1" wp14:anchorId="26B88306" wp14:editId="0E97C27F">
            <wp:simplePos x="0" y="0"/>
            <wp:positionH relativeFrom="margin">
              <wp:posOffset>2216150</wp:posOffset>
            </wp:positionH>
            <wp:positionV relativeFrom="paragraph">
              <wp:posOffset>4445</wp:posOffset>
            </wp:positionV>
            <wp:extent cx="3841750" cy="2882900"/>
            <wp:effectExtent l="0" t="0" r="6350" b="0"/>
            <wp:wrapTight wrapText="bothSides">
              <wp:wrapPolygon edited="0">
                <wp:start x="0" y="0"/>
                <wp:lineTo x="0" y="21410"/>
                <wp:lineTo x="21529" y="21410"/>
                <wp:lineTo x="21529" y="0"/>
                <wp:lineTo x="0" y="0"/>
              </wp:wrapPolygon>
            </wp:wrapTight>
            <wp:docPr id="1993785572" name="Picture 3" descr="How to write an excellent thesis conclusion [with examples] - Paperp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write an excellent thesis conclusion [with examples] - Paperpi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41750" cy="2882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861CE" w:rsidRPr="005E2E42">
        <w:rPr>
          <w:sz w:val="22"/>
          <w:szCs w:val="22"/>
        </w:rPr>
        <w:t>This report examined the three main HR challenges facing BT Group: technological advancement, talent acquisition and retention, and diversity, equity and inclusion (DEI). The analysis showed that these challenges directly affect organisational performance, employee engagement and long-term sustainability. Although BT has invested in digital transformation, workforce development and inclusive employment practices, their success depends on effective managerial implementation. Contemporary HR practices such as workforce analytics, digital learning, employer branding and inclusive leadership can strengthen organisational capability when applied consistently. BT should continue aligning strategic HR practices with business objectives to build a skilled, adaptable and inclusive workforce that maintains long-term competitive advantage.</w:t>
      </w:r>
    </w:p>
    <w:p w14:paraId="7B2E87FD" w14:textId="1B2307CC" w:rsidR="005E2E42" w:rsidRPr="005E2E42" w:rsidRDefault="005E2E42" w:rsidP="005E2E42">
      <w:pPr>
        <w:spacing w:line="360" w:lineRule="auto"/>
        <w:rPr>
          <w:sz w:val="22"/>
          <w:szCs w:val="22"/>
        </w:rPr>
      </w:pPr>
    </w:p>
    <w:p w14:paraId="0E7D113D" w14:textId="3625363A" w:rsidR="005861CE" w:rsidRPr="005E2E42" w:rsidRDefault="005861CE" w:rsidP="005E2E42">
      <w:pPr>
        <w:spacing w:line="360" w:lineRule="auto"/>
        <w:rPr>
          <w:sz w:val="22"/>
          <w:szCs w:val="22"/>
        </w:rPr>
      </w:pPr>
    </w:p>
    <w:p w14:paraId="725D3F23" w14:textId="279183B4" w:rsidR="68B0465D" w:rsidRPr="005E2E42" w:rsidRDefault="005E2E42" w:rsidP="580BBF7F">
      <w:pPr>
        <w:pStyle w:val="Heading2"/>
        <w:spacing w:before="299" w:after="299"/>
        <w:rPr>
          <w:rFonts w:ascii="Arial" w:eastAsia="Arial" w:hAnsi="Arial" w:cs="Arial"/>
          <w:b/>
          <w:bCs/>
        </w:rPr>
      </w:pPr>
      <w:bookmarkStart w:id="15" w:name="_Toc235326133"/>
      <w:r>
        <w:rPr>
          <w:rFonts w:ascii="Arial" w:eastAsia="Arial" w:hAnsi="Arial" w:cs="Arial"/>
          <w:b/>
          <w:bCs/>
        </w:rPr>
        <w:t>6.</w:t>
      </w:r>
      <w:r w:rsidR="68B0465D" w:rsidRPr="005E2E42">
        <w:rPr>
          <w:rFonts w:ascii="Arial" w:eastAsia="Arial" w:hAnsi="Arial" w:cs="Arial"/>
          <w:b/>
          <w:bCs/>
        </w:rPr>
        <w:t xml:space="preserve"> Recommendations</w:t>
      </w:r>
      <w:bookmarkEnd w:id="15"/>
    </w:p>
    <w:p w14:paraId="2688886B" w14:textId="5E3C7A30" w:rsidR="00405AB4" w:rsidRDefault="00CD5C63" w:rsidP="005E2E42">
      <w:pPr>
        <w:spacing w:line="360" w:lineRule="auto"/>
        <w:rPr>
          <w:sz w:val="22"/>
          <w:szCs w:val="22"/>
        </w:rPr>
      </w:pPr>
      <w:r>
        <w:rPr>
          <w:noProof/>
        </w:rPr>
        <w:drawing>
          <wp:anchor distT="0" distB="0" distL="114300" distR="114300" simplePos="0" relativeHeight="251658244" behindDoc="1" locked="0" layoutInCell="1" allowOverlap="1" wp14:anchorId="1639B713" wp14:editId="0549C93E">
            <wp:simplePos x="0" y="0"/>
            <wp:positionH relativeFrom="margin">
              <wp:align>left</wp:align>
            </wp:positionH>
            <wp:positionV relativeFrom="paragraph">
              <wp:posOffset>776605</wp:posOffset>
            </wp:positionV>
            <wp:extent cx="4273550" cy="3168650"/>
            <wp:effectExtent l="0" t="0" r="0" b="0"/>
            <wp:wrapTight wrapText="bothSides">
              <wp:wrapPolygon edited="0">
                <wp:start x="0" y="0"/>
                <wp:lineTo x="0" y="21427"/>
                <wp:lineTo x="21472" y="21427"/>
                <wp:lineTo x="21472" y="0"/>
                <wp:lineTo x="0" y="0"/>
              </wp:wrapPolygon>
            </wp:wrapTight>
            <wp:docPr id="467753851" name="Picture 2" descr="Recommendation Images - Free Download on Magnific (formerly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commendation Images - Free Download on Magnific (formerly Freepi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73550" cy="3168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5AB4" w:rsidRPr="005E2E42">
        <w:rPr>
          <w:sz w:val="22"/>
          <w:szCs w:val="22"/>
        </w:rPr>
        <w:t>BT should introduce a structured reskill-to-role programme linking digital learning with internal AI, cyber security and data roles. Workforce analytics should be expanded to identify skills gaps, turnover risks and succession needs. To improve attraction and retention, BT should strengthen its Employee Value Proposition by combining competitive reward, flexible working, wellbeing, career development and internal mobility. The organisation should also review recruitment, promotion and performance management processes to ensure equal opportunities and address progression barriers. Finally, managers should be held accountable for engagement, retention, learning and inclusion outcomes to ensure HR strategies are implemented consistently across the organisation.</w:t>
      </w:r>
    </w:p>
    <w:p w14:paraId="284D2985" w14:textId="58BA2E51" w:rsidR="005E2E42" w:rsidRPr="005E2E42" w:rsidRDefault="005E2E42" w:rsidP="005E2E42">
      <w:pPr>
        <w:spacing w:line="360" w:lineRule="auto"/>
        <w:rPr>
          <w:sz w:val="22"/>
          <w:szCs w:val="22"/>
        </w:rPr>
      </w:pPr>
    </w:p>
    <w:p w14:paraId="27556B26" w14:textId="362617C4" w:rsidR="005E2E42" w:rsidRDefault="005E2E42">
      <w:r>
        <w:br w:type="page"/>
      </w:r>
    </w:p>
    <w:p w14:paraId="6E6A905E" w14:textId="77777777" w:rsidR="00405AB4" w:rsidRPr="00405AB4" w:rsidRDefault="00405AB4" w:rsidP="00405AB4"/>
    <w:p w14:paraId="57DBF333" w14:textId="5E37EEFC" w:rsidR="4EB52ED5" w:rsidRDefault="4EB52ED5" w:rsidP="580BBF7F">
      <w:pPr>
        <w:pStyle w:val="Heading1"/>
        <w:spacing w:before="322" w:after="322"/>
        <w:rPr>
          <w:rFonts w:ascii="Arial" w:eastAsia="Arial" w:hAnsi="Arial" w:cs="Arial"/>
          <w:b/>
          <w:bCs/>
          <w:sz w:val="48"/>
          <w:szCs w:val="48"/>
        </w:rPr>
      </w:pPr>
      <w:bookmarkStart w:id="16" w:name="_Toc235326134"/>
      <w:r w:rsidRPr="580BBF7F">
        <w:rPr>
          <w:rFonts w:ascii="Arial" w:eastAsia="Arial" w:hAnsi="Arial" w:cs="Arial"/>
          <w:b/>
          <w:bCs/>
          <w:sz w:val="48"/>
          <w:szCs w:val="48"/>
        </w:rPr>
        <w:t>References</w:t>
      </w:r>
      <w:bookmarkEnd w:id="16"/>
    </w:p>
    <w:p w14:paraId="1FB2CE93" w14:textId="4B6976E2" w:rsidR="4EB52ED5" w:rsidRPr="005E2E42" w:rsidRDefault="4EB52ED5" w:rsidP="005E2E42">
      <w:pPr>
        <w:spacing w:before="240" w:after="240" w:line="360" w:lineRule="auto"/>
        <w:rPr>
          <w:sz w:val="22"/>
          <w:szCs w:val="22"/>
        </w:rPr>
      </w:pPr>
      <w:r w:rsidRPr="005E2E42">
        <w:rPr>
          <w:rFonts w:ascii="Arial" w:eastAsia="Arial" w:hAnsi="Arial" w:cs="Arial"/>
          <w:sz w:val="22"/>
          <w:szCs w:val="22"/>
        </w:rPr>
        <w:t xml:space="preserve">Armstrong, M. and Taylor, S. (2023) </w:t>
      </w:r>
      <w:r w:rsidRPr="005E2E42">
        <w:rPr>
          <w:rFonts w:ascii="Arial" w:eastAsia="Arial" w:hAnsi="Arial" w:cs="Arial"/>
          <w:i/>
          <w:iCs/>
          <w:sz w:val="22"/>
          <w:szCs w:val="22"/>
        </w:rPr>
        <w:t>Armstrong's Handbook of Human Resource Management Practice</w:t>
      </w:r>
      <w:r w:rsidRPr="005E2E42">
        <w:rPr>
          <w:rFonts w:ascii="Arial" w:eastAsia="Arial" w:hAnsi="Arial" w:cs="Arial"/>
          <w:sz w:val="22"/>
          <w:szCs w:val="22"/>
        </w:rPr>
        <w:t>. 16th edn. London: Kogan Page.</w:t>
      </w:r>
    </w:p>
    <w:p w14:paraId="0255F7D5" w14:textId="17B3FF04" w:rsidR="4EB52ED5" w:rsidRPr="005E2E42" w:rsidRDefault="4EB52ED5" w:rsidP="005E2E42">
      <w:pPr>
        <w:spacing w:before="240" w:after="240" w:line="360" w:lineRule="auto"/>
        <w:rPr>
          <w:sz w:val="22"/>
          <w:szCs w:val="22"/>
        </w:rPr>
      </w:pPr>
      <w:r w:rsidRPr="005E2E42">
        <w:rPr>
          <w:rFonts w:ascii="Arial" w:eastAsia="Arial" w:hAnsi="Arial" w:cs="Arial"/>
          <w:sz w:val="22"/>
          <w:szCs w:val="22"/>
        </w:rPr>
        <w:t xml:space="preserve">Barney, J. (1991) ‘Firm resources and sustained competitive advantage’, </w:t>
      </w:r>
      <w:r w:rsidRPr="005E2E42">
        <w:rPr>
          <w:rFonts w:ascii="Arial" w:eastAsia="Arial" w:hAnsi="Arial" w:cs="Arial"/>
          <w:i/>
          <w:iCs/>
          <w:sz w:val="22"/>
          <w:szCs w:val="22"/>
        </w:rPr>
        <w:t>Journal of Management</w:t>
      </w:r>
      <w:r w:rsidRPr="005E2E42">
        <w:rPr>
          <w:rFonts w:ascii="Arial" w:eastAsia="Arial" w:hAnsi="Arial" w:cs="Arial"/>
          <w:sz w:val="22"/>
          <w:szCs w:val="22"/>
        </w:rPr>
        <w:t xml:space="preserve">, </w:t>
      </w:r>
      <w:r w:rsidRPr="005E2E42">
        <w:rPr>
          <w:rFonts w:ascii="Arial" w:eastAsia="Arial" w:hAnsi="Arial" w:cs="Arial"/>
          <w:b/>
          <w:bCs/>
          <w:sz w:val="22"/>
          <w:szCs w:val="22"/>
        </w:rPr>
        <w:t>17</w:t>
      </w:r>
      <w:r w:rsidRPr="005E2E42">
        <w:rPr>
          <w:rFonts w:ascii="Arial" w:eastAsia="Arial" w:hAnsi="Arial" w:cs="Arial"/>
          <w:sz w:val="22"/>
          <w:szCs w:val="22"/>
        </w:rPr>
        <w:t>(1), pp. 99–120.</w:t>
      </w:r>
    </w:p>
    <w:p w14:paraId="06D85BB6" w14:textId="5F398595" w:rsidR="4EB52ED5" w:rsidRPr="005E2E42" w:rsidRDefault="4EB52ED5" w:rsidP="005E2E42">
      <w:pPr>
        <w:spacing w:before="240" w:after="240" w:line="360" w:lineRule="auto"/>
        <w:rPr>
          <w:sz w:val="22"/>
          <w:szCs w:val="22"/>
        </w:rPr>
      </w:pPr>
      <w:r w:rsidRPr="005E2E42">
        <w:rPr>
          <w:rFonts w:ascii="Arial" w:eastAsia="Arial" w:hAnsi="Arial" w:cs="Arial"/>
          <w:sz w:val="22"/>
          <w:szCs w:val="22"/>
        </w:rPr>
        <w:t xml:space="preserve">BT Group (2025a) </w:t>
      </w:r>
      <w:r w:rsidRPr="005E2E42">
        <w:rPr>
          <w:rFonts w:ascii="Arial" w:eastAsia="Arial" w:hAnsi="Arial" w:cs="Arial"/>
          <w:i/>
          <w:iCs/>
          <w:sz w:val="22"/>
          <w:szCs w:val="22"/>
        </w:rPr>
        <w:t>BT Group plc Annual Report 2025</w:t>
      </w:r>
      <w:r w:rsidRPr="005E2E42">
        <w:rPr>
          <w:rFonts w:ascii="Arial" w:eastAsia="Arial" w:hAnsi="Arial" w:cs="Arial"/>
          <w:sz w:val="22"/>
          <w:szCs w:val="22"/>
        </w:rPr>
        <w:t xml:space="preserve">. Available at: </w:t>
      </w:r>
      <w:hyperlink r:id="rId16">
        <w:r w:rsidRPr="005E2E42">
          <w:rPr>
            <w:rStyle w:val="Hyperlink"/>
            <w:sz w:val="22"/>
            <w:szCs w:val="22"/>
          </w:rPr>
          <w:t>https://www.bt.com/about/annual-reports/2025summary/</w:t>
        </w:r>
      </w:hyperlink>
      <w:r w:rsidRPr="005E2E42">
        <w:rPr>
          <w:rFonts w:ascii="Arial" w:eastAsia="Arial" w:hAnsi="Arial" w:cs="Arial"/>
          <w:sz w:val="22"/>
          <w:szCs w:val="22"/>
        </w:rPr>
        <w:t xml:space="preserve"> (Accessed: 24 June 2026).</w:t>
      </w:r>
    </w:p>
    <w:p w14:paraId="6152ABA4" w14:textId="63204364" w:rsidR="4EB52ED5" w:rsidRPr="005E2E42" w:rsidRDefault="4EB52ED5" w:rsidP="005E2E42">
      <w:pPr>
        <w:spacing w:before="240" w:after="240" w:line="360" w:lineRule="auto"/>
        <w:rPr>
          <w:sz w:val="22"/>
          <w:szCs w:val="22"/>
        </w:rPr>
      </w:pPr>
      <w:r w:rsidRPr="005E2E42">
        <w:rPr>
          <w:rFonts w:ascii="Arial" w:eastAsia="Arial" w:hAnsi="Arial" w:cs="Arial"/>
          <w:sz w:val="22"/>
          <w:szCs w:val="22"/>
        </w:rPr>
        <w:t xml:space="preserve">BT Group (2025b) </w:t>
      </w:r>
      <w:r w:rsidRPr="005E2E42">
        <w:rPr>
          <w:rFonts w:ascii="Arial" w:eastAsia="Arial" w:hAnsi="Arial" w:cs="Arial"/>
          <w:i/>
          <w:iCs/>
          <w:sz w:val="22"/>
          <w:szCs w:val="22"/>
        </w:rPr>
        <w:t>BT Group to Recruit More Than 600 Apprentices and Graduates</w:t>
      </w:r>
      <w:r w:rsidRPr="005E2E42">
        <w:rPr>
          <w:rFonts w:ascii="Arial" w:eastAsia="Arial" w:hAnsi="Arial" w:cs="Arial"/>
          <w:sz w:val="22"/>
          <w:szCs w:val="22"/>
        </w:rPr>
        <w:t xml:space="preserve">. Available at: </w:t>
      </w:r>
      <w:hyperlink r:id="rId17">
        <w:r w:rsidRPr="005E2E42">
          <w:rPr>
            <w:rStyle w:val="Hyperlink"/>
            <w:sz w:val="22"/>
            <w:szCs w:val="22"/>
          </w:rPr>
          <w:t>https://newsroom.bt.com/bt-group-to-recruit-more-than-600-apprentices-graduates/</w:t>
        </w:r>
      </w:hyperlink>
      <w:r w:rsidRPr="005E2E42">
        <w:rPr>
          <w:rFonts w:ascii="Arial" w:eastAsia="Arial" w:hAnsi="Arial" w:cs="Arial"/>
          <w:sz w:val="22"/>
          <w:szCs w:val="22"/>
        </w:rPr>
        <w:t xml:space="preserve"> (Accessed: 24 June 2026).</w:t>
      </w:r>
    </w:p>
    <w:p w14:paraId="06026D52" w14:textId="40AC0658" w:rsidR="4EB52ED5" w:rsidRPr="005E2E42" w:rsidRDefault="4EB52ED5" w:rsidP="005E2E42">
      <w:pPr>
        <w:spacing w:before="240" w:after="240" w:line="360" w:lineRule="auto"/>
        <w:rPr>
          <w:sz w:val="22"/>
          <w:szCs w:val="22"/>
        </w:rPr>
      </w:pPr>
      <w:r w:rsidRPr="005E2E42">
        <w:rPr>
          <w:rFonts w:ascii="Arial" w:eastAsia="Arial" w:hAnsi="Arial" w:cs="Arial"/>
          <w:sz w:val="22"/>
          <w:szCs w:val="22"/>
        </w:rPr>
        <w:t xml:space="preserve">BT Group (2025c) </w:t>
      </w:r>
      <w:r w:rsidRPr="005E2E42">
        <w:rPr>
          <w:rFonts w:ascii="Arial" w:eastAsia="Arial" w:hAnsi="Arial" w:cs="Arial"/>
          <w:i/>
          <w:iCs/>
          <w:sz w:val="22"/>
          <w:szCs w:val="22"/>
        </w:rPr>
        <w:t>Diversity, Equity and Inclusion at BT Group</w:t>
      </w:r>
      <w:r w:rsidRPr="005E2E42">
        <w:rPr>
          <w:rFonts w:ascii="Arial" w:eastAsia="Arial" w:hAnsi="Arial" w:cs="Arial"/>
          <w:sz w:val="22"/>
          <w:szCs w:val="22"/>
        </w:rPr>
        <w:t xml:space="preserve">. Available at: </w:t>
      </w:r>
      <w:hyperlink r:id="rId18">
        <w:r w:rsidRPr="005E2E42">
          <w:rPr>
            <w:rStyle w:val="Hyperlink"/>
            <w:sz w:val="22"/>
            <w:szCs w:val="22"/>
          </w:rPr>
          <w:t>https://www.bt.com/about/bt/our-people/diversity-and-inclusion</w:t>
        </w:r>
      </w:hyperlink>
      <w:r w:rsidRPr="005E2E42">
        <w:rPr>
          <w:rFonts w:ascii="Arial" w:eastAsia="Arial" w:hAnsi="Arial" w:cs="Arial"/>
          <w:sz w:val="22"/>
          <w:szCs w:val="22"/>
        </w:rPr>
        <w:t xml:space="preserve"> (Accessed: 24 June 2026).</w:t>
      </w:r>
    </w:p>
    <w:p w14:paraId="7245F84B" w14:textId="53AC41E0" w:rsidR="4EB52ED5" w:rsidRPr="005E2E42" w:rsidRDefault="4EB52ED5" w:rsidP="005E2E42">
      <w:pPr>
        <w:spacing w:before="240" w:after="240" w:line="360" w:lineRule="auto"/>
        <w:rPr>
          <w:sz w:val="22"/>
          <w:szCs w:val="22"/>
        </w:rPr>
      </w:pPr>
      <w:r w:rsidRPr="005E2E42">
        <w:rPr>
          <w:rFonts w:ascii="Arial" w:eastAsia="Arial" w:hAnsi="Arial" w:cs="Arial"/>
          <w:sz w:val="22"/>
          <w:szCs w:val="22"/>
        </w:rPr>
        <w:t xml:space="preserve">Hom, P.W., Lee, T.W., Shaw, J.D. and Hausknecht, J.P. (2017) ‘One hundred years of employee turnover theory and research’, </w:t>
      </w:r>
      <w:r w:rsidRPr="005E2E42">
        <w:rPr>
          <w:rFonts w:ascii="Arial" w:eastAsia="Arial" w:hAnsi="Arial" w:cs="Arial"/>
          <w:i/>
          <w:iCs/>
          <w:sz w:val="22"/>
          <w:szCs w:val="22"/>
        </w:rPr>
        <w:t>Journal of Applied Psychology</w:t>
      </w:r>
      <w:r w:rsidRPr="005E2E42">
        <w:rPr>
          <w:rFonts w:ascii="Arial" w:eastAsia="Arial" w:hAnsi="Arial" w:cs="Arial"/>
          <w:sz w:val="22"/>
          <w:szCs w:val="22"/>
        </w:rPr>
        <w:t xml:space="preserve">, </w:t>
      </w:r>
      <w:r w:rsidRPr="005E2E42">
        <w:rPr>
          <w:rFonts w:ascii="Arial" w:eastAsia="Arial" w:hAnsi="Arial" w:cs="Arial"/>
          <w:b/>
          <w:bCs/>
          <w:sz w:val="22"/>
          <w:szCs w:val="22"/>
        </w:rPr>
        <w:t>102</w:t>
      </w:r>
      <w:r w:rsidRPr="005E2E42">
        <w:rPr>
          <w:rFonts w:ascii="Arial" w:eastAsia="Arial" w:hAnsi="Arial" w:cs="Arial"/>
          <w:sz w:val="22"/>
          <w:szCs w:val="22"/>
        </w:rPr>
        <w:t>(3), pp. 530–545.</w:t>
      </w:r>
    </w:p>
    <w:p w14:paraId="30A87E14" w14:textId="0FD5D64F" w:rsidR="4EB52ED5" w:rsidRPr="005E2E42" w:rsidRDefault="4EB52ED5" w:rsidP="005E2E42">
      <w:pPr>
        <w:spacing w:before="240" w:after="240" w:line="360" w:lineRule="auto"/>
        <w:rPr>
          <w:sz w:val="22"/>
          <w:szCs w:val="22"/>
        </w:rPr>
      </w:pPr>
      <w:r w:rsidRPr="005E2E42">
        <w:rPr>
          <w:rFonts w:ascii="Arial" w:eastAsia="Arial" w:hAnsi="Arial" w:cs="Arial"/>
          <w:sz w:val="22"/>
          <w:szCs w:val="22"/>
        </w:rPr>
        <w:t xml:space="preserve">Kotter, J.P. (1996) </w:t>
      </w:r>
      <w:r w:rsidRPr="005E2E42">
        <w:rPr>
          <w:rFonts w:ascii="Arial" w:eastAsia="Arial" w:hAnsi="Arial" w:cs="Arial"/>
          <w:i/>
          <w:iCs/>
          <w:sz w:val="22"/>
          <w:szCs w:val="22"/>
        </w:rPr>
        <w:t>Leading Change</w:t>
      </w:r>
      <w:r w:rsidRPr="005E2E42">
        <w:rPr>
          <w:rFonts w:ascii="Arial" w:eastAsia="Arial" w:hAnsi="Arial" w:cs="Arial"/>
          <w:sz w:val="22"/>
          <w:szCs w:val="22"/>
        </w:rPr>
        <w:t>. Boston, MA: Harvard Business School Press.</w:t>
      </w:r>
    </w:p>
    <w:p w14:paraId="107F3C00" w14:textId="6E708DB0" w:rsidR="4EB52ED5" w:rsidRPr="005E2E42" w:rsidRDefault="4EB52ED5" w:rsidP="005E2E42">
      <w:pPr>
        <w:spacing w:before="240" w:after="240" w:line="360" w:lineRule="auto"/>
        <w:rPr>
          <w:sz w:val="22"/>
          <w:szCs w:val="22"/>
        </w:rPr>
      </w:pPr>
      <w:r w:rsidRPr="005E2E42">
        <w:rPr>
          <w:rFonts w:ascii="Arial" w:eastAsia="Arial" w:hAnsi="Arial" w:cs="Arial"/>
          <w:sz w:val="22"/>
          <w:szCs w:val="22"/>
        </w:rPr>
        <w:t xml:space="preserve">Marler, J.H. and Boudreau, J.W. (2017) ‘An evidence-based review of HR analytics’, </w:t>
      </w:r>
      <w:r w:rsidRPr="005E2E42">
        <w:rPr>
          <w:rFonts w:ascii="Arial" w:eastAsia="Arial" w:hAnsi="Arial" w:cs="Arial"/>
          <w:i/>
          <w:iCs/>
          <w:sz w:val="22"/>
          <w:szCs w:val="22"/>
        </w:rPr>
        <w:t>The International Journal of Human Resource Management</w:t>
      </w:r>
      <w:r w:rsidRPr="005E2E42">
        <w:rPr>
          <w:rFonts w:ascii="Arial" w:eastAsia="Arial" w:hAnsi="Arial" w:cs="Arial"/>
          <w:sz w:val="22"/>
          <w:szCs w:val="22"/>
        </w:rPr>
        <w:t xml:space="preserve">, </w:t>
      </w:r>
      <w:r w:rsidRPr="005E2E42">
        <w:rPr>
          <w:rFonts w:ascii="Arial" w:eastAsia="Arial" w:hAnsi="Arial" w:cs="Arial"/>
          <w:b/>
          <w:bCs/>
          <w:sz w:val="22"/>
          <w:szCs w:val="22"/>
        </w:rPr>
        <w:t>28</w:t>
      </w:r>
      <w:r w:rsidRPr="005E2E42">
        <w:rPr>
          <w:rFonts w:ascii="Arial" w:eastAsia="Arial" w:hAnsi="Arial" w:cs="Arial"/>
          <w:sz w:val="22"/>
          <w:szCs w:val="22"/>
        </w:rPr>
        <w:t>(1), pp. 3–26.</w:t>
      </w:r>
    </w:p>
    <w:p w14:paraId="6C23A984" w14:textId="4DBC498C" w:rsidR="4EB52ED5" w:rsidRPr="005E2E42" w:rsidRDefault="4EB52ED5" w:rsidP="005E2E42">
      <w:pPr>
        <w:spacing w:before="240" w:after="240" w:line="360" w:lineRule="auto"/>
        <w:rPr>
          <w:sz w:val="22"/>
          <w:szCs w:val="22"/>
        </w:rPr>
      </w:pPr>
      <w:r w:rsidRPr="005E2E42">
        <w:rPr>
          <w:rFonts w:ascii="Arial" w:eastAsia="Arial" w:hAnsi="Arial" w:cs="Arial"/>
          <w:sz w:val="22"/>
          <w:szCs w:val="22"/>
        </w:rPr>
        <w:t xml:space="preserve">Ployhart, R.E. (2006) ‘Staffing in the 21st century: New challenges and strategic opportunities’, </w:t>
      </w:r>
      <w:r w:rsidRPr="005E2E42">
        <w:rPr>
          <w:rFonts w:ascii="Arial" w:eastAsia="Arial" w:hAnsi="Arial" w:cs="Arial"/>
          <w:i/>
          <w:iCs/>
          <w:sz w:val="22"/>
          <w:szCs w:val="22"/>
        </w:rPr>
        <w:t>Journal of Management</w:t>
      </w:r>
      <w:r w:rsidRPr="005E2E42">
        <w:rPr>
          <w:rFonts w:ascii="Arial" w:eastAsia="Arial" w:hAnsi="Arial" w:cs="Arial"/>
          <w:sz w:val="22"/>
          <w:szCs w:val="22"/>
        </w:rPr>
        <w:t xml:space="preserve">, </w:t>
      </w:r>
      <w:r w:rsidRPr="005E2E42">
        <w:rPr>
          <w:rFonts w:ascii="Arial" w:eastAsia="Arial" w:hAnsi="Arial" w:cs="Arial"/>
          <w:b/>
          <w:bCs/>
          <w:sz w:val="22"/>
          <w:szCs w:val="22"/>
        </w:rPr>
        <w:t>32</w:t>
      </w:r>
      <w:r w:rsidRPr="005E2E42">
        <w:rPr>
          <w:rFonts w:ascii="Arial" w:eastAsia="Arial" w:hAnsi="Arial" w:cs="Arial"/>
          <w:sz w:val="22"/>
          <w:szCs w:val="22"/>
        </w:rPr>
        <w:t>(6), pp. 868–897.</w:t>
      </w:r>
    </w:p>
    <w:p w14:paraId="505A0025" w14:textId="161997F9" w:rsidR="4EB52ED5" w:rsidRPr="005E2E42" w:rsidRDefault="4EB52ED5" w:rsidP="005E2E42">
      <w:pPr>
        <w:spacing w:before="240" w:after="240" w:line="360" w:lineRule="auto"/>
        <w:rPr>
          <w:sz w:val="22"/>
          <w:szCs w:val="22"/>
        </w:rPr>
      </w:pPr>
      <w:r w:rsidRPr="005E2E42">
        <w:rPr>
          <w:rFonts w:ascii="Arial" w:eastAsia="Arial" w:hAnsi="Arial" w:cs="Arial"/>
          <w:sz w:val="22"/>
          <w:szCs w:val="22"/>
        </w:rPr>
        <w:t xml:space="preserve">Roberson, Q. (2019) ‘Diversity in the workplace: A review, synthesis, and future research agenda’, </w:t>
      </w:r>
      <w:r w:rsidRPr="005E2E42">
        <w:rPr>
          <w:rFonts w:ascii="Arial" w:eastAsia="Arial" w:hAnsi="Arial" w:cs="Arial"/>
          <w:i/>
          <w:iCs/>
          <w:sz w:val="22"/>
          <w:szCs w:val="22"/>
        </w:rPr>
        <w:t>Annual Review of Organizational Psychology and Organizational Behavior</w:t>
      </w:r>
      <w:r w:rsidRPr="005E2E42">
        <w:rPr>
          <w:rFonts w:ascii="Arial" w:eastAsia="Arial" w:hAnsi="Arial" w:cs="Arial"/>
          <w:sz w:val="22"/>
          <w:szCs w:val="22"/>
        </w:rPr>
        <w:t xml:space="preserve">, </w:t>
      </w:r>
      <w:r w:rsidRPr="005E2E42">
        <w:rPr>
          <w:rFonts w:ascii="Arial" w:eastAsia="Arial" w:hAnsi="Arial" w:cs="Arial"/>
          <w:b/>
          <w:bCs/>
          <w:sz w:val="22"/>
          <w:szCs w:val="22"/>
        </w:rPr>
        <w:t>6</w:t>
      </w:r>
      <w:r w:rsidRPr="005E2E42">
        <w:rPr>
          <w:rFonts w:ascii="Arial" w:eastAsia="Arial" w:hAnsi="Arial" w:cs="Arial"/>
          <w:sz w:val="22"/>
          <w:szCs w:val="22"/>
        </w:rPr>
        <w:t>, pp. 69–88.</w:t>
      </w:r>
    </w:p>
    <w:p w14:paraId="3C0B4678" w14:textId="3FF00C66" w:rsidR="4EB52ED5" w:rsidRPr="005E2E42" w:rsidRDefault="4EB52ED5" w:rsidP="005E2E42">
      <w:pPr>
        <w:spacing w:before="240" w:after="240" w:line="360" w:lineRule="auto"/>
        <w:rPr>
          <w:sz w:val="22"/>
          <w:szCs w:val="22"/>
        </w:rPr>
      </w:pPr>
      <w:r w:rsidRPr="005E2E42">
        <w:rPr>
          <w:rFonts w:ascii="Arial" w:eastAsia="Arial" w:hAnsi="Arial" w:cs="Arial"/>
          <w:sz w:val="22"/>
          <w:szCs w:val="22"/>
        </w:rPr>
        <w:t xml:space="preserve">Shore, L.M., Randel, A.E., Chung, B.G., Dean, M.A., Holcombe Ehrhart, K. and Singh, G. (2011) ‘Inclusion and diversity in work groups: A review and model for future research’, </w:t>
      </w:r>
      <w:r w:rsidRPr="005E2E42">
        <w:rPr>
          <w:rFonts w:ascii="Arial" w:eastAsia="Arial" w:hAnsi="Arial" w:cs="Arial"/>
          <w:i/>
          <w:iCs/>
          <w:sz w:val="22"/>
          <w:szCs w:val="22"/>
        </w:rPr>
        <w:t>Journal of Management</w:t>
      </w:r>
      <w:r w:rsidRPr="005E2E42">
        <w:rPr>
          <w:rFonts w:ascii="Arial" w:eastAsia="Arial" w:hAnsi="Arial" w:cs="Arial"/>
          <w:sz w:val="22"/>
          <w:szCs w:val="22"/>
        </w:rPr>
        <w:t xml:space="preserve">, </w:t>
      </w:r>
      <w:r w:rsidRPr="005E2E42">
        <w:rPr>
          <w:rFonts w:ascii="Arial" w:eastAsia="Arial" w:hAnsi="Arial" w:cs="Arial"/>
          <w:b/>
          <w:bCs/>
          <w:sz w:val="22"/>
          <w:szCs w:val="22"/>
        </w:rPr>
        <w:t>37</w:t>
      </w:r>
      <w:r w:rsidRPr="005E2E42">
        <w:rPr>
          <w:rFonts w:ascii="Arial" w:eastAsia="Arial" w:hAnsi="Arial" w:cs="Arial"/>
          <w:sz w:val="22"/>
          <w:szCs w:val="22"/>
        </w:rPr>
        <w:t>(4), pp. 1262–1289.</w:t>
      </w:r>
    </w:p>
    <w:p w14:paraId="048E3CF8" w14:textId="51B93793" w:rsidR="4EB52ED5" w:rsidRPr="005E2E42" w:rsidRDefault="4EB52ED5" w:rsidP="005E2E42">
      <w:pPr>
        <w:spacing w:before="240" w:after="240" w:line="360" w:lineRule="auto"/>
        <w:rPr>
          <w:sz w:val="22"/>
          <w:szCs w:val="22"/>
        </w:rPr>
      </w:pPr>
      <w:r w:rsidRPr="005E2E42">
        <w:rPr>
          <w:rFonts w:ascii="Arial" w:eastAsia="Arial" w:hAnsi="Arial" w:cs="Arial"/>
          <w:sz w:val="22"/>
          <w:szCs w:val="22"/>
        </w:rPr>
        <w:t xml:space="preserve">Vrontis, D., Christofi, M., Pereira, V., Tarba, S., Makrides, A. and Trichina, E. (2022) ‘Artificial intelligence, robotics, advanced technologies and human resource management: A systematic review’, </w:t>
      </w:r>
      <w:r w:rsidRPr="005E2E42">
        <w:rPr>
          <w:rFonts w:ascii="Arial" w:eastAsia="Arial" w:hAnsi="Arial" w:cs="Arial"/>
          <w:i/>
          <w:iCs/>
          <w:sz w:val="22"/>
          <w:szCs w:val="22"/>
        </w:rPr>
        <w:t>The International Journal of Human Resource Management</w:t>
      </w:r>
      <w:r w:rsidRPr="005E2E42">
        <w:rPr>
          <w:rFonts w:ascii="Arial" w:eastAsia="Arial" w:hAnsi="Arial" w:cs="Arial"/>
          <w:sz w:val="22"/>
          <w:szCs w:val="22"/>
        </w:rPr>
        <w:t xml:space="preserve">, </w:t>
      </w:r>
      <w:r w:rsidRPr="005E2E42">
        <w:rPr>
          <w:rFonts w:ascii="Arial" w:eastAsia="Arial" w:hAnsi="Arial" w:cs="Arial"/>
          <w:b/>
          <w:bCs/>
          <w:sz w:val="22"/>
          <w:szCs w:val="22"/>
        </w:rPr>
        <w:t>33</w:t>
      </w:r>
      <w:r w:rsidRPr="005E2E42">
        <w:rPr>
          <w:rFonts w:ascii="Arial" w:eastAsia="Arial" w:hAnsi="Arial" w:cs="Arial"/>
          <w:sz w:val="22"/>
          <w:szCs w:val="22"/>
        </w:rPr>
        <w:t>(6), pp. 1237–1266.</w:t>
      </w:r>
    </w:p>
    <w:p w14:paraId="2A628E3D" w14:textId="2F0EDD54" w:rsidR="580BBF7F" w:rsidRDefault="580BBF7F" w:rsidP="580BBF7F">
      <w:pPr>
        <w:spacing w:before="240" w:after="240"/>
        <w:rPr>
          <w:rFonts w:ascii="Arial" w:eastAsia="Arial" w:hAnsi="Arial" w:cs="Arial"/>
          <w:sz w:val="22"/>
          <w:szCs w:val="22"/>
        </w:rPr>
      </w:pPr>
    </w:p>
    <w:p w14:paraId="3FD556EB" w14:textId="3117096D" w:rsidR="580BBF7F" w:rsidRDefault="580BBF7F" w:rsidP="580BBF7F">
      <w:pPr>
        <w:spacing w:before="240" w:after="240"/>
        <w:rPr>
          <w:rFonts w:ascii="Arial" w:eastAsia="Arial" w:hAnsi="Arial" w:cs="Arial"/>
          <w:sz w:val="22"/>
          <w:szCs w:val="22"/>
        </w:rPr>
      </w:pPr>
    </w:p>
    <w:p w14:paraId="72AF5301" w14:textId="5CE0B65F" w:rsidR="580BBF7F" w:rsidRDefault="580BBF7F" w:rsidP="580BBF7F">
      <w:pPr>
        <w:spacing w:before="240" w:after="240"/>
        <w:rPr>
          <w:rFonts w:ascii="Arial" w:eastAsia="Arial" w:hAnsi="Arial" w:cs="Arial"/>
          <w:sz w:val="22"/>
          <w:szCs w:val="22"/>
        </w:rPr>
      </w:pPr>
    </w:p>
    <w:p w14:paraId="31FAE4B9" w14:textId="0DDD9787" w:rsidR="580BBF7F" w:rsidRDefault="580BBF7F" w:rsidP="580BBF7F">
      <w:pPr>
        <w:spacing w:before="240" w:after="240" w:line="360" w:lineRule="auto"/>
        <w:rPr>
          <w:rFonts w:ascii="Arial" w:eastAsia="Arial" w:hAnsi="Arial" w:cs="Arial"/>
          <w:sz w:val="22"/>
          <w:szCs w:val="22"/>
        </w:rPr>
      </w:pPr>
    </w:p>
    <w:p w14:paraId="7F9E5CB3" w14:textId="15617C54" w:rsidR="580BBF7F" w:rsidRDefault="580BBF7F" w:rsidP="580BBF7F">
      <w:pPr>
        <w:spacing w:line="360" w:lineRule="auto"/>
        <w:rPr>
          <w:rFonts w:ascii="Arial" w:eastAsia="Arial" w:hAnsi="Arial" w:cs="Arial"/>
          <w:b/>
          <w:bCs/>
          <w:color w:val="000000" w:themeColor="text1"/>
          <w:sz w:val="22"/>
          <w:szCs w:val="22"/>
        </w:rPr>
      </w:pPr>
    </w:p>
    <w:p w14:paraId="5E5787A5" w14:textId="7A922053" w:rsidR="00067BC2" w:rsidRDefault="00067BC2"/>
    <w:sectPr w:rsidR="00067BC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3A4197"/>
    <w:rsid w:val="00067BC2"/>
    <w:rsid w:val="000A7370"/>
    <w:rsid w:val="00257F24"/>
    <w:rsid w:val="00402B36"/>
    <w:rsid w:val="00405AB4"/>
    <w:rsid w:val="00551F76"/>
    <w:rsid w:val="005540AF"/>
    <w:rsid w:val="005861CE"/>
    <w:rsid w:val="005E2E42"/>
    <w:rsid w:val="00724B29"/>
    <w:rsid w:val="0075412F"/>
    <w:rsid w:val="007A75AB"/>
    <w:rsid w:val="009561A4"/>
    <w:rsid w:val="009D0D3D"/>
    <w:rsid w:val="00BA45E1"/>
    <w:rsid w:val="00CA2FC8"/>
    <w:rsid w:val="00CD5C63"/>
    <w:rsid w:val="00EB315D"/>
    <w:rsid w:val="0DB6E37C"/>
    <w:rsid w:val="1033144F"/>
    <w:rsid w:val="11A42642"/>
    <w:rsid w:val="127770A7"/>
    <w:rsid w:val="1C81D798"/>
    <w:rsid w:val="204BDC77"/>
    <w:rsid w:val="2A16E6D8"/>
    <w:rsid w:val="2ACFDE15"/>
    <w:rsid w:val="2E1025D2"/>
    <w:rsid w:val="3385BC7A"/>
    <w:rsid w:val="3553A4C6"/>
    <w:rsid w:val="396DF267"/>
    <w:rsid w:val="3BCDF985"/>
    <w:rsid w:val="3D433A84"/>
    <w:rsid w:val="423C8417"/>
    <w:rsid w:val="484AF9DE"/>
    <w:rsid w:val="48A45B58"/>
    <w:rsid w:val="4993BA27"/>
    <w:rsid w:val="4EB52ED5"/>
    <w:rsid w:val="558121C2"/>
    <w:rsid w:val="55AD9FD9"/>
    <w:rsid w:val="580BBF7F"/>
    <w:rsid w:val="5AFFCB3B"/>
    <w:rsid w:val="5FC222F6"/>
    <w:rsid w:val="603A4197"/>
    <w:rsid w:val="6045FE4B"/>
    <w:rsid w:val="61DD2EB3"/>
    <w:rsid w:val="64009085"/>
    <w:rsid w:val="647B446A"/>
    <w:rsid w:val="68B0465D"/>
    <w:rsid w:val="6D673CC9"/>
    <w:rsid w:val="713091F7"/>
    <w:rsid w:val="73077B65"/>
    <w:rsid w:val="753844B0"/>
    <w:rsid w:val="764D77E3"/>
    <w:rsid w:val="7D88A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110EE"/>
  <w15:chartTrackingRefBased/>
  <w15:docId w15:val="{D43BDD8C-B0D7-41F3-860C-191535F25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80BBF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80BBF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580BBF7F"/>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580BBF7F"/>
    <w:rPr>
      <w:color w:val="467886"/>
      <w:u w:val="single"/>
    </w:rPr>
  </w:style>
  <w:style w:type="paragraph" w:styleId="TOC1">
    <w:name w:val="toc 1"/>
    <w:basedOn w:val="Normal"/>
    <w:next w:val="Normal"/>
    <w:uiPriority w:val="39"/>
    <w:unhideWhenUsed/>
    <w:rsid w:val="580BBF7F"/>
    <w:pPr>
      <w:spacing w:after="100"/>
    </w:pPr>
  </w:style>
  <w:style w:type="paragraph" w:styleId="TOC2">
    <w:name w:val="toc 2"/>
    <w:basedOn w:val="Normal"/>
    <w:next w:val="Normal"/>
    <w:uiPriority w:val="39"/>
    <w:unhideWhenUsed/>
    <w:rsid w:val="580BBF7F"/>
    <w:pPr>
      <w:spacing w:after="100"/>
      <w:ind w:left="220"/>
    </w:pPr>
  </w:style>
  <w:style w:type="paragraph" w:styleId="TOC3">
    <w:name w:val="toc 3"/>
    <w:basedOn w:val="Normal"/>
    <w:next w:val="Normal"/>
    <w:uiPriority w:val="39"/>
    <w:unhideWhenUsed/>
    <w:rsid w:val="580BBF7F"/>
    <w:pPr>
      <w:spacing w:after="100"/>
      <w:ind w:left="440"/>
    </w:pPr>
  </w:style>
  <w:style w:type="character" w:customStyle="1" w:styleId="Heading3Char">
    <w:name w:val="Heading 3 Char"/>
    <w:basedOn w:val="DefaultParagraphFont"/>
    <w:link w:val="Heading3"/>
    <w:uiPriority w:val="9"/>
    <w:rsid w:val="005861CE"/>
    <w:rPr>
      <w:rFonts w:eastAsiaTheme="majorEastAsia" w:cstheme="majorBidi"/>
      <w:color w:val="0F476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bt.com/about/bt/our-people/diversity-and-inclusion?utm_source=chatgpt.co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hyperlink" Target="https://newsroom.bt.com/bt-group-to-recruit-more-than-600-apprentices-graduates/?utm_source=chatgpt.com" TargetMode="External"/><Relationship Id="rId2" Type="http://schemas.openxmlformats.org/officeDocument/2006/relationships/customXml" Target="../customXml/item2.xml"/><Relationship Id="rId16" Type="http://schemas.openxmlformats.org/officeDocument/2006/relationships/hyperlink" Target="https://www.bt.com/about/annual-reports/2025summary/?utm_source=chatgp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5" ma:contentTypeDescription="Create a new document." ma:contentTypeScope="" ma:versionID="6337e7f7272d0e777bd39706c027849b">
  <xsd:schema xmlns:xsd="http://www.w3.org/2001/XMLSchema" xmlns:xs="http://www.w3.org/2001/XMLSchema" xmlns:p="http://schemas.microsoft.com/office/2006/metadata/properties" xmlns:ns3="1db24759-c936-4417-b43c-e7856b46dbfa" targetNamespace="http://schemas.microsoft.com/office/2006/metadata/properties" ma:root="true" ma:fieldsID="ce07f535e2dbeb85713c9453c8401f25"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Props1.xml><?xml version="1.0" encoding="utf-8"?>
<ds:datastoreItem xmlns:ds="http://schemas.openxmlformats.org/officeDocument/2006/customXml" ds:itemID="{CE0AD33A-AF37-40FE-84CA-354486F221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5A7BC3-7A01-46AD-B30B-726EEBD3AA5D}">
  <ds:schemaRefs>
    <ds:schemaRef ds:uri="http://schemas.microsoft.com/sharepoint/v3/contenttype/forms"/>
  </ds:schemaRefs>
</ds:datastoreItem>
</file>

<file path=customXml/itemProps3.xml><?xml version="1.0" encoding="utf-8"?>
<ds:datastoreItem xmlns:ds="http://schemas.openxmlformats.org/officeDocument/2006/customXml" ds:itemID="{13FA16E6-F3ED-480A-A085-4753B42D7BDE}">
  <ds:schemaRefs>
    <ds:schemaRef ds:uri="http://schemas.microsoft.com/office/2006/metadata/properties"/>
    <ds:schemaRef ds:uri="http://schemas.microsoft.com/office/infopath/2007/PartnerControls"/>
    <ds:schemaRef ds:uri="1db24759-c936-4417-b43c-e7856b46dbfa"/>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Pages>
  <Words>2977</Words>
  <Characters>16972</Characters>
  <Application>Microsoft Office Word</Application>
  <DocSecurity>4</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Waheed Nadeem (2434525)</dc:creator>
  <cp:keywords/>
  <dc:description/>
  <cp:lastModifiedBy>Muhammad Waheed Nadeem (2434525)</cp:lastModifiedBy>
  <cp:revision>7</cp:revision>
  <dcterms:created xsi:type="dcterms:W3CDTF">2026-07-19T11:00:00Z</dcterms:created>
  <dcterms:modified xsi:type="dcterms:W3CDTF">2026-07-17T03:07:00Z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