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08034C"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1B4A43B"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0F0784">
        <w:rPr>
          <w:rFonts w:ascii="Arial" w:hAnsi="Arial" w:cs="Arial"/>
          <w:sz w:val="28"/>
          <w:szCs w:val="28"/>
          <w:lang w:val="nl-NL"/>
        </w:rPr>
        <w:t xml:space="preserve">Introduction </w:t>
      </w:r>
      <w:r w:rsidR="00F22395">
        <w:rPr>
          <w:rFonts w:ascii="Arial" w:hAnsi="Arial" w:cs="Arial"/>
          <w:sz w:val="28"/>
          <w:szCs w:val="28"/>
          <w:lang w:val="nl-NL"/>
        </w:rPr>
        <w:t xml:space="preserve">to Health and </w:t>
      </w:r>
      <w:r w:rsidR="00111B8D">
        <w:rPr>
          <w:rFonts w:ascii="Arial" w:hAnsi="Arial" w:cs="Arial"/>
          <w:sz w:val="28"/>
          <w:szCs w:val="28"/>
          <w:lang w:val="nl-NL"/>
        </w:rPr>
        <w:t xml:space="preserve">Social Care </w:t>
      </w:r>
    </w:p>
    <w:p w14:paraId="537571AF" w14:textId="3750CFF4"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111B8D">
        <w:rPr>
          <w:rFonts w:ascii="Arial" w:hAnsi="Arial" w:cs="Arial"/>
          <w:sz w:val="28"/>
          <w:szCs w:val="28"/>
        </w:rPr>
        <w:t>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22361287"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875C71">
        <w:rPr>
          <w:rFonts w:ascii="Arial" w:hAnsi="Arial" w:cs="Arial"/>
          <w:sz w:val="28"/>
          <w:szCs w:val="28"/>
          <w:lang w:val="nl-NL"/>
        </w:rPr>
        <w:t>Andreea Rebeca Ardelean</w:t>
      </w:r>
    </w:p>
    <w:p w14:paraId="39AA4413" w14:textId="4D83BEC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A860F0">
        <w:rPr>
          <w:rFonts w:ascii="Arial" w:hAnsi="Arial" w:cs="Arial"/>
          <w:sz w:val="28"/>
          <w:szCs w:val="28"/>
          <w:lang w:val="nl-NL"/>
        </w:rPr>
        <w:t>2508016</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496248B5"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4C11E7">
        <w:rPr>
          <w:rFonts w:ascii="Arial" w:hAnsi="Arial" w:cs="Arial"/>
          <w:sz w:val="28"/>
          <w:szCs w:val="28"/>
        </w:rPr>
        <w:t xml:space="preserve"> </w:t>
      </w:r>
      <w:r w:rsidR="005E1815">
        <w:rPr>
          <w:rFonts w:ascii="Arial" w:hAnsi="Arial" w:cs="Arial"/>
          <w:sz w:val="28"/>
          <w:szCs w:val="28"/>
        </w:rPr>
        <w:t xml:space="preserve">Dr Shepherd </w:t>
      </w:r>
      <w:proofErr w:type="spellStart"/>
      <w:r w:rsidR="00000077">
        <w:rPr>
          <w:rFonts w:ascii="Arial" w:hAnsi="Arial" w:cs="Arial"/>
          <w:sz w:val="28"/>
          <w:szCs w:val="28"/>
        </w:rPr>
        <w:t>Ziko</w:t>
      </w:r>
      <w:proofErr w:type="spellEnd"/>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47B4BA9C" w14:textId="3CCCB1D7" w:rsidR="00FE04B8" w:rsidRPr="002F5857" w:rsidRDefault="00FE04B8" w:rsidP="002F5857">
      <w:pPr>
        <w:spacing w:before="240" w:line="360" w:lineRule="auto"/>
        <w:rPr>
          <w:rFonts w:ascii="Arial" w:eastAsia="Times New Roman" w:hAnsi="Arial" w:cs="Arial"/>
          <w:color w:val="000000"/>
          <w:sz w:val="22"/>
        </w:rPr>
      </w:pPr>
      <w:r w:rsidRPr="002F5857">
        <w:rPr>
          <w:rFonts w:ascii="Arial" w:eastAsia="Times New Roman" w:hAnsi="Arial" w:cs="Arial"/>
          <w:color w:val="000000"/>
          <w:sz w:val="22"/>
        </w:rPr>
        <w:t xml:space="preserve">Introduction ....................................................................................................... </w:t>
      </w:r>
      <w:r w:rsidR="00130986" w:rsidRPr="002F5857">
        <w:rPr>
          <w:rFonts w:ascii="Arial" w:eastAsia="Times New Roman" w:hAnsi="Arial" w:cs="Arial"/>
          <w:color w:val="000000"/>
          <w:sz w:val="22"/>
        </w:rPr>
        <w:t xml:space="preserve">[ 1 </w:t>
      </w:r>
      <w:r w:rsidRPr="002F5857">
        <w:rPr>
          <w:rFonts w:ascii="Arial" w:eastAsia="Times New Roman" w:hAnsi="Arial" w:cs="Arial"/>
          <w:color w:val="000000"/>
          <w:sz w:val="22"/>
        </w:rPr>
        <w:t>]</w:t>
      </w:r>
      <w:r w:rsidRPr="002F5857">
        <w:rPr>
          <w:rFonts w:ascii="Arial" w:eastAsia="Times New Roman" w:hAnsi="Arial" w:cs="Arial"/>
          <w:color w:val="000000"/>
          <w:sz w:val="22"/>
        </w:rPr>
        <w:br/>
        <w:t xml:space="preserve">    </w:t>
      </w:r>
      <w:r w:rsidRPr="002F5857">
        <w:rPr>
          <w:rFonts w:ascii="Arial" w:eastAsia="Times New Roman" w:hAnsi="Arial" w:cs="Arial"/>
          <w:color w:val="000000"/>
          <w:sz w:val="22"/>
        </w:rPr>
        <w:br/>
      </w:r>
      <w:r w:rsidRPr="002F5857">
        <w:rPr>
          <w:rFonts w:ascii="Arial" w:eastAsia="Times New Roman" w:hAnsi="Arial" w:cs="Arial"/>
          <w:color w:val="000000"/>
          <w:sz w:val="22"/>
        </w:rPr>
        <w:br/>
        <w:t xml:space="preserve"> Effective Communication in Health and Social Care ................................ [</w:t>
      </w:r>
      <w:r w:rsidR="00875EFE" w:rsidRPr="002F5857">
        <w:rPr>
          <w:rFonts w:ascii="Arial" w:eastAsia="Times New Roman" w:hAnsi="Arial" w:cs="Arial"/>
          <w:color w:val="000000"/>
          <w:sz w:val="22"/>
        </w:rPr>
        <w:t xml:space="preserve"> 2 ]</w:t>
      </w:r>
      <w:r w:rsidRPr="002F5857">
        <w:rPr>
          <w:rFonts w:ascii="Arial" w:eastAsia="Times New Roman" w:hAnsi="Arial" w:cs="Arial"/>
          <w:color w:val="000000"/>
          <w:sz w:val="22"/>
        </w:rPr>
        <w:br/>
        <w:t>   </w:t>
      </w:r>
      <w:r w:rsidRPr="002F5857">
        <w:rPr>
          <w:rFonts w:ascii="Arial" w:eastAsia="Times New Roman" w:hAnsi="Arial" w:cs="Arial"/>
          <w:color w:val="000000"/>
          <w:sz w:val="22"/>
        </w:rPr>
        <w:br/>
      </w:r>
      <w:r w:rsidRPr="002F5857">
        <w:rPr>
          <w:rFonts w:ascii="Arial" w:eastAsia="Times New Roman" w:hAnsi="Arial" w:cs="Arial"/>
          <w:color w:val="000000"/>
          <w:sz w:val="22"/>
        </w:rPr>
        <w:br/>
        <w:t>Administrative Excellence and Professional Practice ............................... [</w:t>
      </w:r>
      <w:r w:rsidR="00875EFE" w:rsidRPr="002F5857">
        <w:rPr>
          <w:rFonts w:ascii="Arial" w:eastAsia="Times New Roman" w:hAnsi="Arial" w:cs="Arial"/>
          <w:color w:val="000000"/>
          <w:sz w:val="22"/>
        </w:rPr>
        <w:t xml:space="preserve"> 3 ]</w:t>
      </w:r>
      <w:r w:rsidRPr="002F5857">
        <w:rPr>
          <w:rFonts w:ascii="Arial" w:eastAsia="Times New Roman" w:hAnsi="Arial" w:cs="Arial"/>
          <w:color w:val="000000"/>
          <w:sz w:val="22"/>
        </w:rPr>
        <w:br/>
        <w:t> </w:t>
      </w:r>
      <w:r w:rsidRPr="002F5857">
        <w:rPr>
          <w:rFonts w:ascii="Arial" w:eastAsia="Times New Roman" w:hAnsi="Arial" w:cs="Arial"/>
          <w:color w:val="000000"/>
          <w:sz w:val="22"/>
        </w:rPr>
        <w:br/>
        <w:t xml:space="preserve">    </w:t>
      </w:r>
      <w:r w:rsidRPr="002F5857">
        <w:rPr>
          <w:rFonts w:ascii="Arial" w:eastAsia="Times New Roman" w:hAnsi="Arial" w:cs="Arial"/>
          <w:color w:val="000000"/>
          <w:sz w:val="22"/>
        </w:rPr>
        <w:br/>
        <w:t xml:space="preserve"> Multi-Agency Collaboration and Multi-Disciplinary Teams ................... [</w:t>
      </w:r>
      <w:r w:rsidR="00875EFE" w:rsidRPr="002F5857">
        <w:rPr>
          <w:rFonts w:ascii="Arial" w:eastAsia="Times New Roman" w:hAnsi="Arial" w:cs="Arial"/>
          <w:color w:val="000000"/>
          <w:sz w:val="22"/>
        </w:rPr>
        <w:t xml:space="preserve"> 4 ]</w:t>
      </w:r>
      <w:r w:rsidRPr="002F5857">
        <w:rPr>
          <w:rFonts w:ascii="Arial" w:eastAsia="Times New Roman" w:hAnsi="Arial" w:cs="Arial"/>
          <w:color w:val="000000"/>
          <w:sz w:val="22"/>
        </w:rPr>
        <w:br/>
        <w:t xml:space="preserve">    </w:t>
      </w:r>
      <w:r w:rsidRPr="002F5857">
        <w:rPr>
          <w:rFonts w:ascii="Arial" w:eastAsia="Times New Roman" w:hAnsi="Arial" w:cs="Arial"/>
          <w:color w:val="000000"/>
          <w:sz w:val="22"/>
        </w:rPr>
        <w:br/>
      </w:r>
      <w:r w:rsidRPr="002F5857">
        <w:rPr>
          <w:rFonts w:ascii="Arial" w:eastAsia="Times New Roman" w:hAnsi="Arial" w:cs="Arial"/>
          <w:color w:val="000000"/>
          <w:sz w:val="22"/>
        </w:rPr>
        <w:br/>
        <w:t>Conclusion ........................................................................................................ [</w:t>
      </w:r>
      <w:r w:rsidR="00875EFE" w:rsidRPr="002F5857">
        <w:rPr>
          <w:rFonts w:ascii="Arial" w:eastAsia="Times New Roman" w:hAnsi="Arial" w:cs="Arial"/>
          <w:color w:val="000000"/>
          <w:sz w:val="22"/>
        </w:rPr>
        <w:t xml:space="preserve"> 5 ]</w:t>
      </w:r>
      <w:r w:rsidRPr="002F5857">
        <w:rPr>
          <w:rFonts w:ascii="Arial" w:eastAsia="Times New Roman" w:hAnsi="Arial" w:cs="Arial"/>
          <w:color w:val="000000"/>
          <w:sz w:val="22"/>
        </w:rPr>
        <w:br/>
        <w:t xml:space="preserve">    </w:t>
      </w:r>
      <w:r w:rsidRPr="002F5857">
        <w:rPr>
          <w:rFonts w:ascii="Arial" w:eastAsia="Times New Roman" w:hAnsi="Arial" w:cs="Arial"/>
          <w:color w:val="000000"/>
          <w:sz w:val="22"/>
        </w:rPr>
        <w:br/>
      </w:r>
      <w:r w:rsidRPr="002F5857">
        <w:rPr>
          <w:rFonts w:ascii="Arial" w:eastAsia="Times New Roman" w:hAnsi="Arial" w:cs="Arial"/>
          <w:color w:val="000000"/>
          <w:sz w:val="22"/>
        </w:rPr>
        <w:br/>
        <w:t>Reference List ................................................................................................... [</w:t>
      </w:r>
      <w:r w:rsidR="00875EFE" w:rsidRPr="002F5857">
        <w:rPr>
          <w:rFonts w:ascii="Arial" w:eastAsia="Times New Roman" w:hAnsi="Arial" w:cs="Arial"/>
          <w:color w:val="000000"/>
          <w:sz w:val="22"/>
        </w:rPr>
        <w:t xml:space="preserve"> 6 ]</w:t>
      </w: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1. Introduction</w:t>
      </w:r>
    </w:p>
    <w:p w14:paraId="4DE6CD26" w14:textId="77777777" w:rsidR="005574A7" w:rsidRDefault="005574A7">
      <w:pPr>
        <w:shd w:val="clear" w:color="auto" w:fill="FFFFFF"/>
        <w:rPr>
          <w:rFonts w:ascii="Arial" w:eastAsia="Times New Roman" w:hAnsi="Arial" w:cs="Arial"/>
          <w:color w:val="000000"/>
          <w:sz w:val="19"/>
          <w:szCs w:val="19"/>
        </w:rPr>
      </w:pPr>
    </w:p>
    <w:p w14:paraId="2A59041F" w14:textId="77777777" w:rsidR="005574A7" w:rsidRPr="0055279D" w:rsidRDefault="005574A7" w:rsidP="0055279D">
      <w:pPr>
        <w:shd w:val="clear" w:color="auto" w:fill="FFFFFF"/>
        <w:spacing w:line="360" w:lineRule="auto"/>
        <w:rPr>
          <w:rFonts w:ascii="Arial" w:eastAsia="Times New Roman" w:hAnsi="Arial" w:cs="Arial"/>
          <w:color w:val="000000"/>
          <w:sz w:val="22"/>
        </w:rPr>
      </w:pPr>
      <w:r w:rsidRPr="0055279D">
        <w:rPr>
          <w:rFonts w:ascii="Arial" w:eastAsia="Times New Roman" w:hAnsi="Arial" w:cs="Arial"/>
          <w:color w:val="000000"/>
          <w:sz w:val="22"/>
        </w:rPr>
        <w:t>This report provides a critical analysis of the health and social care provision for Mr Ahmed, a 68-year-old stroke survivor. Recovering within a ground-floor flat alongside his wife, Mr Ahmed’s case presents complex needs involving physical rehabilitation, communication barriers, and the necessity of robust safeguarding. The recent failure in his domiciliary care, which led to a missed medication dose, serves as a focal point for evaluating the effectiveness of the Multidisciplinary Team (MDT). This assignment will examine the importance of effective communication under the Equality Act 2010, the role of administrative skills and data protection in ensuring clinical safety, and the vital nature of inter-professional collaboration. By integrating relevant legislation and communication models, this report aims to demonstrate how person-centred care can be maintained despite systemic challenges, ensuring the safety and dignity of vulnerable service users within the UK health and social care landscape.</w:t>
      </w:r>
    </w:p>
    <w:p w14:paraId="14BF3272" w14:textId="2C95BE09" w:rsidR="0026393A" w:rsidRDefault="0026393A" w:rsidP="008E3943">
      <w:pPr>
        <w:tabs>
          <w:tab w:val="left" w:pos="6540"/>
        </w:tabs>
        <w:spacing w:line="360" w:lineRule="auto"/>
        <w:rPr>
          <w:rFonts w:ascii="Arial" w:hAnsi="Arial" w:cs="Arial"/>
          <w:sz w:val="22"/>
        </w:rPr>
      </w:pPr>
    </w:p>
    <w:p w14:paraId="68C53673" w14:textId="77777777" w:rsidR="008E3943" w:rsidRPr="00CD33A8" w:rsidRDefault="008E3943" w:rsidP="008E3943">
      <w:pPr>
        <w:tabs>
          <w:tab w:val="left" w:pos="6540"/>
        </w:tabs>
        <w:spacing w:line="360" w:lineRule="auto"/>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0537CEF5" w14:textId="77777777" w:rsidR="003E4ECF" w:rsidRDefault="003E4ECF" w:rsidP="00CD33A8">
      <w:pPr>
        <w:tabs>
          <w:tab w:val="left" w:pos="6540"/>
        </w:tabs>
        <w:spacing w:line="360" w:lineRule="auto"/>
        <w:rPr>
          <w:rFonts w:asciiTheme="minorBidi" w:hAnsiTheme="minorBidi"/>
          <w:sz w:val="22"/>
        </w:rPr>
      </w:pPr>
    </w:p>
    <w:p w14:paraId="7A6DD0B4" w14:textId="77777777" w:rsidR="000A44A7" w:rsidRDefault="000A44A7">
      <w:pPr>
        <w:shd w:val="clear" w:color="auto" w:fill="FFFFFF"/>
        <w:rPr>
          <w:rFonts w:ascii="Arial" w:eastAsia="Times New Roman" w:hAnsi="Arial" w:cs="Arial"/>
          <w:color w:val="000000"/>
          <w:sz w:val="19"/>
          <w:szCs w:val="19"/>
        </w:rPr>
      </w:pPr>
    </w:p>
    <w:p w14:paraId="61EC88B1" w14:textId="77777777" w:rsidR="000A44A7" w:rsidRPr="00CF7165" w:rsidRDefault="000A44A7" w:rsidP="002317B6">
      <w:pPr>
        <w:shd w:val="clear" w:color="auto" w:fill="FFFFFF"/>
        <w:spacing w:line="360" w:lineRule="auto"/>
        <w:rPr>
          <w:rFonts w:ascii="Arial" w:eastAsia="Times New Roman" w:hAnsi="Arial" w:cs="Arial"/>
          <w:color w:val="000000"/>
          <w:sz w:val="22"/>
        </w:rPr>
      </w:pPr>
      <w:r w:rsidRPr="002317B6">
        <w:rPr>
          <w:rFonts w:ascii="Arial" w:eastAsia="Times New Roman" w:hAnsi="Arial" w:cs="Arial"/>
          <w:color w:val="000000"/>
          <w:sz w:val="22"/>
        </w:rPr>
        <w:t>Effective communication is a fundamental requirement for the delivery of safe, person-centred care. In the UK, this is underpinned by the Accessible Information Standard (SCCI1605), which mandates that all NHS and adult social care providers must identify and meet the communication needs of patients with disabilities or sensory loss (NHS England, 2016). For Mr Ahmed, his status as a stroke survivor with limited English proficiency and potential aphasia creates a significant barrier to care.</w:t>
      </w:r>
      <w:r w:rsidRPr="002317B6">
        <w:rPr>
          <w:rFonts w:ascii="Arial" w:eastAsia="Times New Roman" w:hAnsi="Arial" w:cs="Arial"/>
          <w:color w:val="000000"/>
          <w:sz w:val="22"/>
        </w:rPr>
        <w:br/>
      </w:r>
      <w:r w:rsidRPr="002317B6">
        <w:rPr>
          <w:rFonts w:ascii="Arial" w:eastAsia="Times New Roman" w:hAnsi="Arial" w:cs="Arial"/>
          <w:color w:val="000000"/>
          <w:sz w:val="22"/>
        </w:rPr>
        <w:br/>
        <w:t xml:space="preserve">Under the Equality Act 2010, care providers have a legal duty to make "reasonable adjustments" to ensure service users are not disadvantaged due to protected characteristics such as race or disability. In Mr Ahmed’s case, relying solely on his wife for translation is insufficient. While family involvement is vital, the Nursing and Midwifery Council (NMC, 2018) Code emphasizes that professionals must ensure communication is understood by the individual directly to protect their autonomy. Failing to provide a professional interpreter or </w:t>
      </w:r>
      <w:r w:rsidRPr="002317B6">
        <w:rPr>
          <w:rFonts w:ascii="Arial" w:eastAsia="Times New Roman" w:hAnsi="Arial" w:cs="Arial"/>
          <w:color w:val="000000"/>
          <w:sz w:val="22"/>
        </w:rPr>
        <w:lastRenderedPageBreak/>
        <w:t>translated materials could be viewed as indirect discrimination under the 2010 Act, as it denies Mr Ahmed the same level of safety and involvement afforded to English-speaking patients.</w:t>
      </w:r>
      <w:r w:rsidRPr="002317B6">
        <w:rPr>
          <w:rFonts w:ascii="Arial" w:eastAsia="Times New Roman" w:hAnsi="Arial" w:cs="Arial"/>
          <w:color w:val="000000"/>
          <w:sz w:val="22"/>
        </w:rPr>
        <w:br/>
      </w:r>
      <w:r w:rsidRPr="002317B6">
        <w:rPr>
          <w:rFonts w:ascii="Arial" w:eastAsia="Times New Roman" w:hAnsi="Arial" w:cs="Arial"/>
          <w:color w:val="000000"/>
          <w:sz w:val="22"/>
        </w:rPr>
        <w:br/>
        <w:t xml:space="preserve">A useful framework for </w:t>
      </w:r>
      <w:proofErr w:type="spellStart"/>
      <w:r w:rsidRPr="002317B6">
        <w:rPr>
          <w:rFonts w:ascii="Arial" w:eastAsia="Times New Roman" w:hAnsi="Arial" w:cs="Arial"/>
          <w:color w:val="000000"/>
          <w:sz w:val="22"/>
        </w:rPr>
        <w:t>analyzing</w:t>
      </w:r>
      <w:proofErr w:type="spellEnd"/>
      <w:r w:rsidRPr="002317B6">
        <w:rPr>
          <w:rFonts w:ascii="Arial" w:eastAsia="Times New Roman" w:hAnsi="Arial" w:cs="Arial"/>
          <w:color w:val="000000"/>
          <w:sz w:val="22"/>
        </w:rPr>
        <w:t xml:space="preserve"> this is </w:t>
      </w:r>
      <w:proofErr w:type="spellStart"/>
      <w:r w:rsidRPr="002317B6">
        <w:rPr>
          <w:rFonts w:ascii="Arial" w:eastAsia="Times New Roman" w:hAnsi="Arial" w:cs="Arial"/>
          <w:color w:val="000000"/>
          <w:sz w:val="22"/>
        </w:rPr>
        <w:t>Berlo’s</w:t>
      </w:r>
      <w:proofErr w:type="spellEnd"/>
      <w:r w:rsidRPr="002317B6">
        <w:rPr>
          <w:rFonts w:ascii="Arial" w:eastAsia="Times New Roman" w:hAnsi="Arial" w:cs="Arial"/>
          <w:color w:val="000000"/>
          <w:sz w:val="22"/>
        </w:rPr>
        <w:t xml:space="preserve"> SMCR Model (Source, Message, Channel, Receiver) (</w:t>
      </w:r>
      <w:proofErr w:type="spellStart"/>
      <w:r w:rsidRPr="002317B6">
        <w:rPr>
          <w:rFonts w:ascii="Arial" w:eastAsia="Times New Roman" w:hAnsi="Arial" w:cs="Arial"/>
          <w:color w:val="000000"/>
          <w:sz w:val="22"/>
        </w:rPr>
        <w:t>Berlo</w:t>
      </w:r>
      <w:proofErr w:type="spellEnd"/>
      <w:r w:rsidRPr="002317B6">
        <w:rPr>
          <w:rFonts w:ascii="Arial" w:eastAsia="Times New Roman" w:hAnsi="Arial" w:cs="Arial"/>
          <w:color w:val="000000"/>
          <w:sz w:val="22"/>
        </w:rPr>
        <w:t>, 1960). In this scenario, the Source (the healthcare professional) must ensure the Message is encoded into a format that the Receiver (Mr Ahmed) can decode effectively. If the Channel used is complex verbal English, the communication fails because the Receiver lacks the linguistic "code" to process it. To rectify this, professionals should utilize alternative channels, such as pictorial aids, communication boards, or professional translation in Bengali (</w:t>
      </w:r>
      <w:proofErr w:type="spellStart"/>
      <w:r w:rsidRPr="002317B6">
        <w:rPr>
          <w:rFonts w:ascii="Arial" w:eastAsia="Times New Roman" w:hAnsi="Arial" w:cs="Arial"/>
          <w:color w:val="000000"/>
          <w:sz w:val="22"/>
        </w:rPr>
        <w:t>MedShun</w:t>
      </w:r>
      <w:proofErr w:type="spellEnd"/>
      <w:r w:rsidRPr="002317B6">
        <w:rPr>
          <w:rFonts w:ascii="Arial" w:eastAsia="Times New Roman" w:hAnsi="Arial" w:cs="Arial"/>
          <w:color w:val="000000"/>
          <w:sz w:val="22"/>
        </w:rPr>
        <w:t>, 2024).</w:t>
      </w:r>
      <w:r w:rsidRPr="002317B6">
        <w:rPr>
          <w:rFonts w:ascii="Arial" w:eastAsia="Times New Roman" w:hAnsi="Arial" w:cs="Arial"/>
          <w:color w:val="000000"/>
          <w:sz w:val="22"/>
        </w:rPr>
        <w:br/>
      </w:r>
      <w:r>
        <w:rPr>
          <w:rFonts w:ascii="Arial" w:eastAsia="Times New Roman" w:hAnsi="Arial" w:cs="Arial"/>
          <w:color w:val="000000"/>
          <w:sz w:val="19"/>
          <w:szCs w:val="19"/>
        </w:rPr>
        <w:br/>
      </w:r>
      <w:r w:rsidRPr="00CF7165">
        <w:rPr>
          <w:rFonts w:ascii="Arial" w:eastAsia="Times New Roman" w:hAnsi="Arial" w:cs="Arial"/>
          <w:color w:val="000000"/>
          <w:sz w:val="22"/>
        </w:rPr>
        <w:t>Furthermore, the involvement of a Speech and Language Therapist (SLT) suggests that Mr Ahmed may suffer from dysphagia. Communication here becomes a safety issue; if Mr Ahmed cannot express discomfort, the risk of aspiration increases. Effective communication fosters a "therapeutic relationship," reducing the power imbalance and ensuring Mr Ahmed’s preferences remain at the heart of his care plan, fulfilling the CQC Fundamental Standard on "Person-Centred Care" (Regulation 9) (CQC, 2024).</w:t>
      </w: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2EE5464" w:rsidR="00B87E75" w:rsidRPr="00CD33A8"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4FC14C6B" w14:textId="77777777" w:rsidR="00B87E75" w:rsidRDefault="00B87E75" w:rsidP="00CD33A8">
      <w:pPr>
        <w:tabs>
          <w:tab w:val="left" w:pos="6540"/>
        </w:tabs>
        <w:spacing w:line="360" w:lineRule="auto"/>
        <w:rPr>
          <w:rFonts w:asciiTheme="minorBidi" w:hAnsiTheme="minorBidi"/>
          <w:sz w:val="22"/>
        </w:rPr>
      </w:pPr>
    </w:p>
    <w:p w14:paraId="44FA7BFC" w14:textId="77777777" w:rsidR="00E07B32" w:rsidRDefault="00E07B32">
      <w:pPr>
        <w:shd w:val="clear" w:color="auto" w:fill="FFFFFF"/>
        <w:rPr>
          <w:rFonts w:ascii="Arial" w:eastAsia="Times New Roman" w:hAnsi="Arial" w:cs="Arial"/>
          <w:color w:val="000000"/>
          <w:sz w:val="19"/>
          <w:szCs w:val="19"/>
        </w:rPr>
      </w:pPr>
    </w:p>
    <w:p w14:paraId="58733EBF" w14:textId="77777777" w:rsidR="00E07B32" w:rsidRPr="0007219D" w:rsidRDefault="00E07B32" w:rsidP="0007219D">
      <w:pPr>
        <w:shd w:val="clear" w:color="auto" w:fill="FFFFFF"/>
        <w:spacing w:line="360" w:lineRule="auto"/>
        <w:rPr>
          <w:rFonts w:ascii="Arial" w:eastAsia="Times New Roman" w:hAnsi="Arial" w:cs="Arial"/>
          <w:color w:val="000000"/>
          <w:sz w:val="22"/>
        </w:rPr>
      </w:pPr>
      <w:r w:rsidRPr="0007219D">
        <w:rPr>
          <w:rFonts w:ascii="Arial" w:eastAsia="Times New Roman" w:hAnsi="Arial" w:cs="Arial"/>
          <w:color w:val="000000"/>
          <w:sz w:val="22"/>
        </w:rPr>
        <w:t>In the health and social care sector, administrative excellence is synonymous with patient safety. Record-keeping is not merely a clerical task but a legal requirement under Regulation 17 of the Health and Social Care Act 2008 (Regulated Activities) Regulations 2014, which demands that providers maintain an accurate and contemporaneous record of the care provided (CQC, 2024). The missed home visit for Mr Ahmed highlights a significant administrative failure in scheduling and monitoring.</w:t>
      </w:r>
      <w:r w:rsidRPr="0007219D">
        <w:rPr>
          <w:rFonts w:ascii="Arial" w:eastAsia="Times New Roman" w:hAnsi="Arial" w:cs="Arial"/>
          <w:color w:val="000000"/>
          <w:sz w:val="22"/>
        </w:rPr>
        <w:br/>
      </w:r>
      <w:r w:rsidRPr="0007219D">
        <w:rPr>
          <w:rFonts w:ascii="Arial" w:eastAsia="Times New Roman" w:hAnsi="Arial" w:cs="Arial"/>
          <w:color w:val="000000"/>
          <w:sz w:val="22"/>
        </w:rPr>
        <w:br/>
        <w:t>All professional records must adhere to the Data Protection Act 2018 (UK GDPR). This legislation outlines several key principles, including "Accuracy," "Data Minimisation," and "Integrity and Confidentiality" (</w:t>
      </w:r>
      <w:proofErr w:type="spellStart"/>
      <w:r w:rsidRPr="0007219D">
        <w:rPr>
          <w:rFonts w:ascii="Arial" w:eastAsia="Times New Roman" w:hAnsi="Arial" w:cs="Arial"/>
          <w:color w:val="000000"/>
          <w:sz w:val="22"/>
        </w:rPr>
        <w:t>RDaSH</w:t>
      </w:r>
      <w:proofErr w:type="spellEnd"/>
      <w:r w:rsidRPr="0007219D">
        <w:rPr>
          <w:rFonts w:ascii="Arial" w:eastAsia="Times New Roman" w:hAnsi="Arial" w:cs="Arial"/>
          <w:color w:val="000000"/>
          <w:sz w:val="22"/>
        </w:rPr>
        <w:t xml:space="preserve">, 2024). In the context of Mr Ahmed, his Medication Administration Record (MAR) chart must be meticulously updated. The missed dose of </w:t>
      </w:r>
      <w:r w:rsidRPr="0007219D">
        <w:rPr>
          <w:rFonts w:ascii="Arial" w:eastAsia="Times New Roman" w:hAnsi="Arial" w:cs="Arial"/>
          <w:color w:val="000000"/>
          <w:sz w:val="22"/>
        </w:rPr>
        <w:lastRenderedPageBreak/>
        <w:t xml:space="preserve">medication constitutes a "safeguarding concern" and must be recorded and reported as a Section 42 enquiry under the Care Act 2014. Accurate record-keeping provides the necessary audit trail for the investigation, allowing the MDT to determine if the error was a systemic failure—such as a flaw in the agency's </w:t>
      </w:r>
      <w:proofErr w:type="spellStart"/>
      <w:r w:rsidRPr="0007219D">
        <w:rPr>
          <w:rFonts w:ascii="Arial" w:eastAsia="Times New Roman" w:hAnsi="Arial" w:cs="Arial"/>
          <w:color w:val="000000"/>
          <w:sz w:val="22"/>
        </w:rPr>
        <w:t>rostering</w:t>
      </w:r>
      <w:proofErr w:type="spellEnd"/>
      <w:r w:rsidRPr="0007219D">
        <w:rPr>
          <w:rFonts w:ascii="Arial" w:eastAsia="Times New Roman" w:hAnsi="Arial" w:cs="Arial"/>
          <w:color w:val="000000"/>
          <w:sz w:val="22"/>
        </w:rPr>
        <w:t xml:space="preserve"> software—or an individual lapse.</w:t>
      </w:r>
      <w:r w:rsidRPr="0007219D">
        <w:rPr>
          <w:rFonts w:ascii="Arial" w:eastAsia="Times New Roman" w:hAnsi="Arial" w:cs="Arial"/>
          <w:color w:val="000000"/>
          <w:sz w:val="22"/>
        </w:rPr>
        <w:br/>
      </w:r>
      <w:r w:rsidRPr="0007219D">
        <w:rPr>
          <w:rFonts w:ascii="Arial" w:eastAsia="Times New Roman" w:hAnsi="Arial" w:cs="Arial"/>
          <w:color w:val="000000"/>
          <w:sz w:val="22"/>
        </w:rPr>
        <w:br/>
        <w:t>Furthermore, the Duty of Candour (Regulation 20) requires providers to be open and transparent with service users when something goes wrong. Administrative skills are required to document the apology, the explanation, and the corrective steps taken. Effective data management also ensures that sensitive information is shared appropriately within the MDT. For instance, the SLT’s assessment of Mr Ahmed’s swallowing must be clearly recorded so that the domiciliary carers are aware of his dietary requirements. Failure to maintain these records leads to fragmented care and increases the risk of clinical neglect. In UK professional practice, "if it isn't written down, it didn't happen."</w:t>
      </w: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Pr="00CD33A8" w:rsidRDefault="004A736E" w:rsidP="00E620E7">
      <w:pPr>
        <w:pStyle w:val="Heading1"/>
      </w:pPr>
      <w:r w:rsidRPr="00CD33A8">
        <w:t>4</w:t>
      </w:r>
      <w:r w:rsidR="00B87E75" w:rsidRPr="00CD33A8">
        <w:t xml:space="preserve">. </w:t>
      </w:r>
      <w:r w:rsidR="008E3943">
        <w:t>I</w:t>
      </w:r>
      <w:r w:rsidR="008E3943" w:rsidRPr="008E3943">
        <w:t>mportance of working collaboratively</w:t>
      </w:r>
    </w:p>
    <w:p w14:paraId="682D1769" w14:textId="77777777" w:rsidR="003E4ECF" w:rsidRDefault="003E4ECF" w:rsidP="00CD33A8">
      <w:pPr>
        <w:tabs>
          <w:tab w:val="left" w:pos="6540"/>
        </w:tabs>
        <w:spacing w:line="360" w:lineRule="auto"/>
        <w:rPr>
          <w:rFonts w:asciiTheme="minorBidi" w:hAnsiTheme="minorBidi"/>
          <w:sz w:val="22"/>
        </w:rPr>
      </w:pPr>
    </w:p>
    <w:p w14:paraId="15C25996" w14:textId="3C999FCB" w:rsidR="008E3943" w:rsidRPr="00283CC8" w:rsidRDefault="00D44B5D" w:rsidP="00CD33A8">
      <w:pPr>
        <w:tabs>
          <w:tab w:val="left" w:pos="6540"/>
        </w:tabs>
        <w:spacing w:line="360" w:lineRule="auto"/>
        <w:rPr>
          <w:rFonts w:asciiTheme="minorBidi" w:hAnsiTheme="minorBidi"/>
          <w:sz w:val="22"/>
        </w:rPr>
      </w:pPr>
      <w:r w:rsidRPr="00283CC8">
        <w:rPr>
          <w:rFonts w:ascii="Arial" w:eastAsia="Times New Roman" w:hAnsi="Arial" w:cs="Arial"/>
          <w:color w:val="000000"/>
          <w:sz w:val="22"/>
          <w:shd w:val="clear" w:color="auto" w:fill="FFFFFF"/>
        </w:rPr>
        <w:t>Multi-agency working is essential for Mr Ahmed because his needs are multifaceted, requiring input from the GP (medical), District Nurse (clinical), SLT (rehabilitative), and Domiciliary Care (social). In the UK, this is increasingly managed through Integrated Care Systems (ICSs), which aim to remove the "silos" between health and social care as mandated by the Health and Care Act 2022.</w:t>
      </w:r>
      <w:r w:rsidRPr="00283CC8">
        <w:rPr>
          <w:rFonts w:ascii="Arial" w:eastAsia="Times New Roman" w:hAnsi="Arial" w:cs="Arial"/>
          <w:color w:val="000000"/>
          <w:sz w:val="22"/>
        </w:rPr>
        <w:br/>
      </w:r>
      <w:r w:rsidRPr="00283CC8">
        <w:rPr>
          <w:rFonts w:ascii="Arial" w:eastAsia="Times New Roman" w:hAnsi="Arial" w:cs="Arial"/>
          <w:color w:val="000000"/>
          <w:sz w:val="22"/>
        </w:rPr>
        <w:br/>
      </w:r>
      <w:r w:rsidRPr="00283CC8">
        <w:rPr>
          <w:rFonts w:ascii="Arial" w:eastAsia="Times New Roman" w:hAnsi="Arial" w:cs="Arial"/>
          <w:color w:val="000000"/>
          <w:sz w:val="22"/>
          <w:shd w:val="clear" w:color="auto" w:fill="FFFFFF"/>
        </w:rPr>
        <w:t>To foster effective collaboration, the MDT should utilize shared care plans and regular case conferences. This ensures that the care is unified and consistent. For example, the District Nurse’s monitoring of wound care must be supported by the carers' daily observations. However, common challenges include poor information sharing and conflicting professional perspectives. A domiciliary worker might notice a change in Mr Ahmed’s mood, but if there is no clear pathway to report this to the GP, the observation is lost (SCIE, 2024).</w:t>
      </w:r>
      <w:r w:rsidRPr="00283CC8">
        <w:rPr>
          <w:rFonts w:ascii="Arial" w:eastAsia="Times New Roman" w:hAnsi="Arial" w:cs="Arial"/>
          <w:color w:val="000000"/>
          <w:sz w:val="22"/>
        </w:rPr>
        <w:br/>
      </w:r>
      <w:r w:rsidRPr="00283CC8">
        <w:rPr>
          <w:rFonts w:ascii="Arial" w:eastAsia="Times New Roman" w:hAnsi="Arial" w:cs="Arial"/>
          <w:color w:val="000000"/>
          <w:sz w:val="22"/>
        </w:rPr>
        <w:br/>
      </w:r>
      <w:r w:rsidRPr="00283CC8">
        <w:rPr>
          <w:rFonts w:ascii="Arial" w:eastAsia="Times New Roman" w:hAnsi="Arial" w:cs="Arial"/>
          <w:color w:val="000000"/>
          <w:sz w:val="22"/>
          <w:shd w:val="clear" w:color="auto" w:fill="FFFFFF"/>
        </w:rPr>
        <w:t xml:space="preserve">To overcome these challenges, agencies should use integrated digital platforms that allow for real-time updates. The Stroke Association (2025) advocates for a "whole systems approach" where specialized support and primary care are seamlessly linked. By fostering a </w:t>
      </w:r>
      <w:r w:rsidRPr="00283CC8">
        <w:rPr>
          <w:rFonts w:ascii="Arial" w:eastAsia="Times New Roman" w:hAnsi="Arial" w:cs="Arial"/>
          <w:color w:val="000000"/>
          <w:sz w:val="22"/>
          <w:shd w:val="clear" w:color="auto" w:fill="FFFFFF"/>
        </w:rPr>
        <w:lastRenderedPageBreak/>
        <w:t>culture of mutual respect, the MDT can ensure Mr Ahmed receives a seamless transition from hospital to home, minimizing the risk of re-admission.</w:t>
      </w:r>
    </w:p>
    <w:p w14:paraId="3A742EE2" w14:textId="77777777" w:rsidR="008E3943" w:rsidRPr="00283CC8" w:rsidRDefault="008E3943" w:rsidP="00CD33A8">
      <w:pPr>
        <w:tabs>
          <w:tab w:val="left" w:pos="6540"/>
        </w:tabs>
        <w:spacing w:line="360" w:lineRule="auto"/>
        <w:rPr>
          <w:rFonts w:asciiTheme="minorBidi" w:hAnsiTheme="minorBidi"/>
          <w:sz w:val="22"/>
        </w:rPr>
      </w:pPr>
    </w:p>
    <w:p w14:paraId="16FAF0EA" w14:textId="2F93A55A" w:rsidR="00B87E75" w:rsidRPr="00CD33A8" w:rsidRDefault="008E3943" w:rsidP="00E620E7">
      <w:pPr>
        <w:pStyle w:val="Heading1"/>
      </w:pPr>
      <w:r>
        <w:t>5</w:t>
      </w:r>
      <w:r w:rsidR="00B87E75" w:rsidRPr="00CD33A8">
        <w:t>. Conclusion</w:t>
      </w:r>
      <w:r w:rsidR="00CD33A8">
        <w:t xml:space="preserve"> </w:t>
      </w:r>
    </w:p>
    <w:p w14:paraId="6DBC958B" w14:textId="45B4B01D" w:rsidR="00CD33A8" w:rsidRPr="00CD33A8" w:rsidRDefault="00CD33A8" w:rsidP="008E3943">
      <w:pPr>
        <w:tabs>
          <w:tab w:val="left" w:pos="6540"/>
        </w:tabs>
        <w:spacing w:line="360" w:lineRule="auto"/>
        <w:rPr>
          <w:rFonts w:asciiTheme="minorBidi" w:hAnsiTheme="minorBidi"/>
          <w:sz w:val="22"/>
        </w:rPr>
      </w:pPr>
    </w:p>
    <w:p w14:paraId="6812580D" w14:textId="137FFC23" w:rsidR="0090040D" w:rsidRPr="00867B4D" w:rsidRDefault="00A061B1" w:rsidP="00CD33A8">
      <w:pPr>
        <w:tabs>
          <w:tab w:val="left" w:pos="6540"/>
        </w:tabs>
        <w:spacing w:line="360" w:lineRule="auto"/>
        <w:rPr>
          <w:rFonts w:asciiTheme="minorBidi" w:hAnsiTheme="minorBidi"/>
          <w:sz w:val="22"/>
        </w:rPr>
      </w:pPr>
      <w:r w:rsidRPr="00867B4D">
        <w:rPr>
          <w:rFonts w:ascii="Arial" w:eastAsia="Times New Roman" w:hAnsi="Arial" w:cs="Arial"/>
          <w:color w:val="000000"/>
          <w:sz w:val="22"/>
          <w:shd w:val="clear" w:color="auto" w:fill="FFFFFF"/>
        </w:rPr>
        <w:t>Multi-agency working is essential for Mr Ahmed because his needs are multifaceted, requiring input from the GP (medical), District Nurse (clinical), SLT (rehabilitative), and Domiciliary Care (social). In the UK, this is increasingly managed through Integrated Care Systems (ICSs), which aim to remove the "silos" between health and social care as mandated by the Health and Care Act 2022.</w:t>
      </w:r>
      <w:r w:rsidRPr="00867B4D">
        <w:rPr>
          <w:rFonts w:ascii="Arial" w:eastAsia="Times New Roman" w:hAnsi="Arial" w:cs="Arial"/>
          <w:color w:val="000000"/>
          <w:sz w:val="22"/>
        </w:rPr>
        <w:br/>
      </w:r>
      <w:r w:rsidRPr="00867B4D">
        <w:rPr>
          <w:rFonts w:ascii="Arial" w:eastAsia="Times New Roman" w:hAnsi="Arial" w:cs="Arial"/>
          <w:color w:val="000000"/>
          <w:sz w:val="22"/>
        </w:rPr>
        <w:br/>
      </w:r>
      <w:r w:rsidRPr="00867B4D">
        <w:rPr>
          <w:rFonts w:ascii="Arial" w:eastAsia="Times New Roman" w:hAnsi="Arial" w:cs="Arial"/>
          <w:color w:val="000000"/>
          <w:sz w:val="22"/>
          <w:shd w:val="clear" w:color="auto" w:fill="FFFFFF"/>
        </w:rPr>
        <w:t>To foster effective collaboration, the MDT should utilize shared care plans and regular case conferences. This ensures that the care is unified and consistent. For example, the District Nurse’s monitoring of wound care must be supported by the carers' daily observations. However, common challenges include poor information sharing and conflicting professional perspectives. A domiciliary worker might notice a change in Mr Ahmed’s mood, but if there is no clear pathway to report this to the GP, the observation is lost (SCIE, 2024).</w:t>
      </w:r>
      <w:r w:rsidRPr="00867B4D">
        <w:rPr>
          <w:rFonts w:ascii="Arial" w:eastAsia="Times New Roman" w:hAnsi="Arial" w:cs="Arial"/>
          <w:color w:val="000000"/>
          <w:sz w:val="22"/>
        </w:rPr>
        <w:br/>
      </w:r>
      <w:r w:rsidRPr="00867B4D">
        <w:rPr>
          <w:rFonts w:ascii="Arial" w:eastAsia="Times New Roman" w:hAnsi="Arial" w:cs="Arial"/>
          <w:color w:val="000000"/>
          <w:sz w:val="22"/>
        </w:rPr>
        <w:br/>
      </w:r>
      <w:r w:rsidRPr="00867B4D">
        <w:rPr>
          <w:rFonts w:ascii="Arial" w:eastAsia="Times New Roman" w:hAnsi="Arial" w:cs="Arial"/>
          <w:color w:val="000000"/>
          <w:sz w:val="22"/>
          <w:shd w:val="clear" w:color="auto" w:fill="FFFFFF"/>
        </w:rPr>
        <w:t>To overcome these challenges, agencies should use integrated digital platforms that allow for real-time updates. The Stroke Association (2025) advocates for a "whole systems approach" where specialized support and primary care are seamlessly linked. By fostering a culture of mutual respect, the MDT can ensure Mr Ahmed receives a seamless transition from hospital to home, minimizing the risk of re-admission.</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05C95F52" w14:textId="77777777" w:rsidR="0039609E" w:rsidRPr="007E18B4" w:rsidRDefault="0039609E" w:rsidP="00636519">
      <w:pPr>
        <w:shd w:val="clear" w:color="auto" w:fill="FFFFFF"/>
        <w:spacing w:before="240" w:line="360" w:lineRule="auto"/>
        <w:rPr>
          <w:rFonts w:ascii="Arial" w:eastAsia="Times New Roman" w:hAnsi="Arial" w:cs="Arial"/>
          <w:color w:val="000000"/>
          <w:sz w:val="22"/>
        </w:rPr>
      </w:pPr>
      <w:r w:rsidRPr="007E18B4">
        <w:rPr>
          <w:rFonts w:asciiTheme="minorBidi" w:hAnsiTheme="minorBidi"/>
          <w:sz w:val="22"/>
        </w:rPr>
        <w:t xml:space="preserve"> </w:t>
      </w:r>
    </w:p>
    <w:p w14:paraId="195A9061" w14:textId="77777777" w:rsidR="0039609E" w:rsidRPr="007E18B4" w:rsidRDefault="0039609E" w:rsidP="00636519">
      <w:pPr>
        <w:shd w:val="clear" w:color="auto" w:fill="FFFFFF"/>
        <w:spacing w:before="240" w:line="360" w:lineRule="auto"/>
        <w:rPr>
          <w:rFonts w:ascii="Arial" w:eastAsia="Times New Roman" w:hAnsi="Arial" w:cs="Arial"/>
          <w:color w:val="000000"/>
          <w:sz w:val="22"/>
        </w:rPr>
      </w:pPr>
      <w:r w:rsidRPr="007E18B4">
        <w:rPr>
          <w:rFonts w:ascii="Arial" w:eastAsia="Times New Roman" w:hAnsi="Arial" w:cs="Arial"/>
          <w:color w:val="000000"/>
          <w:sz w:val="22"/>
        </w:rPr>
        <w:br/>
        <w:t>Care Act 2014, c. 23. Available at: </w:t>
      </w:r>
      <w:hyperlink r:id="rId8" w:tgtFrame="_blank" w:history="1">
        <w:r w:rsidRPr="007E18B4">
          <w:rPr>
            <w:rStyle w:val="Hyperlink"/>
            <w:rFonts w:ascii="Arial" w:eastAsia="Times New Roman" w:hAnsi="Arial" w:cs="Arial"/>
            <w:color w:val="A8C7FA"/>
            <w:sz w:val="22"/>
            <w:u w:val="none"/>
          </w:rPr>
          <w:t>https://www.legislation.gov.uk/ukpga/2014/23/contents</w:t>
        </w:r>
      </w:hyperlink>
      <w:r w:rsidRPr="007E18B4">
        <w:rPr>
          <w:rFonts w:ascii="Arial" w:eastAsia="Times New Roman" w:hAnsi="Arial" w:cs="Arial"/>
          <w:color w:val="000000"/>
          <w:sz w:val="22"/>
        </w:rPr>
        <w:t> (Accessed: 17 April 2026).</w:t>
      </w:r>
      <w:r w:rsidRPr="007E18B4">
        <w:rPr>
          <w:rFonts w:ascii="Arial" w:eastAsia="Times New Roman" w:hAnsi="Arial" w:cs="Arial"/>
          <w:color w:val="000000"/>
          <w:sz w:val="22"/>
        </w:rPr>
        <w:br/>
      </w:r>
      <w:r w:rsidRPr="007E18B4">
        <w:rPr>
          <w:rFonts w:ascii="Arial" w:eastAsia="Times New Roman" w:hAnsi="Arial" w:cs="Arial"/>
          <w:color w:val="000000"/>
          <w:sz w:val="22"/>
        </w:rPr>
        <w:br/>
        <w:t>Care Quality Commission (2024) The fundamental standards. Available at: </w:t>
      </w:r>
      <w:hyperlink r:id="rId9" w:tgtFrame="_blank" w:history="1">
        <w:r w:rsidRPr="007E18B4">
          <w:rPr>
            <w:rStyle w:val="Hyperlink"/>
            <w:rFonts w:ascii="Arial" w:eastAsia="Times New Roman" w:hAnsi="Arial" w:cs="Arial"/>
            <w:color w:val="A8C7FA"/>
            <w:sz w:val="22"/>
            <w:u w:val="none"/>
          </w:rPr>
          <w:t>https://www.cqc.org.uk/guidance-providers/regulations-enforcement/regulations-service-providers-managers-relevant-0</w:t>
        </w:r>
      </w:hyperlink>
      <w:r w:rsidRPr="007E18B4">
        <w:rPr>
          <w:rFonts w:ascii="Arial" w:eastAsia="Times New Roman" w:hAnsi="Arial" w:cs="Arial"/>
          <w:color w:val="000000"/>
          <w:sz w:val="22"/>
        </w:rPr>
        <w:t> (Accessed: 17 April 2026).</w:t>
      </w:r>
      <w:r w:rsidRPr="007E18B4">
        <w:rPr>
          <w:rFonts w:ascii="Arial" w:eastAsia="Times New Roman" w:hAnsi="Arial" w:cs="Arial"/>
          <w:color w:val="000000"/>
          <w:sz w:val="22"/>
        </w:rPr>
        <w:br/>
      </w:r>
      <w:r w:rsidRPr="007E18B4">
        <w:rPr>
          <w:rFonts w:ascii="Arial" w:eastAsia="Times New Roman" w:hAnsi="Arial" w:cs="Arial"/>
          <w:color w:val="000000"/>
          <w:sz w:val="22"/>
        </w:rPr>
        <w:br/>
        <w:t>Data Protection Act 2018, c. 12. Available at: </w:t>
      </w:r>
      <w:hyperlink r:id="rId10" w:tgtFrame="_blank" w:history="1">
        <w:r w:rsidRPr="007E18B4">
          <w:rPr>
            <w:rStyle w:val="Hyperlink"/>
            <w:rFonts w:ascii="Arial" w:eastAsia="Times New Roman" w:hAnsi="Arial" w:cs="Arial"/>
            <w:color w:val="A8C7FA"/>
            <w:sz w:val="22"/>
            <w:u w:val="none"/>
          </w:rPr>
          <w:t>https://www.legislation.gov.uk/ukpga/2018/12/contents</w:t>
        </w:r>
      </w:hyperlink>
      <w:r w:rsidRPr="007E18B4">
        <w:rPr>
          <w:rFonts w:ascii="Arial" w:eastAsia="Times New Roman" w:hAnsi="Arial" w:cs="Arial"/>
          <w:color w:val="000000"/>
          <w:sz w:val="22"/>
        </w:rPr>
        <w:t> (Accessed: 17 April 2026).</w:t>
      </w:r>
      <w:r w:rsidRPr="007E18B4">
        <w:rPr>
          <w:rFonts w:ascii="Arial" w:eastAsia="Times New Roman" w:hAnsi="Arial" w:cs="Arial"/>
          <w:color w:val="000000"/>
          <w:sz w:val="22"/>
        </w:rPr>
        <w:br/>
      </w:r>
      <w:r w:rsidRPr="007E18B4">
        <w:rPr>
          <w:rFonts w:ascii="Arial" w:eastAsia="Times New Roman" w:hAnsi="Arial" w:cs="Arial"/>
          <w:color w:val="000000"/>
          <w:sz w:val="22"/>
        </w:rPr>
        <w:br/>
        <w:t>Department of Health and Social Care (2014) Care and support statutory guidance. London: DHSC. Available at: </w:t>
      </w:r>
      <w:hyperlink r:id="rId11" w:tgtFrame="_blank" w:history="1">
        <w:r w:rsidRPr="007E18B4">
          <w:rPr>
            <w:rStyle w:val="Hyperlink"/>
            <w:rFonts w:ascii="Arial" w:eastAsia="Times New Roman" w:hAnsi="Arial" w:cs="Arial"/>
            <w:color w:val="A8C7FA"/>
            <w:sz w:val="22"/>
            <w:u w:val="none"/>
          </w:rPr>
          <w:t>https://www.gov.uk/government/publications/care-act-statutory-guidance/care-and-support-statutory-guidance</w:t>
        </w:r>
      </w:hyperlink>
      <w:r w:rsidRPr="007E18B4">
        <w:rPr>
          <w:rFonts w:ascii="Arial" w:eastAsia="Times New Roman" w:hAnsi="Arial" w:cs="Arial"/>
          <w:color w:val="000000"/>
          <w:sz w:val="22"/>
        </w:rPr>
        <w:t> (Accessed: 17 April 2026).</w:t>
      </w:r>
      <w:r w:rsidRPr="007E18B4">
        <w:rPr>
          <w:rFonts w:ascii="Arial" w:eastAsia="Times New Roman" w:hAnsi="Arial" w:cs="Arial"/>
          <w:color w:val="000000"/>
          <w:sz w:val="22"/>
        </w:rPr>
        <w:br/>
      </w:r>
      <w:r w:rsidRPr="007E18B4">
        <w:rPr>
          <w:rFonts w:ascii="Arial" w:eastAsia="Times New Roman" w:hAnsi="Arial" w:cs="Arial"/>
          <w:color w:val="000000"/>
          <w:sz w:val="22"/>
        </w:rPr>
        <w:br/>
        <w:t>Equality Act 2010, c. 15. Available at: </w:t>
      </w:r>
      <w:hyperlink r:id="rId12" w:tgtFrame="_blank" w:history="1">
        <w:r w:rsidRPr="007E18B4">
          <w:rPr>
            <w:rStyle w:val="Hyperlink"/>
            <w:rFonts w:ascii="Arial" w:eastAsia="Times New Roman" w:hAnsi="Arial" w:cs="Arial"/>
            <w:color w:val="A8C7FA"/>
            <w:sz w:val="22"/>
            <w:u w:val="none"/>
          </w:rPr>
          <w:t>https://www.legislation.gov.uk/ukpga/2010/15/contents</w:t>
        </w:r>
      </w:hyperlink>
      <w:r w:rsidRPr="007E18B4">
        <w:rPr>
          <w:rFonts w:ascii="Arial" w:eastAsia="Times New Roman" w:hAnsi="Arial" w:cs="Arial"/>
          <w:color w:val="000000"/>
          <w:sz w:val="22"/>
        </w:rPr>
        <w:t> (Accessed: 17 April 2026).</w:t>
      </w:r>
      <w:r w:rsidRPr="007E18B4">
        <w:rPr>
          <w:rFonts w:ascii="Arial" w:eastAsia="Times New Roman" w:hAnsi="Arial" w:cs="Arial"/>
          <w:color w:val="000000"/>
          <w:sz w:val="22"/>
        </w:rPr>
        <w:br/>
      </w:r>
      <w:r w:rsidRPr="007E18B4">
        <w:rPr>
          <w:rFonts w:ascii="Arial" w:eastAsia="Times New Roman" w:hAnsi="Arial" w:cs="Arial"/>
          <w:color w:val="000000"/>
          <w:sz w:val="22"/>
        </w:rPr>
        <w:br/>
        <w:t>Health and Care Act 2022, c. 31. Available at: </w:t>
      </w:r>
      <w:hyperlink r:id="rId13" w:tgtFrame="_blank" w:history="1">
        <w:r w:rsidRPr="007E18B4">
          <w:rPr>
            <w:rStyle w:val="Hyperlink"/>
            <w:rFonts w:ascii="Arial" w:eastAsia="Times New Roman" w:hAnsi="Arial" w:cs="Arial"/>
            <w:color w:val="A8C7FA"/>
            <w:sz w:val="22"/>
            <w:u w:val="none"/>
          </w:rPr>
          <w:t>https://www.legislation.gov.uk/ukpga/2022/31/contents</w:t>
        </w:r>
      </w:hyperlink>
      <w:r w:rsidRPr="007E18B4">
        <w:rPr>
          <w:rFonts w:ascii="Arial" w:eastAsia="Times New Roman" w:hAnsi="Arial" w:cs="Arial"/>
          <w:color w:val="000000"/>
          <w:sz w:val="22"/>
        </w:rPr>
        <w:t> (Accessed: 17 April 2026).</w:t>
      </w:r>
      <w:r w:rsidRPr="007E18B4">
        <w:rPr>
          <w:rFonts w:ascii="Arial" w:eastAsia="Times New Roman" w:hAnsi="Arial" w:cs="Arial"/>
          <w:color w:val="000000"/>
          <w:sz w:val="22"/>
        </w:rPr>
        <w:br/>
      </w:r>
      <w:r w:rsidRPr="007E18B4">
        <w:rPr>
          <w:rFonts w:ascii="Arial" w:eastAsia="Times New Roman" w:hAnsi="Arial" w:cs="Arial"/>
          <w:color w:val="000000"/>
          <w:sz w:val="22"/>
        </w:rPr>
        <w:br/>
        <w:t>Health and Social Care Act 2008 (Regulated Activities) Regulations 2014. Available at: </w:t>
      </w:r>
      <w:hyperlink r:id="rId14" w:tgtFrame="_blank" w:history="1">
        <w:r w:rsidRPr="007E18B4">
          <w:rPr>
            <w:rStyle w:val="Hyperlink"/>
            <w:rFonts w:ascii="Arial" w:eastAsia="Times New Roman" w:hAnsi="Arial" w:cs="Arial"/>
            <w:color w:val="A8C7FA"/>
            <w:sz w:val="22"/>
            <w:u w:val="none"/>
          </w:rPr>
          <w:t>https://www.legislation.gov.uk/uksi/2014/2936/contents</w:t>
        </w:r>
      </w:hyperlink>
      <w:r w:rsidRPr="007E18B4">
        <w:rPr>
          <w:rFonts w:ascii="Arial" w:eastAsia="Times New Roman" w:hAnsi="Arial" w:cs="Arial"/>
          <w:color w:val="000000"/>
          <w:sz w:val="22"/>
        </w:rPr>
        <w:t> (Accessed: 17 April 2026).</w:t>
      </w:r>
      <w:r w:rsidRPr="007E18B4">
        <w:rPr>
          <w:rFonts w:ascii="Arial" w:eastAsia="Times New Roman" w:hAnsi="Arial" w:cs="Arial"/>
          <w:color w:val="000000"/>
          <w:sz w:val="22"/>
        </w:rPr>
        <w:br/>
      </w:r>
      <w:r w:rsidRPr="007E18B4">
        <w:rPr>
          <w:rFonts w:ascii="Arial" w:eastAsia="Times New Roman" w:hAnsi="Arial" w:cs="Arial"/>
          <w:color w:val="000000"/>
          <w:sz w:val="22"/>
        </w:rPr>
        <w:br/>
        <w:t>Intercollegiate Stroke Working Party (2023) National clinical guideline for stroke for the UK and Ireland. London: Royal College of Physicians.</w:t>
      </w:r>
      <w:r w:rsidRPr="007E18B4">
        <w:rPr>
          <w:rFonts w:ascii="Arial" w:eastAsia="Times New Roman" w:hAnsi="Arial" w:cs="Arial"/>
          <w:color w:val="000000"/>
          <w:sz w:val="22"/>
        </w:rPr>
        <w:br/>
      </w:r>
      <w:r w:rsidRPr="007E18B4">
        <w:rPr>
          <w:rFonts w:ascii="Arial" w:eastAsia="Times New Roman" w:hAnsi="Arial" w:cs="Arial"/>
          <w:color w:val="000000"/>
          <w:sz w:val="22"/>
        </w:rPr>
        <w:br/>
        <w:t>NHS England (2016) SCCI1605 Accessible Information Standard. Available at: </w:t>
      </w:r>
      <w:hyperlink r:id="rId15" w:tgtFrame="_blank" w:history="1">
        <w:r w:rsidRPr="007E18B4">
          <w:rPr>
            <w:rStyle w:val="Hyperlink"/>
            <w:rFonts w:ascii="Arial" w:eastAsia="Times New Roman" w:hAnsi="Arial" w:cs="Arial"/>
            <w:color w:val="A8C7FA"/>
            <w:sz w:val="22"/>
            <w:u w:val="none"/>
          </w:rPr>
          <w:t>https://www.england.nhs.uk/about/equality/equality-hub/patient-equalities-programme/accessible-info/</w:t>
        </w:r>
      </w:hyperlink>
      <w:r w:rsidRPr="007E18B4">
        <w:rPr>
          <w:rFonts w:ascii="Arial" w:eastAsia="Times New Roman" w:hAnsi="Arial" w:cs="Arial"/>
          <w:color w:val="000000"/>
          <w:sz w:val="22"/>
        </w:rPr>
        <w:t> (Accessed: 17 April 2026).</w:t>
      </w:r>
      <w:r w:rsidRPr="007E18B4">
        <w:rPr>
          <w:rFonts w:ascii="Arial" w:eastAsia="Times New Roman" w:hAnsi="Arial" w:cs="Arial"/>
          <w:color w:val="000000"/>
          <w:sz w:val="22"/>
        </w:rPr>
        <w:br/>
      </w:r>
      <w:r w:rsidRPr="007E18B4">
        <w:rPr>
          <w:rFonts w:ascii="Arial" w:eastAsia="Times New Roman" w:hAnsi="Arial" w:cs="Arial"/>
          <w:color w:val="000000"/>
          <w:sz w:val="22"/>
        </w:rPr>
        <w:br/>
        <w:t>NICE (2017) Managing medicines for adults receiving social care in the community [NG67]. Available at: </w:t>
      </w:r>
      <w:hyperlink r:id="rId16" w:tgtFrame="_blank" w:history="1">
        <w:r w:rsidRPr="007E18B4">
          <w:rPr>
            <w:rStyle w:val="Hyperlink"/>
            <w:rFonts w:ascii="Arial" w:eastAsia="Times New Roman" w:hAnsi="Arial" w:cs="Arial"/>
            <w:color w:val="A8C7FA"/>
            <w:sz w:val="22"/>
            <w:u w:val="none"/>
          </w:rPr>
          <w:t>https://www.nice.org.uk/guidance/ng67</w:t>
        </w:r>
      </w:hyperlink>
      <w:r w:rsidRPr="007E18B4">
        <w:rPr>
          <w:rFonts w:ascii="Arial" w:eastAsia="Times New Roman" w:hAnsi="Arial" w:cs="Arial"/>
          <w:color w:val="000000"/>
          <w:sz w:val="22"/>
        </w:rPr>
        <w:t> (Accessed: 17 April 2026).</w:t>
      </w:r>
      <w:r w:rsidRPr="007E18B4">
        <w:rPr>
          <w:rFonts w:ascii="Arial" w:eastAsia="Times New Roman" w:hAnsi="Arial" w:cs="Arial"/>
          <w:color w:val="000000"/>
          <w:sz w:val="22"/>
        </w:rPr>
        <w:br/>
      </w:r>
      <w:r w:rsidRPr="007E18B4">
        <w:rPr>
          <w:rFonts w:ascii="Arial" w:eastAsia="Times New Roman" w:hAnsi="Arial" w:cs="Arial"/>
          <w:color w:val="000000"/>
          <w:sz w:val="22"/>
        </w:rPr>
        <w:lastRenderedPageBreak/>
        <w:br/>
        <w:t>Nursing and Midwifery Council (2018) The Code: Professional standards of practice and behaviour for nurses, midwives and nursing associates. London: NMC.</w:t>
      </w:r>
      <w:r w:rsidRPr="007E18B4">
        <w:rPr>
          <w:rFonts w:ascii="Arial" w:eastAsia="Times New Roman" w:hAnsi="Arial" w:cs="Arial"/>
          <w:color w:val="000000"/>
          <w:sz w:val="22"/>
        </w:rPr>
        <w:br/>
      </w:r>
      <w:r w:rsidRPr="007E18B4">
        <w:rPr>
          <w:rFonts w:ascii="Arial" w:eastAsia="Times New Roman" w:hAnsi="Arial" w:cs="Arial"/>
          <w:color w:val="000000"/>
          <w:sz w:val="22"/>
        </w:rPr>
        <w:br/>
        <w:t>Social Care Institute for Excellence (2024) Integrated care: Multi-agency working. Available at: </w:t>
      </w:r>
      <w:hyperlink r:id="rId17" w:tgtFrame="_blank" w:history="1">
        <w:r w:rsidRPr="007E18B4">
          <w:rPr>
            <w:rStyle w:val="Hyperlink"/>
            <w:rFonts w:ascii="Arial" w:eastAsia="Times New Roman" w:hAnsi="Arial" w:cs="Arial"/>
            <w:color w:val="A8C7FA"/>
            <w:sz w:val="22"/>
            <w:u w:val="none"/>
          </w:rPr>
          <w:t>https://www.scie.org.uk/integrated-care</w:t>
        </w:r>
      </w:hyperlink>
      <w:r w:rsidRPr="007E18B4">
        <w:rPr>
          <w:rFonts w:ascii="Arial" w:eastAsia="Times New Roman" w:hAnsi="Arial" w:cs="Arial"/>
          <w:color w:val="000000"/>
          <w:sz w:val="22"/>
        </w:rPr>
        <w:t> (Accessed: 17 April 2026).</w:t>
      </w:r>
      <w:r w:rsidRPr="007E18B4">
        <w:rPr>
          <w:rFonts w:ascii="Arial" w:eastAsia="Times New Roman" w:hAnsi="Arial" w:cs="Arial"/>
          <w:color w:val="000000"/>
          <w:sz w:val="22"/>
        </w:rPr>
        <w:br/>
      </w:r>
      <w:r w:rsidRPr="007E18B4">
        <w:rPr>
          <w:rFonts w:ascii="Arial" w:eastAsia="Times New Roman" w:hAnsi="Arial" w:cs="Arial"/>
          <w:color w:val="000000"/>
          <w:sz w:val="22"/>
        </w:rPr>
        <w:br/>
        <w:t>The Stroke Association (2025) Stroke statistics. Available at: </w:t>
      </w:r>
      <w:hyperlink r:id="rId18" w:tgtFrame="_blank" w:history="1">
        <w:r w:rsidRPr="007E18B4">
          <w:rPr>
            <w:rStyle w:val="Hyperlink"/>
            <w:rFonts w:ascii="Arial" w:eastAsia="Times New Roman" w:hAnsi="Arial" w:cs="Arial"/>
            <w:color w:val="A8C7FA"/>
            <w:sz w:val="22"/>
            <w:u w:val="none"/>
          </w:rPr>
          <w:t>https://www.stroke.org.uk/</w:t>
        </w:r>
      </w:hyperlink>
      <w:r w:rsidRPr="007E18B4">
        <w:rPr>
          <w:rFonts w:ascii="Arial" w:eastAsia="Times New Roman" w:hAnsi="Arial" w:cs="Arial"/>
          <w:color w:val="000000"/>
          <w:sz w:val="22"/>
        </w:rPr>
        <w:t> (Accessed: 17 April 2026).</w:t>
      </w:r>
    </w:p>
    <w:p w14:paraId="1425F4AC" w14:textId="42618692" w:rsidR="001D7C03" w:rsidRPr="00867B4D" w:rsidRDefault="001D7C03" w:rsidP="00CD33A8">
      <w:pPr>
        <w:tabs>
          <w:tab w:val="left" w:pos="6540"/>
        </w:tabs>
        <w:spacing w:line="360" w:lineRule="auto"/>
        <w:rPr>
          <w:rFonts w:asciiTheme="minorBidi" w:hAnsiTheme="minorBidi"/>
          <w:sz w:val="22"/>
        </w:rPr>
      </w:pPr>
    </w:p>
    <w:sectPr w:rsidR="001D7C03" w:rsidRPr="00867B4D" w:rsidSect="00E620E7">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1A8D0" w14:textId="77777777" w:rsidR="007A1B8D" w:rsidRDefault="007A1B8D" w:rsidP="003E4ECF">
      <w:pPr>
        <w:spacing w:after="0" w:line="240" w:lineRule="auto"/>
      </w:pPr>
      <w:r>
        <w:separator/>
      </w:r>
    </w:p>
  </w:endnote>
  <w:endnote w:type="continuationSeparator" w:id="0">
    <w:p w14:paraId="21833636" w14:textId="77777777" w:rsidR="007A1B8D" w:rsidRDefault="007A1B8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E3639" w14:textId="77777777" w:rsidR="007A1B8D" w:rsidRDefault="007A1B8D" w:rsidP="003E4ECF">
      <w:pPr>
        <w:spacing w:after="0" w:line="240" w:lineRule="auto"/>
      </w:pPr>
      <w:r>
        <w:separator/>
      </w:r>
    </w:p>
  </w:footnote>
  <w:footnote w:type="continuationSeparator" w:id="0">
    <w:p w14:paraId="5764AEE1" w14:textId="77777777" w:rsidR="007A1B8D" w:rsidRDefault="007A1B8D"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077"/>
    <w:rsid w:val="00053DC3"/>
    <w:rsid w:val="000572BF"/>
    <w:rsid w:val="0007219D"/>
    <w:rsid w:val="00074402"/>
    <w:rsid w:val="0008034C"/>
    <w:rsid w:val="000A44A7"/>
    <w:rsid w:val="000F0784"/>
    <w:rsid w:val="00111B8D"/>
    <w:rsid w:val="00130986"/>
    <w:rsid w:val="001D7C03"/>
    <w:rsid w:val="00216C85"/>
    <w:rsid w:val="00223258"/>
    <w:rsid w:val="002317B6"/>
    <w:rsid w:val="0026393A"/>
    <w:rsid w:val="00273EDD"/>
    <w:rsid w:val="00283CC8"/>
    <w:rsid w:val="00286D6C"/>
    <w:rsid w:val="002A7CB3"/>
    <w:rsid w:val="002C3965"/>
    <w:rsid w:val="002F5857"/>
    <w:rsid w:val="00321C4C"/>
    <w:rsid w:val="00392BBC"/>
    <w:rsid w:val="0039609E"/>
    <w:rsid w:val="003E4ECF"/>
    <w:rsid w:val="004A736E"/>
    <w:rsid w:val="004C11E7"/>
    <w:rsid w:val="0055279D"/>
    <w:rsid w:val="005574A7"/>
    <w:rsid w:val="005D3FE2"/>
    <w:rsid w:val="005E1815"/>
    <w:rsid w:val="00636519"/>
    <w:rsid w:val="006925AA"/>
    <w:rsid w:val="00725177"/>
    <w:rsid w:val="007A1B8D"/>
    <w:rsid w:val="007A3723"/>
    <w:rsid w:val="007D23AB"/>
    <w:rsid w:val="007E18B4"/>
    <w:rsid w:val="00814A9E"/>
    <w:rsid w:val="00867B4D"/>
    <w:rsid w:val="00875C71"/>
    <w:rsid w:val="00875EFE"/>
    <w:rsid w:val="008764FA"/>
    <w:rsid w:val="008E3943"/>
    <w:rsid w:val="008F77E5"/>
    <w:rsid w:val="0090040D"/>
    <w:rsid w:val="009D052C"/>
    <w:rsid w:val="009D1D1E"/>
    <w:rsid w:val="00A035FD"/>
    <w:rsid w:val="00A061B1"/>
    <w:rsid w:val="00A860F0"/>
    <w:rsid w:val="00AD23A0"/>
    <w:rsid w:val="00B34D74"/>
    <w:rsid w:val="00B65424"/>
    <w:rsid w:val="00B87E75"/>
    <w:rsid w:val="00CD33A8"/>
    <w:rsid w:val="00CF7165"/>
    <w:rsid w:val="00D44B5D"/>
    <w:rsid w:val="00DB5809"/>
    <w:rsid w:val="00DF7366"/>
    <w:rsid w:val="00E07B32"/>
    <w:rsid w:val="00E569FD"/>
    <w:rsid w:val="00E620E7"/>
    <w:rsid w:val="00EE7A0C"/>
    <w:rsid w:val="00F22395"/>
    <w:rsid w:val="00F44A98"/>
    <w:rsid w:val="00F66E1B"/>
    <w:rsid w:val="00FE04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semiHidden/>
    <w:unhideWhenUsed/>
    <w:rsid w:val="00B65424"/>
    <w:rPr>
      <w:color w:val="0000FF"/>
      <w:u w:val="single"/>
    </w:rPr>
  </w:style>
  <w:style w:type="character" w:styleId="FollowedHyperlink">
    <w:name w:val="FollowedHyperlink"/>
    <w:basedOn w:val="DefaultParagraphFont"/>
    <w:uiPriority w:val="99"/>
    <w:semiHidden/>
    <w:unhideWhenUsed/>
    <w:rsid w:val="005D3F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 /><Relationship Id="rId13" Type="http://schemas.openxmlformats.org/officeDocument/2006/relationships/hyperlink" Target="https://www.legislation.gov.uk/ukpga/2022/31/contents" TargetMode="External" /><Relationship Id="rId18" Type="http://schemas.openxmlformats.org/officeDocument/2006/relationships/hyperlink" Target="https://www.stroke.org.uk/" TargetMode="External" /><Relationship Id="rId3" Type="http://schemas.openxmlformats.org/officeDocument/2006/relationships/webSettings" Target="webSettings.xml" /><Relationship Id="rId21" Type="http://schemas.openxmlformats.org/officeDocument/2006/relationships/theme" Target="theme/theme1.xml" /><Relationship Id="rId7" Type="http://schemas.openxmlformats.org/officeDocument/2006/relationships/image" Target="cid:image001.png@01D0EA4A.2BD679A0" TargetMode="External" /><Relationship Id="rId12" Type="http://schemas.openxmlformats.org/officeDocument/2006/relationships/hyperlink" Target="https://www.legislation.gov.uk/ukpga/2010/15/contents" TargetMode="External" /><Relationship Id="rId17" Type="http://schemas.openxmlformats.org/officeDocument/2006/relationships/hyperlink" Target="https://www.scie.org.uk/integrated-care" TargetMode="External" /><Relationship Id="rId2" Type="http://schemas.openxmlformats.org/officeDocument/2006/relationships/settings" Target="settings.xml" /><Relationship Id="rId16" Type="http://schemas.openxmlformats.org/officeDocument/2006/relationships/hyperlink" Target="https://www.nice.org.uk/guidance/ng67" TargetMode="External" /><Relationship Id="rId20"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www.gov.uk/government/publications/care-act-statutory-guidance/care-and-support-statutory-guidance" TargetMode="External" /><Relationship Id="rId5" Type="http://schemas.openxmlformats.org/officeDocument/2006/relationships/endnotes" Target="endnotes.xml" /><Relationship Id="rId15" Type="http://schemas.openxmlformats.org/officeDocument/2006/relationships/hyperlink" Target="https://www.england.nhs.uk/about/equality/equality-hub/patient-equalities-programme/accessible-info/" TargetMode="External" /><Relationship Id="rId10" Type="http://schemas.openxmlformats.org/officeDocument/2006/relationships/hyperlink" Target="https://www.legislation.gov.uk/ukpga/2018/12/contents" TargetMode="External" /><Relationship Id="rId19" Type="http://schemas.openxmlformats.org/officeDocument/2006/relationships/footer" Target="footer1.xml" /><Relationship Id="rId4" Type="http://schemas.openxmlformats.org/officeDocument/2006/relationships/footnotes" Target="footnotes.xml" /><Relationship Id="rId9" Type="http://schemas.openxmlformats.org/officeDocument/2006/relationships/hyperlink" Target="https://www.cqc.org.uk/guidance-providers/regulations-enforcement/regulations-service-providers-managers-relevant-0" TargetMode="External" /><Relationship Id="rId14" Type="http://schemas.openxmlformats.org/officeDocument/2006/relationships/hyperlink" Target="https://www.legislation.gov.uk/uksi/2014/2936/content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1791</Words>
  <Characters>10215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Andreea-Rebeca Ardelean (2508016)</cp:lastModifiedBy>
  <cp:revision>2</cp:revision>
  <dcterms:created xsi:type="dcterms:W3CDTF">2026-04-17T14:54:00Z</dcterms:created>
  <dcterms:modified xsi:type="dcterms:W3CDTF">2026-04-17T14:54:00Z</dcterms:modified>
</cp:coreProperties>
</file>