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Ind w:w="0" w:type="dxa"/>
        <w:tblLook w:val="04A0" w:firstRow="1" w:lastRow="0" w:firstColumn="1" w:lastColumn="0" w:noHBand="0" w:noVBand="1"/>
      </w:tblPr>
      <w:tblGrid>
        <w:gridCol w:w="1838"/>
        <w:gridCol w:w="3589"/>
        <w:gridCol w:w="3589"/>
      </w:tblGrid>
      <w:tr w:rsidR="00644CBA" w:rsidRPr="008C14F2" w14:paraId="7F846853" w14:textId="77777777" w:rsidTr="00997C91">
        <w:tc>
          <w:tcPr>
            <w:tcW w:w="1838" w:type="dxa"/>
            <w:tcBorders>
              <w:top w:val="single" w:sz="4" w:space="0" w:color="auto"/>
              <w:left w:val="single" w:sz="4" w:space="0" w:color="auto"/>
              <w:bottom w:val="single" w:sz="4" w:space="0" w:color="auto"/>
              <w:right w:val="single" w:sz="4" w:space="0" w:color="auto"/>
            </w:tcBorders>
            <w:hideMark/>
          </w:tcPr>
          <w:p w14:paraId="36E6D341" w14:textId="77777777" w:rsidR="00644CBA" w:rsidRPr="008C14F2" w:rsidRDefault="00644CBA" w:rsidP="00997C91">
            <w:pPr>
              <w:pStyle w:val="AssignBody"/>
              <w:rPr>
                <w:rFonts w:asciiTheme="minorHAnsi" w:hAnsiTheme="minorHAnsi" w:cstheme="minorHAnsi"/>
                <w:b/>
                <w:bCs/>
              </w:rPr>
            </w:pPr>
            <w:r w:rsidRPr="008C14F2">
              <w:rPr>
                <w:rFonts w:asciiTheme="minorHAnsi" w:hAnsiTheme="minorHAnsi" w:cstheme="minorHAnsi"/>
                <w:b/>
                <w:bCs/>
              </w:rPr>
              <w:t>Targedau / Targets</w:t>
            </w:r>
          </w:p>
        </w:tc>
        <w:tc>
          <w:tcPr>
            <w:tcW w:w="3589" w:type="dxa"/>
            <w:tcBorders>
              <w:top w:val="single" w:sz="4" w:space="0" w:color="auto"/>
              <w:left w:val="single" w:sz="4" w:space="0" w:color="auto"/>
              <w:bottom w:val="single" w:sz="4" w:space="0" w:color="auto"/>
              <w:right w:val="single" w:sz="4" w:space="0" w:color="auto"/>
            </w:tcBorders>
            <w:hideMark/>
          </w:tcPr>
          <w:p w14:paraId="50432E31" w14:textId="77777777" w:rsidR="00644CBA" w:rsidRPr="008C14F2" w:rsidRDefault="00644CBA" w:rsidP="00997C91">
            <w:pPr>
              <w:pStyle w:val="AssignBody"/>
              <w:rPr>
                <w:rFonts w:asciiTheme="minorHAnsi" w:hAnsiTheme="minorHAnsi" w:cstheme="minorHAnsi"/>
                <w:b/>
                <w:bCs/>
              </w:rPr>
            </w:pPr>
            <w:r w:rsidRPr="008C14F2">
              <w:rPr>
                <w:rFonts w:asciiTheme="minorHAnsi" w:hAnsiTheme="minorHAnsi" w:cstheme="minorHAnsi"/>
                <w:b/>
                <w:bCs/>
              </w:rPr>
              <w:t>Sut rydych wedi gweithio ar hwn /</w:t>
            </w:r>
          </w:p>
          <w:p w14:paraId="3C4FF5E0" w14:textId="77777777" w:rsidR="00644CBA" w:rsidRPr="008C14F2" w:rsidRDefault="00644CBA" w:rsidP="00997C91">
            <w:pPr>
              <w:pStyle w:val="AssignBody"/>
              <w:rPr>
                <w:rFonts w:asciiTheme="minorHAnsi" w:hAnsiTheme="minorHAnsi" w:cstheme="minorHAnsi"/>
                <w:b/>
                <w:bCs/>
              </w:rPr>
            </w:pPr>
            <w:r w:rsidRPr="008C14F2">
              <w:rPr>
                <w:rFonts w:asciiTheme="minorHAnsi" w:hAnsiTheme="minorHAnsi" w:cstheme="minorHAnsi"/>
                <w:b/>
                <w:bCs/>
              </w:rPr>
              <w:t>How you have worked on this</w:t>
            </w:r>
          </w:p>
        </w:tc>
        <w:tc>
          <w:tcPr>
            <w:tcW w:w="3589" w:type="dxa"/>
            <w:tcBorders>
              <w:top w:val="single" w:sz="4" w:space="0" w:color="auto"/>
              <w:left w:val="single" w:sz="4" w:space="0" w:color="auto"/>
              <w:bottom w:val="single" w:sz="4" w:space="0" w:color="auto"/>
              <w:right w:val="single" w:sz="4" w:space="0" w:color="auto"/>
            </w:tcBorders>
            <w:hideMark/>
          </w:tcPr>
          <w:p w14:paraId="629877AD" w14:textId="77777777" w:rsidR="00644CBA" w:rsidRPr="008C14F2" w:rsidRDefault="00644CBA" w:rsidP="00997C91">
            <w:pPr>
              <w:pStyle w:val="AssignBody"/>
              <w:rPr>
                <w:rFonts w:asciiTheme="minorHAnsi" w:hAnsiTheme="minorHAnsi" w:cstheme="minorHAnsi"/>
                <w:b/>
                <w:bCs/>
              </w:rPr>
            </w:pPr>
            <w:r w:rsidRPr="008C14F2">
              <w:rPr>
                <w:rFonts w:asciiTheme="minorHAnsi" w:hAnsiTheme="minorHAnsi" w:cstheme="minorHAnsi"/>
                <w:b/>
                <w:bCs/>
              </w:rPr>
              <w:t>Ceir enghraifft ar /</w:t>
            </w:r>
          </w:p>
          <w:p w14:paraId="0E3417DE" w14:textId="77777777" w:rsidR="00644CBA" w:rsidRPr="008C14F2" w:rsidRDefault="00644CBA" w:rsidP="00997C91">
            <w:pPr>
              <w:pStyle w:val="AssignBody"/>
              <w:rPr>
                <w:rFonts w:asciiTheme="minorHAnsi" w:hAnsiTheme="minorHAnsi" w:cstheme="minorHAnsi"/>
                <w:b/>
                <w:bCs/>
              </w:rPr>
            </w:pPr>
            <w:r w:rsidRPr="008C14F2">
              <w:rPr>
                <w:rFonts w:asciiTheme="minorHAnsi" w:hAnsiTheme="minorHAnsi" w:cstheme="minorHAnsi"/>
                <w:b/>
                <w:bCs/>
              </w:rPr>
              <w:t>An example can be found on</w:t>
            </w:r>
          </w:p>
        </w:tc>
      </w:tr>
      <w:tr w:rsidR="00644CBA" w:rsidRPr="008C14F2" w14:paraId="4400B05B" w14:textId="77777777" w:rsidTr="00997C91">
        <w:tc>
          <w:tcPr>
            <w:tcW w:w="1838" w:type="dxa"/>
            <w:tcBorders>
              <w:top w:val="single" w:sz="4" w:space="0" w:color="auto"/>
              <w:left w:val="single" w:sz="4" w:space="0" w:color="auto"/>
              <w:bottom w:val="single" w:sz="4" w:space="0" w:color="auto"/>
              <w:right w:val="single" w:sz="4" w:space="0" w:color="auto"/>
            </w:tcBorders>
            <w:hideMark/>
          </w:tcPr>
          <w:p w14:paraId="15A33FB3" w14:textId="77777777" w:rsidR="00644CBA" w:rsidRPr="008C14F2" w:rsidRDefault="00644CBA" w:rsidP="00997C91">
            <w:pPr>
              <w:pStyle w:val="AssignBody"/>
              <w:rPr>
                <w:rFonts w:asciiTheme="minorHAnsi" w:hAnsiTheme="minorHAnsi" w:cstheme="minorHAnsi"/>
                <w:b/>
                <w:bCs/>
              </w:rPr>
            </w:pPr>
            <w:r w:rsidRPr="008C14F2">
              <w:rPr>
                <w:rFonts w:asciiTheme="minorHAnsi" w:hAnsiTheme="minorHAnsi" w:cstheme="minorHAnsi"/>
                <w:b/>
                <w:bCs/>
              </w:rPr>
              <w:t>T</w:t>
            </w:r>
            <w:bookmarkStart w:id="0" w:name="cysill"/>
            <w:bookmarkEnd w:id="0"/>
            <w:r w:rsidRPr="008C14F2">
              <w:rPr>
                <w:rFonts w:asciiTheme="minorHAnsi" w:hAnsiTheme="minorHAnsi" w:cstheme="minorHAnsi"/>
                <w:b/>
                <w:bCs/>
              </w:rPr>
              <w:t>arged/Target 1</w:t>
            </w:r>
          </w:p>
          <w:p w14:paraId="32CF8022" w14:textId="7C516D4B" w:rsidR="00644CBA" w:rsidRPr="008C14F2" w:rsidRDefault="00EF4B92" w:rsidP="00997C91">
            <w:pPr>
              <w:pStyle w:val="AssignBody"/>
              <w:rPr>
                <w:rFonts w:asciiTheme="minorHAnsi" w:hAnsiTheme="minorHAnsi" w:cstheme="minorHAnsi"/>
                <w:b/>
                <w:bCs/>
              </w:rPr>
            </w:pPr>
            <w:r>
              <w:rPr>
                <w:rFonts w:ascii="Roboto" w:hAnsi="Roboto"/>
                <w:color w:val="283041"/>
                <w:sz w:val="21"/>
                <w:szCs w:val="21"/>
                <w:shd w:val="clear" w:color="auto" w:fill="FFFFFF"/>
              </w:rPr>
              <w:t>Prawf-ddarllen y gwaith yn hollol drwyadl cyn cyflwyno gan ffocysu ar dreigliadau a strwythur brawddegau. </w:t>
            </w:r>
          </w:p>
        </w:tc>
        <w:tc>
          <w:tcPr>
            <w:tcW w:w="3589" w:type="dxa"/>
            <w:tcBorders>
              <w:top w:val="single" w:sz="4" w:space="0" w:color="auto"/>
              <w:left w:val="single" w:sz="4" w:space="0" w:color="auto"/>
              <w:bottom w:val="single" w:sz="4" w:space="0" w:color="auto"/>
              <w:right w:val="single" w:sz="4" w:space="0" w:color="auto"/>
            </w:tcBorders>
          </w:tcPr>
          <w:p w14:paraId="5D73647A" w14:textId="3E331B04" w:rsidR="00644CBA" w:rsidRPr="008C14F2" w:rsidRDefault="00EF4B92" w:rsidP="00997C91">
            <w:pPr>
              <w:pStyle w:val="AssignBody"/>
              <w:rPr>
                <w:rFonts w:asciiTheme="minorHAnsi" w:hAnsiTheme="minorHAnsi" w:cstheme="minorHAnsi"/>
              </w:rPr>
            </w:pPr>
            <w:r>
              <w:rPr>
                <w:rFonts w:asciiTheme="minorHAnsi" w:hAnsiTheme="minorHAnsi" w:cstheme="minorHAnsi"/>
              </w:rPr>
              <w:t xml:space="preserve">Rydw I wedi prawf darllen </w:t>
            </w:r>
            <w:r w:rsidR="00320B17">
              <w:rPr>
                <w:rFonts w:asciiTheme="minorHAnsi" w:hAnsiTheme="minorHAnsi" w:cstheme="minorHAnsi"/>
              </w:rPr>
              <w:t>yr holly r aseiniad a rhoi trwy cysillt</w:t>
            </w:r>
          </w:p>
        </w:tc>
        <w:tc>
          <w:tcPr>
            <w:tcW w:w="3589" w:type="dxa"/>
            <w:tcBorders>
              <w:top w:val="single" w:sz="4" w:space="0" w:color="auto"/>
              <w:left w:val="single" w:sz="4" w:space="0" w:color="auto"/>
              <w:bottom w:val="single" w:sz="4" w:space="0" w:color="auto"/>
              <w:right w:val="single" w:sz="4" w:space="0" w:color="auto"/>
            </w:tcBorders>
          </w:tcPr>
          <w:p w14:paraId="2EE28B24" w14:textId="7885374A" w:rsidR="00644CBA" w:rsidRPr="008C14F2" w:rsidRDefault="00320B17" w:rsidP="00997C91">
            <w:pPr>
              <w:pStyle w:val="AssignBody"/>
              <w:rPr>
                <w:rFonts w:asciiTheme="minorHAnsi" w:hAnsiTheme="minorHAnsi" w:cstheme="minorHAnsi"/>
              </w:rPr>
            </w:pPr>
            <w:r>
              <w:rPr>
                <w:rFonts w:asciiTheme="minorHAnsi" w:hAnsiTheme="minorHAnsi" w:cstheme="minorHAnsi"/>
              </w:rPr>
              <w:t>Trwy gydol yr aseiniad</w:t>
            </w:r>
          </w:p>
        </w:tc>
      </w:tr>
      <w:tr w:rsidR="00644CBA" w:rsidRPr="008C14F2" w14:paraId="6DF10DA5" w14:textId="77777777" w:rsidTr="00997C91">
        <w:tc>
          <w:tcPr>
            <w:tcW w:w="1838" w:type="dxa"/>
            <w:tcBorders>
              <w:top w:val="single" w:sz="4" w:space="0" w:color="auto"/>
              <w:left w:val="single" w:sz="4" w:space="0" w:color="auto"/>
              <w:bottom w:val="single" w:sz="4" w:space="0" w:color="auto"/>
              <w:right w:val="single" w:sz="4" w:space="0" w:color="auto"/>
            </w:tcBorders>
            <w:hideMark/>
          </w:tcPr>
          <w:p w14:paraId="697A6973" w14:textId="77777777" w:rsidR="00644CBA" w:rsidRPr="008C14F2" w:rsidRDefault="00644CBA" w:rsidP="00997C91">
            <w:pPr>
              <w:pStyle w:val="AssignBody"/>
              <w:rPr>
                <w:rFonts w:asciiTheme="minorHAnsi" w:hAnsiTheme="minorHAnsi" w:cstheme="minorHAnsi"/>
                <w:b/>
                <w:bCs/>
              </w:rPr>
            </w:pPr>
            <w:r w:rsidRPr="008C14F2">
              <w:rPr>
                <w:rFonts w:asciiTheme="minorHAnsi" w:hAnsiTheme="minorHAnsi" w:cstheme="minorHAnsi"/>
                <w:b/>
                <w:bCs/>
              </w:rPr>
              <w:t>Targed/Target 2</w:t>
            </w:r>
          </w:p>
          <w:p w14:paraId="182C4B2E" w14:textId="5684E18A" w:rsidR="00644CBA" w:rsidRPr="008C14F2" w:rsidRDefault="00320B17" w:rsidP="00997C91">
            <w:pPr>
              <w:pStyle w:val="AssignBody"/>
              <w:rPr>
                <w:rFonts w:asciiTheme="minorHAnsi" w:hAnsiTheme="minorHAnsi" w:cstheme="minorHAnsi"/>
                <w:b/>
                <w:bCs/>
              </w:rPr>
            </w:pPr>
            <w:r>
              <w:rPr>
                <w:rFonts w:ascii="Roboto" w:hAnsi="Roboto"/>
                <w:color w:val="283041"/>
                <w:sz w:val="21"/>
                <w:szCs w:val="21"/>
                <w:shd w:val="clear" w:color="auto" w:fill="FFFFFF"/>
              </w:rPr>
              <w:t>rawf ddarllen y rhestr gyfeirnodi cyn cyflwyno er mwyn dileu manion wallau cyfeirnodi </w:t>
            </w:r>
          </w:p>
        </w:tc>
        <w:tc>
          <w:tcPr>
            <w:tcW w:w="3589" w:type="dxa"/>
            <w:tcBorders>
              <w:top w:val="single" w:sz="4" w:space="0" w:color="auto"/>
              <w:left w:val="single" w:sz="4" w:space="0" w:color="auto"/>
              <w:bottom w:val="single" w:sz="4" w:space="0" w:color="auto"/>
              <w:right w:val="single" w:sz="4" w:space="0" w:color="auto"/>
            </w:tcBorders>
          </w:tcPr>
          <w:p w14:paraId="764CD47C" w14:textId="74481C95" w:rsidR="00644CBA" w:rsidRPr="008C14F2" w:rsidRDefault="00320B17" w:rsidP="00997C91">
            <w:pPr>
              <w:pStyle w:val="AssignBody"/>
              <w:rPr>
                <w:rFonts w:asciiTheme="minorHAnsi" w:hAnsiTheme="minorHAnsi" w:cstheme="minorHAnsi"/>
              </w:rPr>
            </w:pPr>
            <w:r>
              <w:rPr>
                <w:rFonts w:asciiTheme="minorHAnsi" w:hAnsiTheme="minorHAnsi" w:cstheme="minorHAnsi"/>
              </w:rPr>
              <w:t>Wedi prawf darllen rhestr gyfeirnodi</w:t>
            </w:r>
          </w:p>
        </w:tc>
        <w:tc>
          <w:tcPr>
            <w:tcW w:w="3589" w:type="dxa"/>
            <w:tcBorders>
              <w:top w:val="single" w:sz="4" w:space="0" w:color="auto"/>
              <w:left w:val="single" w:sz="4" w:space="0" w:color="auto"/>
              <w:bottom w:val="single" w:sz="4" w:space="0" w:color="auto"/>
              <w:right w:val="single" w:sz="4" w:space="0" w:color="auto"/>
            </w:tcBorders>
          </w:tcPr>
          <w:p w14:paraId="7C80A2C3" w14:textId="3DDC7911" w:rsidR="00644CBA" w:rsidRPr="008C14F2" w:rsidRDefault="00320B17" w:rsidP="00997C91">
            <w:pPr>
              <w:pStyle w:val="AssignBody"/>
              <w:rPr>
                <w:rFonts w:asciiTheme="minorHAnsi" w:hAnsiTheme="minorHAnsi" w:cstheme="minorHAnsi"/>
              </w:rPr>
            </w:pPr>
            <w:r>
              <w:rPr>
                <w:rFonts w:asciiTheme="minorHAnsi" w:hAnsiTheme="minorHAnsi" w:cstheme="minorHAnsi"/>
              </w:rPr>
              <w:t>Gwelir rhestr cyfeirnodi</w:t>
            </w:r>
          </w:p>
        </w:tc>
      </w:tr>
    </w:tbl>
    <w:p w14:paraId="1EB5E2BC" w14:textId="77777777" w:rsidR="00C87F1B" w:rsidRPr="00C87F1B" w:rsidRDefault="00C87F1B" w:rsidP="00202917">
      <w:pPr>
        <w:spacing w:after="0" w:line="360" w:lineRule="auto"/>
        <w:rPr>
          <w:rFonts w:ascii="Calibri" w:eastAsia="Times New Roman" w:hAnsi="Calibri" w:cs="Calibri"/>
          <w:color w:val="000000"/>
          <w:kern w:val="0"/>
          <w:sz w:val="22"/>
          <w:szCs w:val="22"/>
          <w:lang w:eastAsia="en-GB"/>
          <w14:ligatures w14:val="none"/>
        </w:rPr>
      </w:pPr>
    </w:p>
    <w:p w14:paraId="13C3010F" w14:textId="3D2DBCEF" w:rsidR="00202917" w:rsidRPr="00202917" w:rsidRDefault="00202917" w:rsidP="00202917">
      <w:pPr>
        <w:spacing w:after="0" w:line="360" w:lineRule="auto"/>
        <w:rPr>
          <w:rFonts w:ascii="Calibri" w:eastAsia="Times New Roman" w:hAnsi="Calibri" w:cs="Calibri"/>
          <w:b/>
          <w:bCs/>
          <w:color w:val="000000"/>
          <w:kern w:val="0"/>
          <w:sz w:val="36"/>
          <w:szCs w:val="36"/>
          <w:u w:val="single"/>
          <w:lang w:eastAsia="en-GB"/>
          <w14:ligatures w14:val="none"/>
        </w:rPr>
      </w:pPr>
      <w:r w:rsidRPr="00202917">
        <w:rPr>
          <w:rFonts w:ascii="Calibri" w:eastAsia="Times New Roman" w:hAnsi="Calibri" w:cs="Calibri"/>
          <w:b/>
          <w:bCs/>
          <w:color w:val="000000"/>
          <w:kern w:val="0"/>
          <w:sz w:val="36"/>
          <w:szCs w:val="36"/>
          <w:u w:val="single"/>
          <w:lang w:eastAsia="en-GB"/>
          <w14:ligatures w14:val="none"/>
        </w:rPr>
        <w:t>Sut mae ysgol yn datblygu un agwedd ar ei Chynllun Datblygu Ysgol: adroddiad sy’n adfyfyrio’n feirniadol ar y camau gweithredu, yr effaith a’r sylfaen dystiolaeth</w:t>
      </w:r>
    </w:p>
    <w:p w14:paraId="62070CE8" w14:textId="77777777" w:rsidR="00202917" w:rsidRPr="00202917" w:rsidRDefault="00202917" w:rsidP="00202917">
      <w:pPr>
        <w:spacing w:after="0" w:line="360" w:lineRule="auto"/>
        <w:rPr>
          <w:rFonts w:ascii="Calibri" w:eastAsia="Times New Roman" w:hAnsi="Calibri" w:cs="Calibri"/>
          <w:color w:val="000000"/>
          <w:kern w:val="0"/>
          <w:sz w:val="22"/>
          <w:szCs w:val="22"/>
          <w:lang w:eastAsia="en-GB"/>
          <w14:ligatures w14:val="none"/>
        </w:rPr>
      </w:pPr>
    </w:p>
    <w:p w14:paraId="0240D162" w14:textId="3B0C4D8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Pwrpas yr adroddiad yma yw dadansoddi sut mae un ysgol, galwir yn ysgol A er mwyn sicrhau cyfrinachedd o dan ofynion BERA (2018), yn defnyddio’r cynllun datblygiad ysgol er mwyn datblygu’r elfen o ysgrifennu. Mae ysgol A yn rhan o ffederasiwn o dair ysgol sy’n rhannu cynllun datblygiad, er bod rhai targedau yn cael ei nodi i fod yn berthnasol i rai o’r ysgolion yn unig fel sy’n addas ar gyfer anghenion newid yr ysgol. Mae ysgol A yn ysgol wladol fach gyda 46 o ddisgyblion a dau ddosbarth wedi ei rannu i gyfnod allweddol 2 a chyfnod sylfaen.</w:t>
      </w:r>
    </w:p>
    <w:p w14:paraId="0BAD41B2"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10BDF9C6"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Mae adlewyrchu a myfyrio yn annog ymarferwyr o fewn amrywiaeth o feysydd i ddadansoddi sut maen nhw’n wneud wahanol bethau, yr effaith mae’n ei gael a beth sydd felly eisiau gwneud er mwyn gwella’r ymarfer personol (Fagerberg a Gustafsson, 2004, Beveren et.el, 2018). Yn ogystal, </w:t>
      </w:r>
      <w:r w:rsidRPr="00202917">
        <w:rPr>
          <w:rFonts w:ascii="Calibri" w:eastAsia="Times New Roman" w:hAnsi="Calibri" w:cs="Calibri"/>
          <w:color w:val="000000"/>
          <w:kern w:val="0"/>
          <w:sz w:val="22"/>
          <w:szCs w:val="22"/>
          <w:lang w:eastAsia="en-GB"/>
          <w14:ligatures w14:val="none"/>
        </w:rPr>
        <w:lastRenderedPageBreak/>
        <w:t>mae myfyrio yn rhan o broses i ddatrys problemau sy’n codi o fewn ymarfer a phenderfynu ar ffordd ymlaen er mwyn addasu ymarfer i ddatrys y broblem (Fitzpatrick a Fleck, 2010). Mae addysg yn newid yn gyson o ganlyniad i newidiadau yn ein byd a chymdeithas yn ogystal ag ein datblygiad o ddealltwriaeth ynglŷn ar addysgeg (Garfinkle a Reigeluth, 1994). Fel canlyniad nid yw ymarfer unigolion yn medru aros yn di-newid ond mae eisiau ei fod yn parhau i esblygu yn gyson er mwyn iddi gael yr effaith gorau posib. </w:t>
      </w:r>
    </w:p>
    <w:p w14:paraId="6323DC90"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71D16161"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Yng Nghymru mae rhan o rôl athrawon yn gynnwys datblygiad proffesiynol ac arloesi (Llywodraeth Cymru, 2019) ac felly mae disgwyl bod ymarferwyr yn parhau i ddatblygu ei hymarfer. Wrth addasu a datblygu agweddau o ymarfer mae’n bwysig bod yn wneud mewn ffyrdd sy’n bwrpasol er mwyn osgoi ‘newid i newid’ fel sydd wedi digwydd mewn systemau addysgol gwledydd yn y gorffennol (Stevens, 2004). Felly, mae proses o adlewyrchu yn mynd i fod yn allweddol er mwyn sicrhau bod gydag ymarferwyr dealltwriaeth gryf o beth sydd angen gwella a’r ymchwil sy’n amgylchu’r agwedd yma er mwyn creu newidiadau pwrpasol ac effeithiol i ymarfer. </w:t>
      </w:r>
    </w:p>
    <w:p w14:paraId="0891BF53"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5A659B02"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Mae’r agweddau o adlewyrchu ar ymarfer yn ymestyn hefyd tu hwnt i unigolion a'i ymarfer unigol. Mae angen yn statudol i bob ysgol gael cynllun datblygiad ysgol gyfan (Llywodraeth Cymru, 2014). Mae’r cynllun yma yn amlinellu agweddau ble mae eisiau i’r sefydliad datblygu ei darpariaeth er mwyn sicrhau gwelliannau parhaus (Llywodraeth Cymru). Nodir ESTYN (2019), bod newidiadau yn yr hyn sydd angen i ysgolion ei chyflawni fel rhan o’r broses fyfyriol yma wedi newid er mwyn cefnogi myfyrio defnyddiol ac effeithiol yn hytrach nag brosesau hir sy’n gwastraffu amser ac yn cynhyrchu dogfennau dibwrpas. </w:t>
      </w:r>
    </w:p>
    <w:p w14:paraId="06F87CFD"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05DFA08C"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Mae yna gysylltiad rhwng ansawdd y cynllunio ar gyfer gwella a chynlluniau datblygiad ysgol gyda chanlyniadau academaidd disgyblion (Fernandez, 2009, Dunaway, Kim a Szad, 2012,  Escober, 2019) ac mae gyda’r potensial i wella canlyniadau cymdeithasol, lles a rheolaeth i blant a staff (Dunaway, Kim a Szad, 2012). O fewn y cynllun datblygiad ysgol mae angen bod yr ysgol yn adnabod targedau penodol gan ystyried ei fesuradwyedd a’r meini prawf bydd yn cefnogi’r mesur yma, y lefel o her a’r strategaethau all defnyddio er mwyn cyrraedd y targedau (Llywodraeth Cymru, 2014). Mae’r ymarfer yma yn bwysig er mwyn sicrhau dealltwriaeth glir i bob aelod o staff yr hyn mae’r ysgol, ac felly fel rhan o hyn, maen nhw’n ei ddatblygu. </w:t>
      </w:r>
    </w:p>
    <w:p w14:paraId="6F1EDBE5"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0DE6D382"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Er mwyn sicrhau llwyddiant ar gyfer cynllun datblygu ysgol mae eisiau bod y staff cysylltiedig ar y cynllun, yn ogystal ag y rhandeiliaid eraill, cytuno ar nodau'r targedau fel ei fod yn cydweithio yn </w:t>
      </w:r>
      <w:r w:rsidRPr="00202917">
        <w:rPr>
          <w:rFonts w:ascii="Calibri" w:eastAsia="Times New Roman" w:hAnsi="Calibri" w:cs="Calibri"/>
          <w:color w:val="000000"/>
          <w:kern w:val="0"/>
          <w:sz w:val="22"/>
          <w:szCs w:val="22"/>
          <w:lang w:eastAsia="en-GB"/>
          <w14:ligatures w14:val="none"/>
        </w:rPr>
        <w:lastRenderedPageBreak/>
        <w:t>effeithiol ar gyfer gwelliant y ddarpariaeth ar gyfer ei ddisgyblion ( Escober, 2019). Mae hyn yn golygu bod cynllun datblygu ysgol yn glir a hawdd i ddeall a darllen er mwyn i bawb deall beth yw’r nodau a’r strategiaethau cysylltiedig ar gyfer defnydd y ddogfen (Mausbach a Mooney, 2008), ac felly mae hyn yn amlinellu’r rhesymau pan fod newidiadau ESTYN (2019) yn hollbwysig ar gyfer welliant yn ein hysgolion.</w:t>
      </w:r>
    </w:p>
    <w:p w14:paraId="6B4CEAAE"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00D407DB"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Fel rhan o gynllun datblygiad ysgol A, mae eisiau iddyn nhw ddatblygu’r agwedd o ysgrifennu estynedig trwy gyfrwng y Gymraeg a thrwy gyfrwng y Saesneg. Un peth i ystyried wrth ddatblygu sgiliau estynedig disgyblion yw’r eirfa a’r strwythurau brawddegau sydd ar gael iddyn nhw. Gan sicrhau geirfa eang mae plant yn fwy tebygol o lwyddo yn academaidd gan gynnwys yn ei sgiliau ysgrifennu a darllen (Oxford, 2024, Clara a Ratnaningsih, 2021, Karakoc a Kose, 2017). Fel canlyniad, mae rhai ysgolion yn defnyddio rhaglenni neu gynlluniau sy’n hyrwyddo datblygiad o eirfa a strwythur brawddegau plant. O fewn y cyfnod sylfaen mae un meithrin, er enghraifft, yn dewis storïau ailadroddus maent yn astudio am gyfnod sy’n ehangu a drilio geirfa neu strwythur brawddeg benodol (ESTYN, 2018). Wrth i blant mynd yn hŷn mae defnydd ‘wal geirfa’ weithiau yn cael ei ddefnyddio (Kish, 2018, Sipayung, 2018, Susanti, 2018). Er hyn gall rhywbeth fel llyfryn unigol sydd wedi ei gwahaniaethu fod yn fwy effeithiol gan gefnogi plant ar lefel ei hun yn ogystal â rhoi cyfleoedd i blant ychwanegu geirfa ei hun (Kish, 2018). Mae’n bosib hefyd datblygu hyn ar gyfer strwythurau brawddegau hefyd. Agwedd arall i ystyried yw amseroedd a heriau darllen addas gan fod darllen gyda photensial mawr i ehangu geirfa disgyblion (Pigada a Schmitt, 2006, Jenkins, Stein a Wysocki, 1984, Cunningham, 2005).</w:t>
      </w:r>
    </w:p>
    <w:p w14:paraId="613E0CBC"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247B80A3"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Wrth i blant cyrraedd Cam Gynnydd dau a thri mae eisiau ei bod nhw’n medru deall gwahanol nodweddion sydd ag gwahanol fathau o destunau, ysgrifennu am bwrpasau gwahanol ac ysgrifennu o fewn wahanol genres llenyddol (Llywodraeth Cymru, 2024). Mae addysgu dealltwriaeth o agweddau wahanol destunau felly yn rhan allweddol o sicrhau ysgrifennu estynedig llwyddiannus. Yn ogystal ar addysgu uniongyrchol am agweddau o destunau gwahanol, mae’n bosib defnyddio strategiaethau i atgoffa a chefnogi plant i ysgrifennu’n llwyddiannus am bwrpas penodol. Er enghraifft, mae defnydd meini prawf llwyddiant, yn cyfleu disgwyliadau o’r dasg (Hattie, 2012), fel y nodweddion sy’n disgwyl cynnwys, i ddysgwyr. Mae hyn yn cefnogi plant yn ei ddysgu academaidd (Eagan, 2023, Rooney, 2007), yn ogystal â chreu plant sy’n fwy annibynnol yn ei ysgrifennu trwy gynyddu ysgogiad tuag at lwyddiant yn y gwaith (Eagan, 2023) a’r gallu i asesu a monitro’n ffurfiol neu’n anffurfiol gwaith ei hun (Rooney, 2007). Er hyn, er mwyn sicrhau llwyddiant mae rhaid bod </w:t>
      </w:r>
      <w:r w:rsidRPr="00202917">
        <w:rPr>
          <w:rFonts w:ascii="Calibri" w:eastAsia="Times New Roman" w:hAnsi="Calibri" w:cs="Calibri"/>
          <w:color w:val="000000"/>
          <w:kern w:val="0"/>
          <w:sz w:val="22"/>
          <w:szCs w:val="22"/>
          <w:lang w:eastAsia="en-GB"/>
          <w14:ligatures w14:val="none"/>
        </w:rPr>
        <w:lastRenderedPageBreak/>
        <w:t>gyda’r meini prawf llwyddiant pwrpas penodol a'i bod yn cael ei ddefnyddio’n effeithiol tuag at y pwrpas yma sydd ddim gwastad yn digwydd (Critchon a McDavid, 2015). </w:t>
      </w:r>
    </w:p>
    <w:p w14:paraId="3102A137"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4CEF9711"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Yn ogystal â datblygu strategiaethau a chynllun effeithiol ar gyfer addysgu mae eisiau magu awyrgylch sy’n annog ysgrifennu a mwynhad i ysgrifennu. Mae’r amgylchedd mae plant yn addysgu ynddi a pherthynas ag athrawon yn allweddol tuag at fagu plant sydd ag mwy o hyder, mwynhad a gallu yn y broses ysgrifennu (White, 2000). </w:t>
      </w:r>
    </w:p>
    <w:p w14:paraId="1E834A15"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2DBDD87A"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Fel sydd wedi sôn ynghynt, mae eisiau bod proses hunanwerthuso a’r cofnod ysgrifenedig a ffurfiol ohono wedi ei wneud mewn modd sy’n effeithiol, defnyddiol ac sydd ddim yn orlawn gyda geiriau a phwyntiau gwahanol (ESTYN, 2019). Nid yw ysgol A yn gynnwys dogfen ysgrifenedig hir fel rhan o’r cynllun datblygiad ysgol ac maen nhw’n canolbwyntio a chrynhoi agweddau o ymarfer sy’n berthnasol ar gyfer y targedau blaenorol a’r rhai newydd yn unig. Defnyddir ysgol A targedau sy’n cael ei rhoi gan ESTYN ar gyfer y targedau o fewn y cynllun datblygiad ysgol. Yn bellach, pan ei fod yn bosib maen nhw’n dewis targedau ESTYN sy’n debyg ar draws y ffederasiwn o ysgolion maen nhw’n rhan ohono. Golygir hyn wedyn, fod y tair ysgol yn cydweithio ar ddatblygu agweddau penodol o’r ddarpariaeth ar draws pob un o’r ysgolion. Tra bod cydweithied rhwng staff o fewn ysgolion eraill yn dangos i fod yn effeithiol ac ymarfer da (Abadino a Turner, 2004) mae’n hefyd yn golygu bod yr unigolyn cyfrifol am ddatblygu elfen ambell waith yw rhywun o fewn ysgol wahanol. Mae yna fantais i hyn gan ei fod yn meddwl bod yna fwy o staff i arwain gwahanol agweddau gan fod ysgol A efo dau athro a phrif athrawes sydd yn yr ysgol am un a hanner dydd yr wythnos yn unig ond mae’n golygu bod llai o gysylltiad gyda’r person cyfrifol am yr agwedd. </w:t>
      </w:r>
    </w:p>
    <w:p w14:paraId="672699C8"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4EE68936"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Mae ysgol A yn defnyddio data er mwyn tracio ac asesu targedau sydd barod wedi ei benodi. Mae’n bosib bydda fe’n buddio ysgol A pe bau’n defnyddio data er mwyn ystyried rhai o’r  targedau sydd eisiau datblygu yn annibynnol o ESTYN. Mae’r defnydd ysgol A o ddata yn gynnwys data angenrheidiol ond hefyd data nid oes rhaid iddyn casglu a defnyddio yn statudol. Fel canlyniad, mae ysgol A yn rhoi profion ac asesiadau i’r plant sydd ddim yn anghenrheidiol fel profion sillafu ac asesiadau Tric a chlic yn dechrau yn y cyfnod sylfaen. Tra bod hyn yn rhoi data i’r ysgolion ac yn aml mae ysgol A yn defnyddio’r data er mwyn cefnogi ymarfer neu fyfyrio ar dargedau mae eisiau bod yn ofalus wrth ddarparu profion ffurfiol i blant ifanc gan ei fod yn medru cael niwed ar iechyd meddwl a lles (Barterian et.el, 2013, Beck et.el, 2023).</w:t>
      </w:r>
    </w:p>
    <w:p w14:paraId="7D2ACA9C"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6DABB562"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lastRenderedPageBreak/>
        <w:t>Gan ganolbwyntio yn unig ar dargedau ac adroddiad ESTYN wrth benderfynu ar dargedau mae ysgol A hefyd yn colli’r cyfle i fyfyrio ac ystyried barn rhanddeiliaid cysylltiedig ar yr ysgol ynglŷn ar y ddarpariaeth a beth hoffant nhw weld datblygiad ynddi. Mae cysylltiadau rhwng yr ysgol, y gymuned a rhieni yn allweddol o fewn ein darpariaeth gan ei fod yn cefnogi dysgu (Cotton a Wikelund, 1989, Sapungan a Sapungan, 2014, Kuzin et.el, 2011, Bathgate a Silva, 2010) ac yn cael ei gynnwys yn fwy o fewn prosesau penodol (Llywodraeth Cymru, 2021). Felly mae’n wneud synnwyr ei fod yn rhan hefyd prosesau gwelliant ysgol. Er nid yw ysgol A fel arfer yn ystyried rhanddeiliaid yn uniongyrchol, er bod ESTYN yn gynnwys rhai yn ei gwaith sy’n arwain at bwyntiau yn yr adroddiadau (ESTYN, 2021), pan ei fod yn briodol maen nhw’n cael ei gynnwys fel o ran o’r cynllun strategol ar gyfer rhai targedau. Cytunir hyn gyda syniad Bronfenbrener (Bronfenbrenner a Cole, 1979) bod datblygiad plant yn cael ei ddatblygu yn gorau pan fod ysgolion yn cydweithio a chynnwys y rhieni, cymunedau, systemau a phobl eraill sydd o amgylch y plentyn hefyd.</w:t>
      </w:r>
    </w:p>
    <w:p w14:paraId="6F5A7466"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7C305A5F"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Nodir ysgol A o fewn ei gynllun datblygiad ysgol gwahanol gamau a strategaethau y byddwn yn ei ddefnyddio er mwyn sicrhau gwelliant ar draws yr ysgol ar gyfer y targedau penodol, yn ogystal â’r aelod o staff wedi ei benodi i arwain datblygiad yn y maes. Mae’r camau yma yn fyr ac yn glir o fewn y cynllun datblygu ysgol ac yn gynnwys amrywiaeth o weithredoedd ar gyfer welliant. Dyma agwedd arall ble mae’r ffaith bod ysgol A yn rhannu’r cynllun ag dwy ysgol arall yn medru cael effaith gyda manteision ac anfanteision penodol. Unwaith eto, mae rhannu cynllun yn meddwl bod yr ysgolion yn cydweithio ac yn rhannu ymarfer da yn ogystal ag amser staff i wneud ymchwil a mynd a chyrsiau gyda’i gilydd. Er hyn, mae’r cynllun yn rhoi camau cyffredinol i’r tair ysgol ac felly mae’n bosib colli rhai o’r manylder ynglyn ar beth sy’n bwysig ar gyfer cymuned a sefyllfa pob un ar wahân.</w:t>
      </w:r>
    </w:p>
    <w:p w14:paraId="6607EF50"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5974B331"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Yn olaf, mae ysgol A yn ychwanegu gwybodaeth dymhorol ar yr effaith a gwelliant o fewn pob un o’r targedau gan hefyd uwchgoleuo pan fod camau wedi ei gymryd neu wedi dechrau digwydd. Mae hyn yn dangos yn glir felly'r cynnydd sydd wedi digwydd yn barod a beth sydd dal eisiau gwneud er mwyn cyflawni targedau. Yn ogystal, mae myfyrdodau yn cael ei wneud yn wahaniaethol gan nodi gwelliant mae’r ysgolion unigol wedi ei wneud gan sicrhau felly bod pob un yn wneud cynnydd addas. Yn ogystal â defnyddio data er mwyn mesur effaith mae nodiadau o arsylwadau a gwaith ac ymddygiad plant yn cael ei wneud ac yn cael ei gymharu ar rai cyn dechrau’r targed. Nodir ysgol A, yr hyn bydd yn disgwyl fod yn weledol yn waith ac ymddygiad plant pe bau yna lwyddiant ar y targed sy’n cael ei ddefnyddio i arwain yr arsylwadau yma. </w:t>
      </w:r>
    </w:p>
    <w:p w14:paraId="6D0B448D"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6451C8AF"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lastRenderedPageBreak/>
        <w:t>Er mwyn gwella ar sgiliau ysgrifennu estynedig y plant mae ysgol A yn ymchwilio ac ymgymryd ar raglen geiriau gwych gan roi darpariaeth cyson ohono ar ddraws y ffederasiwn. Mae’r strategiaeth yma yn cael ei gefnogi gan y llenyddiaeth sy’n awgrymu bod addysgu geirfa yn effeithiol i helpu i fagu ei ysgrifennu (Oxford, 2024, Clara a Ratnaningsih, 2021, Karakoc a Kose, 2017). Cyn iddyn nhw datblygu hyn o fewn yr ysgol, bydda staff yn ymweld ar ddefnydd o fewn ysgol wahanol sydd wedi ei sefydlu. Mae’r ymarfer yma o rannu ac ymweld ymarfer da sy’n digwydd ar ddraws ysgolion wahanol yn gyffredinol yn un positif (Al-Rasheed a Berri, 2016, Abukari, 2020). Wrth ymgymryd yn y proses hwn mae eisiau sicrhau gofal gan ystyried y gwahaniaeth o fewn ysgolion gwahanol a’r effaith gall hyn cael ar effeithlonrwydd y technegau a gwahaniaethau sydd angen mewn darpariaeth y strategaeth (Abukari, 2020). Yn ogystal â geiriau gwych, mae ysgol A yn buddsoddi mewn hyfforddiant pellach ar gyfer staff y cyfnod sylfaen ar ddefnydd Pie Corbett. Trwy ddefnydd Pie Corbett, mae’n bosib datblygu geirfa a gallu i siarad sy’n felly yn datblygu sgiliau ysgrifennu yn y dyfodol (Corbett a Strong, 2020).</w:t>
      </w:r>
    </w:p>
    <w:p w14:paraId="308CDE55"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273A26EA"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Yn gysylltiedig ar un o’r targedau eraill sydd gydag ysgol A, mae’r ysgol hefyd yn gynnwys strategaethau asesu a rhoi adborth er mwyn gwella sgiliau ysgrifennu estynedig. Pwrpas asesu ar gyfer dysgu yw bod staff a phlant yn medru gweld beth mae’r plentyn yn medru gwneud a datblygu camau nesaf er mwyn wneud cynnydd (Eysink a Schildkamp, 2021). Nodir fel rhan o’r cynllun strategol bod eisiau i ymarferwyr datblygu defnydd ei adborth ysgrifenedig gan sicrhau ei fod yn gyson ac yn addas ar gyfer y pwrpas yma. Yn ogystal, mae eisiau bod y ddarpariaeth yn rhoi fwy o gyfleoedd i blant myfyrio a gweithredu ar yr adborth ysgrifenedig yma. Tra bod myfyrdodau’r ysgol ynglyn ar y targed yma yn uwchgoleuo’r prif bryder bod plant ddim yn datblygu dealltwriaeth a defnydd llawn o nodweddion ffurfiau ysgrifennu, adborth ysgrifenedig yw’r unig gam sy’n ceisio mynd i’r afael ar hyn yn uniongyrchol. Efallai felly, bydda yna fodd i ystyried strategaethau, hyfforddiant neu gynllun penodol sy’n effeithiol i addysgu nodweddion wahanol ddarnau ysgrifennu. </w:t>
      </w:r>
    </w:p>
    <w:p w14:paraId="7CF3B625"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2C9FB329"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Nid oes yna chwaith camau sy’n gysylltiedig ar greu awyrgylch sy’n hybu mwynhad a hyder wrth ysgrifennu. Mae’n bosib bod hyn yn rhywbeth sy’n anoddach cynllunio ar gyfer neu ei bod yn rhywbeth sydd ddim yn hynod o wan yn yr ysgol gan nad oes sôn am hyn yn y myfyrdodau. Er hyn, mae’n bosib bod eisiau i’r ysgol ystyried pa fath o ymdeimlad tuag at weithgareddau ysgrifennu sydd gyda’r plant a phe bau eisiau ymgymryd â phrosesau er mwyn wella hyn.</w:t>
      </w:r>
    </w:p>
    <w:p w14:paraId="05A90058"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3F7ED848"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lastRenderedPageBreak/>
        <w:t> gloi, mae cynllun datblygiad ysgol yn allweddol er mwyn sicrhau gwelliant ar ddraws yr ysgol ac o fewn darpariaeth gyffredinol yr ysgol er mwyn sicrhau'r cynnydd gorau gall yr ysgol gynnig i blant. Mae eisiau bod y cynllun yn gynnwys myfyrdodau ar ymarfer yr ysgol ond gan dal i fod yn glir a bod gyda ffocws pendant ar adrannau o welliant. O fewn y cynllun datblygiad bydd yna gamau pendant er mwyn cyrraedd targedau, pobl wedi ei benodi i arwain ar dargedau a chynllun ar gyfer monitro ac adfyfyrio ar effaith y newidiadau. Mae’r aseiniad yma wedi dangos sut mae cynllun yn edrych ac yn gweithio er mwyn effeithio ar ymarfer sy’n wybodaeth a dealltwriaeth sy’n medru bod o ddefnydd wrth ddechrau gyrfa yn gweithio o fewn ysgolion gan fydd eisiau defnyddio'r ddogfen fel rhan o ymarfer a chynllunio cyson. </w:t>
      </w:r>
    </w:p>
    <w:p w14:paraId="003C115C"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1B72A9AD"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Mae’r aseiniad hefyd wedi archwilio gwahanol fodd o ddatblygu gallu plant o fewn eu hysgrifennu estynedig. Mae ystyriaethau ac addysgu anghenrheidiol o fewn yr agwedd yma yn gynnwys asesu ac adborth, ehangu geirfa a strwythur brawddegau, nodweddion y wahanol fathau o ysgrifennu a’r amgylchedd sy’n ysgogi ysgrifennu brwdfrydig a hyderus. </w:t>
      </w:r>
    </w:p>
    <w:p w14:paraId="18E40E9E"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3CFB33A7" w14:textId="5CE44B68" w:rsidR="00202917" w:rsidRPr="00202917" w:rsidRDefault="00C87F1B" w:rsidP="00C87F1B">
      <w:pPr>
        <w:spacing w:line="360" w:lineRule="auto"/>
        <w:rPr>
          <w:rFonts w:ascii="Calibri" w:eastAsia="Times New Roman" w:hAnsi="Calibri" w:cs="Calibri"/>
          <w:b/>
          <w:bCs/>
          <w:sz w:val="36"/>
          <w:szCs w:val="36"/>
          <w:u w:val="single"/>
          <w:lang w:eastAsia="en-GB"/>
        </w:rPr>
      </w:pPr>
      <w:r w:rsidRPr="00E40A69">
        <w:rPr>
          <w:rFonts w:ascii="Calibri" w:eastAsia="Times New Roman" w:hAnsi="Calibri" w:cs="Calibri"/>
          <w:b/>
          <w:bCs/>
          <w:color w:val="000000"/>
          <w:sz w:val="36"/>
          <w:szCs w:val="36"/>
          <w:u w:val="single"/>
          <w:lang w:eastAsia="en-GB"/>
        </w:rPr>
        <w:t>Cyfeiriada</w:t>
      </w:r>
      <w:r>
        <w:rPr>
          <w:rFonts w:ascii="Calibri" w:eastAsia="Times New Roman" w:hAnsi="Calibri" w:cs="Calibri"/>
          <w:b/>
          <w:bCs/>
          <w:color w:val="000000"/>
          <w:sz w:val="36"/>
          <w:szCs w:val="36"/>
          <w:u w:val="single"/>
          <w:lang w:eastAsia="en-GB"/>
        </w:rPr>
        <w:t>u</w:t>
      </w:r>
    </w:p>
    <w:p w14:paraId="0BF97260"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Abadino, H. Turner, J. (2004), ‘Professional Staff Development: What Works?’, </w:t>
      </w:r>
      <w:r w:rsidRPr="00202917">
        <w:rPr>
          <w:rFonts w:ascii="Calibri" w:eastAsia="Times New Roman" w:hAnsi="Calibri" w:cs="Calibri"/>
          <w:i/>
          <w:iCs/>
          <w:color w:val="000000"/>
          <w:kern w:val="0"/>
          <w:sz w:val="22"/>
          <w:szCs w:val="22"/>
          <w:lang w:eastAsia="en-GB"/>
          <w14:ligatures w14:val="none"/>
        </w:rPr>
        <w:t xml:space="preserve">The NERA journal, </w:t>
      </w:r>
      <w:r w:rsidRPr="00202917">
        <w:rPr>
          <w:rFonts w:ascii="Calibri" w:eastAsia="Times New Roman" w:hAnsi="Calibri" w:cs="Calibri"/>
          <w:color w:val="000000"/>
          <w:kern w:val="0"/>
          <w:sz w:val="22"/>
          <w:szCs w:val="22"/>
          <w:lang w:eastAsia="en-GB"/>
          <w14:ligatures w14:val="none"/>
        </w:rPr>
        <w:t>40(2), tt. 87-91, Ar gael yn: https://d1wqtxts1xzle7.cloudfront.net/78617355/Professional_20Staff_20Development-_20What_20Works_20Helen_20R._20Abadiano_20Jesse_20Turner-libre.pdf?1642089419=&amp;response-content-disposition=inline%3B+filename%3DProfessional_Staff_Development_What_Work.pdf&amp;Expires=1714769524&amp;Signature=ecm-zGhTm~VSQaGT6P-YD8URPddtpmC7pOUqeqV7pHEHZW3mrhrg~6MpzBmbS390Ua8e~-O7BZUartKKOPJbMz1qsEd81ehbaLAJAuN~fdY8J1MGJIrShg30MNqMGgOpC55PWPic8MaLKRm5rTLAoOhasuCItkAJgcxfPNPz0CNyv-xkMMO2tVrarELRHbk6c9IjWzMvAr94tbglHXo6rIJiuHRkYw0tzXNC5OJkja-6~FAgq7jkctQA4kk3GqccKnPcWmVc7tFAhYVzndLiyAmoo3phC5hW-kwALZjqjP3vmLAE5pRXxWLfNqaWRT5Xyq3HuwnW7HoocOBIlpWJqQ__&amp;Key-Pair-Id=APKAJLOHF5GGSLRBV4ZA (Cyrchwyd: 24/4/2024)</w:t>
      </w:r>
    </w:p>
    <w:p w14:paraId="7BA592C8"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19FCEE8E"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Abukari, A. (2020), ‘Editorials: Sharing best practice in education – sharing the evidence from practitioners’, </w:t>
      </w:r>
      <w:r w:rsidRPr="00202917">
        <w:rPr>
          <w:rFonts w:ascii="Calibri" w:eastAsia="Times New Roman" w:hAnsi="Calibri" w:cs="Calibri"/>
          <w:i/>
          <w:iCs/>
          <w:color w:val="000000"/>
          <w:kern w:val="0"/>
          <w:sz w:val="22"/>
          <w:szCs w:val="22"/>
          <w:lang w:eastAsia="en-GB"/>
          <w14:ligatures w14:val="none"/>
        </w:rPr>
        <w:t xml:space="preserve">Journal for Researching Education Practice and Theory, </w:t>
      </w:r>
      <w:r w:rsidRPr="00202917">
        <w:rPr>
          <w:rFonts w:ascii="Calibri" w:eastAsia="Times New Roman" w:hAnsi="Calibri" w:cs="Calibri"/>
          <w:color w:val="000000"/>
          <w:kern w:val="0"/>
          <w:sz w:val="22"/>
          <w:szCs w:val="22"/>
          <w:lang w:eastAsia="en-GB"/>
          <w14:ligatures w14:val="none"/>
        </w:rPr>
        <w:t xml:space="preserve">3(1), tt. 1-3, Ar gael yn: </w:t>
      </w:r>
      <w:r w:rsidRPr="00202917">
        <w:rPr>
          <w:rFonts w:ascii="Calibri" w:eastAsia="Times New Roman" w:hAnsi="Calibri" w:cs="Calibri"/>
          <w:color w:val="000000"/>
          <w:kern w:val="0"/>
          <w:sz w:val="22"/>
          <w:szCs w:val="22"/>
          <w:lang w:eastAsia="en-GB"/>
          <w14:ligatures w14:val="none"/>
        </w:rPr>
        <w:lastRenderedPageBreak/>
        <w:t>https://bspace.buid.ac.ae/buid_server/api/core/bitstreams/6051025c-2917-44b1-bff5-4d35d947a7c8/content (Cyrchwyd: 24/4/2024)</w:t>
      </w:r>
    </w:p>
    <w:p w14:paraId="175886A5"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3A321F3D"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Al-Rasheed, A. Berri, J. (2016), ‘Effective reuse and sharing of best teaching practices’, </w:t>
      </w:r>
      <w:r w:rsidRPr="00202917">
        <w:rPr>
          <w:rFonts w:ascii="Calibri" w:eastAsia="Times New Roman" w:hAnsi="Calibri" w:cs="Calibri"/>
          <w:i/>
          <w:iCs/>
          <w:color w:val="000000"/>
          <w:kern w:val="0"/>
          <w:sz w:val="22"/>
          <w:szCs w:val="22"/>
          <w:lang w:eastAsia="en-GB"/>
          <w14:ligatures w14:val="none"/>
        </w:rPr>
        <w:t xml:space="preserve">Computer applications in engineering education, </w:t>
      </w:r>
      <w:r w:rsidRPr="00202917">
        <w:rPr>
          <w:rFonts w:ascii="Calibri" w:eastAsia="Times New Roman" w:hAnsi="Calibri" w:cs="Calibri"/>
          <w:color w:val="000000"/>
          <w:kern w:val="0"/>
          <w:sz w:val="22"/>
          <w:szCs w:val="22"/>
          <w:lang w:eastAsia="en-GB"/>
          <w14:ligatures w14:val="none"/>
        </w:rPr>
        <w:t>25(2), tt. 163-178, Ar gael yn: https://onlinelibrary.wiley.com/doi/full/10.1002/cae.21776 (Cyrchwyd: 24/4/2024)</w:t>
      </w:r>
    </w:p>
    <w:p w14:paraId="2FE542F3"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09462B50"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Barterian, J. Carlson, J. Embse, N. Goforth, A. Segool, N. (2013), ‘HEIGHTENED TEST ANXIETY AMONG YOUNG CHILDREN: ELEMENTARY SCHOOL STUDENTS’ ANXIOUS RESPONSES TO HIGH-STAKES TESTING’, </w:t>
      </w:r>
      <w:r w:rsidRPr="00202917">
        <w:rPr>
          <w:rFonts w:ascii="Calibri" w:eastAsia="Times New Roman" w:hAnsi="Calibri" w:cs="Calibri"/>
          <w:i/>
          <w:iCs/>
          <w:color w:val="000000"/>
          <w:kern w:val="0"/>
          <w:sz w:val="22"/>
          <w:szCs w:val="22"/>
          <w:lang w:eastAsia="en-GB"/>
          <w14:ligatures w14:val="none"/>
        </w:rPr>
        <w:t xml:space="preserve">Psychology in the schools, </w:t>
      </w:r>
      <w:r w:rsidRPr="00202917">
        <w:rPr>
          <w:rFonts w:ascii="Calibri" w:eastAsia="Times New Roman" w:hAnsi="Calibri" w:cs="Calibri"/>
          <w:color w:val="000000"/>
          <w:kern w:val="0"/>
          <w:sz w:val="22"/>
          <w:szCs w:val="22"/>
          <w:lang w:eastAsia="en-GB"/>
          <w14:ligatures w14:val="none"/>
        </w:rPr>
        <w:t>50(5), tt. 489-499, Ar gael yn: https://onlinelibrary.wiley.com/doi/full/10.1002/pits.21689 (Cyrchwyd: 24/4/2024)</w:t>
      </w:r>
    </w:p>
    <w:p w14:paraId="63F85707"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492FA5DF"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Bathgate, K. Silva, E. (2010), ‘Joining forces: The benefits of integrating schools and community providers’, </w:t>
      </w:r>
      <w:r w:rsidRPr="00202917">
        <w:rPr>
          <w:rFonts w:ascii="Calibri" w:eastAsia="Times New Roman" w:hAnsi="Calibri" w:cs="Calibri"/>
          <w:i/>
          <w:iCs/>
          <w:color w:val="000000"/>
          <w:kern w:val="0"/>
          <w:sz w:val="22"/>
          <w:szCs w:val="22"/>
          <w:lang w:eastAsia="en-GB"/>
          <w14:ligatures w14:val="none"/>
        </w:rPr>
        <w:t xml:space="preserve">New Directions for Youth Development, </w:t>
      </w:r>
      <w:r w:rsidRPr="00202917">
        <w:rPr>
          <w:rFonts w:ascii="Calibri" w:eastAsia="Times New Roman" w:hAnsi="Calibri" w:cs="Calibri"/>
          <w:color w:val="000000"/>
          <w:kern w:val="0"/>
          <w:sz w:val="22"/>
          <w:szCs w:val="22"/>
          <w:lang w:eastAsia="en-GB"/>
          <w14:ligatures w14:val="none"/>
        </w:rPr>
        <w:t>2010(127), tt. 63-73, Ar gael yn: https://onlinelibrary.wiley.com/doi/abs/10.1002/yd.363 (Cyrchwyd: 24/4/2024)</w:t>
      </w:r>
    </w:p>
    <w:p w14:paraId="43FB3F4B"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18B7ED93"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Beck, K. Flato, M. Reme, B. Rohr, H. (2023), ‘Distressing testing: A propensity score analysis of high-stakes exam failure and mental health’, </w:t>
      </w:r>
      <w:r w:rsidRPr="00202917">
        <w:rPr>
          <w:rFonts w:ascii="Calibri" w:eastAsia="Times New Roman" w:hAnsi="Calibri" w:cs="Calibri"/>
          <w:i/>
          <w:iCs/>
          <w:color w:val="000000"/>
          <w:kern w:val="0"/>
          <w:sz w:val="22"/>
          <w:szCs w:val="22"/>
          <w:lang w:eastAsia="en-GB"/>
          <w14:ligatures w14:val="none"/>
        </w:rPr>
        <w:t xml:space="preserve">Child development, </w:t>
      </w:r>
      <w:r w:rsidRPr="00202917">
        <w:rPr>
          <w:rFonts w:ascii="Calibri" w:eastAsia="Times New Roman" w:hAnsi="Calibri" w:cs="Calibri"/>
          <w:color w:val="000000"/>
          <w:kern w:val="0"/>
          <w:sz w:val="22"/>
          <w:szCs w:val="22"/>
          <w:lang w:eastAsia="en-GB"/>
          <w14:ligatures w14:val="none"/>
        </w:rPr>
        <w:t>95(1), tt. 242-260, Ar gael yn: https://srcd.onlinelibrary.wiley.com/doi/full/10.1111/cdev.13985 (Cyrchwyd: 24/4/2024)</w:t>
      </w:r>
    </w:p>
    <w:p w14:paraId="6321E542"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26651269"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BERA (2018) Ethical Guidelines for Educational Research. 4ydd arg. Ar gael yn: https://www.bera.ac.uk/publication/ethical-guidelines-for-educational-research-2018-online (cyrchwyd: 27/4/2024)</w:t>
      </w:r>
    </w:p>
    <w:p w14:paraId="0E7FFC2C"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5EF9D609"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Beveren, L. Buysse, A. Roets, G. Rutten, K. (2018), ‘We all reflect, but why? A systematic review of the purposes of reflection in higher education in social and behavioral sciences’, </w:t>
      </w:r>
      <w:r w:rsidRPr="00202917">
        <w:rPr>
          <w:rFonts w:ascii="Calibri" w:eastAsia="Times New Roman" w:hAnsi="Calibri" w:cs="Calibri"/>
          <w:i/>
          <w:iCs/>
          <w:color w:val="000000"/>
          <w:kern w:val="0"/>
          <w:sz w:val="22"/>
          <w:szCs w:val="22"/>
          <w:lang w:eastAsia="en-GB"/>
          <w14:ligatures w14:val="none"/>
        </w:rPr>
        <w:t xml:space="preserve">Educational Research Review, </w:t>
      </w:r>
      <w:r w:rsidRPr="00202917">
        <w:rPr>
          <w:rFonts w:ascii="Calibri" w:eastAsia="Times New Roman" w:hAnsi="Calibri" w:cs="Calibri"/>
          <w:color w:val="000000"/>
          <w:kern w:val="0"/>
          <w:sz w:val="22"/>
          <w:szCs w:val="22"/>
          <w:lang w:eastAsia="en-GB"/>
          <w14:ligatures w14:val="none"/>
        </w:rPr>
        <w:t>24, tt. 1-9, Ar gael yn: https://www.sciencedirect.com/science/article/pii/S1747938X18300617 (Cyrchwyd: 20/4/2024)</w:t>
      </w:r>
    </w:p>
    <w:p w14:paraId="3194FDFF"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3BE0FA9A"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Bronfenbrenner, U. Cole, M. (1979) The Ecology of Human Development : Experiments by Nature and Design, Llundain:Havard University press</w:t>
      </w:r>
    </w:p>
    <w:p w14:paraId="40FAAD0D"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6BCDB405"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lastRenderedPageBreak/>
        <w:t xml:space="preserve">Clara, C. Ratnaningsih, P. (2021), ‘THE EFFECT OF VOCABULARY TOWARDS WRITING SKILL WITH READING SKILL AS MODERATING EFFECT’, </w:t>
      </w:r>
      <w:r w:rsidRPr="00202917">
        <w:rPr>
          <w:rFonts w:ascii="Calibri" w:eastAsia="Times New Roman" w:hAnsi="Calibri" w:cs="Calibri"/>
          <w:i/>
          <w:iCs/>
          <w:color w:val="000000"/>
          <w:kern w:val="0"/>
          <w:sz w:val="22"/>
          <w:szCs w:val="22"/>
          <w:lang w:eastAsia="en-GB"/>
          <w14:ligatures w14:val="none"/>
        </w:rPr>
        <w:t xml:space="preserve">Journal of applied linguistics and literature, </w:t>
      </w:r>
      <w:r w:rsidRPr="00202917">
        <w:rPr>
          <w:rFonts w:ascii="Calibri" w:eastAsia="Times New Roman" w:hAnsi="Calibri" w:cs="Calibri"/>
          <w:color w:val="000000"/>
          <w:kern w:val="0"/>
          <w:sz w:val="22"/>
          <w:szCs w:val="22"/>
          <w:lang w:eastAsia="en-GB"/>
          <w14:ligatures w14:val="none"/>
        </w:rPr>
        <w:t>6(2), Ar gael yn: https://ejournal.unib.ac.id/joall/article/view/13670 (Cyrchwyd: 20/4/2024)</w:t>
      </w:r>
    </w:p>
    <w:p w14:paraId="4D801E06"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470CAFE9"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Corbett, P. Strong, J. (2020), ‘Talk for Writing in the Early Years: How to Teach Story and Rhyme Involving Families 2-5 (Revised Edition)’, London:McGraw Hill education</w:t>
      </w:r>
    </w:p>
    <w:p w14:paraId="4CC54E6B"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485E315E"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Cotton, K. Wikelund, R. (1989) ‘Parent involvement in education’, </w:t>
      </w:r>
      <w:r w:rsidRPr="00202917">
        <w:rPr>
          <w:rFonts w:ascii="Calibri" w:eastAsia="Times New Roman" w:hAnsi="Calibri" w:cs="Calibri"/>
          <w:i/>
          <w:iCs/>
          <w:color w:val="000000"/>
          <w:kern w:val="0"/>
          <w:sz w:val="22"/>
          <w:szCs w:val="22"/>
          <w:lang w:eastAsia="en-GB"/>
          <w14:ligatures w14:val="none"/>
        </w:rPr>
        <w:t xml:space="preserve">School improvement research series, </w:t>
      </w:r>
      <w:r w:rsidRPr="00202917">
        <w:rPr>
          <w:rFonts w:ascii="Calibri" w:eastAsia="Times New Roman" w:hAnsi="Calibri" w:cs="Calibri"/>
          <w:color w:val="000000"/>
          <w:kern w:val="0"/>
          <w:sz w:val="22"/>
          <w:szCs w:val="22"/>
          <w:lang w:eastAsia="en-GB"/>
          <w14:ligatures w14:val="none"/>
        </w:rPr>
        <w:t>6(3), tt. 17-23, Ar gael yn: http://multiculturaleducole.pbworks.com/w/file/fetch/55317746/ParentInvolvementEducation.pdf (cyrchwyd: 15/3/2023)</w:t>
      </w:r>
    </w:p>
    <w:p w14:paraId="6098BC76"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5E82E87C"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Cunningham, A. (2005), </w:t>
      </w:r>
      <w:r w:rsidRPr="00202917">
        <w:rPr>
          <w:rFonts w:ascii="Calibri" w:eastAsia="Times New Roman" w:hAnsi="Calibri" w:cs="Calibri"/>
          <w:i/>
          <w:iCs/>
          <w:color w:val="000000"/>
          <w:kern w:val="0"/>
          <w:sz w:val="22"/>
          <w:szCs w:val="22"/>
          <w:lang w:eastAsia="en-GB"/>
          <w14:ligatures w14:val="none"/>
        </w:rPr>
        <w:t>Vocabulary growth through independent reading and reading aloud to children</w:t>
      </w:r>
      <w:r w:rsidRPr="00202917">
        <w:rPr>
          <w:rFonts w:ascii="Calibri" w:eastAsia="Times New Roman" w:hAnsi="Calibri" w:cs="Calibri"/>
          <w:color w:val="000000"/>
          <w:kern w:val="0"/>
          <w:sz w:val="22"/>
          <w:szCs w:val="22"/>
          <w:lang w:eastAsia="en-GB"/>
          <w14:ligatures w14:val="none"/>
        </w:rPr>
        <w:t xml:space="preserve">, mewn </w:t>
      </w:r>
      <w:r w:rsidRPr="00202917">
        <w:rPr>
          <w:rFonts w:ascii="Calibri" w:eastAsia="Times New Roman" w:hAnsi="Calibri" w:cs="Calibri"/>
          <w:i/>
          <w:iCs/>
          <w:color w:val="000000"/>
          <w:kern w:val="0"/>
          <w:sz w:val="22"/>
          <w:szCs w:val="22"/>
          <w:lang w:eastAsia="en-GB"/>
          <w14:ligatures w14:val="none"/>
        </w:rPr>
        <w:t xml:space="preserve">Teaching and Learning Vocabulary: Bringing Research to Practice, </w:t>
      </w:r>
      <w:r w:rsidRPr="00202917">
        <w:rPr>
          <w:rFonts w:ascii="Calibri" w:eastAsia="Times New Roman" w:hAnsi="Calibri" w:cs="Calibri"/>
          <w:color w:val="000000"/>
          <w:kern w:val="0"/>
          <w:sz w:val="22"/>
          <w:szCs w:val="22"/>
          <w:lang w:eastAsia="en-GB"/>
          <w14:ligatures w14:val="none"/>
        </w:rPr>
        <w:t>tt. 45-67, Oxon:Routledge</w:t>
      </w:r>
    </w:p>
    <w:p w14:paraId="5F1DD348"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163F6320"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Dunaway, D. Kim, D. Szad, E. (2012), ‘Perceptions of the Purpose and Value of the School Improvement Plan Process’, </w:t>
      </w:r>
      <w:r w:rsidRPr="00202917">
        <w:rPr>
          <w:rFonts w:ascii="Calibri" w:eastAsia="Times New Roman" w:hAnsi="Calibri" w:cs="Calibri"/>
          <w:i/>
          <w:iCs/>
          <w:color w:val="000000"/>
          <w:kern w:val="0"/>
          <w:sz w:val="22"/>
          <w:szCs w:val="22"/>
          <w:lang w:eastAsia="en-GB"/>
          <w14:ligatures w14:val="none"/>
        </w:rPr>
        <w:t xml:space="preserve">The Educational Forum, </w:t>
      </w:r>
      <w:r w:rsidRPr="00202917">
        <w:rPr>
          <w:rFonts w:ascii="Calibri" w:eastAsia="Times New Roman" w:hAnsi="Calibri" w:cs="Calibri"/>
          <w:color w:val="000000"/>
          <w:kern w:val="0"/>
          <w:sz w:val="22"/>
          <w:szCs w:val="22"/>
          <w:lang w:eastAsia="en-GB"/>
          <w14:ligatures w14:val="none"/>
        </w:rPr>
        <w:t>76(2), tt. 158-173, Ar gael yn: https://www.tandfonline.com/doi/full/10.1080/00131725.2011.652490 (Cyrchwyd: 20/4/2024)</w:t>
      </w:r>
    </w:p>
    <w:p w14:paraId="18CA80AB"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2BB6E2E2"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Eagan, T. (2023), ‘Unlocking Student Success: The Power of Success Criteria, Relationships, and Clarity’, </w:t>
      </w:r>
      <w:r w:rsidRPr="00202917">
        <w:rPr>
          <w:rFonts w:ascii="Calibri" w:eastAsia="Times New Roman" w:hAnsi="Calibri" w:cs="Calibri"/>
          <w:i/>
          <w:iCs/>
          <w:color w:val="000000"/>
          <w:kern w:val="0"/>
          <w:sz w:val="22"/>
          <w:szCs w:val="22"/>
          <w:lang w:eastAsia="en-GB"/>
          <w14:ligatures w14:val="none"/>
        </w:rPr>
        <w:t xml:space="preserve">NECTFL Review, </w:t>
      </w:r>
      <w:r w:rsidRPr="00202917">
        <w:rPr>
          <w:rFonts w:ascii="Calibri" w:eastAsia="Times New Roman" w:hAnsi="Calibri" w:cs="Calibri"/>
          <w:color w:val="000000"/>
          <w:kern w:val="0"/>
          <w:sz w:val="22"/>
          <w:szCs w:val="22"/>
          <w:lang w:eastAsia="en-GB"/>
          <w14:ligatures w14:val="none"/>
        </w:rPr>
        <w:t>90, tt. 95-102, Ar gael yn: https://eric.ed.gov/?id=EJ1382629 (Cyrchwyd: 24/4/2024)</w:t>
      </w:r>
    </w:p>
    <w:p w14:paraId="222ACBE0"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5EDC06B2"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Escober, I. (2019), ‘School improvement plans, a tool to improve the quality of education’, </w:t>
      </w:r>
      <w:r w:rsidRPr="00202917">
        <w:rPr>
          <w:rFonts w:ascii="Calibri" w:eastAsia="Times New Roman" w:hAnsi="Calibri" w:cs="Calibri"/>
          <w:i/>
          <w:iCs/>
          <w:color w:val="000000"/>
          <w:kern w:val="0"/>
          <w:sz w:val="22"/>
          <w:szCs w:val="22"/>
          <w:lang w:eastAsia="en-GB"/>
          <w14:ligatures w14:val="none"/>
        </w:rPr>
        <w:t xml:space="preserve">New Trends and Issues Proceedings on Humanities and Social Sciences, </w:t>
      </w:r>
      <w:r w:rsidRPr="00202917">
        <w:rPr>
          <w:rFonts w:ascii="Calibri" w:eastAsia="Times New Roman" w:hAnsi="Calibri" w:cs="Calibri"/>
          <w:color w:val="000000"/>
          <w:kern w:val="0"/>
          <w:sz w:val="22"/>
          <w:szCs w:val="22"/>
          <w:lang w:eastAsia="en-GB"/>
          <w14:ligatures w14:val="none"/>
        </w:rPr>
        <w:t>6(1), tt. 440-450, Ar gael yn: https://pdfs.semanticscholar.org/07b1/8c981720babfd3692cc842adcde3f3e7d644.pdf (Cyrchwyd: 20/4/2024)</w:t>
      </w:r>
    </w:p>
    <w:p w14:paraId="39F9CEF4"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3F853CE2"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ESTYN (2018), </w:t>
      </w:r>
      <w:r w:rsidRPr="00202917">
        <w:rPr>
          <w:rFonts w:ascii="Calibri" w:eastAsia="Times New Roman" w:hAnsi="Calibri" w:cs="Calibri"/>
          <w:i/>
          <w:iCs/>
          <w:color w:val="000000"/>
          <w:kern w:val="0"/>
          <w:sz w:val="22"/>
          <w:szCs w:val="22"/>
          <w:lang w:eastAsia="en-GB"/>
          <w14:ligatures w14:val="none"/>
        </w:rPr>
        <w:t xml:space="preserve">Rapid development of pupils’ oracy skills, </w:t>
      </w:r>
      <w:r w:rsidRPr="00202917">
        <w:rPr>
          <w:rFonts w:ascii="Calibri" w:eastAsia="Times New Roman" w:hAnsi="Calibri" w:cs="Calibri"/>
          <w:color w:val="000000"/>
          <w:kern w:val="0"/>
          <w:sz w:val="22"/>
          <w:szCs w:val="22"/>
          <w:lang w:eastAsia="en-GB"/>
          <w14:ligatures w14:val="none"/>
        </w:rPr>
        <w:t>Ar gael yn: https://www.estyn.gov.wales/effective-practice/rapid-development-pupils-oracy-skills (Cyrchwyd: 24/4/2024)</w:t>
      </w:r>
    </w:p>
    <w:p w14:paraId="757D868F"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6BA021B2"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lastRenderedPageBreak/>
        <w:t xml:space="preserve">ESTYN (2019), </w:t>
      </w:r>
      <w:r w:rsidRPr="00202917">
        <w:rPr>
          <w:rFonts w:ascii="Calibri" w:eastAsia="Times New Roman" w:hAnsi="Calibri" w:cs="Calibri"/>
          <w:i/>
          <w:iCs/>
          <w:color w:val="000000"/>
          <w:kern w:val="0"/>
          <w:sz w:val="22"/>
          <w:szCs w:val="22"/>
          <w:lang w:eastAsia="en-GB"/>
          <w14:ligatures w14:val="none"/>
        </w:rPr>
        <w:t xml:space="preserve">Dull newydd ar gyfer adroddiadau hunanwerthuso – ond beth mae hyn yn ei olygu i ysgolion?, </w:t>
      </w:r>
      <w:r w:rsidRPr="00202917">
        <w:rPr>
          <w:rFonts w:ascii="Calibri" w:eastAsia="Times New Roman" w:hAnsi="Calibri" w:cs="Calibri"/>
          <w:color w:val="000000"/>
          <w:kern w:val="0"/>
          <w:sz w:val="22"/>
          <w:szCs w:val="22"/>
          <w:lang w:eastAsia="en-GB"/>
          <w14:ligatures w14:val="none"/>
        </w:rPr>
        <w:t>Ar gael yn: https://www.estyn.llyw.cymru/blog/dull-newydd-ar-gyfer-adroddiadau-hunanwerthuso-ond-beth-mae-hyn-yn-ei-olygu-i-ysgolion (Cyrchwyd: 24/4/2024)</w:t>
      </w:r>
    </w:p>
    <w:p w14:paraId="79398C57"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2FC9EE5A"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ESTYN (2021), </w:t>
      </w:r>
      <w:r w:rsidRPr="00202917">
        <w:rPr>
          <w:rFonts w:ascii="Calibri" w:eastAsia="Times New Roman" w:hAnsi="Calibri" w:cs="Calibri"/>
          <w:i/>
          <w:iCs/>
          <w:color w:val="000000"/>
          <w:kern w:val="0"/>
          <w:sz w:val="22"/>
          <w:szCs w:val="22"/>
          <w:lang w:eastAsia="en-GB"/>
          <w14:ligatures w14:val="none"/>
        </w:rPr>
        <w:t xml:space="preserve">Arweiniad atodol: gwrando ar ddysgwyr mewn arolygiad - Medi 2021, </w:t>
      </w:r>
      <w:r w:rsidRPr="00202917">
        <w:rPr>
          <w:rFonts w:ascii="Calibri" w:eastAsia="Times New Roman" w:hAnsi="Calibri" w:cs="Calibri"/>
          <w:color w:val="000000"/>
          <w:kern w:val="0"/>
          <w:sz w:val="22"/>
          <w:szCs w:val="22"/>
          <w:lang w:eastAsia="en-GB"/>
          <w14:ligatures w14:val="none"/>
        </w:rPr>
        <w:t>Ar gael yn: https://www.estyn.llyw.cymru/document-page/20594/contents/guidance/cyflwyniad (Cyrchwyd: 24/4/2024)</w:t>
      </w:r>
    </w:p>
    <w:p w14:paraId="70C9B933"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05D2D6D0"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Eysink, T. Schildkamp, K. (2021), ‘A conceptual framework for Assessment-Informed Differentiation (AID) in the classroom’, </w:t>
      </w:r>
      <w:r w:rsidRPr="00202917">
        <w:rPr>
          <w:rFonts w:ascii="Calibri" w:eastAsia="Times New Roman" w:hAnsi="Calibri" w:cs="Calibri"/>
          <w:i/>
          <w:iCs/>
          <w:color w:val="000000"/>
          <w:kern w:val="0"/>
          <w:sz w:val="22"/>
          <w:szCs w:val="22"/>
          <w:lang w:eastAsia="en-GB"/>
          <w14:ligatures w14:val="none"/>
        </w:rPr>
        <w:t xml:space="preserve">Educational research, </w:t>
      </w:r>
      <w:r w:rsidRPr="00202917">
        <w:rPr>
          <w:rFonts w:ascii="Calibri" w:eastAsia="Times New Roman" w:hAnsi="Calibri" w:cs="Calibri"/>
          <w:color w:val="000000"/>
          <w:kern w:val="0"/>
          <w:sz w:val="22"/>
          <w:szCs w:val="22"/>
          <w:lang w:eastAsia="en-GB"/>
          <w14:ligatures w14:val="none"/>
        </w:rPr>
        <w:t>63(3), tt. 261-278, Ar gael yn: https://www.tandfonline.com/doi/full/10.1080/00131881.2021.1942118 (cyrchwyd: 4/4/2024)</w:t>
      </w:r>
    </w:p>
    <w:p w14:paraId="048791A7"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5FEB6DF6"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Fagerberg, I. Gustafsson, C. (2004), ‘Reflection, the way to professional development?’, </w:t>
      </w:r>
      <w:r w:rsidRPr="00202917">
        <w:rPr>
          <w:rFonts w:ascii="Calibri" w:eastAsia="Times New Roman" w:hAnsi="Calibri" w:cs="Calibri"/>
          <w:i/>
          <w:iCs/>
          <w:color w:val="000000"/>
          <w:kern w:val="0"/>
          <w:sz w:val="22"/>
          <w:szCs w:val="22"/>
          <w:lang w:eastAsia="en-GB"/>
          <w14:ligatures w14:val="none"/>
        </w:rPr>
        <w:t xml:space="preserve">Journal of clinical nursing, </w:t>
      </w:r>
      <w:r w:rsidRPr="00202917">
        <w:rPr>
          <w:rFonts w:ascii="Calibri" w:eastAsia="Times New Roman" w:hAnsi="Calibri" w:cs="Calibri"/>
          <w:color w:val="000000"/>
          <w:kern w:val="0"/>
          <w:sz w:val="22"/>
          <w:szCs w:val="22"/>
          <w:lang w:eastAsia="en-GB"/>
          <w14:ligatures w14:val="none"/>
        </w:rPr>
        <w:t>13(3), tt. 271-280, Ar gael yn: https://onlinelibrary.wiley.com/doi/full/10.1046/j.1365-2702.2003.00880.x (cyrchwyd: 20/4/2024)</w:t>
      </w:r>
    </w:p>
    <w:p w14:paraId="65E65C58"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51717DF9"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Fernandez, K. (2009), ‘Evaluating School Improvement Plans and their Affect on Academic Performance’, </w:t>
      </w:r>
      <w:r w:rsidRPr="00202917">
        <w:rPr>
          <w:rFonts w:ascii="Calibri" w:eastAsia="Times New Roman" w:hAnsi="Calibri" w:cs="Calibri"/>
          <w:i/>
          <w:iCs/>
          <w:color w:val="000000"/>
          <w:kern w:val="0"/>
          <w:sz w:val="22"/>
          <w:szCs w:val="22"/>
          <w:lang w:eastAsia="en-GB"/>
          <w14:ligatures w14:val="none"/>
        </w:rPr>
        <w:t xml:space="preserve">Educational policy, 25(2), Ar gael yn: </w:t>
      </w:r>
      <w:r w:rsidRPr="00202917">
        <w:rPr>
          <w:rFonts w:ascii="Calibri" w:eastAsia="Times New Roman" w:hAnsi="Calibri" w:cs="Calibri"/>
          <w:color w:val="000000"/>
          <w:kern w:val="0"/>
          <w:sz w:val="22"/>
          <w:szCs w:val="22"/>
          <w:lang w:eastAsia="en-GB"/>
          <w14:ligatures w14:val="none"/>
        </w:rPr>
        <w:t>https://journals.sagepub.com/doi/abs/10.1177/0895904809351693 (Cyrchwyd: 20/4/2024)</w:t>
      </w:r>
    </w:p>
    <w:p w14:paraId="09FAA9C7"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704FF57B"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Fitzpatrick, G. Fleck, R. (2010), ‘Reflecting on reflection: framing a design landscape’, </w:t>
      </w:r>
      <w:r w:rsidRPr="00202917">
        <w:rPr>
          <w:rFonts w:ascii="Calibri" w:eastAsia="Times New Roman" w:hAnsi="Calibri" w:cs="Calibri"/>
          <w:i/>
          <w:iCs/>
          <w:color w:val="000000"/>
          <w:kern w:val="0"/>
          <w:sz w:val="22"/>
          <w:szCs w:val="22"/>
          <w:lang w:eastAsia="en-GB"/>
          <w14:ligatures w14:val="none"/>
        </w:rPr>
        <w:t xml:space="preserve">OZCHI '10: Proceedings of the 22nd Conference of the Computer-Human Interaction Special Interest Group of Australia on Computer-Human Interaction, </w:t>
      </w:r>
      <w:r w:rsidRPr="00202917">
        <w:rPr>
          <w:rFonts w:ascii="Calibri" w:eastAsia="Times New Roman" w:hAnsi="Calibri" w:cs="Calibri"/>
          <w:color w:val="000000"/>
          <w:kern w:val="0"/>
          <w:sz w:val="22"/>
          <w:szCs w:val="22"/>
          <w:lang w:eastAsia="en-GB"/>
          <w14:ligatures w14:val="none"/>
        </w:rPr>
        <w:t>tt. 216-223, Ar gael yn:https://dl.acm.org/doi/abs/10.1145/1952222.1952269 (Cyrchwyd: 20/4/2024)</w:t>
      </w:r>
    </w:p>
    <w:p w14:paraId="468966BF"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203778FE"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Garfinkle, R. Reigeluth, C. (1994), </w:t>
      </w:r>
      <w:r w:rsidRPr="00202917">
        <w:rPr>
          <w:rFonts w:ascii="Calibri" w:eastAsia="Times New Roman" w:hAnsi="Calibri" w:cs="Calibri"/>
          <w:i/>
          <w:iCs/>
          <w:color w:val="000000"/>
          <w:kern w:val="0"/>
          <w:sz w:val="22"/>
          <w:szCs w:val="22"/>
          <w:lang w:eastAsia="en-GB"/>
          <w14:ligatures w14:val="none"/>
        </w:rPr>
        <w:t xml:space="preserve">Systemic Change in Education, </w:t>
      </w:r>
      <w:r w:rsidRPr="00202917">
        <w:rPr>
          <w:rFonts w:ascii="Calibri" w:eastAsia="Times New Roman" w:hAnsi="Calibri" w:cs="Calibri"/>
          <w:color w:val="000000"/>
          <w:kern w:val="0"/>
          <w:sz w:val="22"/>
          <w:szCs w:val="22"/>
          <w:lang w:eastAsia="en-GB"/>
          <w14:ligatures w14:val="none"/>
        </w:rPr>
        <w:t>Englewoodcliffs: Educational technology publications</w:t>
      </w:r>
    </w:p>
    <w:p w14:paraId="0B296651"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4E46F430"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Jenkins, J. Stein, M. Wysocki, K. (1984), ‘Learning Vocabulary Through Reading’, </w:t>
      </w:r>
      <w:r w:rsidRPr="00202917">
        <w:rPr>
          <w:rFonts w:ascii="Calibri" w:eastAsia="Times New Roman" w:hAnsi="Calibri" w:cs="Calibri"/>
          <w:i/>
          <w:iCs/>
          <w:color w:val="000000"/>
          <w:kern w:val="0"/>
          <w:sz w:val="22"/>
          <w:szCs w:val="22"/>
          <w:lang w:eastAsia="en-GB"/>
          <w14:ligatures w14:val="none"/>
        </w:rPr>
        <w:t xml:space="preserve">American Educational Research Journal, </w:t>
      </w:r>
      <w:r w:rsidRPr="00202917">
        <w:rPr>
          <w:rFonts w:ascii="Calibri" w:eastAsia="Times New Roman" w:hAnsi="Calibri" w:cs="Calibri"/>
          <w:color w:val="000000"/>
          <w:kern w:val="0"/>
          <w:sz w:val="22"/>
          <w:szCs w:val="22"/>
          <w:lang w:eastAsia="en-GB"/>
          <w14:ligatures w14:val="none"/>
        </w:rPr>
        <w:t>21(4), tt. 767-787, Ar gael yn: https://journals.sagepub.com/doi/abs/10.3102/00028312021004767 (Cyrchwyd: 24/4/2024)</w:t>
      </w:r>
    </w:p>
    <w:p w14:paraId="1312A936"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4DF232F1"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lastRenderedPageBreak/>
        <w:t xml:space="preserve">Karakoc, D. Kose, G. (2017), ‘The impact of vocabulary knowledge on reading, writing and proficiency scores of EFL learners’, </w:t>
      </w:r>
      <w:r w:rsidRPr="00202917">
        <w:rPr>
          <w:rFonts w:ascii="Calibri" w:eastAsia="Times New Roman" w:hAnsi="Calibri" w:cs="Calibri"/>
          <w:i/>
          <w:iCs/>
          <w:color w:val="000000"/>
          <w:kern w:val="0"/>
          <w:sz w:val="22"/>
          <w:szCs w:val="22"/>
          <w:lang w:eastAsia="en-GB"/>
          <w14:ligatures w14:val="none"/>
        </w:rPr>
        <w:t xml:space="preserve">Journal of language and linguistic studies, </w:t>
      </w:r>
      <w:r w:rsidRPr="00202917">
        <w:rPr>
          <w:rFonts w:ascii="Calibri" w:eastAsia="Times New Roman" w:hAnsi="Calibri" w:cs="Calibri"/>
          <w:color w:val="000000"/>
          <w:kern w:val="0"/>
          <w:sz w:val="22"/>
          <w:szCs w:val="22"/>
          <w:lang w:eastAsia="en-GB"/>
          <w14:ligatures w14:val="none"/>
        </w:rPr>
        <w:t>13(1), tt. 352-378, Ar gael yn: https://dergipark.org.tr/en/pub/jlls/issue/36109/405467 (Cyrchwyd: 20/4/2024)</w:t>
      </w:r>
    </w:p>
    <w:p w14:paraId="5F991579"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0ED9BF91"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Kish, T. (2018), ‘The Effectiveness of Word Walls on Various Groups of Students’, </w:t>
      </w:r>
      <w:r w:rsidRPr="00202917">
        <w:rPr>
          <w:rFonts w:ascii="Calibri" w:eastAsia="Times New Roman" w:hAnsi="Calibri" w:cs="Calibri"/>
          <w:i/>
          <w:iCs/>
          <w:color w:val="000000"/>
          <w:kern w:val="0"/>
          <w:sz w:val="22"/>
          <w:szCs w:val="22"/>
          <w:lang w:eastAsia="en-GB"/>
          <w14:ligatures w14:val="none"/>
        </w:rPr>
        <w:t xml:space="preserve">Honors Research Projects, </w:t>
      </w:r>
      <w:r w:rsidRPr="00202917">
        <w:rPr>
          <w:rFonts w:ascii="Calibri" w:eastAsia="Times New Roman" w:hAnsi="Calibri" w:cs="Calibri"/>
          <w:color w:val="000000"/>
          <w:kern w:val="0"/>
          <w:sz w:val="22"/>
          <w:szCs w:val="22"/>
          <w:lang w:eastAsia="en-GB"/>
          <w14:ligatures w14:val="none"/>
        </w:rPr>
        <w:t>Ar gael yn: https://ideaexchange.uakron.edu/cgi/viewcontent.cgi?article=1683&amp;context=honors_research_projects (Cyrchwyd: 20/4/2024)</w:t>
      </w:r>
    </w:p>
    <w:p w14:paraId="5296D3C6"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7F47324F"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Kuzin, C. Pedro, K. Smith, J. Wohlstetter, P. (2011) ‘Parent Involvement in Urban Charter Schools: New Strategies for Increasing Participation’, </w:t>
      </w:r>
      <w:r w:rsidRPr="00202917">
        <w:rPr>
          <w:rFonts w:ascii="Calibri" w:eastAsia="Times New Roman" w:hAnsi="Calibri" w:cs="Calibri"/>
          <w:i/>
          <w:iCs/>
          <w:color w:val="000000"/>
          <w:kern w:val="0"/>
          <w:sz w:val="22"/>
          <w:szCs w:val="22"/>
          <w:lang w:eastAsia="en-GB"/>
          <w14:ligatures w14:val="none"/>
        </w:rPr>
        <w:t xml:space="preserve">School Community Journal, </w:t>
      </w:r>
      <w:r w:rsidRPr="00202917">
        <w:rPr>
          <w:rFonts w:ascii="Calibri" w:eastAsia="Times New Roman" w:hAnsi="Calibri" w:cs="Calibri"/>
          <w:color w:val="000000"/>
          <w:kern w:val="0"/>
          <w:sz w:val="22"/>
          <w:szCs w:val="22"/>
          <w:lang w:eastAsia="en-GB"/>
          <w14:ligatures w14:val="none"/>
        </w:rPr>
        <w:t>21(1), tt. 71-94, Ar gael yn: https://files.eric.ed.gov/fulltext/EJ932201.pdf (cyrchwyd: 15/3/2023)</w:t>
      </w:r>
    </w:p>
    <w:p w14:paraId="696209AA"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7119C075"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Llywodraeth Cymru, </w:t>
      </w:r>
      <w:r w:rsidRPr="00202917">
        <w:rPr>
          <w:rFonts w:ascii="Calibri" w:eastAsia="Times New Roman" w:hAnsi="Calibri" w:cs="Calibri"/>
          <w:i/>
          <w:iCs/>
          <w:color w:val="000000"/>
          <w:kern w:val="0"/>
          <w:sz w:val="22"/>
          <w:szCs w:val="22"/>
          <w:lang w:eastAsia="en-GB"/>
          <w14:ligatures w14:val="none"/>
        </w:rPr>
        <w:t xml:space="preserve">Canllawiau gwella ysgolion: fframwaith ar gyfer gwerthuso, gwella ac atebolrwydd, </w:t>
      </w:r>
      <w:r w:rsidRPr="00202917">
        <w:rPr>
          <w:rFonts w:ascii="Calibri" w:eastAsia="Times New Roman" w:hAnsi="Calibri" w:cs="Calibri"/>
          <w:color w:val="000000"/>
          <w:kern w:val="0"/>
          <w:sz w:val="22"/>
          <w:szCs w:val="22"/>
          <w:lang w:eastAsia="en-GB"/>
          <w14:ligatures w14:val="none"/>
        </w:rPr>
        <w:t>Ar gael yn: https://hwb.gov.wales/gwerthuso-gwella-ac-atebolrwydd/canllawiau-gwella-ysgolion-fframwaith-ar-gyfer-gwerthuso-gwella-ac-atebolrwydd/ (Cyrchwyd: 24/4/2024)</w:t>
      </w:r>
    </w:p>
    <w:p w14:paraId="03F93275"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0A115FFD"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Llywodraeth Cymru (2014), </w:t>
      </w:r>
      <w:r w:rsidRPr="00202917">
        <w:rPr>
          <w:rFonts w:ascii="Calibri" w:eastAsia="Times New Roman" w:hAnsi="Calibri" w:cs="Calibri"/>
          <w:i/>
          <w:iCs/>
          <w:color w:val="000000"/>
          <w:kern w:val="0"/>
          <w:sz w:val="22"/>
          <w:szCs w:val="22"/>
          <w:lang w:eastAsia="en-GB"/>
          <w14:ligatures w14:val="none"/>
        </w:rPr>
        <w:t xml:space="preserve">Cynlluniau datblygu ysgolion, </w:t>
      </w:r>
      <w:r w:rsidRPr="00202917">
        <w:rPr>
          <w:rFonts w:ascii="Calibri" w:eastAsia="Times New Roman" w:hAnsi="Calibri" w:cs="Calibri"/>
          <w:color w:val="000000"/>
          <w:kern w:val="0"/>
          <w:sz w:val="22"/>
          <w:szCs w:val="22"/>
          <w:lang w:eastAsia="en-GB"/>
          <w14:ligatures w14:val="none"/>
        </w:rPr>
        <w:t>Ar gael yn: https://www.llyw.cymru/sites/default/files/publications/2018-03/cynlluniau-datblygu-ysgolion.pdf (Cyrchwyd: 20/4/2024)</w:t>
      </w:r>
    </w:p>
    <w:p w14:paraId="579C2A33"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1D0BD6B3"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Llywodraeth Cymru (2019), </w:t>
      </w:r>
      <w:r w:rsidRPr="00202917">
        <w:rPr>
          <w:rFonts w:ascii="Calibri" w:eastAsia="Times New Roman" w:hAnsi="Calibri" w:cs="Calibri"/>
          <w:i/>
          <w:iCs/>
          <w:color w:val="000000"/>
          <w:kern w:val="0"/>
          <w:sz w:val="22"/>
          <w:szCs w:val="22"/>
          <w:lang w:eastAsia="en-GB"/>
          <w14:ligatures w14:val="none"/>
        </w:rPr>
        <w:t>Safonau proffesiynol ar gyfer addysgu ac arweinyddiaeth</w:t>
      </w:r>
      <w:r w:rsidRPr="00202917">
        <w:rPr>
          <w:rFonts w:ascii="Calibri" w:eastAsia="Times New Roman" w:hAnsi="Calibri" w:cs="Calibri"/>
          <w:color w:val="000000"/>
          <w:kern w:val="0"/>
          <w:sz w:val="22"/>
          <w:szCs w:val="22"/>
          <w:lang w:eastAsia="en-GB"/>
          <w14:ligatures w14:val="none"/>
        </w:rPr>
        <w:t>, Ar gael yn: https://hwb.gov.wales/api/storage/ae783486-0851-4ec6-9e73-2e2b99515cf5/safonau-proffesiynol-ar-gyfer-addysgu-ac-arweinyddiaeth-pdf-rhyngweithiol-ar-gyfer-cyfrifiaduron-personol.pdf (Cyrchwyd: 20/4/2024)</w:t>
      </w:r>
    </w:p>
    <w:p w14:paraId="6A384147"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0B2D401A"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Llywodraeth Cymru (2021), Cod Anghenion Dysgu Ychwanegol Cymru 2021, Ar gael yn: https://www.llyw.cymru/sites/default/files/publications/2022-06/220622-cod-anghenion-dysgu-ychwanegol-cymru-2021.pdf (cyrchwyd: 24/4/2024)</w:t>
      </w:r>
    </w:p>
    <w:p w14:paraId="6200C9DC"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534CE166"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Llywodraeth Cymru (2024), </w:t>
      </w:r>
      <w:r w:rsidRPr="00202917">
        <w:rPr>
          <w:rFonts w:ascii="Calibri" w:eastAsia="Times New Roman" w:hAnsi="Calibri" w:cs="Calibri"/>
          <w:i/>
          <w:iCs/>
          <w:color w:val="000000"/>
          <w:kern w:val="0"/>
          <w:sz w:val="22"/>
          <w:szCs w:val="22"/>
          <w:lang w:eastAsia="en-GB"/>
          <w14:ligatures w14:val="none"/>
        </w:rPr>
        <w:t xml:space="preserve">Ieithoedd, Llythrennedd a Chyfathrebu, </w:t>
      </w:r>
      <w:r w:rsidRPr="00202917">
        <w:rPr>
          <w:rFonts w:ascii="Calibri" w:eastAsia="Times New Roman" w:hAnsi="Calibri" w:cs="Calibri"/>
          <w:color w:val="000000"/>
          <w:kern w:val="0"/>
          <w:sz w:val="22"/>
          <w:szCs w:val="22"/>
          <w:lang w:eastAsia="en-GB"/>
          <w14:ligatures w14:val="none"/>
        </w:rPr>
        <w:t>Ar gael yn: https://hwb.gov.wales/cwricwlwm-i-gymru/ieithoedd-llythrennedd-a-chyfathrebu/disgrifiadau-dysgu/ (Cyrchwyd: 24/4/2024)</w:t>
      </w:r>
    </w:p>
    <w:p w14:paraId="476FF626"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2D42DF74"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lastRenderedPageBreak/>
        <w:t xml:space="preserve">Mausbach, A. Mooney, N. (2008), </w:t>
      </w:r>
      <w:r w:rsidRPr="00202917">
        <w:rPr>
          <w:rFonts w:ascii="Calibri" w:eastAsia="Times New Roman" w:hAnsi="Calibri" w:cs="Calibri"/>
          <w:i/>
          <w:iCs/>
          <w:color w:val="000000"/>
          <w:kern w:val="0"/>
          <w:sz w:val="22"/>
          <w:szCs w:val="22"/>
          <w:lang w:eastAsia="en-GB"/>
          <w14:ligatures w14:val="none"/>
        </w:rPr>
        <w:t xml:space="preserve">Align the Design: A Blueprint for School Improvement, </w:t>
      </w:r>
      <w:r w:rsidRPr="00202917">
        <w:rPr>
          <w:rFonts w:ascii="Calibri" w:eastAsia="Times New Roman" w:hAnsi="Calibri" w:cs="Calibri"/>
          <w:color w:val="000000"/>
          <w:kern w:val="0"/>
          <w:sz w:val="22"/>
          <w:szCs w:val="22"/>
          <w:lang w:eastAsia="en-GB"/>
          <w14:ligatures w14:val="none"/>
        </w:rPr>
        <w:t>USA:ASCD</w:t>
      </w:r>
    </w:p>
    <w:p w14:paraId="79834233"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3B8F8F4C"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Oxford (2024), </w:t>
      </w:r>
      <w:r w:rsidRPr="00202917">
        <w:rPr>
          <w:rFonts w:ascii="Calibri" w:eastAsia="Times New Roman" w:hAnsi="Calibri" w:cs="Calibri"/>
          <w:i/>
          <w:iCs/>
          <w:color w:val="000000"/>
          <w:kern w:val="0"/>
          <w:sz w:val="22"/>
          <w:szCs w:val="22"/>
          <w:lang w:eastAsia="en-GB"/>
          <w14:ligatures w14:val="none"/>
        </w:rPr>
        <w:t xml:space="preserve">Building Children’s Vocabulary at Home &amp; School, </w:t>
      </w:r>
      <w:r w:rsidRPr="00202917">
        <w:rPr>
          <w:rFonts w:ascii="Calibri" w:eastAsia="Times New Roman" w:hAnsi="Calibri" w:cs="Calibri"/>
          <w:color w:val="000000"/>
          <w:kern w:val="0"/>
          <w:sz w:val="22"/>
          <w:szCs w:val="22"/>
          <w:lang w:eastAsia="en-GB"/>
          <w14:ligatures w14:val="none"/>
        </w:rPr>
        <w:t>Ar gael yn: https://fdslive.oup.com/www.oup.com/oxed/wordgap/Oxford_Language_Report_2023-24_Building_Vocabulary_At_School.pdf?region=uk (Cyrchwyd: 20/4/2024)</w:t>
      </w:r>
    </w:p>
    <w:p w14:paraId="0D791853"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79A6E717"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Pigada, M. Schmitt, N. (2006), ‘Vocabulary Acquisition from Extensive Reading: A Case Study’, </w:t>
      </w:r>
      <w:r w:rsidRPr="00202917">
        <w:rPr>
          <w:rFonts w:ascii="Calibri" w:eastAsia="Times New Roman" w:hAnsi="Calibri" w:cs="Calibri"/>
          <w:i/>
          <w:iCs/>
          <w:color w:val="000000"/>
          <w:kern w:val="0"/>
          <w:sz w:val="22"/>
          <w:szCs w:val="22"/>
          <w:lang w:eastAsia="en-GB"/>
          <w14:ligatures w14:val="none"/>
        </w:rPr>
        <w:t xml:space="preserve">Reading in a Foreign Language, </w:t>
      </w:r>
      <w:r w:rsidRPr="00202917">
        <w:rPr>
          <w:rFonts w:ascii="Calibri" w:eastAsia="Times New Roman" w:hAnsi="Calibri" w:cs="Calibri"/>
          <w:color w:val="000000"/>
          <w:kern w:val="0"/>
          <w:sz w:val="22"/>
          <w:szCs w:val="22"/>
          <w:lang w:eastAsia="en-GB"/>
          <w14:ligatures w14:val="none"/>
        </w:rPr>
        <w:t>18(1), tt. 1-28, Ar gael yn: https://eric.ed.gov/?id=EJ759833 (Cyrchwyd: 24/4/2024)</w:t>
      </w:r>
    </w:p>
    <w:p w14:paraId="12FC4D60"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743124A1"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Rooney, R. (2007), ‘Using success criteria’, </w:t>
      </w:r>
      <w:r w:rsidRPr="00202917">
        <w:rPr>
          <w:rFonts w:ascii="Calibri" w:eastAsia="Times New Roman" w:hAnsi="Calibri" w:cs="Calibri"/>
          <w:i/>
          <w:iCs/>
          <w:color w:val="000000"/>
          <w:kern w:val="0"/>
          <w:sz w:val="22"/>
          <w:szCs w:val="22"/>
          <w:lang w:eastAsia="en-GB"/>
          <w14:ligatures w14:val="none"/>
        </w:rPr>
        <w:t xml:space="preserve"> Teaching Geography, </w:t>
      </w:r>
      <w:r w:rsidRPr="00202917">
        <w:rPr>
          <w:rFonts w:ascii="Calibri" w:eastAsia="Times New Roman" w:hAnsi="Calibri" w:cs="Calibri"/>
          <w:color w:val="000000"/>
          <w:kern w:val="0"/>
          <w:sz w:val="22"/>
          <w:szCs w:val="22"/>
          <w:lang w:eastAsia="en-GB"/>
          <w14:ligatures w14:val="none"/>
        </w:rPr>
        <w:t>32(1), tt. 51-55, Ar gael yn: https://www.proquest.com/docview/232423751?pq-origsite=gscholar&amp;fromopenview=true&amp;sourcetype=Scholarly%20Journals (Cyrchwyd: 24/4/2024)</w:t>
      </w:r>
    </w:p>
    <w:p w14:paraId="1C571CA4"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54F285A3"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Sapungan, G. Sapungan, R. (2014) ‘Parental Involvement in Child’s Education: Importance, Barriers and Benefits’, </w:t>
      </w:r>
      <w:r w:rsidRPr="00202917">
        <w:rPr>
          <w:rFonts w:ascii="Calibri" w:eastAsia="Times New Roman" w:hAnsi="Calibri" w:cs="Calibri"/>
          <w:i/>
          <w:iCs/>
          <w:color w:val="000000"/>
          <w:kern w:val="0"/>
          <w:sz w:val="22"/>
          <w:szCs w:val="22"/>
          <w:lang w:eastAsia="en-GB"/>
          <w14:ligatures w14:val="none"/>
        </w:rPr>
        <w:t xml:space="preserve">Asian Journal of Management Sciences &amp; Education, </w:t>
      </w:r>
      <w:r w:rsidRPr="00202917">
        <w:rPr>
          <w:rFonts w:ascii="Calibri" w:eastAsia="Times New Roman" w:hAnsi="Calibri" w:cs="Calibri"/>
          <w:color w:val="000000"/>
          <w:kern w:val="0"/>
          <w:sz w:val="22"/>
          <w:szCs w:val="22"/>
          <w:lang w:eastAsia="en-GB"/>
          <w14:ligatures w14:val="none"/>
        </w:rPr>
        <w:t>3(2), tt. 42-48, Ar gael yn: https://www.researchgate.net/profile/Ronel-Sapungan/publication/283539737_Parental_Involvement_in_Child's_Education_Importance_Barriers_and_Benefits/links/563dc34608ae8d65c01281ac/Parental-Involvement-in-Childs-Education-Importance-Barriers-and-Benefits.pdf (cyrchwyd: 15/3/2023)</w:t>
      </w:r>
    </w:p>
    <w:p w14:paraId="76FD91AF"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78CACDBF"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Sipayung, R. (2018), ‘The Effect of Word Wall Strategy on Students’ Vocabulary Achievement at SMP Negeri 5 Pematangsiantar in the Academic Year 2018/2019’, </w:t>
      </w:r>
      <w:r w:rsidRPr="00202917">
        <w:rPr>
          <w:rFonts w:ascii="Calibri" w:eastAsia="Times New Roman" w:hAnsi="Calibri" w:cs="Calibri"/>
          <w:i/>
          <w:iCs/>
          <w:color w:val="000000"/>
          <w:kern w:val="0"/>
          <w:sz w:val="22"/>
          <w:szCs w:val="22"/>
          <w:lang w:eastAsia="en-GB"/>
          <w14:ligatures w14:val="none"/>
        </w:rPr>
        <w:t xml:space="preserve">Budapest International Research and Critics Institute-Journal, </w:t>
      </w:r>
      <w:r w:rsidRPr="00202917">
        <w:rPr>
          <w:rFonts w:ascii="Calibri" w:eastAsia="Times New Roman" w:hAnsi="Calibri" w:cs="Calibri"/>
          <w:color w:val="000000"/>
          <w:kern w:val="0"/>
          <w:sz w:val="22"/>
          <w:szCs w:val="22"/>
          <w:lang w:eastAsia="en-GB"/>
          <w14:ligatures w14:val="none"/>
        </w:rPr>
        <w:t>1(3), tt. 251-263, Ar gael yn: https://scholar.archive.org/work/rzfehfve7nbhlaid3nuziif7ku/access/wayback/http://bircu-journal.com/index.php/birci/article/download/48/pdf (Cyrchwyd: 24/4/2024)</w:t>
      </w:r>
    </w:p>
    <w:p w14:paraId="17441D3D"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2B226296"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Stevens, R. (2004), ‘Why do educational innovations come and go? What do we know? What can we do?’, </w:t>
      </w:r>
      <w:r w:rsidRPr="00202917">
        <w:rPr>
          <w:rFonts w:ascii="Calibri" w:eastAsia="Times New Roman" w:hAnsi="Calibri" w:cs="Calibri"/>
          <w:i/>
          <w:iCs/>
          <w:color w:val="000000"/>
          <w:kern w:val="0"/>
          <w:sz w:val="22"/>
          <w:szCs w:val="22"/>
          <w:lang w:eastAsia="en-GB"/>
          <w14:ligatures w14:val="none"/>
        </w:rPr>
        <w:t xml:space="preserve">Teaching and teacher education, </w:t>
      </w:r>
      <w:r w:rsidRPr="00202917">
        <w:rPr>
          <w:rFonts w:ascii="Calibri" w:eastAsia="Times New Roman" w:hAnsi="Calibri" w:cs="Calibri"/>
          <w:color w:val="000000"/>
          <w:kern w:val="0"/>
          <w:sz w:val="22"/>
          <w:szCs w:val="22"/>
          <w:lang w:eastAsia="en-GB"/>
          <w14:ligatures w14:val="none"/>
        </w:rPr>
        <w:t>20(4), tt. 389-396, Ar gael yn: https://www.sciencedirect.com/science/article/pii/S0742051X04000216 (Cyrchwyd: 20/4/2024)</w:t>
      </w:r>
    </w:p>
    <w:p w14:paraId="612CDB86"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10EE8504"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Susanti, N. (2018), ‘The effect of word wall usage on students vocabulary size at MTs An-Nur Palangka Raya’, </w:t>
      </w:r>
      <w:r w:rsidRPr="00202917">
        <w:rPr>
          <w:rFonts w:ascii="Calibri" w:eastAsia="Times New Roman" w:hAnsi="Calibri" w:cs="Calibri"/>
          <w:i/>
          <w:iCs/>
          <w:color w:val="000000"/>
          <w:kern w:val="0"/>
          <w:sz w:val="22"/>
          <w:szCs w:val="22"/>
          <w:lang w:eastAsia="en-GB"/>
          <w14:ligatures w14:val="none"/>
        </w:rPr>
        <w:t xml:space="preserve">Undergraduate thesis, </w:t>
      </w:r>
      <w:r w:rsidRPr="00202917">
        <w:rPr>
          <w:rFonts w:ascii="Calibri" w:eastAsia="Times New Roman" w:hAnsi="Calibri" w:cs="Calibri"/>
          <w:color w:val="000000"/>
          <w:kern w:val="0"/>
          <w:sz w:val="22"/>
          <w:szCs w:val="22"/>
          <w:lang w:eastAsia="en-GB"/>
          <w14:ligatures w14:val="none"/>
        </w:rPr>
        <w:t>Ar gael yn: http://digilib.iain-palangkaraya.ac.id/1582/ (Cyrchwyd: 24/4/2024)</w:t>
      </w:r>
    </w:p>
    <w:p w14:paraId="29719C0F"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p>
    <w:p w14:paraId="067CA85F" w14:textId="77777777" w:rsidR="00202917" w:rsidRPr="00202917" w:rsidRDefault="00202917" w:rsidP="00202917">
      <w:pPr>
        <w:spacing w:after="0" w:line="360" w:lineRule="auto"/>
        <w:rPr>
          <w:rFonts w:ascii="Calibri" w:eastAsia="Times New Roman" w:hAnsi="Calibri" w:cs="Calibri"/>
          <w:kern w:val="0"/>
          <w:sz w:val="22"/>
          <w:szCs w:val="22"/>
          <w:lang w:eastAsia="en-GB"/>
          <w14:ligatures w14:val="none"/>
        </w:rPr>
      </w:pPr>
      <w:r w:rsidRPr="00202917">
        <w:rPr>
          <w:rFonts w:ascii="Calibri" w:eastAsia="Times New Roman" w:hAnsi="Calibri" w:cs="Calibri"/>
          <w:color w:val="000000"/>
          <w:kern w:val="0"/>
          <w:sz w:val="22"/>
          <w:szCs w:val="22"/>
          <w:lang w:eastAsia="en-GB"/>
          <w14:ligatures w14:val="none"/>
        </w:rPr>
        <w:t xml:space="preserve">White, C. (2000), ‘Strategies are not enough’, </w:t>
      </w:r>
      <w:r w:rsidRPr="00202917">
        <w:rPr>
          <w:rFonts w:ascii="Calibri" w:eastAsia="Times New Roman" w:hAnsi="Calibri" w:cs="Calibri"/>
          <w:i/>
          <w:iCs/>
          <w:color w:val="000000"/>
          <w:kern w:val="0"/>
          <w:sz w:val="22"/>
          <w:szCs w:val="22"/>
          <w:lang w:eastAsia="en-GB"/>
          <w14:ligatures w14:val="none"/>
        </w:rPr>
        <w:t xml:space="preserve">International Journal of Primary, Elementary and Early Years Education, </w:t>
      </w:r>
      <w:r w:rsidRPr="00202917">
        <w:rPr>
          <w:rFonts w:ascii="Calibri" w:eastAsia="Times New Roman" w:hAnsi="Calibri" w:cs="Calibri"/>
          <w:color w:val="000000"/>
          <w:kern w:val="0"/>
          <w:sz w:val="22"/>
          <w:szCs w:val="22"/>
          <w:lang w:eastAsia="en-GB"/>
          <w14:ligatures w14:val="none"/>
        </w:rPr>
        <w:t>28(1), tt. 16-21, Ar gael yn: https://www.tandfonline.com/doi/abs/10.1080/03004270085200041 (Cyrchwyd: 24/4/2024)</w:t>
      </w:r>
    </w:p>
    <w:p w14:paraId="5D3CD8D3" w14:textId="77777777" w:rsidR="00202917" w:rsidRPr="00202917" w:rsidRDefault="00202917" w:rsidP="00202917">
      <w:pPr>
        <w:spacing w:line="360" w:lineRule="auto"/>
        <w:rPr>
          <w:rFonts w:ascii="Calibri" w:hAnsi="Calibri" w:cs="Calibri"/>
        </w:rPr>
      </w:pPr>
    </w:p>
    <w:sectPr w:rsidR="00202917" w:rsidRPr="002029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917"/>
    <w:rsid w:val="00202917"/>
    <w:rsid w:val="00320B17"/>
    <w:rsid w:val="00644CBA"/>
    <w:rsid w:val="00C87F1B"/>
    <w:rsid w:val="00EF4B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79699"/>
  <w15:chartTrackingRefBased/>
  <w15:docId w15:val="{E6586063-7867-41E7-BD6A-A7BED8F3C3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29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29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29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29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29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29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29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29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29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9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29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29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29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29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29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29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29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2917"/>
    <w:rPr>
      <w:rFonts w:eastAsiaTheme="majorEastAsia" w:cstheme="majorBidi"/>
      <w:color w:val="272727" w:themeColor="text1" w:themeTint="D8"/>
    </w:rPr>
  </w:style>
  <w:style w:type="paragraph" w:styleId="Title">
    <w:name w:val="Title"/>
    <w:basedOn w:val="Normal"/>
    <w:next w:val="Normal"/>
    <w:link w:val="TitleChar"/>
    <w:uiPriority w:val="10"/>
    <w:qFormat/>
    <w:rsid w:val="002029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29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29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29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2917"/>
    <w:pPr>
      <w:spacing w:before="160"/>
      <w:jc w:val="center"/>
    </w:pPr>
    <w:rPr>
      <w:i/>
      <w:iCs/>
      <w:color w:val="404040" w:themeColor="text1" w:themeTint="BF"/>
    </w:rPr>
  </w:style>
  <w:style w:type="character" w:customStyle="1" w:styleId="QuoteChar">
    <w:name w:val="Quote Char"/>
    <w:basedOn w:val="DefaultParagraphFont"/>
    <w:link w:val="Quote"/>
    <w:uiPriority w:val="29"/>
    <w:rsid w:val="00202917"/>
    <w:rPr>
      <w:i/>
      <w:iCs/>
      <w:color w:val="404040" w:themeColor="text1" w:themeTint="BF"/>
    </w:rPr>
  </w:style>
  <w:style w:type="paragraph" w:styleId="ListParagraph">
    <w:name w:val="List Paragraph"/>
    <w:basedOn w:val="Normal"/>
    <w:uiPriority w:val="34"/>
    <w:qFormat/>
    <w:rsid w:val="00202917"/>
    <w:pPr>
      <w:ind w:left="720"/>
      <w:contextualSpacing/>
    </w:pPr>
  </w:style>
  <w:style w:type="character" w:styleId="IntenseEmphasis">
    <w:name w:val="Intense Emphasis"/>
    <w:basedOn w:val="DefaultParagraphFont"/>
    <w:uiPriority w:val="21"/>
    <w:qFormat/>
    <w:rsid w:val="00202917"/>
    <w:rPr>
      <w:i/>
      <w:iCs/>
      <w:color w:val="0F4761" w:themeColor="accent1" w:themeShade="BF"/>
    </w:rPr>
  </w:style>
  <w:style w:type="paragraph" w:styleId="IntenseQuote">
    <w:name w:val="Intense Quote"/>
    <w:basedOn w:val="Normal"/>
    <w:next w:val="Normal"/>
    <w:link w:val="IntenseQuoteChar"/>
    <w:uiPriority w:val="30"/>
    <w:qFormat/>
    <w:rsid w:val="002029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2917"/>
    <w:rPr>
      <w:i/>
      <w:iCs/>
      <w:color w:val="0F4761" w:themeColor="accent1" w:themeShade="BF"/>
    </w:rPr>
  </w:style>
  <w:style w:type="character" w:styleId="IntenseReference">
    <w:name w:val="Intense Reference"/>
    <w:basedOn w:val="DefaultParagraphFont"/>
    <w:uiPriority w:val="32"/>
    <w:qFormat/>
    <w:rsid w:val="00202917"/>
    <w:rPr>
      <w:b/>
      <w:bCs/>
      <w:smallCaps/>
      <w:color w:val="0F4761" w:themeColor="accent1" w:themeShade="BF"/>
      <w:spacing w:val="5"/>
    </w:rPr>
  </w:style>
  <w:style w:type="paragraph" w:styleId="NormalWeb">
    <w:name w:val="Normal (Web)"/>
    <w:basedOn w:val="Normal"/>
    <w:uiPriority w:val="99"/>
    <w:semiHidden/>
    <w:unhideWhenUsed/>
    <w:rsid w:val="0020291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ssignBodyChar">
    <w:name w:val="AssignBody Char"/>
    <w:basedOn w:val="DefaultParagraphFont"/>
    <w:link w:val="AssignBody"/>
    <w:locked/>
    <w:rsid w:val="00644CBA"/>
    <w:rPr>
      <w:rFonts w:ascii="Arial" w:hAnsi="Arial" w:cs="Arial"/>
    </w:rPr>
  </w:style>
  <w:style w:type="paragraph" w:customStyle="1" w:styleId="AssignBody">
    <w:name w:val="AssignBody"/>
    <w:basedOn w:val="Normal"/>
    <w:link w:val="AssignBodyChar"/>
    <w:qFormat/>
    <w:rsid w:val="00644CBA"/>
    <w:pPr>
      <w:spacing w:after="0" w:line="360" w:lineRule="auto"/>
    </w:pPr>
    <w:rPr>
      <w:rFonts w:ascii="Arial" w:hAnsi="Arial" w:cs="Arial"/>
    </w:rPr>
  </w:style>
  <w:style w:type="table" w:styleId="TableGrid">
    <w:name w:val="Table Grid"/>
    <w:basedOn w:val="TableNormal"/>
    <w:uiPriority w:val="39"/>
    <w:rsid w:val="00644CBA"/>
    <w:pPr>
      <w:spacing w:after="0" w:line="240" w:lineRule="auto"/>
    </w:pPr>
    <w:rPr>
      <w:kern w:val="0"/>
      <w:sz w:val="22"/>
      <w:szCs w:val="22"/>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1219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13</Pages>
  <Words>4066</Words>
  <Characters>23181</Characters>
  <Application>Microsoft Office Word</Application>
  <DocSecurity>0</DocSecurity>
  <Lines>193</Lines>
  <Paragraphs>54</Paragraphs>
  <ScaleCrop>false</ScaleCrop>
  <Company/>
  <LinksUpToDate>false</LinksUpToDate>
  <CharactersWithSpaces>27193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Edwards</dc:creator>
  <cp:keywords/>
  <dc:description/>
  <cp:lastModifiedBy>Catrin Edwards</cp:lastModifiedBy>
  <cp:revision>5</cp:revision>
  <dcterms:created xsi:type="dcterms:W3CDTF">2024-05-03T20:57:00Z</dcterms:created>
  <dcterms:modified xsi:type="dcterms:W3CDTF">2024-05-03T21:09:00Z</dcterms:modified>
</cp:coreProperties>
</file>