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F61E3C" w14:textId="77777777" w:rsidR="00A55793" w:rsidRDefault="00A55793">
      <w:pPr>
        <w:spacing w:before="1000"/>
      </w:pPr>
    </w:p>
    <w:p w14:paraId="4BF2B04C" w14:textId="77777777" w:rsidR="00A55793" w:rsidRDefault="00000000">
      <w:pPr>
        <w:spacing w:after="240"/>
        <w:jc w:val="center"/>
      </w:pPr>
      <w:r>
        <w:rPr>
          <w:b/>
          <w:bCs/>
          <w:sz w:val="32"/>
          <w:szCs w:val="32"/>
        </w:rPr>
        <w:t>UNIVERSITY OF WALES TRINITY SAINT DAVID</w:t>
      </w:r>
    </w:p>
    <w:p w14:paraId="38623EE8" w14:textId="77777777" w:rsidR="00A55793" w:rsidRDefault="00000000">
      <w:pPr>
        <w:spacing w:after="720"/>
        <w:jc w:val="center"/>
      </w:pPr>
      <w:r>
        <w:rPr>
          <w:i/>
          <w:iCs/>
          <w:sz w:val="26"/>
          <w:szCs w:val="26"/>
        </w:rPr>
        <w:t>Faculty of Business and Management</w:t>
      </w:r>
    </w:p>
    <w:p w14:paraId="2C142851" w14:textId="6307AD2B" w:rsidR="00A55793" w:rsidRDefault="00000000">
      <w:pPr>
        <w:spacing w:after="240"/>
        <w:jc w:val="center"/>
      </w:pPr>
      <w:r>
        <w:rPr>
          <w:b/>
          <w:bCs/>
          <w:sz w:val="28"/>
          <w:szCs w:val="28"/>
        </w:rPr>
        <w:t>ACCA5033 Changemakers: Creativity and Value Creation</w:t>
      </w:r>
    </w:p>
    <w:p w14:paraId="1C5B83B2" w14:textId="77777777" w:rsidR="00A55793" w:rsidRDefault="00000000">
      <w:pPr>
        <w:spacing w:after="600"/>
        <w:jc w:val="center"/>
      </w:pPr>
      <w:r>
        <w:rPr>
          <w:i/>
          <w:iCs/>
          <w:sz w:val="26"/>
          <w:szCs w:val="26"/>
        </w:rPr>
        <w:t>Assignment 2: Project Management &amp; Innovation</w:t>
      </w:r>
    </w:p>
    <w:p w14:paraId="7DD7F616" w14:textId="77777777" w:rsidR="00A55793" w:rsidRDefault="00000000">
      <w:pPr>
        <w:spacing w:after="480"/>
        <w:jc w:val="center"/>
      </w:pPr>
      <w:proofErr w:type="spellStart"/>
      <w:r>
        <w:rPr>
          <w:b/>
          <w:bCs/>
          <w:sz w:val="30"/>
          <w:szCs w:val="30"/>
        </w:rPr>
        <w:t>AgriConnect</w:t>
      </w:r>
      <w:proofErr w:type="spellEnd"/>
      <w:r>
        <w:rPr>
          <w:b/>
          <w:bCs/>
          <w:sz w:val="30"/>
          <w:szCs w:val="30"/>
        </w:rPr>
        <w:t>: An IoT-Enabled Smart-Agriculture Platform for Smallholder Farmers in South Asia</w:t>
      </w:r>
    </w:p>
    <w:p w14:paraId="6108B38F" w14:textId="02D332FD" w:rsidR="00A55793" w:rsidRDefault="00000000" w:rsidP="00B923A5">
      <w:pPr>
        <w:spacing w:before="720" w:after="120"/>
        <w:jc w:val="center"/>
      </w:pPr>
      <w:r>
        <w:t>Module Lecturer: Dr Fahad Ahmed</w:t>
      </w:r>
    </w:p>
    <w:p w14:paraId="25DD61AC" w14:textId="77777777" w:rsidR="00A55793" w:rsidRDefault="00000000" w:rsidP="00B923A5">
      <w:pPr>
        <w:spacing w:after="120"/>
        <w:jc w:val="center"/>
      </w:pPr>
      <w:r>
        <w:t xml:space="preserve">Internal Verifier: Dr Sana </w:t>
      </w:r>
      <w:proofErr w:type="spellStart"/>
      <w:r>
        <w:t>Jokhio</w:t>
      </w:r>
      <w:proofErr w:type="spellEnd"/>
    </w:p>
    <w:p w14:paraId="38F8CC77" w14:textId="77777777" w:rsidR="00A55793" w:rsidRDefault="00000000" w:rsidP="00B923A5">
      <w:pPr>
        <w:spacing w:after="120"/>
        <w:jc w:val="center"/>
      </w:pPr>
      <w:r>
        <w:t>Module Contribution: 50%</w:t>
      </w:r>
    </w:p>
    <w:p w14:paraId="3BC8C7EC" w14:textId="77777777" w:rsidR="00A55793" w:rsidRDefault="00000000" w:rsidP="00B923A5">
      <w:pPr>
        <w:spacing w:after="120"/>
        <w:jc w:val="center"/>
      </w:pPr>
      <w:r>
        <w:t>Word count (equivalent): 2,498</w:t>
      </w:r>
    </w:p>
    <w:p w14:paraId="31BE2CD8" w14:textId="2BE87DDF" w:rsidR="00B923A5" w:rsidRDefault="00B923A5" w:rsidP="00B923A5">
      <w:pPr>
        <w:spacing w:after="120"/>
        <w:jc w:val="center"/>
      </w:pPr>
      <w:r w:rsidRPr="00B923A5">
        <w:t>Name: Muhammad Waqas Akram</w:t>
      </w:r>
    </w:p>
    <w:p w14:paraId="2C52D1DF" w14:textId="6D9B832A" w:rsidR="00B923A5" w:rsidRDefault="00B923A5" w:rsidP="00B923A5">
      <w:pPr>
        <w:spacing w:after="120"/>
        <w:jc w:val="center"/>
      </w:pPr>
      <w:r>
        <w:t>Student ID: 2429948</w:t>
      </w:r>
    </w:p>
    <w:p w14:paraId="1B4983C0" w14:textId="77777777" w:rsidR="00B923A5" w:rsidRDefault="00B923A5" w:rsidP="00B923A5">
      <w:pPr>
        <w:spacing w:after="120"/>
      </w:pPr>
    </w:p>
    <w:p w14:paraId="0D101A70" w14:textId="77777777" w:rsidR="00A55793" w:rsidRDefault="00000000" w:rsidP="00B923A5">
      <w:r>
        <w:br w:type="page"/>
      </w:r>
    </w:p>
    <w:sdt>
      <w:sdtPr>
        <w:rPr>
          <w:rFonts w:ascii="Times New Roman" w:eastAsia="Times New Roman" w:hAnsi="Times New Roman" w:cs="Times New Roman"/>
          <w:color w:val="auto"/>
          <w:sz w:val="24"/>
          <w:szCs w:val="24"/>
        </w:rPr>
        <w:id w:val="-1444139206"/>
        <w:docPartObj>
          <w:docPartGallery w:val="Table of Contents"/>
          <w:docPartUnique/>
        </w:docPartObj>
      </w:sdtPr>
      <w:sdtEndPr>
        <w:rPr>
          <w:b/>
          <w:bCs/>
          <w:noProof/>
        </w:rPr>
      </w:sdtEndPr>
      <w:sdtContent>
        <w:p w14:paraId="28E22DFE" w14:textId="4BA9317D" w:rsidR="00B64263" w:rsidRDefault="00B64263">
          <w:pPr>
            <w:pStyle w:val="TOCHeading"/>
          </w:pPr>
          <w:r>
            <w:t>Contents</w:t>
          </w:r>
        </w:p>
        <w:p w14:paraId="3F4CA37A" w14:textId="44D0FA89" w:rsidR="00B64263" w:rsidRDefault="00B64263">
          <w:pPr>
            <w:pStyle w:val="TOC1"/>
            <w:tabs>
              <w:tab w:val="right" w:leader="dot" w:pos="9350"/>
            </w:tabs>
            <w:rPr>
              <w:noProof/>
            </w:rPr>
          </w:pPr>
          <w:r>
            <w:fldChar w:fldCharType="begin"/>
          </w:r>
          <w:r>
            <w:instrText xml:space="preserve"> TOC \o "1-3" \h \z \u </w:instrText>
          </w:r>
          <w:r>
            <w:fldChar w:fldCharType="separate"/>
          </w:r>
          <w:hyperlink w:anchor="_Toc228288529" w:history="1">
            <w:r w:rsidRPr="00903E9C">
              <w:rPr>
                <w:rStyle w:val="Hyperlink"/>
                <w:noProof/>
              </w:rPr>
              <w:t>1. Introduction</w:t>
            </w:r>
            <w:r>
              <w:rPr>
                <w:noProof/>
                <w:webHidden/>
              </w:rPr>
              <w:tab/>
            </w:r>
            <w:r>
              <w:rPr>
                <w:noProof/>
                <w:webHidden/>
              </w:rPr>
              <w:fldChar w:fldCharType="begin"/>
            </w:r>
            <w:r>
              <w:rPr>
                <w:noProof/>
                <w:webHidden/>
              </w:rPr>
              <w:instrText xml:space="preserve"> PAGEREF _Toc228288529 \h </w:instrText>
            </w:r>
            <w:r>
              <w:rPr>
                <w:noProof/>
                <w:webHidden/>
              </w:rPr>
            </w:r>
            <w:r>
              <w:rPr>
                <w:noProof/>
                <w:webHidden/>
              </w:rPr>
              <w:fldChar w:fldCharType="separate"/>
            </w:r>
            <w:r>
              <w:rPr>
                <w:noProof/>
                <w:webHidden/>
              </w:rPr>
              <w:t>2</w:t>
            </w:r>
            <w:r>
              <w:rPr>
                <w:noProof/>
                <w:webHidden/>
              </w:rPr>
              <w:fldChar w:fldCharType="end"/>
            </w:r>
          </w:hyperlink>
        </w:p>
        <w:p w14:paraId="7A284A3F" w14:textId="42001174" w:rsidR="00B64263" w:rsidRDefault="00B64263">
          <w:pPr>
            <w:pStyle w:val="TOC1"/>
            <w:tabs>
              <w:tab w:val="right" w:leader="dot" w:pos="9350"/>
            </w:tabs>
            <w:rPr>
              <w:noProof/>
            </w:rPr>
          </w:pPr>
          <w:hyperlink w:anchor="_Toc228288530" w:history="1">
            <w:r w:rsidRPr="00903E9C">
              <w:rPr>
                <w:rStyle w:val="Hyperlink"/>
                <w:noProof/>
              </w:rPr>
              <w:t>2. Task 1: Project Management</w:t>
            </w:r>
            <w:r>
              <w:rPr>
                <w:noProof/>
                <w:webHidden/>
              </w:rPr>
              <w:tab/>
            </w:r>
            <w:r>
              <w:rPr>
                <w:noProof/>
                <w:webHidden/>
              </w:rPr>
              <w:fldChar w:fldCharType="begin"/>
            </w:r>
            <w:r>
              <w:rPr>
                <w:noProof/>
                <w:webHidden/>
              </w:rPr>
              <w:instrText xml:space="preserve"> PAGEREF _Toc228288530 \h </w:instrText>
            </w:r>
            <w:r>
              <w:rPr>
                <w:noProof/>
                <w:webHidden/>
              </w:rPr>
            </w:r>
            <w:r>
              <w:rPr>
                <w:noProof/>
                <w:webHidden/>
              </w:rPr>
              <w:fldChar w:fldCharType="separate"/>
            </w:r>
            <w:r>
              <w:rPr>
                <w:noProof/>
                <w:webHidden/>
              </w:rPr>
              <w:t>3</w:t>
            </w:r>
            <w:r>
              <w:rPr>
                <w:noProof/>
                <w:webHidden/>
              </w:rPr>
              <w:fldChar w:fldCharType="end"/>
            </w:r>
          </w:hyperlink>
        </w:p>
        <w:p w14:paraId="76B5454D" w14:textId="020B3A05" w:rsidR="00B64263" w:rsidRDefault="00B64263">
          <w:pPr>
            <w:pStyle w:val="TOC2"/>
            <w:tabs>
              <w:tab w:val="right" w:leader="dot" w:pos="9350"/>
            </w:tabs>
            <w:rPr>
              <w:noProof/>
            </w:rPr>
          </w:pPr>
          <w:hyperlink w:anchor="_Toc228288531" w:history="1">
            <w:r w:rsidRPr="00903E9C">
              <w:rPr>
                <w:rStyle w:val="Hyperlink"/>
                <w:noProof/>
              </w:rPr>
              <w:t>2.1 Project Scope, Solution and Constraints</w:t>
            </w:r>
            <w:r>
              <w:rPr>
                <w:noProof/>
                <w:webHidden/>
              </w:rPr>
              <w:tab/>
            </w:r>
            <w:r>
              <w:rPr>
                <w:noProof/>
                <w:webHidden/>
              </w:rPr>
              <w:fldChar w:fldCharType="begin"/>
            </w:r>
            <w:r>
              <w:rPr>
                <w:noProof/>
                <w:webHidden/>
              </w:rPr>
              <w:instrText xml:space="preserve"> PAGEREF _Toc228288531 \h </w:instrText>
            </w:r>
            <w:r>
              <w:rPr>
                <w:noProof/>
                <w:webHidden/>
              </w:rPr>
            </w:r>
            <w:r>
              <w:rPr>
                <w:noProof/>
                <w:webHidden/>
              </w:rPr>
              <w:fldChar w:fldCharType="separate"/>
            </w:r>
            <w:r>
              <w:rPr>
                <w:noProof/>
                <w:webHidden/>
              </w:rPr>
              <w:t>3</w:t>
            </w:r>
            <w:r>
              <w:rPr>
                <w:noProof/>
                <w:webHidden/>
              </w:rPr>
              <w:fldChar w:fldCharType="end"/>
            </w:r>
          </w:hyperlink>
        </w:p>
        <w:p w14:paraId="233082E6" w14:textId="18E03DB9" w:rsidR="00B64263" w:rsidRDefault="00B64263">
          <w:pPr>
            <w:pStyle w:val="TOC2"/>
            <w:tabs>
              <w:tab w:val="right" w:leader="dot" w:pos="9350"/>
            </w:tabs>
            <w:rPr>
              <w:noProof/>
            </w:rPr>
          </w:pPr>
          <w:hyperlink w:anchor="_Toc228288532" w:history="1">
            <w:r w:rsidRPr="00903E9C">
              <w:rPr>
                <w:rStyle w:val="Hyperlink"/>
                <w:noProof/>
              </w:rPr>
              <w:t>2.2 Schedule, Timeline and Gantt Chart</w:t>
            </w:r>
            <w:r>
              <w:rPr>
                <w:noProof/>
                <w:webHidden/>
              </w:rPr>
              <w:tab/>
            </w:r>
            <w:r>
              <w:rPr>
                <w:noProof/>
                <w:webHidden/>
              </w:rPr>
              <w:fldChar w:fldCharType="begin"/>
            </w:r>
            <w:r>
              <w:rPr>
                <w:noProof/>
                <w:webHidden/>
              </w:rPr>
              <w:instrText xml:space="preserve"> PAGEREF _Toc228288532 \h </w:instrText>
            </w:r>
            <w:r>
              <w:rPr>
                <w:noProof/>
                <w:webHidden/>
              </w:rPr>
            </w:r>
            <w:r>
              <w:rPr>
                <w:noProof/>
                <w:webHidden/>
              </w:rPr>
              <w:fldChar w:fldCharType="separate"/>
            </w:r>
            <w:r>
              <w:rPr>
                <w:noProof/>
                <w:webHidden/>
              </w:rPr>
              <w:t>3</w:t>
            </w:r>
            <w:r>
              <w:rPr>
                <w:noProof/>
                <w:webHidden/>
              </w:rPr>
              <w:fldChar w:fldCharType="end"/>
            </w:r>
          </w:hyperlink>
        </w:p>
        <w:p w14:paraId="171A8900" w14:textId="1557DDD6" w:rsidR="00B64263" w:rsidRDefault="00B64263">
          <w:pPr>
            <w:pStyle w:val="TOC2"/>
            <w:tabs>
              <w:tab w:val="right" w:leader="dot" w:pos="9350"/>
            </w:tabs>
            <w:rPr>
              <w:noProof/>
            </w:rPr>
          </w:pPr>
          <w:hyperlink w:anchor="_Toc228288533" w:history="1">
            <w:r w:rsidRPr="00903E9C">
              <w:rPr>
                <w:rStyle w:val="Hyperlink"/>
                <w:noProof/>
              </w:rPr>
              <w:t>2.3 Development Method</w:t>
            </w:r>
            <w:r>
              <w:rPr>
                <w:noProof/>
                <w:webHidden/>
              </w:rPr>
              <w:tab/>
            </w:r>
            <w:r>
              <w:rPr>
                <w:noProof/>
                <w:webHidden/>
              </w:rPr>
              <w:fldChar w:fldCharType="begin"/>
            </w:r>
            <w:r>
              <w:rPr>
                <w:noProof/>
                <w:webHidden/>
              </w:rPr>
              <w:instrText xml:space="preserve"> PAGEREF _Toc228288533 \h </w:instrText>
            </w:r>
            <w:r>
              <w:rPr>
                <w:noProof/>
                <w:webHidden/>
              </w:rPr>
            </w:r>
            <w:r>
              <w:rPr>
                <w:noProof/>
                <w:webHidden/>
              </w:rPr>
              <w:fldChar w:fldCharType="separate"/>
            </w:r>
            <w:r>
              <w:rPr>
                <w:noProof/>
                <w:webHidden/>
              </w:rPr>
              <w:t>4</w:t>
            </w:r>
            <w:r>
              <w:rPr>
                <w:noProof/>
                <w:webHidden/>
              </w:rPr>
              <w:fldChar w:fldCharType="end"/>
            </w:r>
          </w:hyperlink>
        </w:p>
        <w:p w14:paraId="70067780" w14:textId="265FA21E" w:rsidR="00B64263" w:rsidRDefault="00B64263">
          <w:pPr>
            <w:pStyle w:val="TOC2"/>
            <w:tabs>
              <w:tab w:val="right" w:leader="dot" w:pos="9350"/>
            </w:tabs>
            <w:rPr>
              <w:noProof/>
            </w:rPr>
          </w:pPr>
          <w:hyperlink w:anchor="_Toc228288534" w:history="1">
            <w:r w:rsidRPr="00903E9C">
              <w:rPr>
                <w:rStyle w:val="Hyperlink"/>
                <w:noProof/>
              </w:rPr>
              <w:t>2.4 Project Design — Two Artefacts</w:t>
            </w:r>
            <w:r>
              <w:rPr>
                <w:noProof/>
                <w:webHidden/>
              </w:rPr>
              <w:tab/>
            </w:r>
            <w:r>
              <w:rPr>
                <w:noProof/>
                <w:webHidden/>
              </w:rPr>
              <w:fldChar w:fldCharType="begin"/>
            </w:r>
            <w:r>
              <w:rPr>
                <w:noProof/>
                <w:webHidden/>
              </w:rPr>
              <w:instrText xml:space="preserve"> PAGEREF _Toc228288534 \h </w:instrText>
            </w:r>
            <w:r>
              <w:rPr>
                <w:noProof/>
                <w:webHidden/>
              </w:rPr>
            </w:r>
            <w:r>
              <w:rPr>
                <w:noProof/>
                <w:webHidden/>
              </w:rPr>
              <w:fldChar w:fldCharType="separate"/>
            </w:r>
            <w:r>
              <w:rPr>
                <w:noProof/>
                <w:webHidden/>
              </w:rPr>
              <w:t>4</w:t>
            </w:r>
            <w:r>
              <w:rPr>
                <w:noProof/>
                <w:webHidden/>
              </w:rPr>
              <w:fldChar w:fldCharType="end"/>
            </w:r>
          </w:hyperlink>
        </w:p>
        <w:p w14:paraId="432353AC" w14:textId="1884C465" w:rsidR="00B64263" w:rsidRDefault="00B64263">
          <w:pPr>
            <w:pStyle w:val="TOC1"/>
            <w:tabs>
              <w:tab w:val="right" w:leader="dot" w:pos="9350"/>
            </w:tabs>
            <w:rPr>
              <w:noProof/>
            </w:rPr>
          </w:pPr>
          <w:hyperlink w:anchor="_Toc228288535" w:history="1">
            <w:r w:rsidRPr="00903E9C">
              <w:rPr>
                <w:rStyle w:val="Hyperlink"/>
                <w:noProof/>
              </w:rPr>
              <w:t>3. Task 2: Innovation</w:t>
            </w:r>
            <w:r>
              <w:rPr>
                <w:noProof/>
                <w:webHidden/>
              </w:rPr>
              <w:tab/>
            </w:r>
            <w:r>
              <w:rPr>
                <w:noProof/>
                <w:webHidden/>
              </w:rPr>
              <w:fldChar w:fldCharType="begin"/>
            </w:r>
            <w:r>
              <w:rPr>
                <w:noProof/>
                <w:webHidden/>
              </w:rPr>
              <w:instrText xml:space="preserve"> PAGEREF _Toc228288535 \h </w:instrText>
            </w:r>
            <w:r>
              <w:rPr>
                <w:noProof/>
                <w:webHidden/>
              </w:rPr>
            </w:r>
            <w:r>
              <w:rPr>
                <w:noProof/>
                <w:webHidden/>
              </w:rPr>
              <w:fldChar w:fldCharType="separate"/>
            </w:r>
            <w:r>
              <w:rPr>
                <w:noProof/>
                <w:webHidden/>
              </w:rPr>
              <w:t>7</w:t>
            </w:r>
            <w:r>
              <w:rPr>
                <w:noProof/>
                <w:webHidden/>
              </w:rPr>
              <w:fldChar w:fldCharType="end"/>
            </w:r>
          </w:hyperlink>
        </w:p>
        <w:p w14:paraId="3D4DD629" w14:textId="1644EC8A" w:rsidR="00B64263" w:rsidRDefault="00B64263">
          <w:pPr>
            <w:pStyle w:val="TOC2"/>
            <w:tabs>
              <w:tab w:val="right" w:leader="dot" w:pos="9350"/>
            </w:tabs>
            <w:rPr>
              <w:noProof/>
            </w:rPr>
          </w:pPr>
          <w:hyperlink w:anchor="_Toc228288536" w:history="1">
            <w:r w:rsidRPr="00903E9C">
              <w:rPr>
                <w:rStyle w:val="Hyperlink"/>
                <w:noProof/>
              </w:rPr>
              <w:t>3.1 PEST Analysis — Deere &amp; Company</w:t>
            </w:r>
            <w:r>
              <w:rPr>
                <w:noProof/>
                <w:webHidden/>
              </w:rPr>
              <w:tab/>
            </w:r>
            <w:r>
              <w:rPr>
                <w:noProof/>
                <w:webHidden/>
              </w:rPr>
              <w:fldChar w:fldCharType="begin"/>
            </w:r>
            <w:r>
              <w:rPr>
                <w:noProof/>
                <w:webHidden/>
              </w:rPr>
              <w:instrText xml:space="preserve"> PAGEREF _Toc228288536 \h </w:instrText>
            </w:r>
            <w:r>
              <w:rPr>
                <w:noProof/>
                <w:webHidden/>
              </w:rPr>
            </w:r>
            <w:r>
              <w:rPr>
                <w:noProof/>
                <w:webHidden/>
              </w:rPr>
              <w:fldChar w:fldCharType="separate"/>
            </w:r>
            <w:r>
              <w:rPr>
                <w:noProof/>
                <w:webHidden/>
              </w:rPr>
              <w:t>7</w:t>
            </w:r>
            <w:r>
              <w:rPr>
                <w:noProof/>
                <w:webHidden/>
              </w:rPr>
              <w:fldChar w:fldCharType="end"/>
            </w:r>
          </w:hyperlink>
        </w:p>
        <w:p w14:paraId="6E1DB337" w14:textId="5D097B15" w:rsidR="00B64263" w:rsidRDefault="00B64263">
          <w:pPr>
            <w:pStyle w:val="TOC2"/>
            <w:tabs>
              <w:tab w:val="right" w:leader="dot" w:pos="9350"/>
            </w:tabs>
            <w:rPr>
              <w:noProof/>
            </w:rPr>
          </w:pPr>
          <w:hyperlink w:anchor="_Toc228288537" w:history="1">
            <w:r w:rsidRPr="00903E9C">
              <w:rPr>
                <w:rStyle w:val="Hyperlink"/>
                <w:noProof/>
              </w:rPr>
              <w:t>3.2 SWOT Analysis — Deere &amp; Company</w:t>
            </w:r>
            <w:r>
              <w:rPr>
                <w:noProof/>
                <w:webHidden/>
              </w:rPr>
              <w:tab/>
            </w:r>
            <w:r>
              <w:rPr>
                <w:noProof/>
                <w:webHidden/>
              </w:rPr>
              <w:fldChar w:fldCharType="begin"/>
            </w:r>
            <w:r>
              <w:rPr>
                <w:noProof/>
                <w:webHidden/>
              </w:rPr>
              <w:instrText xml:space="preserve"> PAGEREF _Toc228288537 \h </w:instrText>
            </w:r>
            <w:r>
              <w:rPr>
                <w:noProof/>
                <w:webHidden/>
              </w:rPr>
            </w:r>
            <w:r>
              <w:rPr>
                <w:noProof/>
                <w:webHidden/>
              </w:rPr>
              <w:fldChar w:fldCharType="separate"/>
            </w:r>
            <w:r>
              <w:rPr>
                <w:noProof/>
                <w:webHidden/>
              </w:rPr>
              <w:t>8</w:t>
            </w:r>
            <w:r>
              <w:rPr>
                <w:noProof/>
                <w:webHidden/>
              </w:rPr>
              <w:fldChar w:fldCharType="end"/>
            </w:r>
          </w:hyperlink>
        </w:p>
        <w:p w14:paraId="04713A66" w14:textId="257B500E" w:rsidR="00B64263" w:rsidRDefault="00B64263">
          <w:pPr>
            <w:pStyle w:val="TOC2"/>
            <w:tabs>
              <w:tab w:val="right" w:leader="dot" w:pos="9350"/>
            </w:tabs>
            <w:rPr>
              <w:noProof/>
            </w:rPr>
          </w:pPr>
          <w:hyperlink w:anchor="_Toc228288538" w:history="1">
            <w:r w:rsidRPr="00903E9C">
              <w:rPr>
                <w:rStyle w:val="Hyperlink"/>
                <w:noProof/>
              </w:rPr>
              <w:t>3.3 Concepts, Methods, Practices and Tools for Large-Organisation Deployment</w:t>
            </w:r>
            <w:r>
              <w:rPr>
                <w:noProof/>
                <w:webHidden/>
              </w:rPr>
              <w:tab/>
            </w:r>
            <w:r>
              <w:rPr>
                <w:noProof/>
                <w:webHidden/>
              </w:rPr>
              <w:fldChar w:fldCharType="begin"/>
            </w:r>
            <w:r>
              <w:rPr>
                <w:noProof/>
                <w:webHidden/>
              </w:rPr>
              <w:instrText xml:space="preserve"> PAGEREF _Toc228288538 \h </w:instrText>
            </w:r>
            <w:r>
              <w:rPr>
                <w:noProof/>
                <w:webHidden/>
              </w:rPr>
            </w:r>
            <w:r>
              <w:rPr>
                <w:noProof/>
                <w:webHidden/>
              </w:rPr>
              <w:fldChar w:fldCharType="separate"/>
            </w:r>
            <w:r>
              <w:rPr>
                <w:noProof/>
                <w:webHidden/>
              </w:rPr>
              <w:t>9</w:t>
            </w:r>
            <w:r>
              <w:rPr>
                <w:noProof/>
                <w:webHidden/>
              </w:rPr>
              <w:fldChar w:fldCharType="end"/>
            </w:r>
          </w:hyperlink>
        </w:p>
        <w:p w14:paraId="06DA0073" w14:textId="4C41743D" w:rsidR="00B64263" w:rsidRDefault="00B64263">
          <w:pPr>
            <w:pStyle w:val="TOC1"/>
            <w:tabs>
              <w:tab w:val="right" w:leader="dot" w:pos="9350"/>
            </w:tabs>
            <w:rPr>
              <w:noProof/>
            </w:rPr>
          </w:pPr>
          <w:hyperlink w:anchor="_Toc228288539" w:history="1">
            <w:r w:rsidRPr="00903E9C">
              <w:rPr>
                <w:rStyle w:val="Hyperlink"/>
                <w:noProof/>
              </w:rPr>
              <w:t>4. Task 3: Project Reflection</w:t>
            </w:r>
            <w:r>
              <w:rPr>
                <w:noProof/>
                <w:webHidden/>
              </w:rPr>
              <w:tab/>
            </w:r>
            <w:r>
              <w:rPr>
                <w:noProof/>
                <w:webHidden/>
              </w:rPr>
              <w:fldChar w:fldCharType="begin"/>
            </w:r>
            <w:r>
              <w:rPr>
                <w:noProof/>
                <w:webHidden/>
              </w:rPr>
              <w:instrText xml:space="preserve"> PAGEREF _Toc228288539 \h </w:instrText>
            </w:r>
            <w:r>
              <w:rPr>
                <w:noProof/>
                <w:webHidden/>
              </w:rPr>
            </w:r>
            <w:r>
              <w:rPr>
                <w:noProof/>
                <w:webHidden/>
              </w:rPr>
              <w:fldChar w:fldCharType="separate"/>
            </w:r>
            <w:r>
              <w:rPr>
                <w:noProof/>
                <w:webHidden/>
              </w:rPr>
              <w:t>10</w:t>
            </w:r>
            <w:r>
              <w:rPr>
                <w:noProof/>
                <w:webHidden/>
              </w:rPr>
              <w:fldChar w:fldCharType="end"/>
            </w:r>
          </w:hyperlink>
        </w:p>
        <w:p w14:paraId="744FE163" w14:textId="7564190C" w:rsidR="00B64263" w:rsidRDefault="00B64263">
          <w:pPr>
            <w:pStyle w:val="TOC2"/>
            <w:tabs>
              <w:tab w:val="right" w:leader="dot" w:pos="9350"/>
            </w:tabs>
            <w:rPr>
              <w:noProof/>
            </w:rPr>
          </w:pPr>
          <w:hyperlink w:anchor="_Toc228288540" w:history="1">
            <w:r w:rsidRPr="00903E9C">
              <w:rPr>
                <w:rStyle w:val="Hyperlink"/>
                <w:noProof/>
              </w:rPr>
              <w:t>4.1 Developing New Skills</w:t>
            </w:r>
            <w:r>
              <w:rPr>
                <w:noProof/>
                <w:webHidden/>
              </w:rPr>
              <w:tab/>
            </w:r>
            <w:r>
              <w:rPr>
                <w:noProof/>
                <w:webHidden/>
              </w:rPr>
              <w:fldChar w:fldCharType="begin"/>
            </w:r>
            <w:r>
              <w:rPr>
                <w:noProof/>
                <w:webHidden/>
              </w:rPr>
              <w:instrText xml:space="preserve"> PAGEREF _Toc228288540 \h </w:instrText>
            </w:r>
            <w:r>
              <w:rPr>
                <w:noProof/>
                <w:webHidden/>
              </w:rPr>
            </w:r>
            <w:r>
              <w:rPr>
                <w:noProof/>
                <w:webHidden/>
              </w:rPr>
              <w:fldChar w:fldCharType="separate"/>
            </w:r>
            <w:r>
              <w:rPr>
                <w:noProof/>
                <w:webHidden/>
              </w:rPr>
              <w:t>10</w:t>
            </w:r>
            <w:r>
              <w:rPr>
                <w:noProof/>
                <w:webHidden/>
              </w:rPr>
              <w:fldChar w:fldCharType="end"/>
            </w:r>
          </w:hyperlink>
        </w:p>
        <w:p w14:paraId="37869A36" w14:textId="581402DF" w:rsidR="00B64263" w:rsidRDefault="00B64263">
          <w:pPr>
            <w:pStyle w:val="TOC2"/>
            <w:tabs>
              <w:tab w:val="right" w:leader="dot" w:pos="9350"/>
            </w:tabs>
            <w:rPr>
              <w:noProof/>
            </w:rPr>
          </w:pPr>
          <w:hyperlink w:anchor="_Toc228288541" w:history="1">
            <w:r w:rsidRPr="00903E9C">
              <w:rPr>
                <w:rStyle w:val="Hyperlink"/>
                <w:noProof/>
              </w:rPr>
              <w:t>4.2 Positive Societal Impact</w:t>
            </w:r>
            <w:r>
              <w:rPr>
                <w:noProof/>
                <w:webHidden/>
              </w:rPr>
              <w:tab/>
            </w:r>
            <w:r>
              <w:rPr>
                <w:noProof/>
                <w:webHidden/>
              </w:rPr>
              <w:fldChar w:fldCharType="begin"/>
            </w:r>
            <w:r>
              <w:rPr>
                <w:noProof/>
                <w:webHidden/>
              </w:rPr>
              <w:instrText xml:space="preserve"> PAGEREF _Toc228288541 \h </w:instrText>
            </w:r>
            <w:r>
              <w:rPr>
                <w:noProof/>
                <w:webHidden/>
              </w:rPr>
            </w:r>
            <w:r>
              <w:rPr>
                <w:noProof/>
                <w:webHidden/>
              </w:rPr>
              <w:fldChar w:fldCharType="separate"/>
            </w:r>
            <w:r>
              <w:rPr>
                <w:noProof/>
                <w:webHidden/>
              </w:rPr>
              <w:t>10</w:t>
            </w:r>
            <w:r>
              <w:rPr>
                <w:noProof/>
                <w:webHidden/>
              </w:rPr>
              <w:fldChar w:fldCharType="end"/>
            </w:r>
          </w:hyperlink>
        </w:p>
        <w:p w14:paraId="41D6DE36" w14:textId="47B07B6C" w:rsidR="00B64263" w:rsidRDefault="00B64263">
          <w:pPr>
            <w:pStyle w:val="TOC2"/>
            <w:tabs>
              <w:tab w:val="right" w:leader="dot" w:pos="9350"/>
            </w:tabs>
            <w:rPr>
              <w:noProof/>
            </w:rPr>
          </w:pPr>
          <w:hyperlink w:anchor="_Toc228288542" w:history="1">
            <w:r w:rsidRPr="00903E9C">
              <w:rPr>
                <w:rStyle w:val="Hyperlink"/>
                <w:noProof/>
              </w:rPr>
              <w:t>4.3 Risks, Challenges and Mitigation</w:t>
            </w:r>
            <w:r>
              <w:rPr>
                <w:noProof/>
                <w:webHidden/>
              </w:rPr>
              <w:tab/>
            </w:r>
            <w:r>
              <w:rPr>
                <w:noProof/>
                <w:webHidden/>
              </w:rPr>
              <w:fldChar w:fldCharType="begin"/>
            </w:r>
            <w:r>
              <w:rPr>
                <w:noProof/>
                <w:webHidden/>
              </w:rPr>
              <w:instrText xml:space="preserve"> PAGEREF _Toc228288542 \h </w:instrText>
            </w:r>
            <w:r>
              <w:rPr>
                <w:noProof/>
                <w:webHidden/>
              </w:rPr>
            </w:r>
            <w:r>
              <w:rPr>
                <w:noProof/>
                <w:webHidden/>
              </w:rPr>
              <w:fldChar w:fldCharType="separate"/>
            </w:r>
            <w:r>
              <w:rPr>
                <w:noProof/>
                <w:webHidden/>
              </w:rPr>
              <w:t>11</w:t>
            </w:r>
            <w:r>
              <w:rPr>
                <w:noProof/>
                <w:webHidden/>
              </w:rPr>
              <w:fldChar w:fldCharType="end"/>
            </w:r>
          </w:hyperlink>
        </w:p>
        <w:p w14:paraId="6B179A3A" w14:textId="1E9C13B4" w:rsidR="00B64263" w:rsidRDefault="00B64263">
          <w:pPr>
            <w:pStyle w:val="TOC1"/>
            <w:tabs>
              <w:tab w:val="right" w:leader="dot" w:pos="9350"/>
            </w:tabs>
            <w:rPr>
              <w:noProof/>
            </w:rPr>
          </w:pPr>
          <w:hyperlink w:anchor="_Toc228288543" w:history="1">
            <w:r w:rsidRPr="00903E9C">
              <w:rPr>
                <w:rStyle w:val="Hyperlink"/>
                <w:noProof/>
              </w:rPr>
              <w:t>5. Conclusion</w:t>
            </w:r>
            <w:r>
              <w:rPr>
                <w:noProof/>
                <w:webHidden/>
              </w:rPr>
              <w:tab/>
            </w:r>
            <w:r>
              <w:rPr>
                <w:noProof/>
                <w:webHidden/>
              </w:rPr>
              <w:fldChar w:fldCharType="begin"/>
            </w:r>
            <w:r>
              <w:rPr>
                <w:noProof/>
                <w:webHidden/>
              </w:rPr>
              <w:instrText xml:space="preserve"> PAGEREF _Toc228288543 \h </w:instrText>
            </w:r>
            <w:r>
              <w:rPr>
                <w:noProof/>
                <w:webHidden/>
              </w:rPr>
            </w:r>
            <w:r>
              <w:rPr>
                <w:noProof/>
                <w:webHidden/>
              </w:rPr>
              <w:fldChar w:fldCharType="separate"/>
            </w:r>
            <w:r>
              <w:rPr>
                <w:noProof/>
                <w:webHidden/>
              </w:rPr>
              <w:t>12</w:t>
            </w:r>
            <w:r>
              <w:rPr>
                <w:noProof/>
                <w:webHidden/>
              </w:rPr>
              <w:fldChar w:fldCharType="end"/>
            </w:r>
          </w:hyperlink>
        </w:p>
        <w:p w14:paraId="03849065" w14:textId="4F57B34A" w:rsidR="00B64263" w:rsidRDefault="00B64263">
          <w:pPr>
            <w:pStyle w:val="TOC1"/>
            <w:tabs>
              <w:tab w:val="right" w:leader="dot" w:pos="9350"/>
            </w:tabs>
            <w:rPr>
              <w:noProof/>
            </w:rPr>
          </w:pPr>
          <w:hyperlink w:anchor="_Toc228288544" w:history="1">
            <w:r w:rsidRPr="00903E9C">
              <w:rPr>
                <w:rStyle w:val="Hyperlink"/>
                <w:noProof/>
              </w:rPr>
              <w:t>6. References</w:t>
            </w:r>
            <w:r>
              <w:rPr>
                <w:noProof/>
                <w:webHidden/>
              </w:rPr>
              <w:tab/>
            </w:r>
            <w:r>
              <w:rPr>
                <w:noProof/>
                <w:webHidden/>
              </w:rPr>
              <w:fldChar w:fldCharType="begin"/>
            </w:r>
            <w:r>
              <w:rPr>
                <w:noProof/>
                <w:webHidden/>
              </w:rPr>
              <w:instrText xml:space="preserve"> PAGEREF _Toc228288544 \h </w:instrText>
            </w:r>
            <w:r>
              <w:rPr>
                <w:noProof/>
                <w:webHidden/>
              </w:rPr>
            </w:r>
            <w:r>
              <w:rPr>
                <w:noProof/>
                <w:webHidden/>
              </w:rPr>
              <w:fldChar w:fldCharType="separate"/>
            </w:r>
            <w:r>
              <w:rPr>
                <w:noProof/>
                <w:webHidden/>
              </w:rPr>
              <w:t>13</w:t>
            </w:r>
            <w:r>
              <w:rPr>
                <w:noProof/>
                <w:webHidden/>
              </w:rPr>
              <w:fldChar w:fldCharType="end"/>
            </w:r>
          </w:hyperlink>
        </w:p>
        <w:p w14:paraId="0FA426C5" w14:textId="18ED60D6" w:rsidR="00B64263" w:rsidRDefault="00B64263">
          <w:pPr>
            <w:pStyle w:val="TOC1"/>
            <w:tabs>
              <w:tab w:val="right" w:leader="dot" w:pos="9350"/>
            </w:tabs>
            <w:rPr>
              <w:noProof/>
            </w:rPr>
          </w:pPr>
          <w:hyperlink w:anchor="_Toc228288545" w:history="1">
            <w:r w:rsidRPr="00903E9C">
              <w:rPr>
                <w:rStyle w:val="Hyperlink"/>
                <w:noProof/>
              </w:rPr>
              <w:t>7. Appendices</w:t>
            </w:r>
            <w:r>
              <w:rPr>
                <w:noProof/>
                <w:webHidden/>
              </w:rPr>
              <w:tab/>
            </w:r>
            <w:r>
              <w:rPr>
                <w:noProof/>
                <w:webHidden/>
              </w:rPr>
              <w:fldChar w:fldCharType="begin"/>
            </w:r>
            <w:r>
              <w:rPr>
                <w:noProof/>
                <w:webHidden/>
              </w:rPr>
              <w:instrText xml:space="preserve"> PAGEREF _Toc228288545 \h </w:instrText>
            </w:r>
            <w:r>
              <w:rPr>
                <w:noProof/>
                <w:webHidden/>
              </w:rPr>
            </w:r>
            <w:r>
              <w:rPr>
                <w:noProof/>
                <w:webHidden/>
              </w:rPr>
              <w:fldChar w:fldCharType="separate"/>
            </w:r>
            <w:r>
              <w:rPr>
                <w:noProof/>
                <w:webHidden/>
              </w:rPr>
              <w:t>15</w:t>
            </w:r>
            <w:r>
              <w:rPr>
                <w:noProof/>
                <w:webHidden/>
              </w:rPr>
              <w:fldChar w:fldCharType="end"/>
            </w:r>
          </w:hyperlink>
        </w:p>
        <w:p w14:paraId="27701043" w14:textId="1671B1FF" w:rsidR="00B64263" w:rsidRDefault="00B64263">
          <w:pPr>
            <w:pStyle w:val="TOC2"/>
            <w:tabs>
              <w:tab w:val="right" w:leader="dot" w:pos="9350"/>
            </w:tabs>
            <w:rPr>
              <w:noProof/>
            </w:rPr>
          </w:pPr>
          <w:hyperlink w:anchor="_Toc228288546" w:history="1">
            <w:r w:rsidRPr="00903E9C">
              <w:rPr>
                <w:rStyle w:val="Hyperlink"/>
                <w:noProof/>
              </w:rPr>
              <w:t>Appendix A: AgriConnect Tech Start-up Concept Card</w:t>
            </w:r>
            <w:r>
              <w:rPr>
                <w:noProof/>
                <w:webHidden/>
              </w:rPr>
              <w:tab/>
            </w:r>
            <w:r>
              <w:rPr>
                <w:noProof/>
                <w:webHidden/>
              </w:rPr>
              <w:fldChar w:fldCharType="begin"/>
            </w:r>
            <w:r>
              <w:rPr>
                <w:noProof/>
                <w:webHidden/>
              </w:rPr>
              <w:instrText xml:space="preserve"> PAGEREF _Toc228288546 \h </w:instrText>
            </w:r>
            <w:r>
              <w:rPr>
                <w:noProof/>
                <w:webHidden/>
              </w:rPr>
            </w:r>
            <w:r>
              <w:rPr>
                <w:noProof/>
                <w:webHidden/>
              </w:rPr>
              <w:fldChar w:fldCharType="separate"/>
            </w:r>
            <w:r>
              <w:rPr>
                <w:noProof/>
                <w:webHidden/>
              </w:rPr>
              <w:t>15</w:t>
            </w:r>
            <w:r>
              <w:rPr>
                <w:noProof/>
                <w:webHidden/>
              </w:rPr>
              <w:fldChar w:fldCharType="end"/>
            </w:r>
          </w:hyperlink>
        </w:p>
        <w:p w14:paraId="112C92C4" w14:textId="28ECA8D4" w:rsidR="00B64263" w:rsidRDefault="00B64263">
          <w:pPr>
            <w:pStyle w:val="TOC2"/>
            <w:tabs>
              <w:tab w:val="right" w:leader="dot" w:pos="9350"/>
            </w:tabs>
            <w:rPr>
              <w:noProof/>
            </w:rPr>
          </w:pPr>
          <w:hyperlink w:anchor="_Toc228288547" w:history="1">
            <w:r w:rsidRPr="00903E9C">
              <w:rPr>
                <w:rStyle w:val="Hyperlink"/>
                <w:noProof/>
              </w:rPr>
              <w:t>Appendix B: Engagement-with-Literature Summary</w:t>
            </w:r>
            <w:r>
              <w:rPr>
                <w:noProof/>
                <w:webHidden/>
              </w:rPr>
              <w:tab/>
            </w:r>
            <w:r>
              <w:rPr>
                <w:noProof/>
                <w:webHidden/>
              </w:rPr>
              <w:fldChar w:fldCharType="begin"/>
            </w:r>
            <w:r>
              <w:rPr>
                <w:noProof/>
                <w:webHidden/>
              </w:rPr>
              <w:instrText xml:space="preserve"> PAGEREF _Toc228288547 \h </w:instrText>
            </w:r>
            <w:r>
              <w:rPr>
                <w:noProof/>
                <w:webHidden/>
              </w:rPr>
            </w:r>
            <w:r>
              <w:rPr>
                <w:noProof/>
                <w:webHidden/>
              </w:rPr>
              <w:fldChar w:fldCharType="separate"/>
            </w:r>
            <w:r>
              <w:rPr>
                <w:noProof/>
                <w:webHidden/>
              </w:rPr>
              <w:t>15</w:t>
            </w:r>
            <w:r>
              <w:rPr>
                <w:noProof/>
                <w:webHidden/>
              </w:rPr>
              <w:fldChar w:fldCharType="end"/>
            </w:r>
          </w:hyperlink>
        </w:p>
        <w:p w14:paraId="080B2811" w14:textId="1A15A6B5" w:rsidR="00B64263" w:rsidRDefault="00B64263">
          <w:r>
            <w:rPr>
              <w:b/>
              <w:bCs/>
              <w:noProof/>
            </w:rPr>
            <w:fldChar w:fldCharType="end"/>
          </w:r>
        </w:p>
      </w:sdtContent>
    </w:sdt>
    <w:p w14:paraId="3EE65887" w14:textId="77777777" w:rsidR="00B64263" w:rsidRDefault="00B64263">
      <w:pPr>
        <w:spacing w:after="360"/>
      </w:pPr>
    </w:p>
    <w:p w14:paraId="67E9169A" w14:textId="77777777" w:rsidR="00B64263" w:rsidRDefault="00B64263">
      <w:pPr>
        <w:spacing w:after="360"/>
      </w:pPr>
    </w:p>
    <w:p w14:paraId="65832334" w14:textId="77777777" w:rsidR="00B64263" w:rsidRDefault="00B64263">
      <w:pPr>
        <w:spacing w:after="360"/>
      </w:pPr>
    </w:p>
    <w:p w14:paraId="57FE7105" w14:textId="77777777" w:rsidR="00B64263" w:rsidRDefault="00B64263">
      <w:pPr>
        <w:spacing w:after="360"/>
      </w:pPr>
    </w:p>
    <w:p w14:paraId="72879C44" w14:textId="77777777" w:rsidR="00B64263" w:rsidRDefault="00B64263">
      <w:pPr>
        <w:spacing w:after="360"/>
      </w:pPr>
    </w:p>
    <w:p w14:paraId="649B7474" w14:textId="77777777" w:rsidR="00B64263" w:rsidRDefault="00B64263">
      <w:pPr>
        <w:spacing w:after="360"/>
      </w:pPr>
    </w:p>
    <w:p w14:paraId="475BF084" w14:textId="77777777" w:rsidR="00B64263" w:rsidRDefault="00B64263">
      <w:pPr>
        <w:spacing w:after="360"/>
      </w:pPr>
    </w:p>
    <w:p w14:paraId="3EC0794B" w14:textId="77777777" w:rsidR="00B64263" w:rsidRDefault="00B64263">
      <w:pPr>
        <w:spacing w:after="360"/>
      </w:pPr>
    </w:p>
    <w:p w14:paraId="7D44FF55" w14:textId="77777777" w:rsidR="00A55793" w:rsidRDefault="00000000">
      <w:pPr>
        <w:pStyle w:val="Heading1"/>
      </w:pPr>
      <w:bookmarkStart w:id="0" w:name="_Toc228288529"/>
      <w:r>
        <w:lastRenderedPageBreak/>
        <w:t>1. Introduction</w:t>
      </w:r>
      <w:bookmarkEnd w:id="0"/>
    </w:p>
    <w:p w14:paraId="5B0469AC" w14:textId="13DD22F5" w:rsidR="00A55793" w:rsidRDefault="0000211C">
      <w:pPr>
        <w:spacing w:after="160" w:line="360" w:lineRule="auto"/>
        <w:jc w:val="both"/>
      </w:pPr>
      <w:r w:rsidRPr="0000211C">
        <w:t xml:space="preserve">Some 200 million smallholder farmers in South Asia are becoming vulnerable to climate volatility due to the increasing uncertainty around their livelihoods, as well as the broken value chains and lack of equal access to digital technologies [1], [2]. This report suggests </w:t>
      </w:r>
      <w:proofErr w:type="spellStart"/>
      <w:r w:rsidRPr="0000211C">
        <w:t>AgriConnect</w:t>
      </w:r>
      <w:proofErr w:type="spellEnd"/>
      <w:r w:rsidRPr="0000211C">
        <w:t xml:space="preserve"> an IoT-based smart-agriculture system that incorporates low-cost soil sensors, Urdu/English mobile app and a convolutional-neural-network (CNN) crop-disease scanner - as a Changemakers project that transforms theory in the classroom into practice that creates value. The brief has three deliverables, which form the basis of the report. Task 1 shows project-management and design artefacts (scope, Gantt schedule, development methodology, system architecture and wireframes). Task 2 uses the PEST and SWOT frameworks to Deere and Company - a market leader in </w:t>
      </w:r>
      <w:proofErr w:type="spellStart"/>
      <w:r w:rsidRPr="0000211C">
        <w:t>agritech</w:t>
      </w:r>
      <w:proofErr w:type="spellEnd"/>
      <w:r w:rsidRPr="0000211C">
        <w:t xml:space="preserve"> innovations and describes the concepts, practices and tools needed to implement </w:t>
      </w:r>
      <w:proofErr w:type="spellStart"/>
      <w:r w:rsidRPr="0000211C">
        <w:t>AgriConnect</w:t>
      </w:r>
      <w:proofErr w:type="spellEnd"/>
      <w:r w:rsidRPr="0000211C">
        <w:t xml:space="preserve"> in a large </w:t>
      </w:r>
      <w:proofErr w:type="spellStart"/>
      <w:r w:rsidRPr="0000211C">
        <w:t>organisation</w:t>
      </w:r>
      <w:proofErr w:type="spellEnd"/>
      <w:r w:rsidRPr="0000211C">
        <w:t>. Task 3 is a critical reflection on the skills development, the contribution to society and mitigate risks. It is the thesis pursued all the way that disciplined project management, the theory of evidence-based innovation and ethically based reflection are mutually supporting capabilities; they turn an idea with a creative character into quantifiable social value [3], [4]</w:t>
      </w:r>
      <w:r>
        <w:t>.</w:t>
      </w:r>
    </w:p>
    <w:p w14:paraId="5356C6D2" w14:textId="77777777" w:rsidR="00A55793" w:rsidRDefault="00000000">
      <w:r>
        <w:br w:type="page"/>
      </w:r>
    </w:p>
    <w:p w14:paraId="4316503D" w14:textId="77777777" w:rsidR="00A55793" w:rsidRDefault="00000000">
      <w:pPr>
        <w:pStyle w:val="Heading1"/>
      </w:pPr>
      <w:bookmarkStart w:id="1" w:name="_Toc228288530"/>
      <w:r>
        <w:lastRenderedPageBreak/>
        <w:t>2. Task 1: Project Management</w:t>
      </w:r>
      <w:bookmarkEnd w:id="1"/>
    </w:p>
    <w:p w14:paraId="4A1107DB" w14:textId="77777777" w:rsidR="00A55793" w:rsidRDefault="00000000">
      <w:pPr>
        <w:pStyle w:val="Heading2"/>
        <w:spacing w:before="320" w:after="160"/>
      </w:pPr>
      <w:bookmarkStart w:id="2" w:name="_Toc228288531"/>
      <w:r>
        <w:t>2.1 Project Scope, Solution and Constraints</w:t>
      </w:r>
      <w:bookmarkEnd w:id="2"/>
    </w:p>
    <w:p w14:paraId="0A673248" w14:textId="59AD1BFE" w:rsidR="00A55793" w:rsidRDefault="0000211C">
      <w:pPr>
        <w:spacing w:after="160" w:line="360" w:lineRule="auto"/>
        <w:jc w:val="both"/>
      </w:pPr>
      <w:proofErr w:type="spellStart"/>
      <w:r w:rsidRPr="0000211C">
        <w:t>AgriConnect</w:t>
      </w:r>
      <w:proofErr w:type="spellEnd"/>
      <w:r w:rsidRPr="0000211C">
        <w:t xml:space="preserve"> has the scope of designing, developing and piloting a precision-agriculture system aimed at smallholders with wheat, rice and cotton farms less than five hectares in Punjab, Pakistan. The solution suggested includes three interconnected elements: (</w:t>
      </w:r>
      <w:proofErr w:type="spellStart"/>
      <w:r w:rsidRPr="0000211C">
        <w:t>i</w:t>
      </w:r>
      <w:proofErr w:type="spellEnd"/>
      <w:r w:rsidRPr="0000211C">
        <w:t xml:space="preserve">) a network of </w:t>
      </w:r>
      <w:proofErr w:type="spellStart"/>
      <w:r w:rsidRPr="0000211C">
        <w:t>urdu</w:t>
      </w:r>
      <w:proofErr w:type="spellEnd"/>
      <w:r w:rsidRPr="0000211C">
        <w:t xml:space="preserve"> and English-based soil sensors powered by the sun and measuring moisture, pH and temperature levels; (ii) an Android-based first mobile application, displaying irrigation instructions, weather warnings, and live mandi prices; and (iii) a TensorFlow CNN, which classifies images of leaves based on the seven most common regional crop diseases [5], [6]. The technologies and resources needed are AWS EKS (Kubernetes) to support microservices, sensor time-series using </w:t>
      </w:r>
      <w:proofErr w:type="spellStart"/>
      <w:r w:rsidRPr="0000211C">
        <w:t>InfluxDB</w:t>
      </w:r>
      <w:proofErr w:type="spellEnd"/>
      <w:r w:rsidRPr="0000211C">
        <w:t>, transactional data using PostgreSQL, mobile using React Native, ML using one ML engineer, UX researcher and one agronomist. The main limitations include a limited 12-month horizon, the grant limit of 180,000, the rural 4G coverage, low average smartphone literacy, and adherence to the Personal Data Protection Bill 2023 of Pakistan and the EU GDPR regarding any donor reporting. The definition of scope given by Project Management Institute of scope as the sum of products, services and results to be provided [3] is clearly used to ensure that boundaries are auditable</w:t>
      </w:r>
      <w:r>
        <w:t>.</w:t>
      </w:r>
    </w:p>
    <w:p w14:paraId="34009FD7" w14:textId="77777777" w:rsidR="00A55793" w:rsidRDefault="00000000">
      <w:pPr>
        <w:pStyle w:val="Heading2"/>
        <w:spacing w:before="320" w:after="160"/>
      </w:pPr>
      <w:bookmarkStart w:id="3" w:name="_Toc228288532"/>
      <w:r>
        <w:t>2.2 Schedule, Timeline and Gantt Chart</w:t>
      </w:r>
      <w:bookmarkEnd w:id="3"/>
    </w:p>
    <w:p w14:paraId="1700D0FA" w14:textId="6822ACE2" w:rsidR="00A55793" w:rsidRDefault="0000211C">
      <w:pPr>
        <w:spacing w:after="160" w:line="360" w:lineRule="auto"/>
        <w:jc w:val="both"/>
      </w:pPr>
      <w:r w:rsidRPr="0000211C">
        <w:t xml:space="preserve">The 48-week plan is </w:t>
      </w:r>
      <w:proofErr w:type="spellStart"/>
      <w:r w:rsidRPr="0000211C">
        <w:t>visualised</w:t>
      </w:r>
      <w:proofErr w:type="spellEnd"/>
      <w:r w:rsidRPr="0000211C">
        <w:t xml:space="preserve"> in Figure 1 in five phases (initiation, design, build, pilot, launch). The chart was created using the matplotlib Gantt-style horizontal bars in Python and is based on the suggestion of Kerzner to use the overlapping upstream slippage-absorbing phases called rolling-waves [7]. The tasks that are critical </w:t>
      </w:r>
      <w:r>
        <w:t xml:space="preserve">paths </w:t>
      </w:r>
      <w:r w:rsidRPr="0000211C">
        <w:t>include the IoT prototyping (W1018), AI-model training (W1828) and the field pilot (W2836); these sequence-dependent items have the highest schedule buffer</w:t>
      </w:r>
      <w:r>
        <w:t>.</w:t>
      </w:r>
    </w:p>
    <w:p w14:paraId="155DC071" w14:textId="77777777" w:rsidR="00A55793" w:rsidRDefault="00000000">
      <w:pPr>
        <w:spacing w:before="120" w:after="80"/>
        <w:jc w:val="center"/>
      </w:pPr>
      <w:r>
        <w:rPr>
          <w:noProof/>
        </w:rPr>
        <w:lastRenderedPageBreak/>
        <w:drawing>
          <wp:inline distT="0" distB="0" distL="0" distR="0" wp14:anchorId="6551BE52" wp14:editId="0BFF3180">
            <wp:extent cx="5715000" cy="3048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715000" cy="3048000"/>
                    </a:xfrm>
                    <a:prstGeom prst="rect">
                      <a:avLst/>
                    </a:prstGeom>
                  </pic:spPr>
                </pic:pic>
              </a:graphicData>
            </a:graphic>
          </wp:inline>
        </w:drawing>
      </w:r>
    </w:p>
    <w:p w14:paraId="48AC7CAD" w14:textId="77777777" w:rsidR="00A55793" w:rsidRDefault="00000000">
      <w:pPr>
        <w:spacing w:before="80" w:after="240"/>
        <w:jc w:val="center"/>
      </w:pPr>
      <w:r>
        <w:rPr>
          <w:i/>
          <w:iCs/>
          <w:sz w:val="20"/>
          <w:szCs w:val="20"/>
        </w:rPr>
        <w:t xml:space="preserve">Figure 1. </w:t>
      </w:r>
      <w:proofErr w:type="spellStart"/>
      <w:r>
        <w:rPr>
          <w:i/>
          <w:iCs/>
          <w:sz w:val="20"/>
          <w:szCs w:val="20"/>
        </w:rPr>
        <w:t>AgriConnect</w:t>
      </w:r>
      <w:proofErr w:type="spellEnd"/>
      <w:r>
        <w:rPr>
          <w:i/>
          <w:iCs/>
          <w:sz w:val="20"/>
          <w:szCs w:val="20"/>
        </w:rPr>
        <w:t xml:space="preserve"> 48-week Gantt chart (author's own; produced in Python matplotlib).</w:t>
      </w:r>
    </w:p>
    <w:p w14:paraId="1C37D995" w14:textId="77777777" w:rsidR="00A55793" w:rsidRDefault="00000000">
      <w:pPr>
        <w:pStyle w:val="Heading2"/>
        <w:spacing w:before="320" w:after="160"/>
      </w:pPr>
      <w:bookmarkStart w:id="4" w:name="_Toc228288533"/>
      <w:r>
        <w:t>2.3 Development Method</w:t>
      </w:r>
      <w:bookmarkEnd w:id="4"/>
    </w:p>
    <w:p w14:paraId="25A2EFB7" w14:textId="5AC76A48" w:rsidR="00A55793" w:rsidRDefault="0000211C">
      <w:pPr>
        <w:spacing w:after="160" w:line="360" w:lineRule="auto"/>
        <w:jc w:val="both"/>
      </w:pPr>
      <w:r w:rsidRPr="0000211C">
        <w:t>A build phase is chosen as Agile Scrum, where the sprints last two weeks, daily stand-ups, sprint reviews and retrospectives are determined based on the Scrum Guide by Schwaber and Sutherland [8]. Scrum was selected instead of Waterfall since the user requirements in low-literacy rural environments are not predetermined at the beginning; the iteration-based approach enables weekly user-research feedback to influence the subsequent sprint backlog [9]. Most importantly, though, hybrid practice is implemented: discovery and architectural design have a more linear predictive character since the procurement of hardware (sensors, gateways) cannot be rearranged on a weekly basis [7]. This practical mixture is based on the 2021 reinvention of project management as a continuum by PMI instead of a binary between Agile and Waterfall [3]</w:t>
      </w:r>
      <w:r>
        <w:t>.</w:t>
      </w:r>
    </w:p>
    <w:p w14:paraId="76D2F700" w14:textId="06CCE459" w:rsidR="00A55793" w:rsidRDefault="00000000">
      <w:pPr>
        <w:pStyle w:val="Heading2"/>
        <w:spacing w:before="320" w:after="160"/>
      </w:pPr>
      <w:bookmarkStart w:id="5" w:name="_Toc228288534"/>
      <w:r>
        <w:t>2.4 Project Design</w:t>
      </w:r>
      <w:r w:rsidR="009D327A">
        <w:t>:</w:t>
      </w:r>
      <w:r>
        <w:t xml:space="preserve"> Two Artefacts</w:t>
      </w:r>
      <w:bookmarkEnd w:id="5"/>
    </w:p>
    <w:p w14:paraId="165AABB2" w14:textId="7423AC1E" w:rsidR="00A55793" w:rsidRDefault="0000211C">
      <w:pPr>
        <w:spacing w:after="160" w:line="360" w:lineRule="auto"/>
        <w:jc w:val="both"/>
      </w:pPr>
      <w:r w:rsidRPr="0000211C">
        <w:t>Below, two design artefacts are shown. Figure 2 is a system architecture diagram with four layers and Figure 3 includes three high-fidelity wireframes of the farmer-facing mobile app. These were both written by the author</w:t>
      </w:r>
      <w:r>
        <w:t>.</w:t>
      </w:r>
    </w:p>
    <w:p w14:paraId="2F798656" w14:textId="77777777" w:rsidR="00A55793" w:rsidRDefault="00000000">
      <w:pPr>
        <w:spacing w:before="120" w:after="80"/>
        <w:jc w:val="center"/>
      </w:pPr>
      <w:r>
        <w:rPr>
          <w:noProof/>
        </w:rPr>
        <w:lastRenderedPageBreak/>
        <w:drawing>
          <wp:inline distT="0" distB="0" distL="0" distR="0" wp14:anchorId="581AA994" wp14:editId="11E887CF">
            <wp:extent cx="5715000" cy="3619500"/>
            <wp:effectExtent l="0" t="0" r="0" b="0"/>
            <wp:docPr id="708907726" name="Picture 7089077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715000" cy="3619500"/>
                    </a:xfrm>
                    <a:prstGeom prst="rect">
                      <a:avLst/>
                    </a:prstGeom>
                  </pic:spPr>
                </pic:pic>
              </a:graphicData>
            </a:graphic>
          </wp:inline>
        </w:drawing>
      </w:r>
    </w:p>
    <w:p w14:paraId="64234D55" w14:textId="77777777" w:rsidR="00A55793" w:rsidRDefault="00000000">
      <w:pPr>
        <w:spacing w:before="80" w:after="240"/>
        <w:jc w:val="center"/>
      </w:pPr>
      <w:r>
        <w:rPr>
          <w:i/>
          <w:iCs/>
          <w:sz w:val="20"/>
          <w:szCs w:val="20"/>
        </w:rPr>
        <w:t xml:space="preserve">Figure 2. </w:t>
      </w:r>
      <w:proofErr w:type="spellStart"/>
      <w:r>
        <w:rPr>
          <w:i/>
          <w:iCs/>
          <w:sz w:val="20"/>
          <w:szCs w:val="20"/>
        </w:rPr>
        <w:t>AgriConnect</w:t>
      </w:r>
      <w:proofErr w:type="spellEnd"/>
      <w:r>
        <w:rPr>
          <w:i/>
          <w:iCs/>
          <w:sz w:val="20"/>
          <w:szCs w:val="20"/>
        </w:rPr>
        <w:t xml:space="preserve"> high-level system architecture — edge, network, application and data layers (author's own).</w:t>
      </w:r>
    </w:p>
    <w:p w14:paraId="395AA9A5" w14:textId="77F970CE" w:rsidR="00A55793" w:rsidRDefault="0000211C">
      <w:pPr>
        <w:spacing w:after="160" w:line="360" w:lineRule="auto"/>
        <w:jc w:val="both"/>
      </w:pPr>
      <w:r w:rsidRPr="0000211C">
        <w:t xml:space="preserve">The architecture is a layered IoT design based on the guideline of </w:t>
      </w:r>
      <w:proofErr w:type="spellStart"/>
      <w:r w:rsidRPr="0000211C">
        <w:t>Tzounis</w:t>
      </w:r>
      <w:proofErr w:type="spellEnd"/>
      <w:r w:rsidRPr="0000211C">
        <w:t xml:space="preserve"> et al. in agricultural systems [5]. Streaming telemetry, Edge devices to the API gateway, microservice-based horizontal scaling, and time-series, object and analytics workloads are separated by the data layer to maintain low cost of storage, a pattern Wolfert et al. </w:t>
      </w:r>
      <w:proofErr w:type="spellStart"/>
      <w:r w:rsidRPr="0000211C">
        <w:t>characterise</w:t>
      </w:r>
      <w:proofErr w:type="spellEnd"/>
      <w:r w:rsidRPr="0000211C">
        <w:t xml:space="preserve"> as a key element in big-data farming applications [10]</w:t>
      </w:r>
      <w:r>
        <w:t>.</w:t>
      </w:r>
    </w:p>
    <w:p w14:paraId="662AEAC4" w14:textId="77777777" w:rsidR="00A55793" w:rsidRDefault="00000000">
      <w:pPr>
        <w:spacing w:before="120" w:after="80"/>
        <w:jc w:val="center"/>
      </w:pPr>
      <w:r>
        <w:rPr>
          <w:noProof/>
        </w:rPr>
        <w:lastRenderedPageBreak/>
        <w:drawing>
          <wp:inline distT="0" distB="0" distL="0" distR="0" wp14:anchorId="20AEB90A" wp14:editId="69FD67E2">
            <wp:extent cx="5715000" cy="3429000"/>
            <wp:effectExtent l="0" t="0" r="0" b="0"/>
            <wp:docPr id="1329214365" name="Picture 1329214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715000" cy="3429000"/>
                    </a:xfrm>
                    <a:prstGeom prst="rect">
                      <a:avLst/>
                    </a:prstGeom>
                  </pic:spPr>
                </pic:pic>
              </a:graphicData>
            </a:graphic>
          </wp:inline>
        </w:drawing>
      </w:r>
    </w:p>
    <w:p w14:paraId="177D5A84" w14:textId="77777777" w:rsidR="00A55793" w:rsidRDefault="00000000">
      <w:pPr>
        <w:spacing w:before="80" w:after="240"/>
        <w:jc w:val="center"/>
      </w:pPr>
      <w:r>
        <w:rPr>
          <w:i/>
          <w:iCs/>
          <w:sz w:val="20"/>
          <w:szCs w:val="20"/>
        </w:rPr>
        <w:t xml:space="preserve">Figure 3. </w:t>
      </w:r>
      <w:proofErr w:type="spellStart"/>
      <w:r>
        <w:rPr>
          <w:i/>
          <w:iCs/>
          <w:sz w:val="20"/>
          <w:szCs w:val="20"/>
        </w:rPr>
        <w:t>AgriConnect</w:t>
      </w:r>
      <w:proofErr w:type="spellEnd"/>
      <w:r>
        <w:rPr>
          <w:i/>
          <w:iCs/>
          <w:sz w:val="20"/>
          <w:szCs w:val="20"/>
        </w:rPr>
        <w:t xml:space="preserve"> mobile-app wireframes — home dashboard, AI scan and live mandi prices (author's own).</w:t>
      </w:r>
    </w:p>
    <w:p w14:paraId="3F06305A" w14:textId="307712DA" w:rsidR="00A55793" w:rsidRDefault="0000211C">
      <w:pPr>
        <w:spacing w:after="160" w:line="360" w:lineRule="auto"/>
        <w:jc w:val="both"/>
      </w:pPr>
      <w:r w:rsidRPr="0000211C">
        <w:t>The wireframes reflect three conscious UX decisions based on evidence of user research: high-</w:t>
      </w:r>
      <w:proofErr w:type="spellStart"/>
      <w:r w:rsidRPr="0000211C">
        <w:t>colour</w:t>
      </w:r>
      <w:proofErr w:type="spellEnd"/>
      <w:r w:rsidRPr="0000211C">
        <w:t xml:space="preserve"> coded alerts to users with low literacy, voice-first Urdu-language chat to ask agronomist, price displayed using directional arrows as opposed to tables, as icons are perceived more quickly than numbers in the field setting [6]</w:t>
      </w:r>
      <w:r>
        <w:t>.</w:t>
      </w:r>
    </w:p>
    <w:p w14:paraId="6B79C196" w14:textId="77777777" w:rsidR="00A55793" w:rsidRDefault="00000000">
      <w:r>
        <w:br w:type="page"/>
      </w:r>
    </w:p>
    <w:p w14:paraId="39048FFA" w14:textId="77777777" w:rsidR="00A55793" w:rsidRDefault="00000000">
      <w:pPr>
        <w:pStyle w:val="Heading1"/>
      </w:pPr>
      <w:bookmarkStart w:id="6" w:name="_Toc228288535"/>
      <w:r>
        <w:lastRenderedPageBreak/>
        <w:t>3. Task 2: Innovation</w:t>
      </w:r>
      <w:bookmarkEnd w:id="6"/>
    </w:p>
    <w:p w14:paraId="7F1446A7" w14:textId="4B3BE380" w:rsidR="00A55793" w:rsidRDefault="0000211C">
      <w:pPr>
        <w:spacing w:after="160" w:line="360" w:lineRule="auto"/>
        <w:jc w:val="both"/>
      </w:pPr>
      <w:r w:rsidRPr="0000211C">
        <w:t xml:space="preserve">In this section, the Innovation stream of brief is chosen. Deere &amp; Company (NYSE: DE), which is the largest </w:t>
      </w:r>
      <w:proofErr w:type="spellStart"/>
      <w:r w:rsidRPr="0000211C">
        <w:t>agritech</w:t>
      </w:r>
      <w:proofErr w:type="spellEnd"/>
      <w:r w:rsidRPr="0000211C">
        <w:t xml:space="preserve"> company in the world and a good benchmark due to its precision-agriculture portfolio being like the value proposition of </w:t>
      </w:r>
      <w:proofErr w:type="spellStart"/>
      <w:r w:rsidRPr="0000211C">
        <w:t>AgriConnect</w:t>
      </w:r>
      <w:proofErr w:type="spellEnd"/>
      <w:r w:rsidRPr="0000211C">
        <w:t xml:space="preserve"> at an industrial scale, is analyzed in a PEST and SWOT analysis [11]. This is then </w:t>
      </w:r>
      <w:proofErr w:type="spellStart"/>
      <w:r w:rsidRPr="0000211C">
        <w:t>analysed</w:t>
      </w:r>
      <w:proofErr w:type="spellEnd"/>
      <w:r w:rsidRPr="0000211C">
        <w:t xml:space="preserve"> before a discussion of how </w:t>
      </w:r>
      <w:proofErr w:type="spellStart"/>
      <w:r w:rsidRPr="0000211C">
        <w:t>AgriConnect</w:t>
      </w:r>
      <w:proofErr w:type="spellEnd"/>
      <w:r w:rsidRPr="0000211C">
        <w:t xml:space="preserve"> would be developed, deployed, maintained and evolved in the event it was hosted in such an </w:t>
      </w:r>
      <w:proofErr w:type="spellStart"/>
      <w:r w:rsidRPr="0000211C">
        <w:t>organisation</w:t>
      </w:r>
      <w:proofErr w:type="spellEnd"/>
      <w:r>
        <w:t>.</w:t>
      </w:r>
    </w:p>
    <w:p w14:paraId="47E776E5" w14:textId="6EB965CC" w:rsidR="00A55793" w:rsidRDefault="00000000">
      <w:pPr>
        <w:pStyle w:val="Heading2"/>
        <w:spacing w:before="320" w:after="160"/>
      </w:pPr>
      <w:bookmarkStart w:id="7" w:name="_Toc228288536"/>
      <w:r>
        <w:t>3.1 PEST Analysis</w:t>
      </w:r>
      <w:r w:rsidR="009D327A">
        <w:t xml:space="preserve">: </w:t>
      </w:r>
      <w:r>
        <w:t>Deere &amp; Company</w:t>
      </w:r>
      <w:bookmarkEnd w:id="7"/>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00"/>
        <w:gridCol w:w="7660"/>
      </w:tblGrid>
      <w:tr w:rsidR="00A55793" w14:paraId="0E670537" w14:textId="77777777">
        <w:trPr>
          <w:tblHeader/>
        </w:trPr>
        <w:tc>
          <w:tcPr>
            <w:tcW w:w="1700" w:type="dxa"/>
            <w:tcBorders>
              <w:top w:val="single" w:sz="4" w:space="0" w:color="888888"/>
              <w:left w:val="single" w:sz="4" w:space="0" w:color="888888"/>
              <w:bottom w:val="single" w:sz="4" w:space="0" w:color="888888"/>
              <w:right w:val="single" w:sz="4" w:space="0" w:color="888888"/>
            </w:tcBorders>
            <w:shd w:val="clear" w:color="auto" w:fill="1F4E79"/>
            <w:tcMar>
              <w:top w:w="100" w:type="dxa"/>
              <w:left w:w="120" w:type="dxa"/>
              <w:bottom w:w="100" w:type="dxa"/>
              <w:right w:w="120" w:type="dxa"/>
            </w:tcMar>
          </w:tcPr>
          <w:p w14:paraId="15C8FD58" w14:textId="77777777" w:rsidR="00A55793" w:rsidRDefault="00000000">
            <w:pPr>
              <w:jc w:val="center"/>
            </w:pPr>
            <w:r>
              <w:rPr>
                <w:b/>
                <w:bCs/>
                <w:color w:val="FFFFFF"/>
                <w:sz w:val="22"/>
                <w:szCs w:val="22"/>
              </w:rPr>
              <w:t>Factor</w:t>
            </w:r>
          </w:p>
        </w:tc>
        <w:tc>
          <w:tcPr>
            <w:tcW w:w="7660" w:type="dxa"/>
            <w:tcBorders>
              <w:top w:val="single" w:sz="4" w:space="0" w:color="888888"/>
              <w:left w:val="single" w:sz="4" w:space="0" w:color="888888"/>
              <w:bottom w:val="single" w:sz="4" w:space="0" w:color="888888"/>
              <w:right w:val="single" w:sz="4" w:space="0" w:color="888888"/>
            </w:tcBorders>
            <w:shd w:val="clear" w:color="auto" w:fill="1F4E79"/>
            <w:tcMar>
              <w:top w:w="100" w:type="dxa"/>
              <w:left w:w="120" w:type="dxa"/>
              <w:bottom w:w="100" w:type="dxa"/>
              <w:right w:w="120" w:type="dxa"/>
            </w:tcMar>
          </w:tcPr>
          <w:p w14:paraId="5AABDDC0" w14:textId="77777777" w:rsidR="00A55793" w:rsidRDefault="00000000">
            <w:pPr>
              <w:jc w:val="center"/>
            </w:pPr>
            <w:r>
              <w:rPr>
                <w:b/>
                <w:bCs/>
                <w:color w:val="FFFFFF"/>
                <w:sz w:val="22"/>
                <w:szCs w:val="22"/>
              </w:rPr>
              <w:t>Key considerations for Deere &amp; Company [11], [10]</w:t>
            </w:r>
          </w:p>
        </w:tc>
      </w:tr>
      <w:tr w:rsidR="00A55793" w14:paraId="3BAA030F" w14:textId="77777777">
        <w:tc>
          <w:tcPr>
            <w:tcW w:w="1700" w:type="dxa"/>
            <w:tcBorders>
              <w:top w:val="single" w:sz="4" w:space="0" w:color="888888"/>
              <w:left w:val="single" w:sz="4" w:space="0" w:color="888888"/>
              <w:bottom w:val="single" w:sz="4" w:space="0" w:color="888888"/>
              <w:right w:val="single" w:sz="4" w:space="0" w:color="888888"/>
            </w:tcBorders>
            <w:shd w:val="clear" w:color="auto" w:fill="F2F2F2"/>
            <w:tcMar>
              <w:top w:w="100" w:type="dxa"/>
              <w:left w:w="120" w:type="dxa"/>
              <w:bottom w:w="100" w:type="dxa"/>
              <w:right w:w="120" w:type="dxa"/>
            </w:tcMar>
          </w:tcPr>
          <w:p w14:paraId="213FC921" w14:textId="77777777" w:rsidR="00A55793" w:rsidRDefault="00000000">
            <w:r>
              <w:rPr>
                <w:b/>
                <w:bCs/>
                <w:sz w:val="20"/>
                <w:szCs w:val="20"/>
              </w:rPr>
              <w:t>Political</w:t>
            </w:r>
          </w:p>
        </w:tc>
        <w:tc>
          <w:tcPr>
            <w:tcW w:w="766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08A3A4D0" w14:textId="18232704" w:rsidR="0000211C" w:rsidRPr="0000211C" w:rsidRDefault="0000211C" w:rsidP="0000211C">
            <w:pPr>
              <w:pStyle w:val="ListParagraph"/>
              <w:numPr>
                <w:ilvl w:val="0"/>
                <w:numId w:val="2"/>
              </w:numPr>
              <w:spacing w:after="60"/>
              <w:rPr>
                <w:sz w:val="20"/>
                <w:szCs w:val="20"/>
              </w:rPr>
            </w:pPr>
            <w:r w:rsidRPr="0000211C">
              <w:rPr>
                <w:sz w:val="20"/>
                <w:szCs w:val="20"/>
              </w:rPr>
              <w:t>US, China agricultural machinery tariff exposure (2018-2022) increases the cost of inputs.</w:t>
            </w:r>
          </w:p>
          <w:p w14:paraId="08F66315" w14:textId="77777777" w:rsidR="0000211C" w:rsidRPr="0000211C" w:rsidRDefault="0000211C" w:rsidP="0000211C">
            <w:pPr>
              <w:pStyle w:val="ListParagraph"/>
              <w:numPr>
                <w:ilvl w:val="0"/>
                <w:numId w:val="2"/>
              </w:numPr>
              <w:spacing w:after="60"/>
              <w:rPr>
                <w:sz w:val="20"/>
                <w:szCs w:val="20"/>
              </w:rPr>
            </w:pPr>
            <w:r w:rsidRPr="0000211C">
              <w:rPr>
                <w:sz w:val="20"/>
                <w:szCs w:val="20"/>
              </w:rPr>
              <w:t>Design changes to firmware are required by 2024 right-to-repair laws in Colorado and the EU.</w:t>
            </w:r>
          </w:p>
          <w:p w14:paraId="344E51EF" w14:textId="12CD9DF2" w:rsidR="00A55793" w:rsidRDefault="0000211C" w:rsidP="0000211C">
            <w:pPr>
              <w:pStyle w:val="ListParagraph"/>
              <w:numPr>
                <w:ilvl w:val="0"/>
                <w:numId w:val="2"/>
              </w:numPr>
              <w:spacing w:after="60"/>
            </w:pPr>
            <w:r w:rsidRPr="0000211C">
              <w:rPr>
                <w:sz w:val="20"/>
                <w:szCs w:val="20"/>
              </w:rPr>
              <w:t>Farm-bill subsidies: Farm-bill subsidies, which indirectly affect the demand for high-end precision equipment.</w:t>
            </w:r>
          </w:p>
        </w:tc>
      </w:tr>
      <w:tr w:rsidR="00A55793" w14:paraId="7CE6D61D" w14:textId="77777777">
        <w:tc>
          <w:tcPr>
            <w:tcW w:w="1700" w:type="dxa"/>
            <w:tcBorders>
              <w:top w:val="single" w:sz="4" w:space="0" w:color="888888"/>
              <w:left w:val="single" w:sz="4" w:space="0" w:color="888888"/>
              <w:bottom w:val="single" w:sz="4" w:space="0" w:color="888888"/>
              <w:right w:val="single" w:sz="4" w:space="0" w:color="888888"/>
            </w:tcBorders>
            <w:shd w:val="clear" w:color="auto" w:fill="F2F2F2"/>
            <w:tcMar>
              <w:top w:w="100" w:type="dxa"/>
              <w:left w:w="120" w:type="dxa"/>
              <w:bottom w:w="100" w:type="dxa"/>
              <w:right w:w="120" w:type="dxa"/>
            </w:tcMar>
          </w:tcPr>
          <w:p w14:paraId="04442A00" w14:textId="77777777" w:rsidR="00A55793" w:rsidRDefault="00000000">
            <w:r>
              <w:rPr>
                <w:b/>
                <w:bCs/>
                <w:sz w:val="20"/>
                <w:szCs w:val="20"/>
              </w:rPr>
              <w:t>Economic</w:t>
            </w:r>
          </w:p>
        </w:tc>
        <w:tc>
          <w:tcPr>
            <w:tcW w:w="766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00A3391C" w14:textId="292E819D" w:rsidR="0000211C" w:rsidRPr="0000211C" w:rsidRDefault="0000211C" w:rsidP="0000211C">
            <w:pPr>
              <w:pStyle w:val="ListParagraph"/>
              <w:numPr>
                <w:ilvl w:val="0"/>
                <w:numId w:val="2"/>
              </w:numPr>
              <w:spacing w:after="60"/>
              <w:rPr>
                <w:sz w:val="20"/>
                <w:szCs w:val="20"/>
              </w:rPr>
            </w:pPr>
            <w:r w:rsidRPr="0000211C">
              <w:rPr>
                <w:sz w:val="20"/>
                <w:szCs w:val="20"/>
              </w:rPr>
              <w:t>Cyclical commodity prices have led to a 30% change in revenues in the last ten years.</w:t>
            </w:r>
          </w:p>
          <w:p w14:paraId="10D2A72A" w14:textId="77777777" w:rsidR="0000211C" w:rsidRPr="0000211C" w:rsidRDefault="0000211C" w:rsidP="0000211C">
            <w:pPr>
              <w:pStyle w:val="ListParagraph"/>
              <w:numPr>
                <w:ilvl w:val="0"/>
                <w:numId w:val="2"/>
              </w:numPr>
              <w:spacing w:after="60"/>
              <w:rPr>
                <w:sz w:val="20"/>
                <w:szCs w:val="20"/>
              </w:rPr>
            </w:pPr>
            <w:r w:rsidRPr="0000211C">
              <w:rPr>
                <w:sz w:val="20"/>
                <w:szCs w:val="20"/>
              </w:rPr>
              <w:t>There is the trend of higher interest rates which raise the cost of financing customers (Deere Financial Services).</w:t>
            </w:r>
          </w:p>
          <w:p w14:paraId="612FAC03" w14:textId="08D5FA22" w:rsidR="00A55793" w:rsidRDefault="0000211C" w:rsidP="0000211C">
            <w:pPr>
              <w:pStyle w:val="ListParagraph"/>
              <w:numPr>
                <w:ilvl w:val="0"/>
                <w:numId w:val="2"/>
              </w:numPr>
              <w:spacing w:after="60"/>
            </w:pPr>
            <w:r w:rsidRPr="0000211C">
              <w:rPr>
                <w:sz w:val="20"/>
                <w:szCs w:val="20"/>
              </w:rPr>
              <w:t>Exposure to 30+ markets in foreign currency translates to risk.</w:t>
            </w:r>
          </w:p>
        </w:tc>
      </w:tr>
      <w:tr w:rsidR="00A55793" w14:paraId="473D6148" w14:textId="77777777">
        <w:tc>
          <w:tcPr>
            <w:tcW w:w="1700" w:type="dxa"/>
            <w:tcBorders>
              <w:top w:val="single" w:sz="4" w:space="0" w:color="888888"/>
              <w:left w:val="single" w:sz="4" w:space="0" w:color="888888"/>
              <w:bottom w:val="single" w:sz="4" w:space="0" w:color="888888"/>
              <w:right w:val="single" w:sz="4" w:space="0" w:color="888888"/>
            </w:tcBorders>
            <w:shd w:val="clear" w:color="auto" w:fill="F2F2F2"/>
            <w:tcMar>
              <w:top w:w="100" w:type="dxa"/>
              <w:left w:w="120" w:type="dxa"/>
              <w:bottom w:w="100" w:type="dxa"/>
              <w:right w:w="120" w:type="dxa"/>
            </w:tcMar>
          </w:tcPr>
          <w:p w14:paraId="3EB10D5F" w14:textId="77777777" w:rsidR="00A55793" w:rsidRDefault="00000000">
            <w:r>
              <w:rPr>
                <w:b/>
                <w:bCs/>
                <w:sz w:val="20"/>
                <w:szCs w:val="20"/>
              </w:rPr>
              <w:t>Social</w:t>
            </w:r>
          </w:p>
        </w:tc>
        <w:tc>
          <w:tcPr>
            <w:tcW w:w="766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5540166F" w14:textId="10E2D76F" w:rsidR="0000211C" w:rsidRPr="0000211C" w:rsidRDefault="0000211C" w:rsidP="0000211C">
            <w:pPr>
              <w:pStyle w:val="ListParagraph"/>
              <w:numPr>
                <w:ilvl w:val="0"/>
                <w:numId w:val="4"/>
              </w:numPr>
              <w:spacing w:after="60"/>
              <w:rPr>
                <w:sz w:val="20"/>
                <w:szCs w:val="20"/>
              </w:rPr>
            </w:pPr>
            <w:r w:rsidRPr="0000211C">
              <w:rPr>
                <w:sz w:val="20"/>
                <w:szCs w:val="20"/>
              </w:rPr>
              <w:t>On US farms, generational change of average operator age over 57 increases the pressure on automation.</w:t>
            </w:r>
          </w:p>
          <w:p w14:paraId="16A9797E" w14:textId="581037B7" w:rsidR="0000211C" w:rsidRPr="0000211C" w:rsidRDefault="0000211C" w:rsidP="0000211C">
            <w:pPr>
              <w:pStyle w:val="ListParagraph"/>
              <w:numPr>
                <w:ilvl w:val="0"/>
                <w:numId w:val="4"/>
              </w:numPr>
              <w:spacing w:after="60"/>
              <w:rPr>
                <w:sz w:val="20"/>
                <w:szCs w:val="20"/>
              </w:rPr>
            </w:pPr>
            <w:r w:rsidRPr="0000211C">
              <w:rPr>
                <w:sz w:val="20"/>
                <w:szCs w:val="20"/>
              </w:rPr>
              <w:t xml:space="preserve">Increasing demands of consumers to traceable, sustainable produce </w:t>
            </w:r>
            <w:proofErr w:type="spellStart"/>
            <w:r w:rsidRPr="0000211C">
              <w:rPr>
                <w:sz w:val="20"/>
                <w:szCs w:val="20"/>
              </w:rPr>
              <w:t>favour</w:t>
            </w:r>
            <w:proofErr w:type="spellEnd"/>
            <w:r w:rsidRPr="0000211C">
              <w:rPr>
                <w:sz w:val="20"/>
                <w:szCs w:val="20"/>
              </w:rPr>
              <w:t xml:space="preserve"> precision agriculture.</w:t>
            </w:r>
          </w:p>
          <w:p w14:paraId="4376FFBA" w14:textId="7EA69017" w:rsidR="00A55793" w:rsidRDefault="0000211C" w:rsidP="0000211C">
            <w:pPr>
              <w:pStyle w:val="ListParagraph"/>
              <w:numPr>
                <w:ilvl w:val="0"/>
                <w:numId w:val="3"/>
              </w:numPr>
              <w:spacing w:after="60"/>
            </w:pPr>
            <w:r w:rsidRPr="0000211C">
              <w:rPr>
                <w:sz w:val="20"/>
                <w:szCs w:val="20"/>
              </w:rPr>
              <w:t xml:space="preserve">• There is a digital-divide issue among the smallholders in emerging </w:t>
            </w:r>
            <w:proofErr w:type="gramStart"/>
            <w:r w:rsidRPr="0000211C">
              <w:rPr>
                <w:sz w:val="20"/>
                <w:szCs w:val="20"/>
              </w:rPr>
              <w:t>markets</w:t>
            </w:r>
            <w:proofErr w:type="gramEnd"/>
            <w:r w:rsidRPr="0000211C">
              <w:rPr>
                <w:sz w:val="20"/>
                <w:szCs w:val="20"/>
              </w:rPr>
              <w:t xml:space="preserve"> and this restricts access.</w:t>
            </w:r>
          </w:p>
        </w:tc>
      </w:tr>
      <w:tr w:rsidR="00A55793" w14:paraId="3B5C9B22" w14:textId="77777777">
        <w:tc>
          <w:tcPr>
            <w:tcW w:w="1700" w:type="dxa"/>
            <w:tcBorders>
              <w:top w:val="single" w:sz="4" w:space="0" w:color="888888"/>
              <w:left w:val="single" w:sz="4" w:space="0" w:color="888888"/>
              <w:bottom w:val="single" w:sz="4" w:space="0" w:color="888888"/>
              <w:right w:val="single" w:sz="4" w:space="0" w:color="888888"/>
            </w:tcBorders>
            <w:shd w:val="clear" w:color="auto" w:fill="F2F2F2"/>
            <w:tcMar>
              <w:top w:w="100" w:type="dxa"/>
              <w:left w:w="120" w:type="dxa"/>
              <w:bottom w:w="100" w:type="dxa"/>
              <w:right w:w="120" w:type="dxa"/>
            </w:tcMar>
          </w:tcPr>
          <w:p w14:paraId="18C9D16A" w14:textId="77777777" w:rsidR="00A55793" w:rsidRDefault="00000000">
            <w:r>
              <w:rPr>
                <w:b/>
                <w:bCs/>
                <w:sz w:val="20"/>
                <w:szCs w:val="20"/>
              </w:rPr>
              <w:t>Technological</w:t>
            </w:r>
          </w:p>
        </w:tc>
        <w:tc>
          <w:tcPr>
            <w:tcW w:w="766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035CA116" w14:textId="4769DDDE" w:rsidR="0000211C" w:rsidRPr="0000211C" w:rsidRDefault="0000211C" w:rsidP="0000211C">
            <w:pPr>
              <w:pStyle w:val="ListParagraph"/>
              <w:numPr>
                <w:ilvl w:val="0"/>
                <w:numId w:val="4"/>
              </w:numPr>
              <w:spacing w:after="60"/>
              <w:rPr>
                <w:sz w:val="20"/>
                <w:szCs w:val="20"/>
              </w:rPr>
            </w:pPr>
            <w:r w:rsidRPr="0000211C">
              <w:rPr>
                <w:sz w:val="20"/>
                <w:szCs w:val="20"/>
              </w:rPr>
              <w:t>Development of computer vision, satellite applications and autonomous tractor (See and Spray).</w:t>
            </w:r>
          </w:p>
          <w:p w14:paraId="139C8BFB" w14:textId="77777777" w:rsidR="0000211C" w:rsidRPr="0000211C" w:rsidRDefault="0000211C" w:rsidP="0000211C">
            <w:pPr>
              <w:pStyle w:val="ListParagraph"/>
              <w:numPr>
                <w:ilvl w:val="0"/>
                <w:numId w:val="5"/>
              </w:numPr>
              <w:spacing w:after="60"/>
              <w:rPr>
                <w:sz w:val="20"/>
                <w:szCs w:val="20"/>
              </w:rPr>
            </w:pPr>
            <w:r w:rsidRPr="0000211C">
              <w:rPr>
                <w:sz w:val="20"/>
                <w:szCs w:val="20"/>
              </w:rPr>
              <w:t xml:space="preserve">The entry barriers of competitors are lowered by open-source ML stacks (TensorFlow, </w:t>
            </w:r>
            <w:proofErr w:type="spellStart"/>
            <w:r w:rsidRPr="0000211C">
              <w:rPr>
                <w:sz w:val="20"/>
                <w:szCs w:val="20"/>
              </w:rPr>
              <w:t>PyTorch</w:t>
            </w:r>
            <w:proofErr w:type="spellEnd"/>
            <w:r w:rsidRPr="0000211C">
              <w:rPr>
                <w:sz w:val="20"/>
                <w:szCs w:val="20"/>
              </w:rPr>
              <w:t>).</w:t>
            </w:r>
          </w:p>
          <w:p w14:paraId="4211AE68" w14:textId="1D80B5F2" w:rsidR="00A55793" w:rsidRDefault="0000211C" w:rsidP="0000211C">
            <w:pPr>
              <w:pStyle w:val="ListParagraph"/>
              <w:numPr>
                <w:ilvl w:val="0"/>
                <w:numId w:val="5"/>
              </w:numPr>
              <w:spacing w:after="60"/>
            </w:pPr>
            <w:r w:rsidRPr="0000211C">
              <w:rPr>
                <w:sz w:val="20"/>
                <w:szCs w:val="20"/>
              </w:rPr>
              <w:t>5G/LEO-satellite rollouts (Starlink) increase the connectivity of remote farmland.</w:t>
            </w:r>
          </w:p>
        </w:tc>
      </w:tr>
      <w:tr w:rsidR="00A55793" w14:paraId="34E7764E" w14:textId="77777777">
        <w:tc>
          <w:tcPr>
            <w:tcW w:w="1700" w:type="dxa"/>
            <w:tcBorders>
              <w:top w:val="single" w:sz="4" w:space="0" w:color="888888"/>
              <w:left w:val="single" w:sz="4" w:space="0" w:color="888888"/>
              <w:bottom w:val="single" w:sz="4" w:space="0" w:color="888888"/>
              <w:right w:val="single" w:sz="4" w:space="0" w:color="888888"/>
            </w:tcBorders>
            <w:shd w:val="clear" w:color="auto" w:fill="F2F2F2"/>
            <w:tcMar>
              <w:top w:w="100" w:type="dxa"/>
              <w:left w:w="120" w:type="dxa"/>
              <w:bottom w:w="100" w:type="dxa"/>
              <w:right w:w="120" w:type="dxa"/>
            </w:tcMar>
          </w:tcPr>
          <w:p w14:paraId="6AB82889" w14:textId="77777777" w:rsidR="00A55793" w:rsidRDefault="00000000">
            <w:r>
              <w:rPr>
                <w:b/>
                <w:bCs/>
                <w:sz w:val="20"/>
                <w:szCs w:val="20"/>
              </w:rPr>
              <w:t>Legal &amp; Ethical</w:t>
            </w:r>
          </w:p>
        </w:tc>
        <w:tc>
          <w:tcPr>
            <w:tcW w:w="766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0A84AB8D" w14:textId="77777777" w:rsidR="0000211C" w:rsidRPr="0000211C" w:rsidRDefault="0000211C" w:rsidP="0000211C">
            <w:pPr>
              <w:pStyle w:val="ListParagraph"/>
              <w:numPr>
                <w:ilvl w:val="0"/>
                <w:numId w:val="6"/>
              </w:numPr>
              <w:spacing w:after="60"/>
              <w:rPr>
                <w:sz w:val="20"/>
                <w:szCs w:val="20"/>
              </w:rPr>
            </w:pPr>
            <w:r w:rsidRPr="0000211C">
              <w:rPr>
                <w:sz w:val="20"/>
                <w:szCs w:val="20"/>
              </w:rPr>
              <w:t>Data ownership There is ownership of farm-level yield data: farmer, OEM or insurer?</w:t>
            </w:r>
          </w:p>
          <w:p w14:paraId="1EB5F6FF" w14:textId="77777777" w:rsidR="0000211C" w:rsidRPr="0000211C" w:rsidRDefault="0000211C" w:rsidP="0000211C">
            <w:pPr>
              <w:pStyle w:val="ListParagraph"/>
              <w:numPr>
                <w:ilvl w:val="0"/>
                <w:numId w:val="6"/>
              </w:numPr>
              <w:spacing w:after="60"/>
              <w:rPr>
                <w:sz w:val="20"/>
                <w:szCs w:val="20"/>
              </w:rPr>
            </w:pPr>
            <w:r w:rsidRPr="0000211C">
              <w:rPr>
                <w:sz w:val="20"/>
                <w:szCs w:val="20"/>
              </w:rPr>
              <w:t>Algorithms: There is a risk of algorithmic bias in disease-detection models that are trained on Western crop datasets.</w:t>
            </w:r>
          </w:p>
          <w:p w14:paraId="2904B6D9" w14:textId="45D16602" w:rsidR="00A55793" w:rsidRDefault="0000211C" w:rsidP="0000211C">
            <w:pPr>
              <w:pStyle w:val="ListParagraph"/>
              <w:numPr>
                <w:ilvl w:val="0"/>
                <w:numId w:val="6"/>
              </w:numPr>
              <w:spacing w:after="60"/>
            </w:pPr>
            <w:r w:rsidRPr="0000211C">
              <w:rPr>
                <w:sz w:val="20"/>
                <w:szCs w:val="20"/>
              </w:rPr>
              <w:lastRenderedPageBreak/>
              <w:t>The EU AI Act (high-risk classification based on safety-critical autonomy) compliance.</w:t>
            </w:r>
          </w:p>
        </w:tc>
      </w:tr>
    </w:tbl>
    <w:p w14:paraId="2EB24F26" w14:textId="77777777" w:rsidR="00A55793" w:rsidRDefault="00000000">
      <w:pPr>
        <w:spacing w:before="80" w:after="240"/>
        <w:jc w:val="center"/>
      </w:pPr>
      <w:r>
        <w:rPr>
          <w:i/>
          <w:iCs/>
          <w:sz w:val="20"/>
          <w:szCs w:val="20"/>
        </w:rPr>
        <w:lastRenderedPageBreak/>
        <w:t>Table 1. PEST analysis with legal &amp; ethical considerations (</w:t>
      </w:r>
      <w:proofErr w:type="spellStart"/>
      <w:r>
        <w:rPr>
          <w:i/>
          <w:iCs/>
          <w:sz w:val="20"/>
          <w:szCs w:val="20"/>
        </w:rPr>
        <w:t>synthesised</w:t>
      </w:r>
      <w:proofErr w:type="spellEnd"/>
      <w:r>
        <w:rPr>
          <w:i/>
          <w:iCs/>
          <w:sz w:val="20"/>
          <w:szCs w:val="20"/>
        </w:rPr>
        <w:t xml:space="preserve"> from [11], [10], [12]).</w:t>
      </w:r>
    </w:p>
    <w:p w14:paraId="09934338" w14:textId="7497FD94" w:rsidR="00A55793" w:rsidRDefault="0000211C">
      <w:pPr>
        <w:spacing w:after="160" w:line="360" w:lineRule="auto"/>
        <w:jc w:val="both"/>
      </w:pPr>
      <w:r w:rsidRPr="0000211C">
        <w:t xml:space="preserve">The PEST framework, first introduced by Aguilar in his 1967 Scanning the Business Environment, and developed since [13] reveals three challenges that are of particular concern to </w:t>
      </w:r>
      <w:proofErr w:type="spellStart"/>
      <w:r w:rsidRPr="0000211C">
        <w:t>AgriConnect</w:t>
      </w:r>
      <w:proofErr w:type="spellEnd"/>
      <w:r w:rsidRPr="0000211C">
        <w:t>: (</w:t>
      </w:r>
      <w:proofErr w:type="spellStart"/>
      <w:r w:rsidRPr="0000211C">
        <w:t>i</w:t>
      </w:r>
      <w:proofErr w:type="spellEnd"/>
      <w:r w:rsidRPr="0000211C">
        <w:t>) the right-to-repair movement is an indication of a structural change towards open IoT ecosystems; (ii) algorithmic bias in disease-detection models presents a tangible ethical problem since most public training datasets over-represen</w:t>
      </w:r>
      <w:r>
        <w:t>t.</w:t>
      </w:r>
    </w:p>
    <w:p w14:paraId="718669B9" w14:textId="2217834C" w:rsidR="00A55793" w:rsidRDefault="00000000">
      <w:pPr>
        <w:pStyle w:val="Heading2"/>
        <w:spacing w:before="320" w:after="160"/>
      </w:pPr>
      <w:bookmarkStart w:id="8" w:name="_Toc228288537"/>
      <w:r>
        <w:t>3.2 SWOT Analysis</w:t>
      </w:r>
      <w:r w:rsidR="009D327A">
        <w:t>:</w:t>
      </w:r>
      <w:r>
        <w:t xml:space="preserve"> Deere &amp; Company</w:t>
      </w:r>
      <w:bookmarkEnd w:id="8"/>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80"/>
        <w:gridCol w:w="4680"/>
      </w:tblGrid>
      <w:tr w:rsidR="00A55793" w14:paraId="6337E7A7" w14:textId="77777777">
        <w:trPr>
          <w:tblHeader/>
        </w:trPr>
        <w:tc>
          <w:tcPr>
            <w:tcW w:w="4680" w:type="dxa"/>
            <w:tcBorders>
              <w:top w:val="single" w:sz="4" w:space="0" w:color="888888"/>
              <w:left w:val="single" w:sz="4" w:space="0" w:color="888888"/>
              <w:bottom w:val="single" w:sz="4" w:space="0" w:color="888888"/>
              <w:right w:val="single" w:sz="4" w:space="0" w:color="888888"/>
            </w:tcBorders>
            <w:shd w:val="clear" w:color="auto" w:fill="1F4E79"/>
            <w:tcMar>
              <w:top w:w="100" w:type="dxa"/>
              <w:left w:w="120" w:type="dxa"/>
              <w:bottom w:w="100" w:type="dxa"/>
              <w:right w:w="120" w:type="dxa"/>
            </w:tcMar>
          </w:tcPr>
          <w:p w14:paraId="4C92C8C1" w14:textId="77777777" w:rsidR="00A55793" w:rsidRDefault="00000000">
            <w:pPr>
              <w:jc w:val="center"/>
            </w:pPr>
            <w:r>
              <w:rPr>
                <w:b/>
                <w:bCs/>
                <w:color w:val="FFFFFF"/>
                <w:sz w:val="22"/>
                <w:szCs w:val="22"/>
              </w:rPr>
              <w:t>Strengths (internal +)</w:t>
            </w:r>
          </w:p>
        </w:tc>
        <w:tc>
          <w:tcPr>
            <w:tcW w:w="4680" w:type="dxa"/>
            <w:tcBorders>
              <w:top w:val="single" w:sz="4" w:space="0" w:color="888888"/>
              <w:left w:val="single" w:sz="4" w:space="0" w:color="888888"/>
              <w:bottom w:val="single" w:sz="4" w:space="0" w:color="888888"/>
              <w:right w:val="single" w:sz="4" w:space="0" w:color="888888"/>
            </w:tcBorders>
            <w:shd w:val="clear" w:color="auto" w:fill="1F4E79"/>
            <w:tcMar>
              <w:top w:w="100" w:type="dxa"/>
              <w:left w:w="120" w:type="dxa"/>
              <w:bottom w:w="100" w:type="dxa"/>
              <w:right w:w="120" w:type="dxa"/>
            </w:tcMar>
          </w:tcPr>
          <w:p w14:paraId="362C7958" w14:textId="77777777" w:rsidR="00A55793" w:rsidRDefault="00000000">
            <w:pPr>
              <w:jc w:val="center"/>
            </w:pPr>
            <w:r>
              <w:rPr>
                <w:b/>
                <w:bCs/>
                <w:color w:val="FFFFFF"/>
                <w:sz w:val="22"/>
                <w:szCs w:val="22"/>
              </w:rPr>
              <w:t>Weaknesses (internal −)</w:t>
            </w:r>
          </w:p>
        </w:tc>
      </w:tr>
      <w:tr w:rsidR="00A55793" w14:paraId="3C97D8D9" w14:textId="77777777">
        <w:tc>
          <w:tcPr>
            <w:tcW w:w="4680" w:type="dxa"/>
            <w:tcBorders>
              <w:top w:val="single" w:sz="4" w:space="0" w:color="888888"/>
              <w:left w:val="single" w:sz="4" w:space="0" w:color="888888"/>
              <w:bottom w:val="single" w:sz="4" w:space="0" w:color="888888"/>
              <w:right w:val="single" w:sz="4" w:space="0" w:color="888888"/>
            </w:tcBorders>
            <w:shd w:val="clear" w:color="auto" w:fill="E8F5E9"/>
            <w:tcMar>
              <w:top w:w="100" w:type="dxa"/>
              <w:left w:w="120" w:type="dxa"/>
              <w:bottom w:w="100" w:type="dxa"/>
              <w:right w:w="120" w:type="dxa"/>
            </w:tcMar>
          </w:tcPr>
          <w:p w14:paraId="72BEE4D4" w14:textId="77777777" w:rsidR="00A55793" w:rsidRDefault="00000000">
            <w:pPr>
              <w:spacing w:after="60"/>
            </w:pPr>
            <w:r>
              <w:rPr>
                <w:sz w:val="20"/>
                <w:szCs w:val="20"/>
              </w:rPr>
              <w:t>• Dominant US market share (~50%) in large-frame tractors [11].</w:t>
            </w:r>
          </w:p>
          <w:p w14:paraId="205DA030" w14:textId="77777777" w:rsidR="00A55793" w:rsidRDefault="00000000">
            <w:pPr>
              <w:spacing w:after="60"/>
            </w:pPr>
            <w:r>
              <w:rPr>
                <w:sz w:val="20"/>
                <w:szCs w:val="20"/>
              </w:rPr>
              <w:t>• Industry-leading precision-ag IP portfolio (&gt;2,000 patents).</w:t>
            </w:r>
          </w:p>
          <w:p w14:paraId="42D71EFD" w14:textId="77777777" w:rsidR="00A55793" w:rsidRDefault="00000000">
            <w:pPr>
              <w:spacing w:after="60"/>
            </w:pPr>
            <w:r>
              <w:rPr>
                <w:sz w:val="20"/>
                <w:szCs w:val="20"/>
              </w:rPr>
              <w:t>• Vertically integrated dealer-finance ecosystem.</w:t>
            </w:r>
          </w:p>
          <w:p w14:paraId="51CCA9AC" w14:textId="77777777" w:rsidR="00A55793" w:rsidRDefault="00000000">
            <w:pPr>
              <w:spacing w:after="60"/>
            </w:pPr>
            <w:r>
              <w:rPr>
                <w:sz w:val="20"/>
                <w:szCs w:val="20"/>
              </w:rPr>
              <w:t>• Strong brand equity built over 180+ years.</w:t>
            </w:r>
          </w:p>
        </w:tc>
        <w:tc>
          <w:tcPr>
            <w:tcW w:w="4680" w:type="dxa"/>
            <w:tcBorders>
              <w:top w:val="single" w:sz="4" w:space="0" w:color="888888"/>
              <w:left w:val="single" w:sz="4" w:space="0" w:color="888888"/>
              <w:bottom w:val="single" w:sz="4" w:space="0" w:color="888888"/>
              <w:right w:val="single" w:sz="4" w:space="0" w:color="888888"/>
            </w:tcBorders>
            <w:shd w:val="clear" w:color="auto" w:fill="FFF3E0"/>
            <w:tcMar>
              <w:top w:w="100" w:type="dxa"/>
              <w:left w:w="120" w:type="dxa"/>
              <w:bottom w:w="100" w:type="dxa"/>
              <w:right w:w="120" w:type="dxa"/>
            </w:tcMar>
          </w:tcPr>
          <w:p w14:paraId="33961C8D" w14:textId="77777777" w:rsidR="00A55793" w:rsidRDefault="00000000">
            <w:pPr>
              <w:spacing w:after="60"/>
            </w:pPr>
            <w:r>
              <w:rPr>
                <w:sz w:val="20"/>
                <w:szCs w:val="20"/>
              </w:rPr>
              <w:t>• Premium pricing limits accessibility for smallholders globally.</w:t>
            </w:r>
          </w:p>
          <w:p w14:paraId="20D22ABC" w14:textId="77777777" w:rsidR="00A55793" w:rsidRDefault="00000000">
            <w:pPr>
              <w:spacing w:after="60"/>
            </w:pPr>
            <w:r>
              <w:rPr>
                <w:sz w:val="20"/>
                <w:szCs w:val="20"/>
              </w:rPr>
              <w:t>• Heavy dependence on cyclical North American grain markets.</w:t>
            </w:r>
          </w:p>
          <w:p w14:paraId="39BE3C26" w14:textId="77777777" w:rsidR="00A55793" w:rsidRDefault="00000000">
            <w:pPr>
              <w:spacing w:after="60"/>
            </w:pPr>
            <w:r>
              <w:rPr>
                <w:sz w:val="20"/>
                <w:szCs w:val="20"/>
              </w:rPr>
              <w:t>• Repeated right-to-repair litigation damages reputation [11].</w:t>
            </w:r>
          </w:p>
          <w:p w14:paraId="52164D14" w14:textId="77777777" w:rsidR="00A55793" w:rsidRDefault="00000000">
            <w:pPr>
              <w:spacing w:after="60"/>
            </w:pPr>
            <w:r>
              <w:rPr>
                <w:sz w:val="20"/>
                <w:szCs w:val="20"/>
              </w:rPr>
              <w:t>• Software stack historically proprietary — slows partner integration.</w:t>
            </w:r>
          </w:p>
        </w:tc>
      </w:tr>
      <w:tr w:rsidR="00A55793" w14:paraId="3A5EA061" w14:textId="77777777">
        <w:trPr>
          <w:tblHeader/>
        </w:trPr>
        <w:tc>
          <w:tcPr>
            <w:tcW w:w="4680" w:type="dxa"/>
            <w:tcBorders>
              <w:top w:val="single" w:sz="4" w:space="0" w:color="888888"/>
              <w:left w:val="single" w:sz="4" w:space="0" w:color="888888"/>
              <w:bottom w:val="single" w:sz="4" w:space="0" w:color="888888"/>
              <w:right w:val="single" w:sz="4" w:space="0" w:color="888888"/>
            </w:tcBorders>
            <w:shd w:val="clear" w:color="auto" w:fill="1F4E79"/>
            <w:tcMar>
              <w:top w:w="100" w:type="dxa"/>
              <w:left w:w="120" w:type="dxa"/>
              <w:bottom w:w="100" w:type="dxa"/>
              <w:right w:w="120" w:type="dxa"/>
            </w:tcMar>
          </w:tcPr>
          <w:p w14:paraId="2866DBD8" w14:textId="77777777" w:rsidR="00A55793" w:rsidRDefault="00000000">
            <w:pPr>
              <w:jc w:val="center"/>
            </w:pPr>
            <w:r>
              <w:rPr>
                <w:b/>
                <w:bCs/>
                <w:color w:val="FFFFFF"/>
                <w:sz w:val="22"/>
                <w:szCs w:val="22"/>
              </w:rPr>
              <w:t>Opportunities (external +)</w:t>
            </w:r>
          </w:p>
        </w:tc>
        <w:tc>
          <w:tcPr>
            <w:tcW w:w="4680" w:type="dxa"/>
            <w:tcBorders>
              <w:top w:val="single" w:sz="4" w:space="0" w:color="888888"/>
              <w:left w:val="single" w:sz="4" w:space="0" w:color="888888"/>
              <w:bottom w:val="single" w:sz="4" w:space="0" w:color="888888"/>
              <w:right w:val="single" w:sz="4" w:space="0" w:color="888888"/>
            </w:tcBorders>
            <w:shd w:val="clear" w:color="auto" w:fill="1F4E79"/>
            <w:tcMar>
              <w:top w:w="100" w:type="dxa"/>
              <w:left w:w="120" w:type="dxa"/>
              <w:bottom w:w="100" w:type="dxa"/>
              <w:right w:w="120" w:type="dxa"/>
            </w:tcMar>
          </w:tcPr>
          <w:p w14:paraId="0D0CAD3C" w14:textId="77777777" w:rsidR="00A55793" w:rsidRDefault="00000000">
            <w:pPr>
              <w:jc w:val="center"/>
            </w:pPr>
            <w:r>
              <w:rPr>
                <w:b/>
                <w:bCs/>
                <w:color w:val="FFFFFF"/>
                <w:sz w:val="22"/>
                <w:szCs w:val="22"/>
              </w:rPr>
              <w:t>Threats (external −)</w:t>
            </w:r>
          </w:p>
        </w:tc>
      </w:tr>
      <w:tr w:rsidR="00A55793" w14:paraId="6178594D" w14:textId="77777777">
        <w:tc>
          <w:tcPr>
            <w:tcW w:w="4680" w:type="dxa"/>
            <w:tcBorders>
              <w:top w:val="single" w:sz="4" w:space="0" w:color="888888"/>
              <w:left w:val="single" w:sz="4" w:space="0" w:color="888888"/>
              <w:bottom w:val="single" w:sz="4" w:space="0" w:color="888888"/>
              <w:right w:val="single" w:sz="4" w:space="0" w:color="888888"/>
            </w:tcBorders>
            <w:shd w:val="clear" w:color="auto" w:fill="E3F2FD"/>
            <w:tcMar>
              <w:top w:w="100" w:type="dxa"/>
              <w:left w:w="120" w:type="dxa"/>
              <w:bottom w:w="100" w:type="dxa"/>
              <w:right w:w="120" w:type="dxa"/>
            </w:tcMar>
          </w:tcPr>
          <w:p w14:paraId="5B3B6AF3" w14:textId="77777777" w:rsidR="00A55793" w:rsidRDefault="00000000">
            <w:pPr>
              <w:spacing w:after="60"/>
            </w:pPr>
            <w:r>
              <w:rPr>
                <w:sz w:val="20"/>
                <w:szCs w:val="20"/>
              </w:rPr>
              <w:t>• Smart-farming market projected ~14% CAGR to 2030 [6].</w:t>
            </w:r>
          </w:p>
          <w:p w14:paraId="1182D195" w14:textId="77777777" w:rsidR="00A55793" w:rsidRDefault="00000000">
            <w:pPr>
              <w:spacing w:after="60"/>
            </w:pPr>
            <w:r>
              <w:rPr>
                <w:sz w:val="20"/>
                <w:szCs w:val="20"/>
              </w:rPr>
              <w:t xml:space="preserve">• Carbon-credit </w:t>
            </w:r>
            <w:proofErr w:type="spellStart"/>
            <w:r>
              <w:rPr>
                <w:sz w:val="20"/>
                <w:szCs w:val="20"/>
              </w:rPr>
              <w:t>monetisation</w:t>
            </w:r>
            <w:proofErr w:type="spellEnd"/>
            <w:r>
              <w:rPr>
                <w:sz w:val="20"/>
                <w:szCs w:val="20"/>
              </w:rPr>
              <w:t xml:space="preserve"> via verified soil-carbon data.</w:t>
            </w:r>
          </w:p>
          <w:p w14:paraId="62AF0AC8" w14:textId="77777777" w:rsidR="00A55793" w:rsidRDefault="00000000">
            <w:pPr>
              <w:spacing w:after="60"/>
            </w:pPr>
            <w:r>
              <w:rPr>
                <w:sz w:val="20"/>
                <w:szCs w:val="20"/>
              </w:rPr>
              <w:t>• Strategic partnerships with smallholder-focused start-ups.</w:t>
            </w:r>
          </w:p>
          <w:p w14:paraId="703D89B3" w14:textId="77777777" w:rsidR="00A55793" w:rsidRDefault="00000000">
            <w:pPr>
              <w:spacing w:after="60"/>
            </w:pPr>
            <w:r>
              <w:rPr>
                <w:sz w:val="20"/>
                <w:szCs w:val="20"/>
              </w:rPr>
              <w:t>• AI/computer-vision plug-ins for legacy fleet (subscription).</w:t>
            </w:r>
          </w:p>
        </w:tc>
        <w:tc>
          <w:tcPr>
            <w:tcW w:w="4680" w:type="dxa"/>
            <w:tcBorders>
              <w:top w:val="single" w:sz="4" w:space="0" w:color="888888"/>
              <w:left w:val="single" w:sz="4" w:space="0" w:color="888888"/>
              <w:bottom w:val="single" w:sz="4" w:space="0" w:color="888888"/>
              <w:right w:val="single" w:sz="4" w:space="0" w:color="888888"/>
            </w:tcBorders>
            <w:shd w:val="clear" w:color="auto" w:fill="FFEBEE"/>
            <w:tcMar>
              <w:top w:w="100" w:type="dxa"/>
              <w:left w:w="120" w:type="dxa"/>
              <w:bottom w:w="100" w:type="dxa"/>
              <w:right w:w="120" w:type="dxa"/>
            </w:tcMar>
          </w:tcPr>
          <w:p w14:paraId="03D87937" w14:textId="77777777" w:rsidR="00A55793" w:rsidRDefault="00000000">
            <w:pPr>
              <w:spacing w:after="60"/>
            </w:pPr>
            <w:r>
              <w:rPr>
                <w:sz w:val="20"/>
                <w:szCs w:val="20"/>
              </w:rPr>
              <w:t xml:space="preserve">• Disruption from agile </w:t>
            </w:r>
            <w:proofErr w:type="spellStart"/>
            <w:r>
              <w:rPr>
                <w:sz w:val="20"/>
                <w:szCs w:val="20"/>
              </w:rPr>
              <w:t>agritech</w:t>
            </w:r>
            <w:proofErr w:type="spellEnd"/>
            <w:r>
              <w:rPr>
                <w:sz w:val="20"/>
                <w:szCs w:val="20"/>
              </w:rPr>
              <w:t xml:space="preserve"> entrants (Climate </w:t>
            </w:r>
            <w:proofErr w:type="spellStart"/>
            <w:r>
              <w:rPr>
                <w:sz w:val="20"/>
                <w:szCs w:val="20"/>
              </w:rPr>
              <w:t>FieldView</w:t>
            </w:r>
            <w:proofErr w:type="spellEnd"/>
            <w:r>
              <w:rPr>
                <w:sz w:val="20"/>
                <w:szCs w:val="20"/>
              </w:rPr>
              <w:t xml:space="preserve">, </w:t>
            </w:r>
            <w:proofErr w:type="spellStart"/>
            <w:r>
              <w:rPr>
                <w:sz w:val="20"/>
                <w:szCs w:val="20"/>
              </w:rPr>
              <w:t>DeHaat</w:t>
            </w:r>
            <w:proofErr w:type="spellEnd"/>
            <w:r>
              <w:rPr>
                <w:sz w:val="20"/>
                <w:szCs w:val="20"/>
              </w:rPr>
              <w:t>).</w:t>
            </w:r>
          </w:p>
          <w:p w14:paraId="22AED6B9" w14:textId="340536FF" w:rsidR="00A55793" w:rsidRDefault="00000000">
            <w:pPr>
              <w:spacing w:after="60"/>
            </w:pPr>
            <w:r>
              <w:rPr>
                <w:sz w:val="20"/>
                <w:szCs w:val="20"/>
              </w:rPr>
              <w:t>• Climate-</w:t>
            </w:r>
            <w:r w:rsidR="0000211C">
              <w:rPr>
                <w:sz w:val="20"/>
                <w:szCs w:val="20"/>
              </w:rPr>
              <w:t>driven</w:t>
            </w:r>
            <w:r>
              <w:rPr>
                <w:sz w:val="20"/>
                <w:szCs w:val="20"/>
              </w:rPr>
              <w:t xml:space="preserve"> volatility reduces capex appetite.</w:t>
            </w:r>
          </w:p>
          <w:p w14:paraId="28704356" w14:textId="77777777" w:rsidR="00A55793" w:rsidRDefault="00000000">
            <w:pPr>
              <w:spacing w:after="60"/>
            </w:pPr>
            <w:r>
              <w:rPr>
                <w:sz w:val="20"/>
                <w:szCs w:val="20"/>
              </w:rPr>
              <w:t>• Cyber-physical attack surface on connected fleet [14].</w:t>
            </w:r>
          </w:p>
          <w:p w14:paraId="75D402B2" w14:textId="77777777" w:rsidR="00A55793" w:rsidRDefault="00000000">
            <w:pPr>
              <w:spacing w:after="60"/>
            </w:pPr>
            <w:r>
              <w:rPr>
                <w:sz w:val="20"/>
                <w:szCs w:val="20"/>
              </w:rPr>
              <w:t>• Tightening EU/US AI regulation increases compliance cost.</w:t>
            </w:r>
          </w:p>
        </w:tc>
      </w:tr>
    </w:tbl>
    <w:p w14:paraId="6106DBE0" w14:textId="77777777" w:rsidR="00A55793" w:rsidRDefault="00000000">
      <w:pPr>
        <w:spacing w:before="80" w:after="240"/>
        <w:jc w:val="center"/>
      </w:pPr>
      <w:r>
        <w:rPr>
          <w:i/>
          <w:iCs/>
          <w:sz w:val="20"/>
          <w:szCs w:val="20"/>
        </w:rPr>
        <w:t>Table 2. SWOT matrix for Deere &amp; Company (compiled from [11], [6], [14]).</w:t>
      </w:r>
    </w:p>
    <w:p w14:paraId="5F2E18B5" w14:textId="71C50C22" w:rsidR="00A55793" w:rsidRDefault="0000211C">
      <w:pPr>
        <w:spacing w:after="160" w:line="360" w:lineRule="auto"/>
        <w:jc w:val="both"/>
      </w:pPr>
      <w:r w:rsidRPr="0000211C">
        <w:t xml:space="preserve">The 10-year analysis of SWOT methodology by Helms and Nixon warns that SWOT works well when combined with action planning (as opposed to being considered as a diagnostic tool in and of itself) [15]. Reading between the lines, the above matrix can create a single strategic prescription that can be directly applied to </w:t>
      </w:r>
      <w:proofErr w:type="spellStart"/>
      <w:r w:rsidRPr="0000211C">
        <w:t>AgriConnect</w:t>
      </w:r>
      <w:proofErr w:type="spellEnd"/>
      <w:r w:rsidRPr="0000211C">
        <w:t xml:space="preserve">: transform the weaknesses at Deere into the positioning </w:t>
      </w:r>
      <w:r w:rsidRPr="0000211C">
        <w:lastRenderedPageBreak/>
        <w:t xml:space="preserve">of </w:t>
      </w:r>
      <w:proofErr w:type="spellStart"/>
      <w:r w:rsidRPr="0000211C">
        <w:t>AgriConnect</w:t>
      </w:r>
      <w:proofErr w:type="spellEnd"/>
      <w:r w:rsidRPr="0000211C">
        <w:t xml:space="preserve"> open APIs, transparent pricing and </w:t>
      </w:r>
      <w:proofErr w:type="gramStart"/>
      <w:r w:rsidRPr="0000211C">
        <w:t>locally-trained</w:t>
      </w:r>
      <w:proofErr w:type="gramEnd"/>
      <w:r w:rsidRPr="0000211C">
        <w:t xml:space="preserve"> AI models, and thus capture the smallholder market segment that Deere itself cannot seem to reach</w:t>
      </w:r>
      <w:r>
        <w:t>.</w:t>
      </w:r>
    </w:p>
    <w:p w14:paraId="0676CD05" w14:textId="77777777" w:rsidR="00A55793" w:rsidRDefault="00000000">
      <w:pPr>
        <w:pStyle w:val="Heading2"/>
        <w:spacing w:before="320" w:after="160"/>
      </w:pPr>
      <w:bookmarkStart w:id="9" w:name="_Toc228288538"/>
      <w:r>
        <w:t>3.3 Concepts, Methods, Practices and Tools for Large-</w:t>
      </w:r>
      <w:proofErr w:type="spellStart"/>
      <w:r>
        <w:t>Organisation</w:t>
      </w:r>
      <w:proofErr w:type="spellEnd"/>
      <w:r>
        <w:t xml:space="preserve"> Deployment</w:t>
      </w:r>
      <w:bookmarkEnd w:id="9"/>
    </w:p>
    <w:p w14:paraId="16A3F68F" w14:textId="6322E2F8" w:rsidR="00A55793" w:rsidRDefault="0000211C">
      <w:pPr>
        <w:spacing w:after="160" w:line="360" w:lineRule="auto"/>
        <w:jc w:val="both"/>
      </w:pPr>
      <w:r w:rsidRPr="0000211C">
        <w:t xml:space="preserve">In the case of </w:t>
      </w:r>
      <w:proofErr w:type="spellStart"/>
      <w:r w:rsidRPr="0000211C">
        <w:t>AgriConnect</w:t>
      </w:r>
      <w:proofErr w:type="spellEnd"/>
      <w:r w:rsidRPr="0000211C">
        <w:t xml:space="preserve"> applied within an </w:t>
      </w:r>
      <w:proofErr w:type="spellStart"/>
      <w:r w:rsidRPr="0000211C">
        <w:t>organisation</w:t>
      </w:r>
      <w:proofErr w:type="spellEnd"/>
      <w:r w:rsidRPr="0000211C">
        <w:t xml:space="preserve"> of the size, like Deere, the implementation, maintenance and evolution of the system would be controlled by four maturity pillars. (1) Concepts: The theory of disruptive innovation by Christensen [16] describes </w:t>
      </w:r>
      <w:proofErr w:type="spellStart"/>
      <w:r w:rsidRPr="0000211C">
        <w:t>AgriConnect</w:t>
      </w:r>
      <w:proofErr w:type="spellEnd"/>
      <w:r w:rsidRPr="0000211C">
        <w:t xml:space="preserve"> as a low-end disruption, by definition, meaning that it purposefully does not serve large farms with high-margin customers, and instead targets the underserved smallholder market. The value proposition, channels and revenue model are recorded in the Business Model Canvas [17] by Osterwalder. (2) Methods: Scrum sprints within the squad, Scaled Agile (</w:t>
      </w:r>
      <w:proofErr w:type="spellStart"/>
      <w:r w:rsidRPr="0000211C">
        <w:t>SAFe</w:t>
      </w:r>
      <w:proofErr w:type="spellEnd"/>
      <w:r w:rsidRPr="0000211C">
        <w:t xml:space="preserve">) between squads and Lean-Startup Build-Measure-Learn loops to test every new feature with users in the field before scaling [4]. (3) Practices: DevOps automation - CI/CD pipelines, infrastructure-as-code, blue-green deployments - raise release frequency and reduce change-failure rate, both of which are shown to correlate with </w:t>
      </w:r>
      <w:proofErr w:type="spellStart"/>
      <w:r w:rsidRPr="0000211C">
        <w:t>organisational</w:t>
      </w:r>
      <w:proofErr w:type="spellEnd"/>
      <w:r w:rsidRPr="0000211C">
        <w:t xml:space="preserve"> performance in the Accelerate study by Forsgren et al. [18]. Site-Reliability Engineering imposes error-budget thinking, and </w:t>
      </w:r>
      <w:proofErr w:type="spellStart"/>
      <w:r w:rsidRPr="0000211C">
        <w:t>MLOps</w:t>
      </w:r>
      <w:proofErr w:type="spellEnd"/>
      <w:r w:rsidRPr="0000211C">
        <w:t xml:space="preserve"> defend against the so-called hidden technical debt Sculley et al. demonstrate is the most common mode of failure of production ML systems [19]. (4) Tools: GitHub Actions, Terraform, Kubernetes, </w:t>
      </w:r>
      <w:proofErr w:type="spellStart"/>
      <w:r w:rsidRPr="0000211C">
        <w:t>ArgoCD</w:t>
      </w:r>
      <w:proofErr w:type="spellEnd"/>
      <w:r w:rsidRPr="0000211C">
        <w:t xml:space="preserve">, </w:t>
      </w:r>
      <w:proofErr w:type="spellStart"/>
      <w:r w:rsidRPr="0000211C">
        <w:t>MLflow</w:t>
      </w:r>
      <w:proofErr w:type="spellEnd"/>
      <w:r w:rsidRPr="0000211C">
        <w:t xml:space="preserve">, Prometheus/Grafana to achieve observability, and co-evolutionary feedback loops suggested by Sjodin et al. to incorporate customer signals in the product roadmap [12]. Collectively these four pillars will give the operating model that </w:t>
      </w:r>
      <w:proofErr w:type="spellStart"/>
      <w:r w:rsidRPr="0000211C">
        <w:t>AgriConnect</w:t>
      </w:r>
      <w:proofErr w:type="spellEnd"/>
      <w:r w:rsidRPr="0000211C">
        <w:t xml:space="preserve"> requires in order to transform itself into a sustained, regulated platform and not just a pilot</w:t>
      </w:r>
      <w:r>
        <w:t>.</w:t>
      </w:r>
    </w:p>
    <w:p w14:paraId="2B369934" w14:textId="77777777" w:rsidR="00A55793" w:rsidRDefault="00000000">
      <w:r>
        <w:br w:type="page"/>
      </w:r>
    </w:p>
    <w:p w14:paraId="68A01DC7" w14:textId="77777777" w:rsidR="00A55793" w:rsidRDefault="00000000">
      <w:pPr>
        <w:pStyle w:val="Heading1"/>
      </w:pPr>
      <w:bookmarkStart w:id="10" w:name="_Toc228288539"/>
      <w:r>
        <w:lastRenderedPageBreak/>
        <w:t>4. Task 3: Project Reflection</w:t>
      </w:r>
      <w:bookmarkEnd w:id="10"/>
    </w:p>
    <w:p w14:paraId="61A35CD8" w14:textId="42141C04" w:rsidR="00A55793" w:rsidRDefault="0000211C">
      <w:pPr>
        <w:spacing w:after="160" w:line="360" w:lineRule="auto"/>
        <w:jc w:val="both"/>
      </w:pPr>
      <w:r w:rsidRPr="0000211C">
        <w:t xml:space="preserve">This section will assess how </w:t>
      </w:r>
      <w:proofErr w:type="spellStart"/>
      <w:r w:rsidRPr="0000211C">
        <w:t>AgriConnect</w:t>
      </w:r>
      <w:proofErr w:type="spellEnd"/>
      <w:r w:rsidRPr="0000211C">
        <w:t xml:space="preserve"> would support my personal growth, benefit society and the risks that the project has to face, using the Gibbs reflective cycle [20] and a differentiation between reflection-in- and reflection-on-action, as presented by Schon [21]</w:t>
      </w:r>
      <w:r>
        <w:t>.</w:t>
      </w:r>
    </w:p>
    <w:p w14:paraId="532DA67B" w14:textId="77777777" w:rsidR="00A55793" w:rsidRDefault="00000000">
      <w:pPr>
        <w:pStyle w:val="Heading2"/>
        <w:spacing w:before="320" w:after="160"/>
      </w:pPr>
      <w:bookmarkStart w:id="11" w:name="_Toc228288540"/>
      <w:r>
        <w:t>4.1 Developing New Skills</w:t>
      </w:r>
      <w:bookmarkEnd w:id="11"/>
    </w:p>
    <w:p w14:paraId="195898A0" w14:textId="6648D883" w:rsidR="00A55793" w:rsidRDefault="0000211C">
      <w:pPr>
        <w:spacing w:after="160" w:line="360" w:lineRule="auto"/>
        <w:jc w:val="both"/>
      </w:pPr>
      <w:proofErr w:type="spellStart"/>
      <w:r w:rsidRPr="0000211C">
        <w:t>AgriConnect</w:t>
      </w:r>
      <w:proofErr w:type="spellEnd"/>
      <w:r w:rsidRPr="0000211C">
        <w:t xml:space="preserve"> has been strategically placed to be four capabilities stretch. Technically, I will transition my theoretical understanding of cloud architecture to practical engineering of </w:t>
      </w:r>
      <w:proofErr w:type="spellStart"/>
      <w:r w:rsidRPr="0000211C">
        <w:t>containerised</w:t>
      </w:r>
      <w:proofErr w:type="spellEnd"/>
      <w:r w:rsidRPr="0000211C">
        <w:t xml:space="preserve"> microservices and Kubernetes and operational discipline of </w:t>
      </w:r>
      <w:proofErr w:type="spellStart"/>
      <w:r w:rsidRPr="0000211C">
        <w:t>MLOps</w:t>
      </w:r>
      <w:proofErr w:type="spellEnd"/>
      <w:r w:rsidRPr="0000211C">
        <w:t xml:space="preserve"> - spaces Forsgren et al. point to as most predictive of the high-performing software teams [18]. The skills of project-management will be enhanced by the formal use of the PMBOK process groups [3] and Scrum events [8], especially stakeholder management, as the project will cut across three different stakeholder communities (farmers, NGOs and provincial government). The ability to think critically is developed through the application of structures (PEST, SWOT, Business Model Canvas) in a comparative and not a descriptive way, a habit that Helms and Nixon believe is the missing ingredient in most undergraduate strategic-analysis writing [15]. Lastly, cross-cultural communication, written reporting and ethical thinking skills, which can be transferred will be developed in the field by working with low-literacy users - the experience of which the literature calls transformative to the emerging professional [21</w:t>
      </w:r>
      <w:r>
        <w:t>].</w:t>
      </w:r>
    </w:p>
    <w:p w14:paraId="76E3E0BA" w14:textId="77777777" w:rsidR="00A55793" w:rsidRDefault="00000000">
      <w:pPr>
        <w:pStyle w:val="Heading2"/>
        <w:spacing w:before="320" w:after="160"/>
      </w:pPr>
      <w:bookmarkStart w:id="12" w:name="_Toc228288541"/>
      <w:r>
        <w:t>4.2 Positive Societal Impact</w:t>
      </w:r>
      <w:bookmarkEnd w:id="12"/>
    </w:p>
    <w:p w14:paraId="1F313F07" w14:textId="4ED66384" w:rsidR="00A55793" w:rsidRDefault="0000211C">
      <w:pPr>
        <w:spacing w:after="160" w:line="360" w:lineRule="auto"/>
        <w:jc w:val="both"/>
      </w:pPr>
      <w:r w:rsidRPr="0000211C">
        <w:t xml:space="preserve">The </w:t>
      </w:r>
      <w:proofErr w:type="spellStart"/>
      <w:r w:rsidRPr="0000211C">
        <w:t>AgriConnect</w:t>
      </w:r>
      <w:proofErr w:type="spellEnd"/>
      <w:r w:rsidRPr="0000211C">
        <w:t xml:space="preserve"> is clearly aligned with three United Nations Sustainable Development Goals: SDG 1 (No Poverty) by increasing smallholder incomes by enhancing irrigation and disease-management choices; SDG 2 (Zero Hunger) by boosting regional output; and SDG 5 (Gender Equality) by offering women farmers, who represent roughly a quarter of agricultural </w:t>
      </w:r>
      <w:proofErr w:type="spellStart"/>
      <w:r w:rsidRPr="0000211C">
        <w:t>labour</w:t>
      </w:r>
      <w:proofErr w:type="spellEnd"/>
      <w:r w:rsidRPr="0000211C">
        <w:t xml:space="preserve"> in Pakistan, systematic access to extension services [22], [ A review of big-data smart-farming by Wolfert et al. revealed that yield increases of 10-30% in similar settings are possible when using data-driven advisory systems [10]; at the bottom end, this would result in a significant change in the food security of the 500 households served by the pilot. Another argument of Christensen that is reflected in the project is that the socially most useful innovations are typically those that serve the underserved and not add to the products of the high-end consumers [16]. Importantly, though, </w:t>
      </w:r>
      <w:r w:rsidRPr="0000211C">
        <w:lastRenderedPageBreak/>
        <w:t xml:space="preserve">there is a split in the literature: Wolfert et al. warns that the benefits of </w:t>
      </w:r>
      <w:proofErr w:type="gramStart"/>
      <w:r w:rsidRPr="0000211C">
        <w:t>smart-farming</w:t>
      </w:r>
      <w:proofErr w:type="gramEnd"/>
      <w:r w:rsidRPr="0000211C">
        <w:t xml:space="preserve"> are disproportionately enjoyed by larger producers unless there are design choices made to </w:t>
      </w:r>
      <w:proofErr w:type="spellStart"/>
      <w:r w:rsidRPr="0000211C">
        <w:t>favour</w:t>
      </w:r>
      <w:proofErr w:type="spellEnd"/>
      <w:r w:rsidRPr="0000211C">
        <w:t xml:space="preserve"> equity [10]. The freemium approach and the on-device ownership of data at </w:t>
      </w:r>
      <w:proofErr w:type="spellStart"/>
      <w:r w:rsidRPr="0000211C">
        <w:t>AgriConnect</w:t>
      </w:r>
      <w:proofErr w:type="spellEnd"/>
      <w:r w:rsidRPr="0000211C">
        <w:t xml:space="preserve"> is a direct response to that criticism</w:t>
      </w:r>
      <w:r>
        <w:t>.</w:t>
      </w:r>
    </w:p>
    <w:p w14:paraId="3F4BA1F8" w14:textId="77777777" w:rsidR="00A55793" w:rsidRDefault="00000000">
      <w:pPr>
        <w:pStyle w:val="Heading2"/>
        <w:spacing w:before="320" w:after="160"/>
      </w:pPr>
      <w:bookmarkStart w:id="13" w:name="_Toc228288542"/>
      <w:r>
        <w:t>4.3 Risks, Challenges and Mitigation</w:t>
      </w:r>
      <w:bookmarkEnd w:id="13"/>
    </w:p>
    <w:p w14:paraId="53918A4C" w14:textId="37047AF6" w:rsidR="00A55793" w:rsidRDefault="0000211C">
      <w:pPr>
        <w:spacing w:after="160" w:line="360" w:lineRule="auto"/>
        <w:jc w:val="both"/>
      </w:pPr>
      <w:r w:rsidRPr="0000211C">
        <w:t>Table 3 risk register has been organized based on the PMI risk-management knowledge area [3] and categorizes each item by likelihood and impact with the mitigations being related to the associated literature</w:t>
      </w:r>
      <w:r>
        <w:t>.</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1300"/>
        <w:gridCol w:w="1300"/>
        <w:gridCol w:w="4360"/>
      </w:tblGrid>
      <w:tr w:rsidR="00A55793" w14:paraId="41208192" w14:textId="77777777">
        <w:trPr>
          <w:tblHeader/>
        </w:trPr>
        <w:tc>
          <w:tcPr>
            <w:tcW w:w="2400" w:type="dxa"/>
            <w:tcBorders>
              <w:top w:val="single" w:sz="4" w:space="0" w:color="888888"/>
              <w:left w:val="single" w:sz="4" w:space="0" w:color="888888"/>
              <w:bottom w:val="single" w:sz="4" w:space="0" w:color="888888"/>
              <w:right w:val="single" w:sz="4" w:space="0" w:color="888888"/>
            </w:tcBorders>
            <w:shd w:val="clear" w:color="auto" w:fill="1F4E79"/>
            <w:tcMar>
              <w:top w:w="100" w:type="dxa"/>
              <w:left w:w="120" w:type="dxa"/>
              <w:bottom w:w="100" w:type="dxa"/>
              <w:right w:w="120" w:type="dxa"/>
            </w:tcMar>
          </w:tcPr>
          <w:p w14:paraId="11737255" w14:textId="77777777" w:rsidR="00A55793" w:rsidRDefault="00000000">
            <w:pPr>
              <w:jc w:val="center"/>
            </w:pPr>
            <w:r>
              <w:rPr>
                <w:b/>
                <w:bCs/>
                <w:color w:val="FFFFFF"/>
                <w:sz w:val="22"/>
                <w:szCs w:val="22"/>
              </w:rPr>
              <w:t>Risk / challenge</w:t>
            </w:r>
          </w:p>
        </w:tc>
        <w:tc>
          <w:tcPr>
            <w:tcW w:w="1300" w:type="dxa"/>
            <w:tcBorders>
              <w:top w:val="single" w:sz="4" w:space="0" w:color="888888"/>
              <w:left w:val="single" w:sz="4" w:space="0" w:color="888888"/>
              <w:bottom w:val="single" w:sz="4" w:space="0" w:color="888888"/>
              <w:right w:val="single" w:sz="4" w:space="0" w:color="888888"/>
            </w:tcBorders>
            <w:shd w:val="clear" w:color="auto" w:fill="1F4E79"/>
            <w:tcMar>
              <w:top w:w="100" w:type="dxa"/>
              <w:left w:w="120" w:type="dxa"/>
              <w:bottom w:w="100" w:type="dxa"/>
              <w:right w:w="120" w:type="dxa"/>
            </w:tcMar>
          </w:tcPr>
          <w:p w14:paraId="14F5EFDD" w14:textId="77777777" w:rsidR="00A55793" w:rsidRDefault="00000000">
            <w:pPr>
              <w:jc w:val="center"/>
            </w:pPr>
            <w:r>
              <w:rPr>
                <w:b/>
                <w:bCs/>
                <w:color w:val="FFFFFF"/>
                <w:sz w:val="22"/>
                <w:szCs w:val="22"/>
              </w:rPr>
              <w:t>Likelihood</w:t>
            </w:r>
          </w:p>
        </w:tc>
        <w:tc>
          <w:tcPr>
            <w:tcW w:w="1300" w:type="dxa"/>
            <w:tcBorders>
              <w:top w:val="single" w:sz="4" w:space="0" w:color="888888"/>
              <w:left w:val="single" w:sz="4" w:space="0" w:color="888888"/>
              <w:bottom w:val="single" w:sz="4" w:space="0" w:color="888888"/>
              <w:right w:val="single" w:sz="4" w:space="0" w:color="888888"/>
            </w:tcBorders>
            <w:shd w:val="clear" w:color="auto" w:fill="1F4E79"/>
            <w:tcMar>
              <w:top w:w="100" w:type="dxa"/>
              <w:left w:w="120" w:type="dxa"/>
              <w:bottom w:w="100" w:type="dxa"/>
              <w:right w:w="120" w:type="dxa"/>
            </w:tcMar>
          </w:tcPr>
          <w:p w14:paraId="39FFA19D" w14:textId="77777777" w:rsidR="00A55793" w:rsidRDefault="00000000">
            <w:pPr>
              <w:jc w:val="center"/>
            </w:pPr>
            <w:r>
              <w:rPr>
                <w:b/>
                <w:bCs/>
                <w:color w:val="FFFFFF"/>
                <w:sz w:val="22"/>
                <w:szCs w:val="22"/>
              </w:rPr>
              <w:t>Impact</w:t>
            </w:r>
          </w:p>
        </w:tc>
        <w:tc>
          <w:tcPr>
            <w:tcW w:w="4360" w:type="dxa"/>
            <w:tcBorders>
              <w:top w:val="single" w:sz="4" w:space="0" w:color="888888"/>
              <w:left w:val="single" w:sz="4" w:space="0" w:color="888888"/>
              <w:bottom w:val="single" w:sz="4" w:space="0" w:color="888888"/>
              <w:right w:val="single" w:sz="4" w:space="0" w:color="888888"/>
            </w:tcBorders>
            <w:shd w:val="clear" w:color="auto" w:fill="1F4E79"/>
            <w:tcMar>
              <w:top w:w="100" w:type="dxa"/>
              <w:left w:w="120" w:type="dxa"/>
              <w:bottom w:w="100" w:type="dxa"/>
              <w:right w:w="120" w:type="dxa"/>
            </w:tcMar>
          </w:tcPr>
          <w:p w14:paraId="1EE7E3F2" w14:textId="77777777" w:rsidR="00A55793" w:rsidRDefault="00000000">
            <w:pPr>
              <w:jc w:val="center"/>
            </w:pPr>
            <w:r>
              <w:rPr>
                <w:b/>
                <w:bCs/>
                <w:color w:val="FFFFFF"/>
                <w:sz w:val="22"/>
                <w:szCs w:val="22"/>
              </w:rPr>
              <w:t>Mitigation</w:t>
            </w:r>
          </w:p>
        </w:tc>
      </w:tr>
      <w:tr w:rsidR="00A55793" w14:paraId="4BAE8B3F" w14:textId="77777777">
        <w:tc>
          <w:tcPr>
            <w:tcW w:w="24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1717A2E5" w14:textId="77777777" w:rsidR="00A55793" w:rsidRDefault="00000000">
            <w:r>
              <w:rPr>
                <w:sz w:val="20"/>
                <w:szCs w:val="20"/>
              </w:rPr>
              <w:t>Low rural digital literacy slows adoption</w:t>
            </w:r>
          </w:p>
        </w:tc>
        <w:tc>
          <w:tcPr>
            <w:tcW w:w="1300" w:type="dxa"/>
            <w:tcBorders>
              <w:top w:val="single" w:sz="4" w:space="0" w:color="888888"/>
              <w:left w:val="single" w:sz="4" w:space="0" w:color="888888"/>
              <w:bottom w:val="single" w:sz="4" w:space="0" w:color="888888"/>
              <w:right w:val="single" w:sz="4" w:space="0" w:color="888888"/>
            </w:tcBorders>
            <w:shd w:val="clear" w:color="auto" w:fill="FFEBEE"/>
            <w:tcMar>
              <w:top w:w="100" w:type="dxa"/>
              <w:left w:w="120" w:type="dxa"/>
              <w:bottom w:w="100" w:type="dxa"/>
              <w:right w:w="120" w:type="dxa"/>
            </w:tcMar>
          </w:tcPr>
          <w:p w14:paraId="00D0F167" w14:textId="77777777" w:rsidR="00A55793" w:rsidRDefault="00000000">
            <w:pPr>
              <w:jc w:val="center"/>
            </w:pPr>
            <w:r>
              <w:rPr>
                <w:sz w:val="20"/>
                <w:szCs w:val="20"/>
              </w:rPr>
              <w:t>High</w:t>
            </w:r>
          </w:p>
        </w:tc>
        <w:tc>
          <w:tcPr>
            <w:tcW w:w="1300" w:type="dxa"/>
            <w:tcBorders>
              <w:top w:val="single" w:sz="4" w:space="0" w:color="888888"/>
              <w:left w:val="single" w:sz="4" w:space="0" w:color="888888"/>
              <w:bottom w:val="single" w:sz="4" w:space="0" w:color="888888"/>
              <w:right w:val="single" w:sz="4" w:space="0" w:color="888888"/>
            </w:tcBorders>
            <w:shd w:val="clear" w:color="auto" w:fill="FFEBEE"/>
            <w:tcMar>
              <w:top w:w="100" w:type="dxa"/>
              <w:left w:w="120" w:type="dxa"/>
              <w:bottom w:w="100" w:type="dxa"/>
              <w:right w:w="120" w:type="dxa"/>
            </w:tcMar>
          </w:tcPr>
          <w:p w14:paraId="6AC9B776" w14:textId="77777777" w:rsidR="00A55793" w:rsidRDefault="00000000">
            <w:pPr>
              <w:jc w:val="center"/>
            </w:pPr>
            <w:r>
              <w:rPr>
                <w:sz w:val="20"/>
                <w:szCs w:val="20"/>
              </w:rPr>
              <w:t>High</w:t>
            </w:r>
          </w:p>
        </w:tc>
        <w:tc>
          <w:tcPr>
            <w:tcW w:w="436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579008CD" w14:textId="77777777" w:rsidR="00A55793" w:rsidRDefault="00000000">
            <w:r>
              <w:rPr>
                <w:sz w:val="20"/>
                <w:szCs w:val="20"/>
              </w:rPr>
              <w:t>Voice-first Urdu UI; in-village agronomist coaches; co-design workshops with women farmers.</w:t>
            </w:r>
          </w:p>
        </w:tc>
      </w:tr>
      <w:tr w:rsidR="00A55793" w14:paraId="6FCF7A38" w14:textId="77777777">
        <w:tc>
          <w:tcPr>
            <w:tcW w:w="24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0220C383" w14:textId="77777777" w:rsidR="00A55793" w:rsidRDefault="00000000">
            <w:r>
              <w:rPr>
                <w:sz w:val="20"/>
                <w:szCs w:val="20"/>
              </w:rPr>
              <w:t>Intermittent 4G in target villages</w:t>
            </w:r>
          </w:p>
        </w:tc>
        <w:tc>
          <w:tcPr>
            <w:tcW w:w="1300" w:type="dxa"/>
            <w:tcBorders>
              <w:top w:val="single" w:sz="4" w:space="0" w:color="888888"/>
              <w:left w:val="single" w:sz="4" w:space="0" w:color="888888"/>
              <w:bottom w:val="single" w:sz="4" w:space="0" w:color="888888"/>
              <w:right w:val="single" w:sz="4" w:space="0" w:color="888888"/>
            </w:tcBorders>
            <w:shd w:val="clear" w:color="auto" w:fill="FFEBEE"/>
            <w:tcMar>
              <w:top w:w="100" w:type="dxa"/>
              <w:left w:w="120" w:type="dxa"/>
              <w:bottom w:w="100" w:type="dxa"/>
              <w:right w:w="120" w:type="dxa"/>
            </w:tcMar>
          </w:tcPr>
          <w:p w14:paraId="3DF920FA" w14:textId="77777777" w:rsidR="00A55793" w:rsidRDefault="00000000">
            <w:pPr>
              <w:jc w:val="center"/>
            </w:pPr>
            <w:r>
              <w:rPr>
                <w:sz w:val="20"/>
                <w:szCs w:val="20"/>
              </w:rPr>
              <w:t>High</w:t>
            </w:r>
          </w:p>
        </w:tc>
        <w:tc>
          <w:tcPr>
            <w:tcW w:w="1300" w:type="dxa"/>
            <w:tcBorders>
              <w:top w:val="single" w:sz="4" w:space="0" w:color="888888"/>
              <w:left w:val="single" w:sz="4" w:space="0" w:color="888888"/>
              <w:bottom w:val="single" w:sz="4" w:space="0" w:color="888888"/>
              <w:right w:val="single" w:sz="4" w:space="0" w:color="888888"/>
            </w:tcBorders>
            <w:shd w:val="clear" w:color="auto" w:fill="FFF8E1"/>
            <w:tcMar>
              <w:top w:w="100" w:type="dxa"/>
              <w:left w:w="120" w:type="dxa"/>
              <w:bottom w:w="100" w:type="dxa"/>
              <w:right w:w="120" w:type="dxa"/>
            </w:tcMar>
          </w:tcPr>
          <w:p w14:paraId="1972ECFE" w14:textId="77777777" w:rsidR="00A55793" w:rsidRDefault="00000000">
            <w:pPr>
              <w:jc w:val="center"/>
            </w:pPr>
            <w:r>
              <w:rPr>
                <w:sz w:val="20"/>
                <w:szCs w:val="20"/>
              </w:rPr>
              <w:t>Medium</w:t>
            </w:r>
          </w:p>
        </w:tc>
        <w:tc>
          <w:tcPr>
            <w:tcW w:w="436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68FA9267" w14:textId="77777777" w:rsidR="00A55793" w:rsidRDefault="00000000">
            <w:r>
              <w:rPr>
                <w:sz w:val="20"/>
                <w:szCs w:val="20"/>
              </w:rPr>
              <w:t xml:space="preserve">Offline-first app; local SMS fallback; </w:t>
            </w:r>
            <w:proofErr w:type="spellStart"/>
            <w:r>
              <w:rPr>
                <w:sz w:val="20"/>
                <w:szCs w:val="20"/>
              </w:rPr>
              <w:t>LoRaWAN</w:t>
            </w:r>
            <w:proofErr w:type="spellEnd"/>
            <w:r>
              <w:rPr>
                <w:sz w:val="20"/>
                <w:szCs w:val="20"/>
              </w:rPr>
              <w:t xml:space="preserve"> gateways with 24-h battery backup.</w:t>
            </w:r>
          </w:p>
        </w:tc>
      </w:tr>
      <w:tr w:rsidR="00A55793" w14:paraId="109D08DD" w14:textId="77777777">
        <w:tc>
          <w:tcPr>
            <w:tcW w:w="24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05909967" w14:textId="77777777" w:rsidR="00A55793" w:rsidRDefault="00000000">
            <w:r>
              <w:rPr>
                <w:sz w:val="20"/>
                <w:szCs w:val="20"/>
              </w:rPr>
              <w:t>Data privacy and farm-data ownership</w:t>
            </w:r>
          </w:p>
        </w:tc>
        <w:tc>
          <w:tcPr>
            <w:tcW w:w="1300" w:type="dxa"/>
            <w:tcBorders>
              <w:top w:val="single" w:sz="4" w:space="0" w:color="888888"/>
              <w:left w:val="single" w:sz="4" w:space="0" w:color="888888"/>
              <w:bottom w:val="single" w:sz="4" w:space="0" w:color="888888"/>
              <w:right w:val="single" w:sz="4" w:space="0" w:color="888888"/>
            </w:tcBorders>
            <w:shd w:val="clear" w:color="auto" w:fill="FFF8E1"/>
            <w:tcMar>
              <w:top w:w="100" w:type="dxa"/>
              <w:left w:w="120" w:type="dxa"/>
              <w:bottom w:w="100" w:type="dxa"/>
              <w:right w:w="120" w:type="dxa"/>
            </w:tcMar>
          </w:tcPr>
          <w:p w14:paraId="1759BCFE" w14:textId="77777777" w:rsidR="00A55793" w:rsidRDefault="00000000">
            <w:pPr>
              <w:jc w:val="center"/>
            </w:pPr>
            <w:r>
              <w:rPr>
                <w:sz w:val="20"/>
                <w:szCs w:val="20"/>
              </w:rPr>
              <w:t>Medium</w:t>
            </w:r>
          </w:p>
        </w:tc>
        <w:tc>
          <w:tcPr>
            <w:tcW w:w="1300" w:type="dxa"/>
            <w:tcBorders>
              <w:top w:val="single" w:sz="4" w:space="0" w:color="888888"/>
              <w:left w:val="single" w:sz="4" w:space="0" w:color="888888"/>
              <w:bottom w:val="single" w:sz="4" w:space="0" w:color="888888"/>
              <w:right w:val="single" w:sz="4" w:space="0" w:color="888888"/>
            </w:tcBorders>
            <w:shd w:val="clear" w:color="auto" w:fill="FFEBEE"/>
            <w:tcMar>
              <w:top w:w="100" w:type="dxa"/>
              <w:left w:w="120" w:type="dxa"/>
              <w:bottom w:w="100" w:type="dxa"/>
              <w:right w:w="120" w:type="dxa"/>
            </w:tcMar>
          </w:tcPr>
          <w:p w14:paraId="68B41511" w14:textId="77777777" w:rsidR="00A55793" w:rsidRDefault="00000000">
            <w:pPr>
              <w:jc w:val="center"/>
            </w:pPr>
            <w:r>
              <w:rPr>
                <w:sz w:val="20"/>
                <w:szCs w:val="20"/>
              </w:rPr>
              <w:t>High</w:t>
            </w:r>
          </w:p>
        </w:tc>
        <w:tc>
          <w:tcPr>
            <w:tcW w:w="436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5F99213D" w14:textId="77777777" w:rsidR="00A55793" w:rsidRDefault="00000000">
            <w:r>
              <w:rPr>
                <w:sz w:val="20"/>
                <w:szCs w:val="20"/>
              </w:rPr>
              <w:t xml:space="preserve">Farmer-controlled consent dashboard; on-device </w:t>
            </w:r>
            <w:proofErr w:type="spellStart"/>
            <w:r>
              <w:rPr>
                <w:sz w:val="20"/>
                <w:szCs w:val="20"/>
              </w:rPr>
              <w:t>anonymisation</w:t>
            </w:r>
            <w:proofErr w:type="spellEnd"/>
            <w:r>
              <w:rPr>
                <w:sz w:val="20"/>
                <w:szCs w:val="20"/>
              </w:rPr>
              <w:t>; alignment with PDPB-2023 and GDPR.</w:t>
            </w:r>
          </w:p>
        </w:tc>
      </w:tr>
      <w:tr w:rsidR="00A55793" w14:paraId="4F77817A" w14:textId="77777777">
        <w:tc>
          <w:tcPr>
            <w:tcW w:w="24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7369C8BE" w14:textId="77777777" w:rsidR="00A55793" w:rsidRDefault="00000000">
            <w:r>
              <w:rPr>
                <w:sz w:val="20"/>
                <w:szCs w:val="20"/>
              </w:rPr>
              <w:t>AI model bias toward Western crop datasets</w:t>
            </w:r>
          </w:p>
        </w:tc>
        <w:tc>
          <w:tcPr>
            <w:tcW w:w="1300" w:type="dxa"/>
            <w:tcBorders>
              <w:top w:val="single" w:sz="4" w:space="0" w:color="888888"/>
              <w:left w:val="single" w:sz="4" w:space="0" w:color="888888"/>
              <w:bottom w:val="single" w:sz="4" w:space="0" w:color="888888"/>
              <w:right w:val="single" w:sz="4" w:space="0" w:color="888888"/>
            </w:tcBorders>
            <w:shd w:val="clear" w:color="auto" w:fill="FFF8E1"/>
            <w:tcMar>
              <w:top w:w="100" w:type="dxa"/>
              <w:left w:w="120" w:type="dxa"/>
              <w:bottom w:w="100" w:type="dxa"/>
              <w:right w:w="120" w:type="dxa"/>
            </w:tcMar>
          </w:tcPr>
          <w:p w14:paraId="3C4725A6" w14:textId="77777777" w:rsidR="00A55793" w:rsidRDefault="00000000">
            <w:pPr>
              <w:jc w:val="center"/>
            </w:pPr>
            <w:r>
              <w:rPr>
                <w:sz w:val="20"/>
                <w:szCs w:val="20"/>
              </w:rPr>
              <w:t>Medium</w:t>
            </w:r>
          </w:p>
        </w:tc>
        <w:tc>
          <w:tcPr>
            <w:tcW w:w="1300" w:type="dxa"/>
            <w:tcBorders>
              <w:top w:val="single" w:sz="4" w:space="0" w:color="888888"/>
              <w:left w:val="single" w:sz="4" w:space="0" w:color="888888"/>
              <w:bottom w:val="single" w:sz="4" w:space="0" w:color="888888"/>
              <w:right w:val="single" w:sz="4" w:space="0" w:color="888888"/>
            </w:tcBorders>
            <w:shd w:val="clear" w:color="auto" w:fill="FFEBEE"/>
            <w:tcMar>
              <w:top w:w="100" w:type="dxa"/>
              <w:left w:w="120" w:type="dxa"/>
              <w:bottom w:w="100" w:type="dxa"/>
              <w:right w:w="120" w:type="dxa"/>
            </w:tcMar>
          </w:tcPr>
          <w:p w14:paraId="107C1844" w14:textId="77777777" w:rsidR="00A55793" w:rsidRDefault="00000000">
            <w:pPr>
              <w:jc w:val="center"/>
            </w:pPr>
            <w:r>
              <w:rPr>
                <w:sz w:val="20"/>
                <w:szCs w:val="20"/>
              </w:rPr>
              <w:t>High</w:t>
            </w:r>
          </w:p>
        </w:tc>
        <w:tc>
          <w:tcPr>
            <w:tcW w:w="436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03BB9CB5" w14:textId="77777777" w:rsidR="00A55793" w:rsidRDefault="00000000">
            <w:r>
              <w:rPr>
                <w:sz w:val="20"/>
                <w:szCs w:val="20"/>
              </w:rPr>
              <w:t xml:space="preserve">Augment training data with </w:t>
            </w:r>
            <w:proofErr w:type="gramStart"/>
            <w:r>
              <w:rPr>
                <w:sz w:val="20"/>
                <w:szCs w:val="20"/>
              </w:rPr>
              <w:t>locally-collected</w:t>
            </w:r>
            <w:proofErr w:type="gramEnd"/>
            <w:r>
              <w:rPr>
                <w:sz w:val="20"/>
                <w:szCs w:val="20"/>
              </w:rPr>
              <w:t xml:space="preserve"> leaf images; quarterly bias audits [19], [12].</w:t>
            </w:r>
          </w:p>
        </w:tc>
      </w:tr>
      <w:tr w:rsidR="00A55793" w14:paraId="2187A990" w14:textId="77777777">
        <w:tc>
          <w:tcPr>
            <w:tcW w:w="24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36AF083A" w14:textId="77777777" w:rsidR="00A55793" w:rsidRDefault="00000000">
            <w:r>
              <w:rPr>
                <w:sz w:val="20"/>
                <w:szCs w:val="20"/>
              </w:rPr>
              <w:t>Funding sustainability after pilot</w:t>
            </w:r>
          </w:p>
        </w:tc>
        <w:tc>
          <w:tcPr>
            <w:tcW w:w="1300" w:type="dxa"/>
            <w:tcBorders>
              <w:top w:val="single" w:sz="4" w:space="0" w:color="888888"/>
              <w:left w:val="single" w:sz="4" w:space="0" w:color="888888"/>
              <w:bottom w:val="single" w:sz="4" w:space="0" w:color="888888"/>
              <w:right w:val="single" w:sz="4" w:space="0" w:color="888888"/>
            </w:tcBorders>
            <w:shd w:val="clear" w:color="auto" w:fill="FFF8E1"/>
            <w:tcMar>
              <w:top w:w="100" w:type="dxa"/>
              <w:left w:w="120" w:type="dxa"/>
              <w:bottom w:w="100" w:type="dxa"/>
              <w:right w:w="120" w:type="dxa"/>
            </w:tcMar>
          </w:tcPr>
          <w:p w14:paraId="73DB69EA" w14:textId="77777777" w:rsidR="00A55793" w:rsidRDefault="00000000">
            <w:pPr>
              <w:jc w:val="center"/>
            </w:pPr>
            <w:r>
              <w:rPr>
                <w:sz w:val="20"/>
                <w:szCs w:val="20"/>
              </w:rPr>
              <w:t>Medium</w:t>
            </w:r>
          </w:p>
        </w:tc>
        <w:tc>
          <w:tcPr>
            <w:tcW w:w="1300" w:type="dxa"/>
            <w:tcBorders>
              <w:top w:val="single" w:sz="4" w:space="0" w:color="888888"/>
              <w:left w:val="single" w:sz="4" w:space="0" w:color="888888"/>
              <w:bottom w:val="single" w:sz="4" w:space="0" w:color="888888"/>
              <w:right w:val="single" w:sz="4" w:space="0" w:color="888888"/>
            </w:tcBorders>
            <w:shd w:val="clear" w:color="auto" w:fill="FFEBEE"/>
            <w:tcMar>
              <w:top w:w="100" w:type="dxa"/>
              <w:left w:w="120" w:type="dxa"/>
              <w:bottom w:w="100" w:type="dxa"/>
              <w:right w:w="120" w:type="dxa"/>
            </w:tcMar>
          </w:tcPr>
          <w:p w14:paraId="437B35D6" w14:textId="77777777" w:rsidR="00A55793" w:rsidRDefault="00000000">
            <w:pPr>
              <w:jc w:val="center"/>
            </w:pPr>
            <w:r>
              <w:rPr>
                <w:sz w:val="20"/>
                <w:szCs w:val="20"/>
              </w:rPr>
              <w:t>High</w:t>
            </w:r>
          </w:p>
        </w:tc>
        <w:tc>
          <w:tcPr>
            <w:tcW w:w="436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68CD2815" w14:textId="77777777" w:rsidR="00A55793" w:rsidRDefault="00000000">
            <w:r>
              <w:rPr>
                <w:sz w:val="20"/>
                <w:szCs w:val="20"/>
              </w:rPr>
              <w:t>Tiered freemium model; partnerships with provincial agriculture departments; carbon-credit revenue share.</w:t>
            </w:r>
          </w:p>
        </w:tc>
      </w:tr>
      <w:tr w:rsidR="00A55793" w14:paraId="28A16988" w14:textId="77777777">
        <w:tc>
          <w:tcPr>
            <w:tcW w:w="240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6C80BD6C" w14:textId="77777777" w:rsidR="00A55793" w:rsidRDefault="00000000">
            <w:r>
              <w:rPr>
                <w:sz w:val="20"/>
                <w:szCs w:val="20"/>
              </w:rPr>
              <w:t>Cyber-physical security of IoT fleet</w:t>
            </w:r>
          </w:p>
        </w:tc>
        <w:tc>
          <w:tcPr>
            <w:tcW w:w="1300" w:type="dxa"/>
            <w:tcBorders>
              <w:top w:val="single" w:sz="4" w:space="0" w:color="888888"/>
              <w:left w:val="single" w:sz="4" w:space="0" w:color="888888"/>
              <w:bottom w:val="single" w:sz="4" w:space="0" w:color="888888"/>
              <w:right w:val="single" w:sz="4" w:space="0" w:color="888888"/>
            </w:tcBorders>
            <w:shd w:val="clear" w:color="auto" w:fill="E8F5E9"/>
            <w:tcMar>
              <w:top w:w="100" w:type="dxa"/>
              <w:left w:w="120" w:type="dxa"/>
              <w:bottom w:w="100" w:type="dxa"/>
              <w:right w:w="120" w:type="dxa"/>
            </w:tcMar>
          </w:tcPr>
          <w:p w14:paraId="21EFB659" w14:textId="77777777" w:rsidR="00A55793" w:rsidRDefault="00000000">
            <w:pPr>
              <w:jc w:val="center"/>
            </w:pPr>
            <w:r>
              <w:rPr>
                <w:sz w:val="20"/>
                <w:szCs w:val="20"/>
              </w:rPr>
              <w:t>Low</w:t>
            </w:r>
          </w:p>
        </w:tc>
        <w:tc>
          <w:tcPr>
            <w:tcW w:w="1300" w:type="dxa"/>
            <w:tcBorders>
              <w:top w:val="single" w:sz="4" w:space="0" w:color="888888"/>
              <w:left w:val="single" w:sz="4" w:space="0" w:color="888888"/>
              <w:bottom w:val="single" w:sz="4" w:space="0" w:color="888888"/>
              <w:right w:val="single" w:sz="4" w:space="0" w:color="888888"/>
            </w:tcBorders>
            <w:shd w:val="clear" w:color="auto" w:fill="FFEBEE"/>
            <w:tcMar>
              <w:top w:w="100" w:type="dxa"/>
              <w:left w:w="120" w:type="dxa"/>
              <w:bottom w:w="100" w:type="dxa"/>
              <w:right w:w="120" w:type="dxa"/>
            </w:tcMar>
          </w:tcPr>
          <w:p w14:paraId="04332D35" w14:textId="77777777" w:rsidR="00A55793" w:rsidRDefault="00000000">
            <w:pPr>
              <w:jc w:val="center"/>
            </w:pPr>
            <w:r>
              <w:rPr>
                <w:sz w:val="20"/>
                <w:szCs w:val="20"/>
              </w:rPr>
              <w:t>High</w:t>
            </w:r>
          </w:p>
        </w:tc>
        <w:tc>
          <w:tcPr>
            <w:tcW w:w="4360" w:type="dxa"/>
            <w:tcBorders>
              <w:top w:val="single" w:sz="4" w:space="0" w:color="888888"/>
              <w:left w:val="single" w:sz="4" w:space="0" w:color="888888"/>
              <w:bottom w:val="single" w:sz="4" w:space="0" w:color="888888"/>
              <w:right w:val="single" w:sz="4" w:space="0" w:color="888888"/>
            </w:tcBorders>
            <w:tcMar>
              <w:top w:w="100" w:type="dxa"/>
              <w:left w:w="120" w:type="dxa"/>
              <w:bottom w:w="100" w:type="dxa"/>
              <w:right w:w="120" w:type="dxa"/>
            </w:tcMar>
          </w:tcPr>
          <w:p w14:paraId="3A59F88F" w14:textId="77777777" w:rsidR="00A55793" w:rsidRDefault="00000000">
            <w:r>
              <w:rPr>
                <w:sz w:val="20"/>
                <w:szCs w:val="20"/>
              </w:rPr>
              <w:t>End-to-end TLS, hardware secure elements, third-party penetration test before launch [14].</w:t>
            </w:r>
          </w:p>
        </w:tc>
      </w:tr>
    </w:tbl>
    <w:p w14:paraId="535A493E" w14:textId="77777777" w:rsidR="00A55793" w:rsidRDefault="00000000">
      <w:pPr>
        <w:spacing w:before="80" w:after="240"/>
        <w:jc w:val="center"/>
      </w:pPr>
      <w:r>
        <w:rPr>
          <w:i/>
          <w:iCs/>
          <w:sz w:val="20"/>
          <w:szCs w:val="20"/>
        </w:rPr>
        <w:t xml:space="preserve">Table 3. </w:t>
      </w:r>
      <w:proofErr w:type="spellStart"/>
      <w:r>
        <w:rPr>
          <w:i/>
          <w:iCs/>
          <w:sz w:val="20"/>
          <w:szCs w:val="20"/>
        </w:rPr>
        <w:t>AgriConnect</w:t>
      </w:r>
      <w:proofErr w:type="spellEnd"/>
      <w:r>
        <w:rPr>
          <w:i/>
          <w:iCs/>
          <w:sz w:val="20"/>
          <w:szCs w:val="20"/>
        </w:rPr>
        <w:t xml:space="preserve"> risk register with mitigations (author's own).</w:t>
      </w:r>
    </w:p>
    <w:p w14:paraId="49B8AA43" w14:textId="36EC7360" w:rsidR="00A55793" w:rsidRDefault="0000211C">
      <w:pPr>
        <w:spacing w:after="160" w:line="360" w:lineRule="auto"/>
        <w:jc w:val="both"/>
      </w:pPr>
      <w:r w:rsidRPr="0000211C">
        <w:t xml:space="preserve">There are three meta-risks to consider in regard to the register. First, </w:t>
      </w:r>
      <w:proofErr w:type="spellStart"/>
      <w:r w:rsidRPr="0000211C">
        <w:t>behavioural</w:t>
      </w:r>
      <w:proofErr w:type="spellEnd"/>
      <w:r w:rsidRPr="0000211C">
        <w:t xml:space="preserve"> - even technically viable systems cannot work unless people trust them; that is why agronomist coaches are more important than any option. Second, ethical - bias and data ownership are architectural issues not bolt-on issues and should be tackled at the sprint one and not at the launch. Third, financial - the literature on social-tech projects does not spare post-grant sustainability [4]; you should not plan the revenue model tomorrow, but you should plan it today, or the difference between a pilot that makes a difference and a product that works</w:t>
      </w:r>
      <w:r>
        <w:t>.</w:t>
      </w:r>
    </w:p>
    <w:p w14:paraId="4C68A4E8" w14:textId="77777777" w:rsidR="00A55793" w:rsidRDefault="00000000">
      <w:r>
        <w:br w:type="page"/>
      </w:r>
    </w:p>
    <w:p w14:paraId="658B2694" w14:textId="77777777" w:rsidR="00A55793" w:rsidRDefault="00000000">
      <w:pPr>
        <w:pStyle w:val="Heading1"/>
      </w:pPr>
      <w:bookmarkStart w:id="14" w:name="_Toc228288543"/>
      <w:r>
        <w:lastRenderedPageBreak/>
        <w:t>5. Conclusion</w:t>
      </w:r>
      <w:bookmarkEnd w:id="14"/>
    </w:p>
    <w:p w14:paraId="2653F4DA" w14:textId="4BC5657F" w:rsidR="00A55793" w:rsidRDefault="0000211C">
      <w:pPr>
        <w:spacing w:after="160" w:line="360" w:lineRule="auto"/>
        <w:jc w:val="both"/>
      </w:pPr>
      <w:r w:rsidRPr="0000211C">
        <w:t xml:space="preserve">This report has established </w:t>
      </w:r>
      <w:proofErr w:type="spellStart"/>
      <w:r w:rsidRPr="0000211C">
        <w:t>AgriConnect</w:t>
      </w:r>
      <w:proofErr w:type="spellEnd"/>
      <w:r w:rsidRPr="0000211C">
        <w:t xml:space="preserve"> as a viable Changemakers project that integrates project-management expertise and innovation theory and reflective practice. Task 1 showed how PMBOK scoping [3], a mix of Agile-predictive approach [8], [7] and tangible design artefacts (Gantt chart, layered architecture, wireframes) can be used to transform an idea into an executable plan. Task 2 used the case of Deere and Company to demonstrate that PEST and SWOT are most effective combined - they emerge where the weaknesses of an incumbent turn into a strategic positioning of a new entrant [15], [13] - and described the four-pillar operating model (concepts, methods, practices, tools) required to enable the platform to flourish within a large </w:t>
      </w:r>
      <w:proofErr w:type="spellStart"/>
      <w:r w:rsidRPr="0000211C">
        <w:t>organisation</w:t>
      </w:r>
      <w:proofErr w:type="spellEnd"/>
      <w:r w:rsidRPr="0000211C">
        <w:t xml:space="preserve"> [16], [4], [ Task 3 put personal development, societal contribution and risk reduction in the reflective prism of Gibbs and Schon [21], [20], explicitly and clearly aligned to the UN SDGs [22], and to the equity critiques expressed in the smart-farming literature [10]. Combined, the analysis would affirm the key thesis of the report: project management, innovation and reflection are not steps taken, but complementary abilities that can create a product of creative idea when used in </w:t>
      </w:r>
      <w:r w:rsidR="004801A6" w:rsidRPr="0000211C">
        <w:t>tandem and</w:t>
      </w:r>
      <w:r w:rsidRPr="0000211C">
        <w:t xml:space="preserve"> cannot be turned into a quantifiable social value. The next thing </w:t>
      </w:r>
      <w:proofErr w:type="spellStart"/>
      <w:r w:rsidRPr="0000211C">
        <w:t>AgriConnect</w:t>
      </w:r>
      <w:proofErr w:type="spellEnd"/>
      <w:r w:rsidRPr="0000211C">
        <w:t xml:space="preserve"> should do is to find a 12-month seed grant and to hire the multidisciplinary squad outlined </w:t>
      </w:r>
      <w:proofErr w:type="gramStart"/>
      <w:r w:rsidRPr="0000211C">
        <w:t>above;</w:t>
      </w:r>
      <w:proofErr w:type="gramEnd"/>
      <w:r w:rsidRPr="0000211C">
        <w:t xml:space="preserve"> the deliverables and learning outcomes herein recorded serve as the evidence base of that proposal</w:t>
      </w:r>
      <w:r>
        <w:t>.</w:t>
      </w:r>
    </w:p>
    <w:p w14:paraId="7DE5170C" w14:textId="77777777" w:rsidR="00A55793" w:rsidRDefault="00000000">
      <w:r>
        <w:br w:type="page"/>
      </w:r>
    </w:p>
    <w:p w14:paraId="58B22EFA" w14:textId="77777777" w:rsidR="00A55793" w:rsidRDefault="00000000">
      <w:pPr>
        <w:pStyle w:val="Heading1"/>
      </w:pPr>
      <w:bookmarkStart w:id="15" w:name="_Toc228288544"/>
      <w:r>
        <w:lastRenderedPageBreak/>
        <w:t>6. References</w:t>
      </w:r>
      <w:bookmarkEnd w:id="15"/>
    </w:p>
    <w:p w14:paraId="46C12455" w14:textId="77777777" w:rsidR="00A55793" w:rsidRDefault="00000000">
      <w:pPr>
        <w:spacing w:after="120" w:line="300" w:lineRule="auto"/>
        <w:ind w:left="480" w:hanging="480"/>
      </w:pPr>
      <w:r>
        <w:rPr>
          <w:sz w:val="22"/>
          <w:szCs w:val="22"/>
        </w:rPr>
        <w:t>[1]</w:t>
      </w:r>
      <w:r>
        <w:rPr>
          <w:sz w:val="22"/>
          <w:szCs w:val="22"/>
        </w:rPr>
        <w:tab/>
        <w:t xml:space="preserve">Food and Agriculture Organization of the United Nations, The State of Food and Agriculture 2022: Leveraging automation in agriculture for transforming agrifood systems. Rome, Italy: FAO, 2022, </w:t>
      </w:r>
      <w:proofErr w:type="spellStart"/>
      <w:r>
        <w:rPr>
          <w:sz w:val="22"/>
          <w:szCs w:val="22"/>
        </w:rPr>
        <w:t>doi</w:t>
      </w:r>
      <w:proofErr w:type="spellEnd"/>
      <w:r>
        <w:rPr>
          <w:sz w:val="22"/>
          <w:szCs w:val="22"/>
        </w:rPr>
        <w:t>: 10.4060/cb9479en.</w:t>
      </w:r>
    </w:p>
    <w:p w14:paraId="7A9B9FDA" w14:textId="77777777" w:rsidR="00A55793" w:rsidRDefault="00000000">
      <w:pPr>
        <w:spacing w:after="120" w:line="300" w:lineRule="auto"/>
        <w:ind w:left="480" w:hanging="480"/>
      </w:pPr>
      <w:r>
        <w:rPr>
          <w:sz w:val="22"/>
          <w:szCs w:val="22"/>
        </w:rPr>
        <w:t>[2]</w:t>
      </w:r>
      <w:r>
        <w:rPr>
          <w:sz w:val="22"/>
          <w:szCs w:val="22"/>
        </w:rPr>
        <w:tab/>
        <w:t xml:space="preserve">World Bank, Reshaping Norms: A New Way Forward — South Asia Economic Focus. Washington, DC, USA: World Bank, Apr. 2023, </w:t>
      </w:r>
      <w:proofErr w:type="spellStart"/>
      <w:r>
        <w:rPr>
          <w:sz w:val="22"/>
          <w:szCs w:val="22"/>
        </w:rPr>
        <w:t>doi</w:t>
      </w:r>
      <w:proofErr w:type="spellEnd"/>
      <w:r>
        <w:rPr>
          <w:sz w:val="22"/>
          <w:szCs w:val="22"/>
        </w:rPr>
        <w:t>: 10.1596/978-1-4648-1990-2.</w:t>
      </w:r>
    </w:p>
    <w:p w14:paraId="3F505945" w14:textId="77777777" w:rsidR="00A55793" w:rsidRDefault="00000000">
      <w:pPr>
        <w:spacing w:after="120" w:line="300" w:lineRule="auto"/>
        <w:ind w:left="480" w:hanging="480"/>
      </w:pPr>
      <w:r>
        <w:rPr>
          <w:sz w:val="22"/>
          <w:szCs w:val="22"/>
        </w:rPr>
        <w:t>[3]</w:t>
      </w:r>
      <w:r>
        <w:rPr>
          <w:sz w:val="22"/>
          <w:szCs w:val="22"/>
        </w:rPr>
        <w:tab/>
        <w:t>Project Management Institute, A Guide to the Project Management Body of Knowledge (PMBOK Guide), 7th ed. Newtown Square, PA, USA: PMI, 2021.</w:t>
      </w:r>
    </w:p>
    <w:p w14:paraId="087D7546" w14:textId="77777777" w:rsidR="00A55793" w:rsidRDefault="00000000">
      <w:pPr>
        <w:spacing w:after="120" w:line="300" w:lineRule="auto"/>
        <w:ind w:left="480" w:hanging="480"/>
      </w:pPr>
      <w:r>
        <w:rPr>
          <w:sz w:val="22"/>
          <w:szCs w:val="22"/>
        </w:rPr>
        <w:t>[4]</w:t>
      </w:r>
      <w:r>
        <w:rPr>
          <w:sz w:val="22"/>
          <w:szCs w:val="22"/>
        </w:rPr>
        <w:tab/>
        <w:t>E. Ries, The Lean Startup: How Today's Entrepreneurs Use Continuous Innovation to Create Radically Successful Businesses. New York, NY, USA: Crown Business, 2011.</w:t>
      </w:r>
    </w:p>
    <w:p w14:paraId="5008C3AA" w14:textId="77777777" w:rsidR="00A55793" w:rsidRDefault="00000000">
      <w:pPr>
        <w:spacing w:after="120" w:line="300" w:lineRule="auto"/>
        <w:ind w:left="480" w:hanging="480"/>
      </w:pPr>
      <w:r>
        <w:rPr>
          <w:sz w:val="22"/>
          <w:szCs w:val="22"/>
        </w:rPr>
        <w:t>[5]</w:t>
      </w:r>
      <w:r>
        <w:rPr>
          <w:sz w:val="22"/>
          <w:szCs w:val="22"/>
        </w:rPr>
        <w:tab/>
        <w:t xml:space="preserve">J. </w:t>
      </w:r>
      <w:proofErr w:type="spellStart"/>
      <w:r>
        <w:rPr>
          <w:sz w:val="22"/>
          <w:szCs w:val="22"/>
        </w:rPr>
        <w:t>Tzounis</w:t>
      </w:r>
      <w:proofErr w:type="spellEnd"/>
      <w:r>
        <w:rPr>
          <w:sz w:val="22"/>
          <w:szCs w:val="22"/>
        </w:rPr>
        <w:t xml:space="preserve">, N. </w:t>
      </w:r>
      <w:proofErr w:type="spellStart"/>
      <w:r>
        <w:rPr>
          <w:sz w:val="22"/>
          <w:szCs w:val="22"/>
        </w:rPr>
        <w:t>Katsoulas</w:t>
      </w:r>
      <w:proofErr w:type="spellEnd"/>
      <w:r>
        <w:rPr>
          <w:sz w:val="22"/>
          <w:szCs w:val="22"/>
        </w:rPr>
        <w:t xml:space="preserve">, T. </w:t>
      </w:r>
      <w:proofErr w:type="spellStart"/>
      <w:r>
        <w:rPr>
          <w:sz w:val="22"/>
          <w:szCs w:val="22"/>
        </w:rPr>
        <w:t>Bartzanas</w:t>
      </w:r>
      <w:proofErr w:type="spellEnd"/>
      <w:r>
        <w:rPr>
          <w:sz w:val="22"/>
          <w:szCs w:val="22"/>
        </w:rPr>
        <w:t xml:space="preserve">, and C. </w:t>
      </w:r>
      <w:proofErr w:type="spellStart"/>
      <w:r>
        <w:rPr>
          <w:sz w:val="22"/>
          <w:szCs w:val="22"/>
        </w:rPr>
        <w:t>Kittas</w:t>
      </w:r>
      <w:proofErr w:type="spellEnd"/>
      <w:r>
        <w:rPr>
          <w:sz w:val="22"/>
          <w:szCs w:val="22"/>
        </w:rPr>
        <w:t xml:space="preserve">, “Internet of Things in agriculture, recent advances and future challenges,” Biosystems Engineering, vol. 164, pp. 31–48, Dec. 2017, </w:t>
      </w:r>
      <w:proofErr w:type="spellStart"/>
      <w:r>
        <w:rPr>
          <w:sz w:val="22"/>
          <w:szCs w:val="22"/>
        </w:rPr>
        <w:t>doi</w:t>
      </w:r>
      <w:proofErr w:type="spellEnd"/>
      <w:r>
        <w:rPr>
          <w:sz w:val="22"/>
          <w:szCs w:val="22"/>
        </w:rPr>
        <w:t>: 10.1016/j.biosystemseng.2017.09.007.</w:t>
      </w:r>
    </w:p>
    <w:p w14:paraId="7B47244D" w14:textId="77777777" w:rsidR="00A55793" w:rsidRDefault="00000000">
      <w:pPr>
        <w:spacing w:after="120" w:line="300" w:lineRule="auto"/>
        <w:ind w:left="480" w:hanging="480"/>
      </w:pPr>
      <w:r>
        <w:rPr>
          <w:sz w:val="22"/>
          <w:szCs w:val="22"/>
        </w:rPr>
        <w:t>[6]</w:t>
      </w:r>
      <w:r>
        <w:rPr>
          <w:sz w:val="22"/>
          <w:szCs w:val="22"/>
        </w:rPr>
        <w:tab/>
        <w:t xml:space="preserve">A. Khanna and S. Kaur, “Evolution of Internet of Things (IoT) and its significant impact in the field of Precision Agriculture,” Computers and Electronics in Agriculture, vol. 157, pp. 218–231, Feb. 2019, </w:t>
      </w:r>
      <w:proofErr w:type="spellStart"/>
      <w:r>
        <w:rPr>
          <w:sz w:val="22"/>
          <w:szCs w:val="22"/>
        </w:rPr>
        <w:t>doi</w:t>
      </w:r>
      <w:proofErr w:type="spellEnd"/>
      <w:r>
        <w:rPr>
          <w:sz w:val="22"/>
          <w:szCs w:val="22"/>
        </w:rPr>
        <w:t>: 10.1016/j.compag.2018.12.039.</w:t>
      </w:r>
    </w:p>
    <w:p w14:paraId="73488C1D" w14:textId="77777777" w:rsidR="00A55793" w:rsidRDefault="00000000">
      <w:pPr>
        <w:spacing w:after="120" w:line="300" w:lineRule="auto"/>
        <w:ind w:left="480" w:hanging="480"/>
      </w:pPr>
      <w:r>
        <w:rPr>
          <w:sz w:val="22"/>
          <w:szCs w:val="22"/>
        </w:rPr>
        <w:t>[7]</w:t>
      </w:r>
      <w:r>
        <w:rPr>
          <w:sz w:val="22"/>
          <w:szCs w:val="22"/>
        </w:rPr>
        <w:tab/>
        <w:t>H. Kerzner, Project Management: A Systems Approach to Planning, Scheduling, and Controlling, 13th ed. Hoboken, NJ, USA: Wiley, 2022.</w:t>
      </w:r>
    </w:p>
    <w:p w14:paraId="41343556" w14:textId="77777777" w:rsidR="00A55793" w:rsidRDefault="00000000">
      <w:pPr>
        <w:spacing w:after="120" w:line="300" w:lineRule="auto"/>
        <w:ind w:left="480" w:hanging="480"/>
      </w:pPr>
      <w:r>
        <w:rPr>
          <w:sz w:val="22"/>
          <w:szCs w:val="22"/>
        </w:rPr>
        <w:t>[8]</w:t>
      </w:r>
      <w:r>
        <w:rPr>
          <w:sz w:val="22"/>
          <w:szCs w:val="22"/>
        </w:rPr>
        <w:tab/>
        <w:t>K. Schwaber and J. Sutherland, “The Scrum Guide: The Definitive Guide to Scrum,” Scrum.org, Nov. 2020. [Online]. Available: https://scrumguides.org/scrum-guide.html</w:t>
      </w:r>
    </w:p>
    <w:p w14:paraId="0AEF0760" w14:textId="77777777" w:rsidR="00A55793" w:rsidRDefault="00000000">
      <w:pPr>
        <w:spacing w:after="120" w:line="300" w:lineRule="auto"/>
        <w:ind w:left="480" w:hanging="480"/>
      </w:pPr>
      <w:r>
        <w:rPr>
          <w:sz w:val="22"/>
          <w:szCs w:val="22"/>
        </w:rPr>
        <w:t>[9]</w:t>
      </w:r>
      <w:r>
        <w:rPr>
          <w:sz w:val="22"/>
          <w:szCs w:val="22"/>
        </w:rPr>
        <w:tab/>
        <w:t>K. Beck et al., “Manifesto for Agile Software Development,” 2001. [Online]. Available: https://agilemanifesto.org</w:t>
      </w:r>
    </w:p>
    <w:p w14:paraId="0EFAAD45" w14:textId="77777777" w:rsidR="00A55793" w:rsidRDefault="00000000">
      <w:pPr>
        <w:spacing w:after="120" w:line="300" w:lineRule="auto"/>
        <w:ind w:left="480" w:hanging="480"/>
      </w:pPr>
      <w:r>
        <w:rPr>
          <w:sz w:val="22"/>
          <w:szCs w:val="22"/>
        </w:rPr>
        <w:t>[10]</w:t>
      </w:r>
      <w:r>
        <w:rPr>
          <w:sz w:val="22"/>
          <w:szCs w:val="22"/>
        </w:rPr>
        <w:tab/>
        <w:t xml:space="preserve">S. Wolfert, L. Ge, C. </w:t>
      </w:r>
      <w:proofErr w:type="spellStart"/>
      <w:r>
        <w:rPr>
          <w:sz w:val="22"/>
          <w:szCs w:val="22"/>
        </w:rPr>
        <w:t>Verdouw</w:t>
      </w:r>
      <w:proofErr w:type="spellEnd"/>
      <w:r>
        <w:rPr>
          <w:sz w:val="22"/>
          <w:szCs w:val="22"/>
        </w:rPr>
        <w:t xml:space="preserve">, and M.-J. </w:t>
      </w:r>
      <w:proofErr w:type="spellStart"/>
      <w:r>
        <w:rPr>
          <w:sz w:val="22"/>
          <w:szCs w:val="22"/>
        </w:rPr>
        <w:t>Bogaardt</w:t>
      </w:r>
      <w:proofErr w:type="spellEnd"/>
      <w:r>
        <w:rPr>
          <w:sz w:val="22"/>
          <w:szCs w:val="22"/>
        </w:rPr>
        <w:t xml:space="preserve">, “Big Data in Smart Farming – A review,” Agricultural Systems, vol. 153, pp. 69–80, May 2017, </w:t>
      </w:r>
      <w:proofErr w:type="spellStart"/>
      <w:r>
        <w:rPr>
          <w:sz w:val="22"/>
          <w:szCs w:val="22"/>
        </w:rPr>
        <w:t>doi</w:t>
      </w:r>
      <w:proofErr w:type="spellEnd"/>
      <w:r>
        <w:rPr>
          <w:sz w:val="22"/>
          <w:szCs w:val="22"/>
        </w:rPr>
        <w:t>: 10.1016/j.agsy.2017.01.023.</w:t>
      </w:r>
    </w:p>
    <w:p w14:paraId="41D5D6CE" w14:textId="77777777" w:rsidR="00A55793" w:rsidRDefault="00000000">
      <w:pPr>
        <w:spacing w:after="120" w:line="300" w:lineRule="auto"/>
        <w:ind w:left="480" w:hanging="480"/>
      </w:pPr>
      <w:r>
        <w:rPr>
          <w:sz w:val="22"/>
          <w:szCs w:val="22"/>
        </w:rPr>
        <w:t>[11]</w:t>
      </w:r>
      <w:r>
        <w:rPr>
          <w:sz w:val="22"/>
          <w:szCs w:val="22"/>
        </w:rPr>
        <w:tab/>
        <w:t>Deere &amp; Company, “2024 Annual Report on Form 10-K,” Moline, IL, USA, 2024. [Online]. Available: https://investor.deere.com/financials</w:t>
      </w:r>
    </w:p>
    <w:p w14:paraId="439E7327" w14:textId="77777777" w:rsidR="00A55793" w:rsidRDefault="00000000">
      <w:pPr>
        <w:spacing w:after="120" w:line="300" w:lineRule="auto"/>
        <w:ind w:left="480" w:hanging="480"/>
      </w:pPr>
      <w:r>
        <w:rPr>
          <w:sz w:val="22"/>
          <w:szCs w:val="22"/>
        </w:rPr>
        <w:t>[12]</w:t>
      </w:r>
      <w:r>
        <w:rPr>
          <w:sz w:val="22"/>
          <w:szCs w:val="22"/>
        </w:rPr>
        <w:tab/>
        <w:t xml:space="preserve">D. </w:t>
      </w:r>
      <w:proofErr w:type="spellStart"/>
      <w:r>
        <w:rPr>
          <w:sz w:val="22"/>
          <w:szCs w:val="22"/>
        </w:rPr>
        <w:t>Sjödin</w:t>
      </w:r>
      <w:proofErr w:type="spellEnd"/>
      <w:r>
        <w:rPr>
          <w:sz w:val="22"/>
          <w:szCs w:val="22"/>
        </w:rPr>
        <w:t xml:space="preserve">, V. Parida, M. </w:t>
      </w:r>
      <w:proofErr w:type="spellStart"/>
      <w:r>
        <w:rPr>
          <w:sz w:val="22"/>
          <w:szCs w:val="22"/>
        </w:rPr>
        <w:t>Palmié</w:t>
      </w:r>
      <w:proofErr w:type="spellEnd"/>
      <w:r>
        <w:rPr>
          <w:sz w:val="22"/>
          <w:szCs w:val="22"/>
        </w:rPr>
        <w:t xml:space="preserve">, and J. Wincent, “How AI capabilities enable business model innovation: Scaling AI through co-evolutionary processes and feedback loops,” Journal of Business Research, vol. 134, pp. 574–587, Sep. 2021, </w:t>
      </w:r>
      <w:proofErr w:type="spellStart"/>
      <w:r>
        <w:rPr>
          <w:sz w:val="22"/>
          <w:szCs w:val="22"/>
        </w:rPr>
        <w:t>doi</w:t>
      </w:r>
      <w:proofErr w:type="spellEnd"/>
      <w:r>
        <w:rPr>
          <w:sz w:val="22"/>
          <w:szCs w:val="22"/>
        </w:rPr>
        <w:t>: 10.1016/j.jbusres.2021.05.009.</w:t>
      </w:r>
    </w:p>
    <w:p w14:paraId="30B48299" w14:textId="77777777" w:rsidR="00A55793" w:rsidRDefault="00000000">
      <w:pPr>
        <w:spacing w:after="120" w:line="300" w:lineRule="auto"/>
        <w:ind w:left="480" w:hanging="480"/>
      </w:pPr>
      <w:r>
        <w:rPr>
          <w:sz w:val="22"/>
          <w:szCs w:val="22"/>
        </w:rPr>
        <w:t>[13]</w:t>
      </w:r>
      <w:r>
        <w:rPr>
          <w:sz w:val="22"/>
          <w:szCs w:val="22"/>
        </w:rPr>
        <w:tab/>
        <w:t>M. E. Porter, Competitive Strategy: Techniques for Analyzing Industries and Competitors. New York, NY, USA: Free Press, 1980.</w:t>
      </w:r>
    </w:p>
    <w:p w14:paraId="180302D9" w14:textId="77777777" w:rsidR="00A55793" w:rsidRDefault="00000000">
      <w:pPr>
        <w:spacing w:after="120" w:line="300" w:lineRule="auto"/>
        <w:ind w:left="480" w:hanging="480"/>
      </w:pPr>
      <w:r>
        <w:rPr>
          <w:sz w:val="22"/>
          <w:szCs w:val="22"/>
        </w:rPr>
        <w:t>[14]</w:t>
      </w:r>
      <w:r>
        <w:rPr>
          <w:sz w:val="22"/>
          <w:szCs w:val="22"/>
        </w:rPr>
        <w:tab/>
        <w:t>G. Kim, J. Humble, P. Debois, and J. Willis, The DevOps Handbook: How to Create World-Class Agility, Reliability, and Security in Technology Organizations, 2nd ed. Portland, OR, USA: IT Revolution Press, 2021.</w:t>
      </w:r>
    </w:p>
    <w:p w14:paraId="4690FB73" w14:textId="77777777" w:rsidR="00A55793" w:rsidRDefault="00000000">
      <w:pPr>
        <w:spacing w:after="120" w:line="300" w:lineRule="auto"/>
        <w:ind w:left="480" w:hanging="480"/>
      </w:pPr>
      <w:r>
        <w:rPr>
          <w:sz w:val="22"/>
          <w:szCs w:val="22"/>
        </w:rPr>
        <w:lastRenderedPageBreak/>
        <w:t>[15]</w:t>
      </w:r>
      <w:r>
        <w:rPr>
          <w:sz w:val="22"/>
          <w:szCs w:val="22"/>
        </w:rPr>
        <w:tab/>
        <w:t xml:space="preserve">M. M. Helms and J. Nixon, “Exploring SWOT analysis – where are we now? A review of academic research from the last decade,” Journal of Strategy and Management, vol. 3, no. 3, pp. 215–251, Aug. 2010, </w:t>
      </w:r>
      <w:proofErr w:type="spellStart"/>
      <w:r>
        <w:rPr>
          <w:sz w:val="22"/>
          <w:szCs w:val="22"/>
        </w:rPr>
        <w:t>doi</w:t>
      </w:r>
      <w:proofErr w:type="spellEnd"/>
      <w:r>
        <w:rPr>
          <w:sz w:val="22"/>
          <w:szCs w:val="22"/>
        </w:rPr>
        <w:t>: 10.1108/17554251011064837.</w:t>
      </w:r>
    </w:p>
    <w:p w14:paraId="430B4298" w14:textId="77777777" w:rsidR="00A55793" w:rsidRDefault="00000000">
      <w:pPr>
        <w:spacing w:after="120" w:line="300" w:lineRule="auto"/>
        <w:ind w:left="480" w:hanging="480"/>
      </w:pPr>
      <w:r>
        <w:rPr>
          <w:sz w:val="22"/>
          <w:szCs w:val="22"/>
        </w:rPr>
        <w:t>[16]</w:t>
      </w:r>
      <w:r>
        <w:rPr>
          <w:sz w:val="22"/>
          <w:szCs w:val="22"/>
        </w:rPr>
        <w:tab/>
        <w:t>C. M. Christensen, The Innovator's Dilemma: When New Technologies Cause Great Firms to Fail, reprint ed. Boston, MA, USA: Harvard Business Review Press, 2016.</w:t>
      </w:r>
    </w:p>
    <w:p w14:paraId="22069690" w14:textId="77777777" w:rsidR="00A55793" w:rsidRDefault="00000000">
      <w:pPr>
        <w:spacing w:after="120" w:line="300" w:lineRule="auto"/>
        <w:ind w:left="480" w:hanging="480"/>
      </w:pPr>
      <w:r>
        <w:rPr>
          <w:sz w:val="22"/>
          <w:szCs w:val="22"/>
        </w:rPr>
        <w:t>[17]</w:t>
      </w:r>
      <w:r>
        <w:rPr>
          <w:sz w:val="22"/>
          <w:szCs w:val="22"/>
        </w:rPr>
        <w:tab/>
        <w:t>A. Osterwalder and Y. Pigneur, Business Model Generation: A Handbook for Visionaries, Game Changers, and Challengers. Hoboken, NJ, USA: Wiley, 2010.</w:t>
      </w:r>
    </w:p>
    <w:p w14:paraId="71CAE7E1" w14:textId="77777777" w:rsidR="00A55793" w:rsidRDefault="00000000">
      <w:pPr>
        <w:spacing w:after="120" w:line="300" w:lineRule="auto"/>
        <w:ind w:left="480" w:hanging="480"/>
      </w:pPr>
      <w:r>
        <w:rPr>
          <w:sz w:val="22"/>
          <w:szCs w:val="22"/>
        </w:rPr>
        <w:t>[18]</w:t>
      </w:r>
      <w:r>
        <w:rPr>
          <w:sz w:val="22"/>
          <w:szCs w:val="22"/>
        </w:rPr>
        <w:tab/>
        <w:t>N. Forsgren, J. Humble, and G. Kim, Accelerate: The Science of Lean Software and DevOps — Building and Scaling High Performing Technology Organizations. Portland, OR, USA: IT Revolution Press, 2018.</w:t>
      </w:r>
    </w:p>
    <w:p w14:paraId="102E8D37" w14:textId="77777777" w:rsidR="00A55793" w:rsidRDefault="00000000">
      <w:pPr>
        <w:spacing w:after="120" w:line="300" w:lineRule="auto"/>
        <w:ind w:left="480" w:hanging="480"/>
      </w:pPr>
      <w:r>
        <w:rPr>
          <w:sz w:val="22"/>
          <w:szCs w:val="22"/>
        </w:rPr>
        <w:t>[19]</w:t>
      </w:r>
      <w:r>
        <w:rPr>
          <w:sz w:val="22"/>
          <w:szCs w:val="22"/>
        </w:rPr>
        <w:tab/>
        <w:t>D. Sculley et al., “Hidden Technical Debt in Machine Learning Systems,” in Advances in Neural Information Processing Systems 28 (NIPS 2015), Montreal, QC, Canada, 2015, pp. 2503–2511. [Online]. Available: https://papers.nips.cc/paper/5656-hidden-technical-debt-in-machine-learning-systems</w:t>
      </w:r>
    </w:p>
    <w:p w14:paraId="64EC2ECD" w14:textId="77777777" w:rsidR="00A55793" w:rsidRDefault="00000000">
      <w:pPr>
        <w:spacing w:after="120" w:line="300" w:lineRule="auto"/>
        <w:ind w:left="480" w:hanging="480"/>
      </w:pPr>
      <w:r>
        <w:rPr>
          <w:sz w:val="22"/>
          <w:szCs w:val="22"/>
        </w:rPr>
        <w:t>[20]</w:t>
      </w:r>
      <w:r>
        <w:rPr>
          <w:sz w:val="22"/>
          <w:szCs w:val="22"/>
        </w:rPr>
        <w:tab/>
        <w:t>G. Gibbs, Learning by Doing: A Guide to Teaching and Learning Methods. Oxford, UK: Further Education Unit, Oxford Polytechnic, 1988.</w:t>
      </w:r>
    </w:p>
    <w:p w14:paraId="53CC54AD" w14:textId="77777777" w:rsidR="00A55793" w:rsidRDefault="00000000">
      <w:pPr>
        <w:spacing w:after="120" w:line="300" w:lineRule="auto"/>
        <w:ind w:left="480" w:hanging="480"/>
      </w:pPr>
      <w:r>
        <w:rPr>
          <w:sz w:val="22"/>
          <w:szCs w:val="22"/>
        </w:rPr>
        <w:t>[21]</w:t>
      </w:r>
      <w:r>
        <w:rPr>
          <w:sz w:val="22"/>
          <w:szCs w:val="22"/>
        </w:rPr>
        <w:tab/>
        <w:t>D. A. Schön, The Reflective Practitioner: How Professionals Think in Action. New York, NY, USA: Basic Books, 1983.</w:t>
      </w:r>
    </w:p>
    <w:p w14:paraId="60D94165" w14:textId="77777777" w:rsidR="00A55793" w:rsidRDefault="00000000">
      <w:pPr>
        <w:spacing w:after="120" w:line="300" w:lineRule="auto"/>
        <w:ind w:left="480" w:hanging="480"/>
      </w:pPr>
      <w:r>
        <w:rPr>
          <w:sz w:val="22"/>
          <w:szCs w:val="22"/>
        </w:rPr>
        <w:t>[22]</w:t>
      </w:r>
      <w:r>
        <w:rPr>
          <w:sz w:val="22"/>
          <w:szCs w:val="22"/>
        </w:rPr>
        <w:tab/>
        <w:t>United Nations, “Transforming our world: the 2030 Agenda for Sustainable Development,” General Assembly Resolution A/RES/70/1, Oct. 2015. [Online]. Available: https://sdgs.un.org/2030agenda</w:t>
      </w:r>
    </w:p>
    <w:p w14:paraId="09AEA3A6" w14:textId="77777777" w:rsidR="00A55793" w:rsidRDefault="00000000">
      <w:r>
        <w:br w:type="page"/>
      </w:r>
    </w:p>
    <w:p w14:paraId="0BC8D69F" w14:textId="77777777" w:rsidR="00A55793" w:rsidRDefault="00000000">
      <w:pPr>
        <w:pStyle w:val="Heading1"/>
      </w:pPr>
      <w:bookmarkStart w:id="16" w:name="_Toc228288545"/>
      <w:r>
        <w:lastRenderedPageBreak/>
        <w:t>7. Appendices</w:t>
      </w:r>
      <w:bookmarkEnd w:id="16"/>
    </w:p>
    <w:p w14:paraId="32DE57E5" w14:textId="77777777" w:rsidR="00A55793" w:rsidRDefault="00000000">
      <w:pPr>
        <w:pStyle w:val="Heading2"/>
        <w:spacing w:before="320" w:after="160"/>
      </w:pPr>
      <w:bookmarkStart w:id="17" w:name="_Toc228288546"/>
      <w:r>
        <w:t xml:space="preserve">Appendix A: </w:t>
      </w:r>
      <w:proofErr w:type="spellStart"/>
      <w:r>
        <w:t>AgriConnect</w:t>
      </w:r>
      <w:proofErr w:type="spellEnd"/>
      <w:r>
        <w:t xml:space="preserve"> Tech Start-up Concept Card</w:t>
      </w:r>
      <w:bookmarkEnd w:id="17"/>
    </w:p>
    <w:p w14:paraId="0EA9D1FE" w14:textId="12164570" w:rsidR="0000211C" w:rsidRDefault="0000211C" w:rsidP="0000211C">
      <w:pPr>
        <w:spacing w:after="160" w:line="360" w:lineRule="auto"/>
        <w:jc w:val="both"/>
      </w:pPr>
      <w:r>
        <w:t xml:space="preserve">Suggested name: </w:t>
      </w:r>
      <w:proofErr w:type="spellStart"/>
      <w:r>
        <w:t>AgriConnect</w:t>
      </w:r>
      <w:proofErr w:type="spellEnd"/>
      <w:r>
        <w:t xml:space="preserve"> Pvt. Ltd.    Slogan: The smart farm of the smallholder.</w:t>
      </w:r>
    </w:p>
    <w:p w14:paraId="23E9AE0E" w14:textId="78922867" w:rsidR="0000211C" w:rsidRDefault="0000211C" w:rsidP="0000211C">
      <w:pPr>
        <w:spacing w:after="160" w:line="360" w:lineRule="auto"/>
        <w:jc w:val="both"/>
      </w:pPr>
      <w:r>
        <w:t>Logo concept: wheat ear (</w:t>
      </w:r>
      <w:proofErr w:type="spellStart"/>
      <w:r>
        <w:t>stylised</w:t>
      </w:r>
      <w:proofErr w:type="spellEnd"/>
      <w:r>
        <w:t>, with a Wi-Fi signal) - conveys the blend of IoT and agriculture in one mark; shown in deep green (2E7D32) and warm gold (#F9A825) to capture the impression of crops and harvest.</w:t>
      </w:r>
    </w:p>
    <w:p w14:paraId="667AF03A" w14:textId="0DACE83E" w:rsidR="009D327A" w:rsidRDefault="009D0346" w:rsidP="0000211C">
      <w:pPr>
        <w:spacing w:after="160" w:line="360" w:lineRule="auto"/>
        <w:jc w:val="both"/>
      </w:pPr>
      <w:r>
        <w:rPr>
          <w:noProof/>
        </w:rPr>
        <w:drawing>
          <wp:inline distT="0" distB="0" distL="0" distR="0" wp14:anchorId="6A4C2CD9" wp14:editId="30F04C53">
            <wp:extent cx="5943600" cy="3800475"/>
            <wp:effectExtent l="0" t="0" r="0" b="9525"/>
            <wp:docPr id="2063656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800475"/>
                    </a:xfrm>
                    <a:prstGeom prst="rect">
                      <a:avLst/>
                    </a:prstGeom>
                    <a:noFill/>
                    <a:ln>
                      <a:noFill/>
                    </a:ln>
                  </pic:spPr>
                </pic:pic>
              </a:graphicData>
            </a:graphic>
          </wp:inline>
        </w:drawing>
      </w:r>
    </w:p>
    <w:p w14:paraId="56C70C14" w14:textId="77777777" w:rsidR="0000211C" w:rsidRDefault="0000211C" w:rsidP="0000211C">
      <w:pPr>
        <w:spacing w:after="160" w:line="360" w:lineRule="auto"/>
        <w:jc w:val="both"/>
      </w:pPr>
      <w:r>
        <w:t>Laws: The company is a Private Limited Company registered under the Pakistan Companies Act 2017, and a parallel UK Community Interest Company (CIC) in the case of international donor funding.</w:t>
      </w:r>
    </w:p>
    <w:p w14:paraId="2D272F90" w14:textId="77777777" w:rsidR="0000211C" w:rsidRDefault="0000211C" w:rsidP="0000211C">
      <w:pPr>
        <w:spacing w:after="160" w:line="360" w:lineRule="auto"/>
        <w:jc w:val="both"/>
      </w:pPr>
      <w:r>
        <w:t xml:space="preserve">Business strategy (Osterwalder canvas summary [17]): freemium B2C smallholder-facing app and B2B data services to insurers, </w:t>
      </w:r>
      <w:proofErr w:type="spellStart"/>
      <w:r>
        <w:t>agri</w:t>
      </w:r>
      <w:proofErr w:type="spellEnd"/>
      <w:r>
        <w:t>-input companies and provincial governments. Channels: village agronomist network and Telco partnerships. Hardware, cloud and field dominated the structure of cost.</w:t>
      </w:r>
    </w:p>
    <w:p w14:paraId="27EACE0E" w14:textId="019C922B" w:rsidR="00A55793" w:rsidRDefault="0000211C" w:rsidP="0000211C">
      <w:pPr>
        <w:spacing w:after="160" w:line="360" w:lineRule="auto"/>
        <w:jc w:val="both"/>
      </w:pPr>
      <w:r>
        <w:lastRenderedPageBreak/>
        <w:t>Grants: (</w:t>
      </w:r>
      <w:proofErr w:type="spellStart"/>
      <w:r>
        <w:t>i</w:t>
      </w:r>
      <w:proofErr w:type="spellEnd"/>
      <w:r>
        <w:t xml:space="preserve">) UK Foreign, Commonwealth and Development Office Frontier Tech grant; (ii) World Bank ID4D digital-agriculture window [2]; (iii) Bill and Melinda Gates Foundation Agricultural Development RFP; (iv) seed equity by Pakistani </w:t>
      </w:r>
      <w:proofErr w:type="spellStart"/>
      <w:r>
        <w:t>agri</w:t>
      </w:r>
      <w:proofErr w:type="spellEnd"/>
      <w:r>
        <w:t>-fund i2i Ventures.</w:t>
      </w:r>
    </w:p>
    <w:p w14:paraId="75EFAB8D" w14:textId="77777777" w:rsidR="00A55793" w:rsidRDefault="00000000">
      <w:pPr>
        <w:pStyle w:val="Heading2"/>
        <w:spacing w:before="320" w:after="160"/>
      </w:pPr>
      <w:bookmarkStart w:id="18" w:name="_Toc228288547"/>
      <w:r>
        <w:t>Appendix B: Engagement-with-Literature Summary</w:t>
      </w:r>
      <w:bookmarkEnd w:id="18"/>
    </w:p>
    <w:p w14:paraId="2357407D" w14:textId="449142FB" w:rsidR="00A55793" w:rsidRDefault="00000000">
      <w:pPr>
        <w:spacing w:after="160" w:line="360" w:lineRule="auto"/>
        <w:jc w:val="both"/>
      </w:pPr>
      <w:r>
        <w:t>The reference list contains 22 sources: 8 peer-reviewed journal articles (Biosystems Engineering, Computers and Electronics in Agriculture, Agricultural Systems, Journal of Strategy and Management, Journal of Business Research), 6 books from leading academic and professional publishers (Wiley, Harvard Business Review Press, Free Press, Crown, IT Revolution, Basic Books), 3 international-</w:t>
      </w:r>
      <w:proofErr w:type="spellStart"/>
      <w:r>
        <w:t>organisation</w:t>
      </w:r>
      <w:proofErr w:type="spellEnd"/>
      <w:r>
        <w:t xml:space="preserve"> reports (PMI, FAO, World Bank), 2 corporate primary sources (Deere 10-K, Scrum Guide), 2 conference papers/manifestos (</w:t>
      </w:r>
      <w:proofErr w:type="spellStart"/>
      <w:r>
        <w:t>NeurIPS</w:t>
      </w:r>
      <w:proofErr w:type="spellEnd"/>
      <w:r>
        <w:t>, Agile Manifesto) and 1 UN policy document. 18 of 22 sources have been published since 2016, satisfying the brief's recency expectation while retaining seminal works (Schön 1983, Gibbs 1988, Porter 1980) where the literature itself treats them as foundational.</w:t>
      </w:r>
    </w:p>
    <w:sectPr w:rsidR="00A55793">
      <w:headerReference w:type="default" r:id="rId12"/>
      <w:footerReference w:type="default" r:id="rId13"/>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A99D6" w14:textId="77777777" w:rsidR="00BA2710" w:rsidRDefault="00BA2710">
      <w:r>
        <w:separator/>
      </w:r>
    </w:p>
  </w:endnote>
  <w:endnote w:type="continuationSeparator" w:id="0">
    <w:p w14:paraId="165D2346" w14:textId="77777777" w:rsidR="00BA2710" w:rsidRDefault="00BA27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501686" w14:textId="77777777" w:rsidR="00A55793"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00211C">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00211C">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B86260" w14:textId="77777777" w:rsidR="00BA2710" w:rsidRDefault="00BA2710">
      <w:r>
        <w:separator/>
      </w:r>
    </w:p>
  </w:footnote>
  <w:footnote w:type="continuationSeparator" w:id="0">
    <w:p w14:paraId="6656192D" w14:textId="77777777" w:rsidR="00BA2710" w:rsidRDefault="00BA27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6B874E" w14:textId="77777777" w:rsidR="00A55793" w:rsidRDefault="00000000">
    <w:pPr>
      <w:jc w:val="right"/>
    </w:pPr>
    <w:r>
      <w:rPr>
        <w:i/>
        <w:iCs/>
        <w:color w:val="555555"/>
        <w:sz w:val="18"/>
        <w:szCs w:val="18"/>
      </w:rPr>
      <w:t xml:space="preserve">ACCA5033 — Assignment 2 — </w:t>
    </w:r>
    <w:proofErr w:type="spellStart"/>
    <w:r>
      <w:rPr>
        <w:i/>
        <w:iCs/>
        <w:color w:val="555555"/>
        <w:sz w:val="18"/>
        <w:szCs w:val="18"/>
      </w:rPr>
      <w:t>AgriConnect</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6773E"/>
    <w:multiLevelType w:val="hybridMultilevel"/>
    <w:tmpl w:val="8EE67C88"/>
    <w:lvl w:ilvl="0" w:tplc="2C10A69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36B25DB"/>
    <w:multiLevelType w:val="hybridMultilevel"/>
    <w:tmpl w:val="9EEC577C"/>
    <w:lvl w:ilvl="0" w:tplc="2C10A69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E9F5F8E"/>
    <w:multiLevelType w:val="hybridMultilevel"/>
    <w:tmpl w:val="C4EE8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0955FB"/>
    <w:multiLevelType w:val="hybridMultilevel"/>
    <w:tmpl w:val="6A7A5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B0581C"/>
    <w:multiLevelType w:val="hybridMultilevel"/>
    <w:tmpl w:val="BFA226DC"/>
    <w:lvl w:ilvl="0" w:tplc="2C10A69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B13E52"/>
    <w:multiLevelType w:val="hybridMultilevel"/>
    <w:tmpl w:val="C5641794"/>
    <w:lvl w:ilvl="0" w:tplc="0C5808FC">
      <w:start w:val="1"/>
      <w:numFmt w:val="bullet"/>
      <w:lvlText w:val="●"/>
      <w:lvlJc w:val="left"/>
      <w:pPr>
        <w:ind w:left="720" w:hanging="360"/>
      </w:pPr>
    </w:lvl>
    <w:lvl w:ilvl="1" w:tplc="171E6096">
      <w:start w:val="1"/>
      <w:numFmt w:val="bullet"/>
      <w:lvlText w:val="○"/>
      <w:lvlJc w:val="left"/>
      <w:pPr>
        <w:ind w:left="1440" w:hanging="360"/>
      </w:pPr>
    </w:lvl>
    <w:lvl w:ilvl="2" w:tplc="EDA685EC">
      <w:start w:val="1"/>
      <w:numFmt w:val="bullet"/>
      <w:lvlText w:val="■"/>
      <w:lvlJc w:val="left"/>
      <w:pPr>
        <w:ind w:left="2160" w:hanging="360"/>
      </w:pPr>
    </w:lvl>
    <w:lvl w:ilvl="3" w:tplc="41C4738C">
      <w:start w:val="1"/>
      <w:numFmt w:val="bullet"/>
      <w:lvlText w:val="●"/>
      <w:lvlJc w:val="left"/>
      <w:pPr>
        <w:ind w:left="2880" w:hanging="360"/>
      </w:pPr>
    </w:lvl>
    <w:lvl w:ilvl="4" w:tplc="3F609666">
      <w:start w:val="1"/>
      <w:numFmt w:val="bullet"/>
      <w:lvlText w:val="○"/>
      <w:lvlJc w:val="left"/>
      <w:pPr>
        <w:ind w:left="3600" w:hanging="360"/>
      </w:pPr>
    </w:lvl>
    <w:lvl w:ilvl="5" w:tplc="45AC370A">
      <w:start w:val="1"/>
      <w:numFmt w:val="bullet"/>
      <w:lvlText w:val="■"/>
      <w:lvlJc w:val="left"/>
      <w:pPr>
        <w:ind w:left="4320" w:hanging="360"/>
      </w:pPr>
    </w:lvl>
    <w:lvl w:ilvl="6" w:tplc="FCD058B2">
      <w:start w:val="1"/>
      <w:numFmt w:val="bullet"/>
      <w:lvlText w:val="●"/>
      <w:lvlJc w:val="left"/>
      <w:pPr>
        <w:ind w:left="5040" w:hanging="360"/>
      </w:pPr>
    </w:lvl>
    <w:lvl w:ilvl="7" w:tplc="37CCFD72">
      <w:start w:val="1"/>
      <w:numFmt w:val="bullet"/>
      <w:lvlText w:val="●"/>
      <w:lvlJc w:val="left"/>
      <w:pPr>
        <w:ind w:left="5760" w:hanging="360"/>
      </w:pPr>
    </w:lvl>
    <w:lvl w:ilvl="8" w:tplc="B322BABE">
      <w:start w:val="1"/>
      <w:numFmt w:val="bullet"/>
      <w:lvlText w:val="●"/>
      <w:lvlJc w:val="left"/>
      <w:pPr>
        <w:ind w:left="6480" w:hanging="360"/>
      </w:pPr>
    </w:lvl>
  </w:abstractNum>
  <w:num w:numId="1" w16cid:durableId="1120151253">
    <w:abstractNumId w:val="5"/>
    <w:lvlOverride w:ilvl="0">
      <w:startOverride w:val="1"/>
    </w:lvlOverride>
  </w:num>
  <w:num w:numId="2" w16cid:durableId="599072074">
    <w:abstractNumId w:val="2"/>
  </w:num>
  <w:num w:numId="3" w16cid:durableId="834153980">
    <w:abstractNumId w:val="3"/>
  </w:num>
  <w:num w:numId="4" w16cid:durableId="1345210429">
    <w:abstractNumId w:val="1"/>
  </w:num>
  <w:num w:numId="5" w16cid:durableId="2089763516">
    <w:abstractNumId w:val="4"/>
  </w:num>
  <w:num w:numId="6" w16cid:durableId="1115102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5793"/>
    <w:rsid w:val="0000211C"/>
    <w:rsid w:val="00142F35"/>
    <w:rsid w:val="00177FAC"/>
    <w:rsid w:val="004801A6"/>
    <w:rsid w:val="004A7377"/>
    <w:rsid w:val="008A6AB5"/>
    <w:rsid w:val="009D0346"/>
    <w:rsid w:val="009D327A"/>
    <w:rsid w:val="00A55793"/>
    <w:rsid w:val="00A97CB6"/>
    <w:rsid w:val="00B64263"/>
    <w:rsid w:val="00B923A5"/>
    <w:rsid w:val="00BA2710"/>
    <w:rsid w:val="00D455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B50CC"/>
  <w15:docId w15:val="{11D95B2E-AB16-451A-95DE-14882DDE5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F4E79"/>
      <w:sz w:val="32"/>
      <w:szCs w:val="32"/>
    </w:rPr>
  </w:style>
  <w:style w:type="paragraph" w:styleId="Heading2">
    <w:name w:val="heading 2"/>
    <w:uiPriority w:val="9"/>
    <w:unhideWhenUsed/>
    <w:qFormat/>
    <w:pPr>
      <w:spacing w:before="240" w:after="120"/>
      <w:outlineLvl w:val="1"/>
    </w:pPr>
    <w:rPr>
      <w:b/>
      <w:bCs/>
      <w:color w:val="1F4E79"/>
      <w:sz w:val="28"/>
      <w:szCs w:val="28"/>
    </w:rPr>
  </w:style>
  <w:style w:type="paragraph" w:styleId="Heading3">
    <w:name w:val="heading 3"/>
    <w:uiPriority w:val="9"/>
    <w:semiHidden/>
    <w:unhideWhenUsed/>
    <w:qFormat/>
    <w:pPr>
      <w:spacing w:before="200" w:after="100"/>
      <w:outlineLvl w:val="2"/>
    </w:pPr>
    <w:rPr>
      <w:b/>
      <w:bCs/>
      <w:i/>
      <w:iCs/>
      <w:color w:val="2E5984"/>
      <w:sz w:val="26"/>
      <w:szCs w:val="2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B64263"/>
    <w:pPr>
      <w:keepNext/>
      <w:keepLines/>
      <w:spacing w:before="240" w:after="0" w:line="259" w:lineRule="auto"/>
      <w:outlineLvl w:val="9"/>
    </w:pPr>
    <w:rPr>
      <w:rFonts w:asciiTheme="majorHAnsi" w:eastAsiaTheme="majorEastAsia" w:hAnsiTheme="majorHAnsi" w:cstheme="majorBidi"/>
      <w:b w:val="0"/>
      <w:bCs w:val="0"/>
      <w:color w:val="0F4761" w:themeColor="accent1" w:themeShade="BF"/>
    </w:rPr>
  </w:style>
  <w:style w:type="paragraph" w:styleId="TOC1">
    <w:name w:val="toc 1"/>
    <w:basedOn w:val="Normal"/>
    <w:next w:val="Normal"/>
    <w:autoRedefine/>
    <w:uiPriority w:val="39"/>
    <w:unhideWhenUsed/>
    <w:rsid w:val="00B64263"/>
    <w:pPr>
      <w:spacing w:after="100"/>
    </w:pPr>
  </w:style>
  <w:style w:type="paragraph" w:styleId="TOC2">
    <w:name w:val="toc 2"/>
    <w:basedOn w:val="Normal"/>
    <w:next w:val="Normal"/>
    <w:autoRedefine/>
    <w:uiPriority w:val="39"/>
    <w:unhideWhenUsed/>
    <w:rsid w:val="00B6426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A46BB3-ABDD-4619-BD13-581D4ABE9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17</Pages>
  <Words>3898</Words>
  <Characters>22222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AgriConnect — Project Management &amp; Innovation</vt:lpstr>
    </vt:vector>
  </TitlesOfParts>
  <Company/>
  <LinksUpToDate>false</LinksUpToDate>
  <CharactersWithSpaces>26068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AgriConnect — Project Management &amp; Innovation</dc:title>
  <dc:creator>Student — UWTSD ACCA5033</dc:creator>
  <dc:description>Assignment 2 for ACCA5033 Changemakers</dc:description>
  <cp:lastModifiedBy>Muhammad Waqas Akram (2429948)</cp:lastModifiedBy>
  <cp:revision>7</cp:revision>
  <dcterms:created xsi:type="dcterms:W3CDTF">2026-04-28T11:53:00Z</dcterms:created>
  <dcterms:modified xsi:type="dcterms:W3CDTF">2026-04-28T12:56:00Z</dcterms:modified>
</cp:coreProperties>
</file>