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C2648" w14:textId="293C2922" w:rsidR="00F97E12" w:rsidRDefault="00F47DB2" w:rsidP="00F47DB2">
      <w:pPr>
        <w:jc w:val="center"/>
        <w:rPr>
          <w:b/>
          <w:bCs/>
          <w:u w:val="single"/>
        </w:rPr>
      </w:pPr>
      <w:r>
        <w:rPr>
          <w:b/>
          <w:bCs/>
          <w:u w:val="single"/>
        </w:rPr>
        <w:t>Assignment 1</w:t>
      </w:r>
    </w:p>
    <w:p w14:paraId="0402D266" w14:textId="7B4E4CBF" w:rsidR="00F47DB2" w:rsidRDefault="00F47DB2" w:rsidP="00F47DB2">
      <w:pPr>
        <w:jc w:val="center"/>
        <w:rPr>
          <w:b/>
          <w:bCs/>
          <w:u w:val="single"/>
        </w:rPr>
      </w:pPr>
    </w:p>
    <w:p w14:paraId="05E33659" w14:textId="2DB2C89F" w:rsidR="00F47DB2" w:rsidRDefault="00F47DB2" w:rsidP="00F47DB2">
      <w:pPr>
        <w:rPr>
          <w:b/>
          <w:bCs/>
          <w:u w:val="single"/>
        </w:rPr>
      </w:pPr>
      <w:r>
        <w:rPr>
          <w:b/>
          <w:bCs/>
          <w:u w:val="single"/>
        </w:rPr>
        <w:t xml:space="preserve">Essay 1 - </w:t>
      </w:r>
      <w:r w:rsidRPr="00F47DB2">
        <w:rPr>
          <w:b/>
          <w:bCs/>
          <w:u w:val="single"/>
        </w:rPr>
        <w:t>How might the Code of Ethics help to reduce incidences of professional misconduct and increase public confidence in the police?</w:t>
      </w:r>
    </w:p>
    <w:p w14:paraId="277E3D30" w14:textId="77777777" w:rsidR="00CE177C" w:rsidRDefault="00CE177C" w:rsidP="00CE177C">
      <w:r w:rsidRPr="006F47B7">
        <w:t>Modern policing has placed a strong emphasis on decreasing instances of professional misconduct and boosting public trust in the police. The "Code of Ethics" has also come under intense scrutiny, with concerns raised about how it might both lower the number of unacceptable conduct claims and boost public trust in the police. This essay will address the subject by examining and assessing arguments that either bolster or refute the thesis.</w:t>
      </w:r>
    </w:p>
    <w:p w14:paraId="30FE3494" w14:textId="77777777" w:rsidR="00CE177C" w:rsidRDefault="00CE177C" w:rsidP="00CE177C">
      <w:r w:rsidRPr="007175A9">
        <w:t xml:space="preserve">The second </w:t>
      </w:r>
      <w:r>
        <w:t>premise, as stated</w:t>
      </w:r>
      <w:r w:rsidRPr="007175A9">
        <w:t xml:space="preserve"> by Sir Robert Peel, which states that public approval of police operations is a prerequisite for the police being able to carry out their tasks (The Crime Prevention Website, 2023), is still true now as it was back then. This is a cornerstone of the British model of consent-based policing.</w:t>
      </w:r>
      <w:r>
        <w:t xml:space="preserve"> </w:t>
      </w:r>
      <w:r w:rsidRPr="00795811">
        <w:t>Since 2015/2016, the public's loss of trust</w:t>
      </w:r>
      <w:r>
        <w:t xml:space="preserve"> and confidence</w:t>
      </w:r>
      <w:r w:rsidRPr="00795811">
        <w:t xml:space="preserve"> in policing has grown rapidly.</w:t>
      </w:r>
      <w:r>
        <w:t xml:space="preserve"> I</w:t>
      </w:r>
      <w:r w:rsidRPr="00D02456">
        <w:t>n 2020</w:t>
      </w:r>
      <w:r>
        <w:t xml:space="preserve"> alone </w:t>
      </w:r>
      <w:r w:rsidRPr="00D02456">
        <w:t xml:space="preserve">the percentage of </w:t>
      </w:r>
      <w:r>
        <w:t>participants in the survey</w:t>
      </w:r>
      <w:r w:rsidRPr="00D02456">
        <w:t xml:space="preserve"> who had little or no belief in the police to deal with crime totalled 38%</w:t>
      </w:r>
      <w:r>
        <w:t>, t</w:t>
      </w:r>
      <w:r w:rsidRPr="009E614B">
        <w:t>his number had climbed to 53% by April 2023</w:t>
      </w:r>
      <w:r>
        <w:t xml:space="preserve"> (Tudor, 2023). This goes to show that over half of the respondents to this survey that took part do not trust the police in dealing with their crime, thus in turn, making the public’s confidence in policing at an alarmingly low level. However, to understand why the public confidence has decreased in policing attention needs to be paid as to why the public are not confident in the police to be able to regain that confidence. One of the main, overarching reasons for the public losing confidence in the police service is due to a</w:t>
      </w:r>
      <w:r w:rsidRPr="00E970EE">
        <w:t>n ongoing series of prominent incidents involving serious shortcomings, misbehaviour, and criminal conduct by serving police officers</w:t>
      </w:r>
      <w:r>
        <w:t xml:space="preserve">. Incidences such as the Sarah Everard Murder, the disappearance of </w:t>
      </w:r>
      <w:r w:rsidRPr="009B512F">
        <w:t xml:space="preserve">sisters </w:t>
      </w:r>
      <w:proofErr w:type="spellStart"/>
      <w:r w:rsidRPr="009B512F">
        <w:t>Bibaa</w:t>
      </w:r>
      <w:proofErr w:type="spellEnd"/>
      <w:r w:rsidRPr="009B512F">
        <w:t xml:space="preserve"> Henry and Nicole Smallman</w:t>
      </w:r>
      <w:r>
        <w:t xml:space="preserve">, and the arrest of former Met Police Firearms officer and serial rapist David Carrick, and other high-profile cases </w:t>
      </w:r>
      <w:r w:rsidRPr="00DE2CB5">
        <w:t xml:space="preserve">have </w:t>
      </w:r>
      <w:r>
        <w:t>invoked</w:t>
      </w:r>
      <w:r w:rsidRPr="00DE2CB5">
        <w:t xml:space="preserve"> concerns about </w:t>
      </w:r>
      <w:r>
        <w:t xml:space="preserve">the </w:t>
      </w:r>
      <w:r w:rsidRPr="00DE2CB5">
        <w:t>polic</w:t>
      </w:r>
      <w:r>
        <w:t>ing</w:t>
      </w:r>
      <w:r w:rsidRPr="00DE2CB5">
        <w:t xml:space="preserve"> standards and culture in </w:t>
      </w:r>
      <w:r>
        <w:t xml:space="preserve">both </w:t>
      </w:r>
      <w:r w:rsidRPr="00DE2CB5">
        <w:t>England and Wales</w:t>
      </w:r>
      <w:r>
        <w:t xml:space="preserve"> collectively (Tudor, 2023). Muir (2022) has highlighted that although the majority of officers are not engaged in “</w:t>
      </w:r>
      <w:r w:rsidRPr="005C6B5A">
        <w:t>behaviour that is racist, misogynistic or homophobic</w:t>
      </w:r>
      <w:r>
        <w:t>” he does state that there is a “wall of silence” which indicates that officers “</w:t>
      </w:r>
      <w:r w:rsidRPr="00CC7E65">
        <w:t>while not engaging in or approving of that conduct, finds it easier to turn a blind eye to it</w:t>
      </w:r>
      <w:r>
        <w:t>”, which calls into question, where do their values lie? And, most importantly is ignoring the issue just as bad as being involved in the behaviour? Due to this Priti Patel (Home Secretary) had asked for an urgent review into the vetting and police conduct in all police forces.</w:t>
      </w:r>
    </w:p>
    <w:p w14:paraId="2333D8F3" w14:textId="77777777" w:rsidR="00CE177C" w:rsidRDefault="00CE177C" w:rsidP="00CE177C">
      <w:r w:rsidRPr="006806F0">
        <w:t>The task of examining the abilities of police forces to screen and regulate officers was delegated to His Majesty's Inspectorate of Constabulary and Fire and Rescue Services (HMICFRS)</w:t>
      </w:r>
      <w:r>
        <w:t xml:space="preserve"> in October of 2021. </w:t>
      </w:r>
      <w:r w:rsidRPr="00C10488">
        <w:t>It also involves analysing the ability of the police as well as other law enforcement employees to recognise and react to misogynistic and predatory behaviour</w:t>
      </w:r>
      <w:r>
        <w:t xml:space="preserve"> within the police service (HMICFRS, 2022). The report had highlighted that there should be approximately 43 recommendations to improve the vetting and ensuring that </w:t>
      </w:r>
      <w:r w:rsidRPr="00C10488">
        <w:t>to misogynistic and predatory</w:t>
      </w:r>
      <w:r>
        <w:t xml:space="preserve"> behaviour is detected and challenged. The Code of Ethics “</w:t>
      </w:r>
      <w:r w:rsidRPr="008E7D8D">
        <w:t>sets and defines the exemplary standards of behaviour for everyone who works in policing</w:t>
      </w:r>
      <w:r>
        <w:t>” (College of Policing, 2014). ‘Challenging Improper Conduct’ is one of the professional behaviours that officers are expected to follow, however the report that was issued by the HMICFRS highlights how many officers are not adhering to this particular behaviour as the report has highlighted. HMICFRS (2022) has stated that prejudicial and improper behaviour was witnessed by people who were present but “</w:t>
      </w:r>
      <w:r w:rsidRPr="00482E6B">
        <w:t>rarely challenged the people responsible</w:t>
      </w:r>
      <w:r>
        <w:t>” thus shining a spotlight as to how often The Code of Ethics are being followed and engaged with.</w:t>
      </w:r>
    </w:p>
    <w:p w14:paraId="1716AB2F" w14:textId="77777777" w:rsidR="00CE177C" w:rsidRDefault="00CE177C" w:rsidP="00CE177C">
      <w:r>
        <w:lastRenderedPageBreak/>
        <w:t xml:space="preserve">Barker and Carter (1986 quoted in Donner et al, 2016) envisaged ‘police misconduct’ as </w:t>
      </w:r>
      <w:r w:rsidRPr="00D314FF">
        <w:t>“a generic description of police officer activities which are inconsistent with the officers’ legal authority, organizational authority, and standards of ethical conduct”.</w:t>
      </w:r>
      <w:r>
        <w:t xml:space="preserve"> Likewise, Champion (2001 quoted in Donner et al, 2016) described police misconduct as </w:t>
      </w:r>
      <w:r w:rsidRPr="0009576A">
        <w:t xml:space="preserve">“any inappropriate </w:t>
      </w:r>
      <w:proofErr w:type="spellStart"/>
      <w:r w:rsidRPr="0009576A">
        <w:t>behavior</w:t>
      </w:r>
      <w:proofErr w:type="spellEnd"/>
      <w:r w:rsidRPr="0009576A">
        <w:t xml:space="preserve"> on the part of any law enforcement officer that is either illegal or immoral or both”</w:t>
      </w:r>
      <w:r>
        <w:t>. The IOPC (2023) highlight that 31,620 complaints out of 81,142 were “recorded formally”. 113 of the complaints handled formally had resulted in a misconduct hearing or meeting taking place. In other words, this shows that 0.6% of the ‘formally handled’ complaints had resulted in a misconduct hearing taking place. On the contrary, Clark (2023) highlights that there are approximately 164,000 police officers serving in the UK. It can be concluded from this that, the amount of police officers that have been subject to a misconduct hearing against them is minimal compared to the amount of officers in the UK, whilst these statistics are constantly changing this implies that the majority of police officers are withholding the ‘professional behaviours’ that are bestowed upon them and are adhering to the code of ethics.</w:t>
      </w:r>
    </w:p>
    <w:p w14:paraId="5BB1F9CC" w14:textId="77777777" w:rsidR="00CE177C" w:rsidRDefault="00CE177C" w:rsidP="00CE177C">
      <w:r>
        <w:t>In summary, public confidence in policing is at an all-time low as stated by (Tudor, 2023). However, public confidence can be regained by ensuring that the ‘Code of Ethics’ is being followed. Moreover, it is suggested that more work is implemented which would “</w:t>
      </w:r>
      <w:r w:rsidRPr="007D2141">
        <w:t>reassure officers who feel unable to report colleagues’ unethical or illegal behaviours</w:t>
      </w:r>
      <w:r>
        <w:t>” (</w:t>
      </w:r>
      <w:proofErr w:type="spellStart"/>
      <w:r>
        <w:t>Westmarland</w:t>
      </w:r>
      <w:proofErr w:type="spellEnd"/>
      <w:r>
        <w:t xml:space="preserve"> and Rowe, 2018). Although public confidence in policing is low, the </w:t>
      </w:r>
      <w:proofErr w:type="gramStart"/>
      <w:r>
        <w:t>levels</w:t>
      </w:r>
      <w:proofErr w:type="gramEnd"/>
      <w:r>
        <w:t xml:space="preserve"> of proven misconduct remains minimal and this highlights the how committed the police officers within the UK to upholding those ‘professional behaviours’ that are bestowed upon them.</w:t>
      </w:r>
    </w:p>
    <w:p w14:paraId="55C8EB23" w14:textId="77777777" w:rsidR="00CE177C" w:rsidRDefault="00CE177C" w:rsidP="00CE177C"/>
    <w:p w14:paraId="78E3EAB9" w14:textId="36330ED4" w:rsidR="006654F3" w:rsidRDefault="00CE177C" w:rsidP="0039048E">
      <w:r>
        <w:t>Word Count - 918</w:t>
      </w:r>
    </w:p>
    <w:p w14:paraId="3EC756E0" w14:textId="005CA46C" w:rsidR="00F47DB2" w:rsidRDefault="00F47DB2" w:rsidP="00F47DB2">
      <w:pPr>
        <w:rPr>
          <w:b/>
          <w:bCs/>
          <w:u w:val="single"/>
        </w:rPr>
      </w:pPr>
    </w:p>
    <w:p w14:paraId="66956F92" w14:textId="433E2DB0" w:rsidR="00D5180E" w:rsidRDefault="00D5180E" w:rsidP="00D5180E">
      <w:pPr>
        <w:pStyle w:val="NormalWeb"/>
        <w:ind w:left="567" w:hanging="567"/>
      </w:pPr>
      <w:r>
        <w:t xml:space="preserve"> </w:t>
      </w:r>
    </w:p>
    <w:p w14:paraId="5212C87F" w14:textId="77777777" w:rsidR="00914629" w:rsidRDefault="00914629" w:rsidP="00F47DB2">
      <w:pPr>
        <w:rPr>
          <w:b/>
          <w:bCs/>
          <w:u w:val="single"/>
        </w:rPr>
      </w:pPr>
    </w:p>
    <w:p w14:paraId="067960DD" w14:textId="77777777" w:rsidR="00F6371C" w:rsidRDefault="00F6371C" w:rsidP="00F47DB2">
      <w:pPr>
        <w:rPr>
          <w:b/>
          <w:bCs/>
          <w:u w:val="single"/>
        </w:rPr>
      </w:pPr>
    </w:p>
    <w:p w14:paraId="1A06EBBF" w14:textId="77777777" w:rsidR="00F6371C" w:rsidRDefault="00F6371C" w:rsidP="00F47DB2">
      <w:pPr>
        <w:rPr>
          <w:b/>
          <w:bCs/>
          <w:u w:val="single"/>
        </w:rPr>
      </w:pPr>
    </w:p>
    <w:p w14:paraId="7C866EBA" w14:textId="77777777" w:rsidR="00F6371C" w:rsidRDefault="00F6371C" w:rsidP="00F47DB2">
      <w:pPr>
        <w:rPr>
          <w:b/>
          <w:bCs/>
          <w:u w:val="single"/>
        </w:rPr>
      </w:pPr>
    </w:p>
    <w:p w14:paraId="21DCD34C" w14:textId="77777777" w:rsidR="00F6371C" w:rsidRDefault="00F6371C" w:rsidP="00F47DB2">
      <w:pPr>
        <w:rPr>
          <w:b/>
          <w:bCs/>
          <w:u w:val="single"/>
        </w:rPr>
      </w:pPr>
    </w:p>
    <w:p w14:paraId="15821434" w14:textId="77777777" w:rsidR="00F6371C" w:rsidRDefault="00F6371C" w:rsidP="00F47DB2">
      <w:pPr>
        <w:rPr>
          <w:b/>
          <w:bCs/>
          <w:u w:val="single"/>
        </w:rPr>
      </w:pPr>
    </w:p>
    <w:p w14:paraId="57651C72" w14:textId="77777777" w:rsidR="00F6371C" w:rsidRDefault="00F6371C" w:rsidP="00F47DB2">
      <w:pPr>
        <w:rPr>
          <w:b/>
          <w:bCs/>
          <w:u w:val="single"/>
        </w:rPr>
      </w:pPr>
    </w:p>
    <w:p w14:paraId="0E2C020A" w14:textId="77777777" w:rsidR="00F6371C" w:rsidRDefault="00F6371C" w:rsidP="00F47DB2">
      <w:pPr>
        <w:rPr>
          <w:b/>
          <w:bCs/>
          <w:u w:val="single"/>
        </w:rPr>
      </w:pPr>
    </w:p>
    <w:p w14:paraId="276B75FE" w14:textId="77777777" w:rsidR="00F6371C" w:rsidRDefault="00F6371C" w:rsidP="00F47DB2">
      <w:pPr>
        <w:rPr>
          <w:b/>
          <w:bCs/>
          <w:u w:val="single"/>
        </w:rPr>
      </w:pPr>
    </w:p>
    <w:p w14:paraId="1AFE57E5" w14:textId="77777777" w:rsidR="00F6371C" w:rsidRDefault="00F6371C" w:rsidP="00F47DB2">
      <w:pPr>
        <w:rPr>
          <w:b/>
          <w:bCs/>
          <w:u w:val="single"/>
        </w:rPr>
      </w:pPr>
    </w:p>
    <w:p w14:paraId="4AD0FFFD" w14:textId="77777777" w:rsidR="00D9738F" w:rsidRDefault="00D9738F" w:rsidP="00F47DB2">
      <w:pPr>
        <w:rPr>
          <w:b/>
          <w:bCs/>
          <w:u w:val="single"/>
        </w:rPr>
      </w:pPr>
    </w:p>
    <w:p w14:paraId="600BA35D" w14:textId="77777777" w:rsidR="00CE177C" w:rsidRDefault="00CE177C" w:rsidP="00F47DB2">
      <w:pPr>
        <w:rPr>
          <w:b/>
          <w:bCs/>
          <w:u w:val="single"/>
        </w:rPr>
      </w:pPr>
    </w:p>
    <w:p w14:paraId="7D1C7CED" w14:textId="4F8FF089" w:rsidR="00F47DB2" w:rsidRDefault="00F47DB2" w:rsidP="00F47DB2">
      <w:pPr>
        <w:rPr>
          <w:b/>
          <w:bCs/>
          <w:u w:val="single"/>
        </w:rPr>
      </w:pPr>
      <w:r>
        <w:rPr>
          <w:b/>
          <w:bCs/>
          <w:u w:val="single"/>
        </w:rPr>
        <w:lastRenderedPageBreak/>
        <w:t xml:space="preserve">Essay 2 - </w:t>
      </w:r>
      <w:r w:rsidRPr="00F47DB2">
        <w:rPr>
          <w:b/>
          <w:bCs/>
          <w:u w:val="single"/>
        </w:rPr>
        <w:t>How effective is a multi-agency approach as a means of managing violent and sexual offenders?</w:t>
      </w:r>
    </w:p>
    <w:p w14:paraId="16668F3C" w14:textId="77777777" w:rsidR="001B27AD" w:rsidRDefault="001B27AD" w:rsidP="001B27AD">
      <w:r w:rsidRPr="00B42250">
        <w:t>A method known as the Multi-Agency Public Protection Arrangement (MAPPA) incorporates several agencies in order to protect the public from repeat offenders who provide a "level" of risk to the public. The public is hardly aware of this strategy, nor is it even informed of it. This raises the question of how successful the multi-agency strategy is in handling violent and sexual offenders</w:t>
      </w:r>
      <w:r>
        <w:t xml:space="preserve"> and ensuring that they are managed in such a way that risk to the public is reduced and minimised</w:t>
      </w:r>
      <w:r w:rsidRPr="00B42250">
        <w:t>. The purpose of this piece is to address this issue and to study and assess how successful it is in maintaining public safety</w:t>
      </w:r>
      <w:r>
        <w:t xml:space="preserve"> reducing the re – offending rates for violent and sexual offenders.</w:t>
      </w:r>
    </w:p>
    <w:p w14:paraId="7791A611" w14:textId="77777777" w:rsidR="001B27AD" w:rsidRDefault="001B27AD" w:rsidP="001B27AD">
      <w:r>
        <w:t>Firstly, and most importantly, it is key to note that following an inspection of the MAPPA process, the inspectors were “generally complimentary” and that the process generated “</w:t>
      </w:r>
      <w:r w:rsidRPr="003B60D8">
        <w:t>a positive culture of openness, trust and information sharing</w:t>
      </w:r>
      <w:r>
        <w:t>” (Rawlinson, 2012). It might be concluded from this that MAPPA process is working well to ensure the safety of the wider community and the victims of crimes alike. However, in contrast to this a report that was published in July of 2022 stated that “</w:t>
      </w:r>
      <w:r w:rsidRPr="00776AA6">
        <w:t>Despite the positive potential of MAPPA, we found gaps in some cases – especially at Level 1.</w:t>
      </w:r>
      <w:r>
        <w:t>” (HMI Probation, 2022). This goes to highlight that although MAPPA has a potential to be effective, work needs to be done to ensure that the mechanism is working for all levels of offenders instead of just a particular group of offenders.</w:t>
      </w:r>
    </w:p>
    <w:p w14:paraId="299CE000" w14:textId="77777777" w:rsidR="001B27AD" w:rsidRDefault="001B27AD" w:rsidP="001B27AD">
      <w:r>
        <w:t>To effectively manage offenders, there needs to be a joint effort between different agencies (Social Services, Housing, etc) in place to be able to support and manage the offenders efficiently and successfully. Accordingly, Dow (2004) declares that “</w:t>
      </w:r>
      <w:r w:rsidRPr="00D570BE">
        <w:t>multi-agency public protection arrangements (MAPPA) involve joint working between agencies involved with certain offenders on their release from prison</w:t>
      </w:r>
      <w:r>
        <w:t>”. Assuming this, this goes to show that no singular agency can successfully provide all the support from an offender following their release from prison, it also highlights that it would be unsuccessful for a singular agency to take ownership of that particular offender and also successfully over them support. Furthermore, to negotiate this, offenders are managed by a specific ‘Lead Agency’ the lead agency can either be the police or the prison service (</w:t>
      </w:r>
      <w:r w:rsidRPr="0073398D">
        <w:t>College of Policing, 2017</w:t>
      </w:r>
      <w:r>
        <w:t>). However, in contrast to this Rawlinson (2012) states that upon inspection of the MAPPA mechanism there was a “</w:t>
      </w:r>
      <w:r w:rsidRPr="00572EAC">
        <w:t>lack of clarity as to who the lead agency is in managing individual offenders</w:t>
      </w:r>
      <w:r>
        <w:t>”. This goes to show that ‘on – paper’ there is a clear ‘lead agency’ however when it comes to the in-person meetings, there is confusion as to who the agency in charge of the meeting is.</w:t>
      </w:r>
    </w:p>
    <w:p w14:paraId="024A235D" w14:textId="77777777" w:rsidR="001B27AD" w:rsidRDefault="001B27AD" w:rsidP="001B27AD">
      <w:r>
        <w:t>There are multiple challenges to working with other agencies, there are also challenges with working with different agencies from different parts of the country. Young (et al 2007) highlights that there is “inconsistency” between MAPPPs (Multi Agency Public Protection Panels) throughout the UK and that they are often run on an “</w:t>
      </w:r>
      <w:proofErr w:type="spellStart"/>
      <w:r>
        <w:t>unco</w:t>
      </w:r>
      <w:proofErr w:type="spellEnd"/>
      <w:r>
        <w:t xml:space="preserve"> – ordinated individual basis”. This illustrates that MAPPA is not standardised across the UK and there is a level of disorganisation amongst the MAPPA process. Similarly, Inspector Wendy Williams also notes a “</w:t>
      </w:r>
      <w:r w:rsidRPr="00EA1947">
        <w:t>lack of consistency and coherency in MAPPA</w:t>
      </w:r>
      <w:r>
        <w:t>” (HMI Probation, 2022). Assuming this, it is clear to see that there is a problem with the consistency of MAPPA arrangements in the UK which can lead to less effectiveness of the process without a standardised approach. Thus, highlighting a need for a more standardised approach across the board to ensure the processes effectiveness.</w:t>
      </w:r>
    </w:p>
    <w:p w14:paraId="713B6593" w14:textId="77777777" w:rsidR="001B27AD" w:rsidRDefault="001B27AD" w:rsidP="001B27AD">
      <w:r>
        <w:t xml:space="preserve">However, even though there are difficulties and challenges which can impede the effectiveness of the MAPPA process. The overall success rate is assessed by the statistics of the re – offending levels of the MAPPA nominals. </w:t>
      </w:r>
      <w:r w:rsidRPr="004F7F45">
        <w:t>Over a one-year period, the nationwide proven re-offence rate has been calculated to be approximately 37%</w:t>
      </w:r>
      <w:r>
        <w:t xml:space="preserve"> as stated by Cunliffe and Shepherd (2007 as quoted in Wood, </w:t>
      </w:r>
      <w:r>
        <w:lastRenderedPageBreak/>
        <w:t>2012). However, positively, Wood highlights the re – offending rate for level 3 (MAPPA managed) nominals was 32% (2012). This rate is significantly lower than the average re – offending rate. Assuming this, it may be concluded that MAPPA is effective as the re – offending rate of MAPPA managed nominals is lower than average, highlighting how MAPPA is keeping the public safe from the offenders. However, it is important to note that the overall ‘proven’ re offending rate takes into consideration all offenders and not just MAPPA offenders.</w:t>
      </w:r>
    </w:p>
    <w:p w14:paraId="0EB49A7D" w14:textId="77777777" w:rsidR="001B27AD" w:rsidRDefault="001B27AD" w:rsidP="001B27AD">
      <w:r>
        <w:t xml:space="preserve">To conclude, MAPPA is a relatively new process and is constantly changing and evolving. The overall effectiveness of MAPPA </w:t>
      </w:r>
      <w:proofErr w:type="spellStart"/>
      <w:r>
        <w:t>can not</w:t>
      </w:r>
      <w:proofErr w:type="spellEnd"/>
      <w:r>
        <w:t xml:space="preserve"> be easily assessed, there needs to be more research into MAPPA and its effectiveness for a clear picture as to how effective the mechanism is and can be. However, the early signs of MAPPA’s effectiveness are evident as Wood (2012) highlights that the MAPPA re offending rate is lower than the national average. In contrast to this there are also changes that are needed to ensure that MAPPA is being utilised properly and coherently across all counties as stated by Young (et al 2007). Once these changes have been made it would be better to assess the effectiveness of the MAPPA process then, as those changes need time to take effect. </w:t>
      </w:r>
      <w:r w:rsidRPr="00A0364C">
        <w:t xml:space="preserve">Additionally, MAPPA assists the nominals in returning to a "normal" life by providing housing assistance, support services, and other </w:t>
      </w:r>
      <w:r>
        <w:t>support to those specific managed offenders.</w:t>
      </w:r>
    </w:p>
    <w:p w14:paraId="41976EF9" w14:textId="77777777" w:rsidR="001B27AD" w:rsidRDefault="001B27AD" w:rsidP="001B27AD"/>
    <w:p w14:paraId="69891DD2" w14:textId="77777777" w:rsidR="001B27AD" w:rsidRPr="00D173E0" w:rsidRDefault="001B27AD" w:rsidP="001B27AD">
      <w:r>
        <w:t>Word Count - 901</w:t>
      </w:r>
    </w:p>
    <w:p w14:paraId="1F34E20F" w14:textId="51D242C6" w:rsidR="000C0BD3" w:rsidRPr="00D173E0" w:rsidRDefault="000C0BD3" w:rsidP="0062093F"/>
    <w:p w14:paraId="01842E5A" w14:textId="77777777" w:rsidR="00AD23BD" w:rsidRPr="00D00F92" w:rsidRDefault="00AD23BD" w:rsidP="00F47DB2"/>
    <w:p w14:paraId="574B0171" w14:textId="77777777" w:rsidR="0001758C" w:rsidRDefault="0001758C" w:rsidP="00F47DB2"/>
    <w:p w14:paraId="094E8DA2" w14:textId="77777777" w:rsidR="0001758C" w:rsidRDefault="0001758C" w:rsidP="00F47DB2"/>
    <w:p w14:paraId="74F9A8B8" w14:textId="77777777" w:rsidR="0001758C" w:rsidRDefault="0001758C" w:rsidP="00F47DB2"/>
    <w:p w14:paraId="3275C519" w14:textId="77777777" w:rsidR="00D173E0" w:rsidRDefault="00D173E0" w:rsidP="00F47DB2">
      <w:pPr>
        <w:rPr>
          <w:b/>
          <w:bCs/>
          <w:u w:val="single"/>
        </w:rPr>
      </w:pPr>
    </w:p>
    <w:p w14:paraId="70518FB1" w14:textId="77777777" w:rsidR="00D173E0" w:rsidRDefault="00D173E0" w:rsidP="00F47DB2">
      <w:pPr>
        <w:rPr>
          <w:b/>
          <w:bCs/>
          <w:u w:val="single"/>
        </w:rPr>
      </w:pPr>
    </w:p>
    <w:p w14:paraId="6C02325E" w14:textId="77777777" w:rsidR="00D173E0" w:rsidRDefault="00D173E0" w:rsidP="00F47DB2">
      <w:pPr>
        <w:rPr>
          <w:b/>
          <w:bCs/>
          <w:u w:val="single"/>
        </w:rPr>
      </w:pPr>
    </w:p>
    <w:p w14:paraId="3448A979" w14:textId="77777777" w:rsidR="00D173E0" w:rsidRDefault="00D173E0" w:rsidP="00F47DB2">
      <w:pPr>
        <w:rPr>
          <w:b/>
          <w:bCs/>
          <w:u w:val="single"/>
        </w:rPr>
      </w:pPr>
    </w:p>
    <w:p w14:paraId="586ED90C" w14:textId="77777777" w:rsidR="00D173E0" w:rsidRDefault="00D173E0" w:rsidP="00F47DB2">
      <w:pPr>
        <w:rPr>
          <w:b/>
          <w:bCs/>
          <w:u w:val="single"/>
        </w:rPr>
      </w:pPr>
    </w:p>
    <w:p w14:paraId="48B2806A" w14:textId="77777777" w:rsidR="00D173E0" w:rsidRDefault="00D173E0" w:rsidP="00F47DB2">
      <w:pPr>
        <w:rPr>
          <w:b/>
          <w:bCs/>
          <w:u w:val="single"/>
        </w:rPr>
      </w:pPr>
    </w:p>
    <w:p w14:paraId="5EA83F5E" w14:textId="77777777" w:rsidR="001B27AD" w:rsidRDefault="001B27AD" w:rsidP="00F47DB2">
      <w:pPr>
        <w:rPr>
          <w:b/>
          <w:bCs/>
          <w:u w:val="single"/>
        </w:rPr>
      </w:pPr>
    </w:p>
    <w:p w14:paraId="001742CC" w14:textId="77777777" w:rsidR="001B27AD" w:rsidRDefault="001B27AD" w:rsidP="00F47DB2">
      <w:pPr>
        <w:rPr>
          <w:b/>
          <w:bCs/>
          <w:u w:val="single"/>
        </w:rPr>
      </w:pPr>
    </w:p>
    <w:p w14:paraId="62A028F5" w14:textId="77777777" w:rsidR="001B27AD" w:rsidRDefault="001B27AD" w:rsidP="00F47DB2">
      <w:pPr>
        <w:rPr>
          <w:b/>
          <w:bCs/>
          <w:u w:val="single"/>
        </w:rPr>
      </w:pPr>
    </w:p>
    <w:p w14:paraId="5DEA93AC" w14:textId="77777777" w:rsidR="001B27AD" w:rsidRDefault="001B27AD" w:rsidP="00F47DB2">
      <w:pPr>
        <w:rPr>
          <w:b/>
          <w:bCs/>
          <w:u w:val="single"/>
        </w:rPr>
      </w:pPr>
    </w:p>
    <w:p w14:paraId="500E04DD" w14:textId="77777777" w:rsidR="001B27AD" w:rsidRDefault="001B27AD" w:rsidP="00F47DB2">
      <w:pPr>
        <w:rPr>
          <w:b/>
          <w:bCs/>
          <w:u w:val="single"/>
        </w:rPr>
      </w:pPr>
    </w:p>
    <w:p w14:paraId="7C5C06DF" w14:textId="77777777" w:rsidR="001B27AD" w:rsidRDefault="001B27AD" w:rsidP="00F47DB2">
      <w:pPr>
        <w:rPr>
          <w:b/>
          <w:bCs/>
          <w:u w:val="single"/>
        </w:rPr>
      </w:pPr>
    </w:p>
    <w:p w14:paraId="6F0C72EF" w14:textId="77777777" w:rsidR="001B27AD" w:rsidRDefault="001B27AD" w:rsidP="00F47DB2">
      <w:pPr>
        <w:rPr>
          <w:b/>
          <w:bCs/>
          <w:u w:val="single"/>
        </w:rPr>
      </w:pPr>
    </w:p>
    <w:p w14:paraId="187F4294" w14:textId="7180A37A" w:rsidR="00F47DB2" w:rsidRDefault="00F47DB2" w:rsidP="00F47DB2">
      <w:pPr>
        <w:rPr>
          <w:b/>
          <w:bCs/>
          <w:u w:val="single"/>
        </w:rPr>
      </w:pPr>
      <w:r>
        <w:rPr>
          <w:b/>
          <w:bCs/>
          <w:u w:val="single"/>
        </w:rPr>
        <w:lastRenderedPageBreak/>
        <w:t xml:space="preserve">Essay 3 - </w:t>
      </w:r>
      <w:r w:rsidRPr="00F47DB2">
        <w:rPr>
          <w:b/>
          <w:bCs/>
          <w:u w:val="single"/>
        </w:rPr>
        <w:t>To what extent is ‘lifestyle’ theory an accurate reflection of what makes certain people vulnerable to becoming a victim of Serious and Organised Crime?</w:t>
      </w:r>
    </w:p>
    <w:p w14:paraId="607E0F1E" w14:textId="77777777" w:rsidR="00340039" w:rsidRPr="004969B2" w:rsidRDefault="00340039" w:rsidP="00340039">
      <w:r>
        <w:t xml:space="preserve">The ‘lifestyle’ theory is a theory studied by many criminologists. This essay will look to analyse how the ‘lifestyle’ theory predisposes certain individuals from society and puts them at risk and makes them vulnerable to becoming a victim of serious and organised crime. </w:t>
      </w:r>
    </w:p>
    <w:p w14:paraId="5F16EB48" w14:textId="77777777" w:rsidR="00340039" w:rsidRPr="00355C44" w:rsidRDefault="00340039" w:rsidP="00340039">
      <w:r w:rsidRPr="00456E0E">
        <w:t>According to this hypothesis, people are singled out for interest because of their ways of life, which put them at danger of encountering criminals and potentially dangerous situations. Among the lifestyle choices suggested by this idea are living in "bad" neighbourhoods, walking on your own at night, socialising out with known offenders, being sexually active</w:t>
      </w:r>
      <w:r>
        <w:t xml:space="preserve"> and offering sexual services</w:t>
      </w:r>
      <w:r w:rsidRPr="00456E0E">
        <w:t>, drinking too much alcoholic beverages and using illicit substances</w:t>
      </w:r>
      <w:r>
        <w:t xml:space="preserve"> </w:t>
      </w:r>
      <w:r w:rsidRPr="00A1645F">
        <w:t>(Harper, 2022).</w:t>
      </w:r>
      <w:r>
        <w:rPr>
          <w:i/>
          <w:iCs/>
        </w:rPr>
        <w:t xml:space="preserve"> </w:t>
      </w:r>
      <w:r>
        <w:t xml:space="preserve">The theory is suggesting that people are targeted for their lifestyle choices. Similarly, Pratt &amp; </w:t>
      </w:r>
      <w:proofErr w:type="spellStart"/>
      <w:r>
        <w:t>Turanovic</w:t>
      </w:r>
      <w:proofErr w:type="spellEnd"/>
      <w:r>
        <w:t xml:space="preserve"> (2015) states “</w:t>
      </w:r>
      <w:r w:rsidRPr="00A1645F">
        <w:t>Lifestyle and routine activity theories both view victimization through the lens of the convergence of a motivated offender, an attractive target/victim, and the absence of capable guardianship</w:t>
      </w:r>
      <w:r>
        <w:t>”. Thus, highlighting that offenders look for weaknesses within a victim to enable them to successfully commit a crime against them or exploit them for a criminal gain. The victim in this instance will be threatened with violence and other atrocities so the criminals have firm control over them.</w:t>
      </w:r>
    </w:p>
    <w:p w14:paraId="0D4D0CE4" w14:textId="77777777" w:rsidR="00340039" w:rsidRDefault="00340039" w:rsidP="00340039">
      <w:r w:rsidRPr="00F30449">
        <w:t>Criminal behaviour that is arranged, organised, and carried out by individuals acting alone, in groups, or as a component of international networks is referred to as serious and organised crime (SOC). Typically, the main goals are to gain wealth, power, authority, and income</w:t>
      </w:r>
      <w:r>
        <w:t xml:space="preserve"> </w:t>
      </w:r>
      <w:r w:rsidRPr="00F567CB">
        <w:t>(Winchester, 2020).</w:t>
      </w:r>
      <w:r>
        <w:rPr>
          <w:i/>
          <w:iCs/>
        </w:rPr>
        <w:t xml:space="preserve"> </w:t>
      </w:r>
      <w:r w:rsidRPr="007A00C2">
        <w:t>Serious and organised crime include different crimes, but the end result is always the same: money is gained.</w:t>
      </w:r>
      <w:r>
        <w:t xml:space="preserve"> </w:t>
      </w:r>
      <w:r w:rsidRPr="00984B90">
        <w:t>Over 350,000 individuals are thought to be linked to serious and organised crime in the UK, and 4,772 OCGs (</w:t>
      </w:r>
      <w:r>
        <w:t>O</w:t>
      </w:r>
      <w:r w:rsidRPr="00984B90">
        <w:t>rganised Crime Groups) have been identified and mapped out to date. The complexity of the threat posed by SOC is also increasing as criminals use technology to share information, engage in, and conceal their crimes</w:t>
      </w:r>
      <w:r>
        <w:t xml:space="preserve"> </w:t>
      </w:r>
      <w:r w:rsidRPr="00DF1553">
        <w:t>(NCA, 2020).</w:t>
      </w:r>
    </w:p>
    <w:p w14:paraId="5FF4313C" w14:textId="77777777" w:rsidR="00340039" w:rsidRPr="00577671" w:rsidRDefault="00340039" w:rsidP="00340039">
      <w:r>
        <w:t>The most prevalent form of serious and organised crime is ‘County Lines’. County lines as described by Harding (2020) states it is “groups or gangs using young people or vulnerable adults to carry and sell drugs from borough to borough, and across county boundaries”. However, in contrast Windle &amp; Briggs (2015) highlight that n</w:t>
      </w:r>
      <w:r w:rsidRPr="00B200AA">
        <w:t>ot every county line is controlled or structured by street gangs; some are managed by small drug-dealing groups, while others are handled by networks of extended families connected by blood ties.</w:t>
      </w:r>
      <w:r>
        <w:t xml:space="preserve"> This undoubtedly highlights that organisation into ‘County Lines’ is varied, and vulnerable people are not always utilised to transport the drugs. You can conclude from this that use of vulnerable adults and youths are only used when there are no ‘connections’ to the specific gang running the drugs in that specific area. This emphasises that the level of organisation in a ‘County Lines’ gang is very complex.</w:t>
      </w:r>
    </w:p>
    <w:p w14:paraId="3611C3A8" w14:textId="77777777" w:rsidR="00340039" w:rsidRDefault="00340039" w:rsidP="00340039">
      <w:pPr>
        <w:rPr>
          <w:i/>
          <w:iCs/>
        </w:rPr>
      </w:pPr>
      <w:r>
        <w:t>The main crime that vulnerable children and adults fall victim to is county lines. ‘</w:t>
      </w:r>
      <w:r w:rsidRPr="0041171F">
        <w:t>County lines</w:t>
      </w:r>
      <w:r>
        <w:t>’</w:t>
      </w:r>
      <w:r w:rsidRPr="0041171F">
        <w:t xml:space="preserve"> drug distribution is a violent and exploitative practise. The exploitative treatment of adolescents, kids, and adults with vulnerabilities who are directed to supply and/or keep narcotics, as well as related money or firearms, to traffickers or drug addicts, locally or in other counties</w:t>
      </w:r>
      <w:r>
        <w:t xml:space="preserve">. </w:t>
      </w:r>
      <w:r w:rsidRPr="003B3514">
        <w:t>In the first three quarters of 2019, 7,273 individuals had been referred into the National Referral Mechanism (NRM), indicating that those who are the subjects of "county lines" are also victims of modern-day slavery. Of the 7,273 victims, 42% were children under the age of 18</w:t>
      </w:r>
      <w:r>
        <w:t xml:space="preserve"> </w:t>
      </w:r>
      <w:r w:rsidRPr="00664CD8">
        <w:t>(NCA, 2020).</w:t>
      </w:r>
      <w:r>
        <w:t xml:space="preserve"> ‘Cuckooing’ is a form of ‘County Lines’ drug dealing, this involves taking over someone’s house and using this a ‘base of operations’ to distribute drugs. However, the OCG’s will often target those “without capable guardianship” as stated by Pratt &amp; </w:t>
      </w:r>
      <w:proofErr w:type="spellStart"/>
      <w:r>
        <w:t>Turanovic</w:t>
      </w:r>
      <w:proofErr w:type="spellEnd"/>
      <w:r>
        <w:t xml:space="preserve"> (2015) in their journal about the ‘Lifestyle Theory’. </w:t>
      </w:r>
      <w:r>
        <w:lastRenderedPageBreak/>
        <w:t>Similarly, the NCA (2016) also state that t</w:t>
      </w:r>
      <w:r w:rsidRPr="00D34555">
        <w:t>hose with drug addiction, impairments, mental health conditions, and the elderly are among those whose homes have been reported to have been taken by these dealers.</w:t>
      </w:r>
      <w:r>
        <w:t xml:space="preserve"> You can draw from this that the gangs associated with ‘County Lines’ drug dealing target those who are vulnerable as they often provide little resistance to their attempts to take over as those who are being victimised are very vulnerable.</w:t>
      </w:r>
    </w:p>
    <w:p w14:paraId="628BDD58" w14:textId="77777777" w:rsidR="00340039" w:rsidRDefault="00340039" w:rsidP="00340039">
      <w:r>
        <w:t xml:space="preserve">In conclusion, the ‘lifestyle theory’ is a somewhat accurate reflection of how certain people are predisposed to becoming victims of serious and organised crime. When we look at people’s certain circumstances it is clear to see that those who are vulnerable and are “without capable guardianship” are more likely to become victims of serious and organised crime. This is due to those vulnerabilities being exploited by OCG’s and other criminals who are looking to make a financial gain. However, as discussed in this piece not all victims fall into serious and organised crime such as ‘County Lines’ as there are already arrangements in place by the OCG’s. It is prevalent to see that the way in which OCGs victimize vulnerable people it is calculated and very sophisticated. It is, however, important to note that those who are victimised by OCG’s are those who are vulnerable as </w:t>
      </w:r>
      <w:proofErr w:type="gramStart"/>
      <w:r>
        <w:t>they</w:t>
      </w:r>
      <w:proofErr w:type="gramEnd"/>
      <w:r>
        <w:t xml:space="preserve"> less likely to challenge the behaviour that they are being subjected to. Overall, the ‘lifestyle theory’ does provide a reflection as to how certain people are predisposed to becoming victims of serious and organised crime, however, more research is needed to be able to support this theory and what it stands for.</w:t>
      </w:r>
    </w:p>
    <w:p w14:paraId="2AB76697" w14:textId="77777777" w:rsidR="00340039" w:rsidRDefault="00340039" w:rsidP="00340039"/>
    <w:p w14:paraId="58E77EBA" w14:textId="77777777" w:rsidR="00340039" w:rsidRDefault="00340039" w:rsidP="00340039">
      <w:r>
        <w:t>Word Count - 904</w:t>
      </w:r>
    </w:p>
    <w:p w14:paraId="6EA37D08" w14:textId="77777777" w:rsidR="00472309" w:rsidRDefault="00472309" w:rsidP="00472309">
      <w:pPr>
        <w:rPr>
          <w:b/>
          <w:bCs/>
          <w:u w:val="single"/>
        </w:rPr>
      </w:pPr>
    </w:p>
    <w:p w14:paraId="1909DC70" w14:textId="77777777" w:rsidR="00A965B7" w:rsidRDefault="00A965B7" w:rsidP="00F47DB2">
      <w:pPr>
        <w:rPr>
          <w:b/>
          <w:bCs/>
          <w:u w:val="single"/>
        </w:rPr>
      </w:pPr>
    </w:p>
    <w:p w14:paraId="6AA5760E" w14:textId="77777777" w:rsidR="00A965B7" w:rsidRDefault="00A965B7" w:rsidP="00F47DB2">
      <w:pPr>
        <w:rPr>
          <w:b/>
          <w:bCs/>
          <w:u w:val="single"/>
        </w:rPr>
      </w:pPr>
    </w:p>
    <w:p w14:paraId="19381BBE" w14:textId="77777777" w:rsidR="00A965B7" w:rsidRDefault="00A965B7" w:rsidP="00F47DB2">
      <w:pPr>
        <w:rPr>
          <w:b/>
          <w:bCs/>
          <w:u w:val="single"/>
        </w:rPr>
      </w:pPr>
    </w:p>
    <w:p w14:paraId="74094A20" w14:textId="77777777" w:rsidR="00A965B7" w:rsidRDefault="00A965B7" w:rsidP="00F47DB2">
      <w:pPr>
        <w:rPr>
          <w:b/>
          <w:bCs/>
          <w:u w:val="single"/>
        </w:rPr>
      </w:pPr>
    </w:p>
    <w:p w14:paraId="408A5D02" w14:textId="77777777" w:rsidR="00A965B7" w:rsidRDefault="00A965B7" w:rsidP="00F47DB2">
      <w:pPr>
        <w:rPr>
          <w:b/>
          <w:bCs/>
          <w:u w:val="single"/>
        </w:rPr>
      </w:pPr>
    </w:p>
    <w:p w14:paraId="1926FBDC" w14:textId="77777777" w:rsidR="00A965B7" w:rsidRDefault="00A965B7" w:rsidP="00F47DB2">
      <w:pPr>
        <w:rPr>
          <w:b/>
          <w:bCs/>
          <w:u w:val="single"/>
        </w:rPr>
      </w:pPr>
    </w:p>
    <w:p w14:paraId="0E80A6E9" w14:textId="77777777" w:rsidR="00A965B7" w:rsidRDefault="00A965B7" w:rsidP="00F47DB2">
      <w:pPr>
        <w:rPr>
          <w:b/>
          <w:bCs/>
          <w:u w:val="single"/>
        </w:rPr>
      </w:pPr>
    </w:p>
    <w:p w14:paraId="454548B8" w14:textId="77777777" w:rsidR="00A965B7" w:rsidRDefault="00A965B7" w:rsidP="00F47DB2">
      <w:pPr>
        <w:rPr>
          <w:b/>
          <w:bCs/>
          <w:u w:val="single"/>
        </w:rPr>
      </w:pPr>
    </w:p>
    <w:p w14:paraId="3791B018" w14:textId="77777777" w:rsidR="00A965B7" w:rsidRDefault="00A965B7" w:rsidP="00F47DB2">
      <w:pPr>
        <w:rPr>
          <w:b/>
          <w:bCs/>
          <w:u w:val="single"/>
        </w:rPr>
      </w:pPr>
    </w:p>
    <w:p w14:paraId="7AE7E836" w14:textId="77777777" w:rsidR="0035634C" w:rsidRDefault="0035634C" w:rsidP="00F47DB2">
      <w:pPr>
        <w:rPr>
          <w:b/>
          <w:bCs/>
          <w:u w:val="single"/>
        </w:rPr>
      </w:pPr>
    </w:p>
    <w:p w14:paraId="5DF0D740" w14:textId="77777777" w:rsidR="0035634C" w:rsidRDefault="0035634C" w:rsidP="00F47DB2">
      <w:pPr>
        <w:rPr>
          <w:b/>
          <w:bCs/>
          <w:u w:val="single"/>
        </w:rPr>
      </w:pPr>
    </w:p>
    <w:p w14:paraId="417AB866" w14:textId="77777777" w:rsidR="0035634C" w:rsidRDefault="0035634C" w:rsidP="00F47DB2">
      <w:pPr>
        <w:rPr>
          <w:b/>
          <w:bCs/>
          <w:u w:val="single"/>
        </w:rPr>
      </w:pPr>
    </w:p>
    <w:p w14:paraId="6AA64BE2" w14:textId="77777777" w:rsidR="0035634C" w:rsidRDefault="0035634C" w:rsidP="00F47DB2">
      <w:pPr>
        <w:rPr>
          <w:b/>
          <w:bCs/>
          <w:u w:val="single"/>
        </w:rPr>
      </w:pPr>
    </w:p>
    <w:p w14:paraId="1024A240" w14:textId="77777777" w:rsidR="00340039" w:rsidRDefault="00340039" w:rsidP="00F47DB2">
      <w:pPr>
        <w:rPr>
          <w:b/>
          <w:bCs/>
          <w:u w:val="single"/>
        </w:rPr>
      </w:pPr>
    </w:p>
    <w:p w14:paraId="59A8CD93" w14:textId="77777777" w:rsidR="00340039" w:rsidRDefault="00340039" w:rsidP="00F47DB2">
      <w:pPr>
        <w:rPr>
          <w:b/>
          <w:bCs/>
          <w:u w:val="single"/>
        </w:rPr>
      </w:pPr>
    </w:p>
    <w:p w14:paraId="1DEF9857" w14:textId="77777777" w:rsidR="00340039" w:rsidRDefault="00340039" w:rsidP="00F47DB2">
      <w:pPr>
        <w:rPr>
          <w:b/>
          <w:bCs/>
          <w:u w:val="single"/>
        </w:rPr>
      </w:pPr>
    </w:p>
    <w:p w14:paraId="354C1542" w14:textId="3BE366E8" w:rsidR="00F47DB2" w:rsidRDefault="00F47DB2" w:rsidP="00F47DB2">
      <w:pPr>
        <w:rPr>
          <w:b/>
          <w:bCs/>
          <w:u w:val="single"/>
        </w:rPr>
      </w:pPr>
      <w:r>
        <w:rPr>
          <w:b/>
          <w:bCs/>
          <w:u w:val="single"/>
        </w:rPr>
        <w:lastRenderedPageBreak/>
        <w:t xml:space="preserve">Essay 4 - </w:t>
      </w:r>
      <w:r w:rsidRPr="00F47DB2">
        <w:rPr>
          <w:b/>
          <w:bCs/>
          <w:u w:val="single"/>
        </w:rPr>
        <w:t xml:space="preserve">Why </w:t>
      </w:r>
      <w:proofErr w:type="gramStart"/>
      <w:r w:rsidRPr="00F47DB2">
        <w:rPr>
          <w:b/>
          <w:bCs/>
          <w:u w:val="single"/>
        </w:rPr>
        <w:t>is</w:t>
      </w:r>
      <w:proofErr w:type="gramEnd"/>
      <w:r w:rsidRPr="00F47DB2">
        <w:rPr>
          <w:b/>
          <w:bCs/>
          <w:u w:val="single"/>
        </w:rPr>
        <w:t xml:space="preserve"> a partnership approach the most effective way of preventing re-offending?</w:t>
      </w:r>
    </w:p>
    <w:p w14:paraId="49E7B726" w14:textId="77777777" w:rsidR="00096663" w:rsidRDefault="00096663" w:rsidP="00096663">
      <w:r w:rsidRPr="009923D9">
        <w:t>Why is working together the most effective way to avoid re-offending? This article will discuss how agencies collaborate to assist those in need, as well as the likelihood that people will quit committing crimes as a result of their interactions with other organisations. It will also look into how various tactics can help reduce re-offending among certain offenders, such as adolescent offenders.</w:t>
      </w:r>
    </w:p>
    <w:p w14:paraId="596A11F5" w14:textId="77777777" w:rsidR="00096663" w:rsidRPr="0046349E" w:rsidRDefault="00096663" w:rsidP="00096663">
      <w:r>
        <w:t>To reduce the reoffending rates in the UK a framework called the ‘Integrated Offender Management’ (IOM) was introduced in 2009 in England and Wales (</w:t>
      </w:r>
      <w:proofErr w:type="spellStart"/>
      <w:r>
        <w:t>Sleath</w:t>
      </w:r>
      <w:proofErr w:type="spellEnd"/>
      <w:r>
        <w:t xml:space="preserve"> and Brown, 2017). </w:t>
      </w:r>
      <w:r w:rsidRPr="0071301F">
        <w:t xml:space="preserve">In order to provide a local response to chronic and troublesome crime, police, probation, and other agencies were encouraged to collaborate through the Integrated Offender Management (IOM) </w:t>
      </w:r>
      <w:r>
        <w:t>framework (His Majesties Inspectorate of Probation, 2021). The framework is there to ensure a more constant oversight for those offenders who are persistent, the framework is run similarly to the MAPPA programme as such whereby for it to be effective there needs to be emphasis in multi – agency working to ensure the particular offenders are managed properly and the necessary support is put into place to be able to support the offenders and look to reduce the re – offending.</w:t>
      </w:r>
    </w:p>
    <w:p w14:paraId="553FC616" w14:textId="77777777" w:rsidR="00096663" w:rsidRDefault="00096663" w:rsidP="00096663">
      <w:r w:rsidRPr="00B370CA">
        <w:t>Throughout the last quarter of 2021, the confirmed reoffending percentage was 25.4% altogether</w:t>
      </w:r>
      <w:r>
        <w:t xml:space="preserve">. Out of this percentage adult offenders had a confirmed re – offending rate of 25.1% whilst most concerningly juvenile offenders had a confirmed re – offending rate of 32.5% </w:t>
      </w:r>
      <w:r w:rsidRPr="009F1AEA">
        <w:t>(</w:t>
      </w:r>
      <w:r>
        <w:t>Ministry of Justice</w:t>
      </w:r>
      <w:r w:rsidRPr="009F1AEA">
        <w:t>, 2023).</w:t>
      </w:r>
      <w:r>
        <w:t xml:space="preserve"> </w:t>
      </w:r>
      <w:r w:rsidRPr="00E665A0">
        <w:t xml:space="preserve">As a result, it is apparent that </w:t>
      </w:r>
      <w:r>
        <w:t>youth</w:t>
      </w:r>
      <w:r w:rsidRPr="00E665A0">
        <w:t xml:space="preserve"> offending, and re-offending is a current concern that must be addressed,</w:t>
      </w:r>
      <w:r>
        <w:t xml:space="preserve"> and this is where the IOM will step in and support those offenders with their various needs. One of the main recurring issues amongst offenders was that upon their release from prison they were left without housing, and this is a key driver amongst crimes being committed. When offenders were housed upon their release from prison the proven re – offending rate was 11.3 percent (Ellison et al, 2013). This highlights that when offenders are housed after their release from prison, the re – offending rates were reduced dramatically. It is clear to see that housing is a key factor in the reduction of re – offending however it is unclear how many of these offenders stuck with their housing and what other needs that they had upon their release from prison. </w:t>
      </w:r>
      <w:r w:rsidRPr="00243210">
        <w:t>Although housing is frequently mentioned as a role in re-offending, there is not much proof of its impact, notably in the United Kingdom.</w:t>
      </w:r>
      <w:r>
        <w:t xml:space="preserve"> To be able to effectively monitor the impact of housing on re – offending more work needs to be done to ensure it accuracy.</w:t>
      </w:r>
    </w:p>
    <w:p w14:paraId="0A9F0AEB" w14:textId="77777777" w:rsidR="00096663" w:rsidRDefault="00096663" w:rsidP="00096663">
      <w:r>
        <w:t xml:space="preserve">To try and prevent youth re – offending and offending the government created a framework called the ‘CAPRICORN’ framework. This framework </w:t>
      </w:r>
      <w:r w:rsidRPr="00F263B4">
        <w:t>lays out an approach to assist local authorities in preventing juvenile offences and recidivism by examining both main and secondary causes of offences.</w:t>
      </w:r>
      <w:r>
        <w:t xml:space="preserve"> </w:t>
      </w:r>
      <w:r w:rsidRPr="008A2FD2">
        <w:t>The primary goal of CAPRICORN is to outline certain steps that local collaborations can take to stop youngsters from committing crimes and from doing so again</w:t>
      </w:r>
      <w:r>
        <w:t xml:space="preserve"> </w:t>
      </w:r>
      <w:r w:rsidRPr="00F9748A">
        <w:t>(</w:t>
      </w:r>
      <w:r>
        <w:t>Public Health England</w:t>
      </w:r>
      <w:r w:rsidRPr="00F9748A">
        <w:t>, 2019).</w:t>
      </w:r>
      <w:r>
        <w:rPr>
          <w:i/>
          <w:iCs/>
        </w:rPr>
        <w:t xml:space="preserve"> </w:t>
      </w:r>
      <w:r>
        <w:t xml:space="preserve">Having this approach to helping young people to stop re – offending and entering the criminal justice system is a beneficial and needed approach. An approach like this can stop offending in its tracks and stop youth offenders from offending into their early adulthood. </w:t>
      </w:r>
      <w:r w:rsidRPr="002E46BE">
        <w:t>It is important to emphasise that for this framework to be effective, the children must wish to stop their offences and are not forced into receiving this assistance.</w:t>
      </w:r>
    </w:p>
    <w:p w14:paraId="12729372" w14:textId="77777777" w:rsidR="00096663" w:rsidRDefault="00096663" w:rsidP="00096663">
      <w:r>
        <w:t xml:space="preserve">To prevent re – offending amongst adults and youths alike, there needs to be a support network in place for a successful chance of rehabilitation. </w:t>
      </w:r>
      <w:r w:rsidRPr="0055131D">
        <w:t xml:space="preserve">Many re-offending’s take place in order to pay for the habits and wants of that particular person, which might have been easily met by other organisations. </w:t>
      </w:r>
      <w:r>
        <w:t xml:space="preserve">Hence the introduction of the IOM framework. </w:t>
      </w:r>
      <w:r w:rsidRPr="0055131D">
        <w:t>The government unveiled a "White Paper Strategy" to reduce crime and rehabilitate convicts.</w:t>
      </w:r>
      <w:r>
        <w:t xml:space="preserve"> </w:t>
      </w:r>
      <w:r w:rsidRPr="00B55827">
        <w:t>Today's release of the Prisons</w:t>
      </w:r>
      <w:r w:rsidRPr="000B7924">
        <w:t xml:space="preserve"> </w:t>
      </w:r>
      <w:r w:rsidRPr="00B55827">
        <w:t xml:space="preserve">White Paper Strategy lays out a new blueprint for implementing the largest prison construction programme in over a century, </w:t>
      </w:r>
      <w:r w:rsidRPr="00B55827">
        <w:lastRenderedPageBreak/>
        <w:t>providing the ideal environment for offenders to change</w:t>
      </w:r>
      <w:r>
        <w:t>,</w:t>
      </w:r>
      <w:r w:rsidRPr="00B55827">
        <w:t xml:space="preserve"> get better,</w:t>
      </w:r>
      <w:r>
        <w:t xml:space="preserve"> and receive support for their habits/addictions,</w:t>
      </w:r>
      <w:r w:rsidRPr="00B55827">
        <w:t xml:space="preserve"> eventually reducing crime</w:t>
      </w:r>
      <w:r>
        <w:t xml:space="preserve"> </w:t>
      </w:r>
      <w:r w:rsidRPr="00537F01">
        <w:t>(Ministry of Justice, 2021).</w:t>
      </w:r>
      <w:r>
        <w:rPr>
          <w:i/>
          <w:iCs/>
        </w:rPr>
        <w:t xml:space="preserve"> </w:t>
      </w:r>
      <w:r>
        <w:t xml:space="preserve">A </w:t>
      </w:r>
      <w:r w:rsidRPr="00CB39CD">
        <w:t xml:space="preserve">decrease in </w:t>
      </w:r>
      <w:r>
        <w:t xml:space="preserve">re – offending can then be visualised </w:t>
      </w:r>
      <w:r w:rsidRPr="00CB39CD">
        <w:t>among prisoners as more prisons are constructed with rehabilitation as a primary objective. After all, they ought to be released from jail with a clear conscience and a "fresh start."</w:t>
      </w:r>
      <w:r>
        <w:t>. However, the convicts who has just been released will still require some ongoing support from other agencies to ensure that they remain on the path of rehabilitation.</w:t>
      </w:r>
    </w:p>
    <w:p w14:paraId="508F271F" w14:textId="77777777" w:rsidR="00096663" w:rsidRDefault="00096663" w:rsidP="00096663">
      <w:r>
        <w:t xml:space="preserve">To summarise, a partnership approach to prevent re – offending is almost definitely an effect way to do so. When the reasons why people re-offend are examined it is often to do with the lack of commodities that they have, such as food, housing, support, etc. If support is implemented via different agencies, then a reduction in reoffending can be visualised. Reducing re – offending rates cannot be done by just one agency, and it needs the involved of multiple agencies for the best chance of success. Involvement from housing services, the DWP (Department for Work and Pensions), health services, etc. They all play a vital role in ensuring that offending and re offending is reduced. So, to answer the question, a partnership approach is absolutely the most effective way of reducing re offending because there is a very high chance of successful rehabilitation if multiple agencies/partners work together to support the persons of interest. </w:t>
      </w:r>
    </w:p>
    <w:p w14:paraId="1EDCBEA2" w14:textId="77777777" w:rsidR="00096663" w:rsidRDefault="00096663" w:rsidP="00096663"/>
    <w:p w14:paraId="158A15AF" w14:textId="77777777" w:rsidR="00096663" w:rsidRDefault="00096663" w:rsidP="00096663">
      <w:r>
        <w:t>Word Count – 914</w:t>
      </w:r>
    </w:p>
    <w:p w14:paraId="3B1D34A6" w14:textId="77777777" w:rsidR="007B7CBF" w:rsidRDefault="007B7CBF" w:rsidP="00CB39CD"/>
    <w:p w14:paraId="19AF6BBF" w14:textId="77777777" w:rsidR="007B7CBF" w:rsidRDefault="007B7CBF" w:rsidP="00CB39CD"/>
    <w:p w14:paraId="1D0B3D7A" w14:textId="77777777" w:rsidR="007B7CBF" w:rsidRDefault="007B7CBF" w:rsidP="00CB39CD"/>
    <w:p w14:paraId="2DF75BD9" w14:textId="77777777" w:rsidR="007B7CBF" w:rsidRDefault="007B7CBF" w:rsidP="00CB39CD"/>
    <w:p w14:paraId="4FBEFF62" w14:textId="77777777" w:rsidR="007B7CBF" w:rsidRDefault="007B7CBF" w:rsidP="00CB39CD"/>
    <w:p w14:paraId="698E49A7" w14:textId="77777777" w:rsidR="007B7CBF" w:rsidRDefault="007B7CBF" w:rsidP="00CB39CD"/>
    <w:p w14:paraId="7EF7CD45" w14:textId="77777777" w:rsidR="007B7CBF" w:rsidRDefault="007B7CBF" w:rsidP="00CB39CD"/>
    <w:p w14:paraId="7D149373" w14:textId="77777777" w:rsidR="007B7CBF" w:rsidRDefault="007B7CBF" w:rsidP="00CB39CD"/>
    <w:p w14:paraId="06561513" w14:textId="77777777" w:rsidR="007B7CBF" w:rsidRDefault="007B7CBF" w:rsidP="00CB39CD"/>
    <w:p w14:paraId="6E0E7186" w14:textId="77777777" w:rsidR="007B7CBF" w:rsidRDefault="007B7CBF" w:rsidP="00CB39CD"/>
    <w:p w14:paraId="3E902810" w14:textId="77777777" w:rsidR="007B7CBF" w:rsidRDefault="007B7CBF" w:rsidP="00CB39CD"/>
    <w:p w14:paraId="15C45A3C" w14:textId="77777777" w:rsidR="007B7CBF" w:rsidRDefault="007B7CBF" w:rsidP="00CB39CD"/>
    <w:p w14:paraId="5DDE25F9" w14:textId="77777777" w:rsidR="007B7CBF" w:rsidRDefault="007B7CBF" w:rsidP="00CB39CD"/>
    <w:p w14:paraId="3D9A2C2C" w14:textId="77777777" w:rsidR="007B7CBF" w:rsidRDefault="007B7CBF" w:rsidP="00CB39CD"/>
    <w:p w14:paraId="55E787B7" w14:textId="77777777" w:rsidR="007B7CBF" w:rsidRDefault="007B7CBF" w:rsidP="00CB39CD"/>
    <w:p w14:paraId="7876808E" w14:textId="77777777" w:rsidR="00EF4DF7" w:rsidRDefault="00EF4DF7" w:rsidP="00CB39CD">
      <w:pPr>
        <w:rPr>
          <w:b/>
          <w:bCs/>
          <w:u w:val="single"/>
        </w:rPr>
      </w:pPr>
    </w:p>
    <w:p w14:paraId="1AF06D62" w14:textId="77777777" w:rsidR="00EF4DF7" w:rsidRDefault="00EF4DF7" w:rsidP="00CB39CD">
      <w:pPr>
        <w:rPr>
          <w:b/>
          <w:bCs/>
          <w:u w:val="single"/>
        </w:rPr>
      </w:pPr>
    </w:p>
    <w:p w14:paraId="7ED0DE7C" w14:textId="77777777" w:rsidR="00EF4DF7" w:rsidRDefault="00EF4DF7" w:rsidP="00CB39CD">
      <w:pPr>
        <w:rPr>
          <w:b/>
          <w:bCs/>
          <w:u w:val="single"/>
        </w:rPr>
      </w:pPr>
    </w:p>
    <w:p w14:paraId="544C2A54" w14:textId="14A0FB2E" w:rsidR="007B7CBF" w:rsidRDefault="007B7CBF" w:rsidP="00CB39CD">
      <w:pPr>
        <w:rPr>
          <w:b/>
          <w:bCs/>
          <w:u w:val="single"/>
        </w:rPr>
      </w:pPr>
      <w:r w:rsidRPr="007B7CBF">
        <w:rPr>
          <w:b/>
          <w:bCs/>
          <w:u w:val="single"/>
        </w:rPr>
        <w:lastRenderedPageBreak/>
        <w:t>Bibliography</w:t>
      </w:r>
    </w:p>
    <w:p w14:paraId="05FCA7DE" w14:textId="77777777" w:rsidR="00650616" w:rsidRDefault="00650616" w:rsidP="00CC5371">
      <w:pPr>
        <w:pStyle w:val="NormalWeb"/>
        <w:ind w:left="567" w:hanging="567"/>
      </w:pPr>
      <w:r w:rsidRPr="00A5563C">
        <w:t xml:space="preserve">Clark, D. (2023) UK police officer figures 2022, Statista. Available at: </w:t>
      </w:r>
      <w:hyperlink r:id="rId7" w:history="1">
        <w:r w:rsidRPr="00AA7538">
          <w:rPr>
            <w:rStyle w:val="Hyperlink"/>
          </w:rPr>
          <w:t>https://www.statista.com/statistics/303963/uk-police-officer-numbers/</w:t>
        </w:r>
      </w:hyperlink>
      <w:r>
        <w:t xml:space="preserve"> </w:t>
      </w:r>
      <w:r w:rsidRPr="00A5563C">
        <w:t>(Accessed: 01 December 2023).</w:t>
      </w:r>
    </w:p>
    <w:p w14:paraId="48C0B422" w14:textId="77777777" w:rsidR="00650616" w:rsidRDefault="00650616" w:rsidP="00CC5371">
      <w:pPr>
        <w:pStyle w:val="NormalWeb"/>
        <w:ind w:left="567" w:hanging="567"/>
      </w:pPr>
      <w:r>
        <w:t xml:space="preserve">College of Policing (2014) </w:t>
      </w:r>
      <w:r w:rsidRPr="002C6030">
        <w:rPr>
          <w:i/>
          <w:iCs/>
        </w:rPr>
        <w:t>‘Code of ethics</w:t>
      </w:r>
      <w:r w:rsidRPr="00410EBE">
        <w:t xml:space="preserve">. Available at: </w:t>
      </w:r>
      <w:hyperlink r:id="rId8" w:history="1">
        <w:r w:rsidRPr="002B00E3">
          <w:rPr>
            <w:rStyle w:val="Hyperlink"/>
          </w:rPr>
          <w:t>https://www.college.police.uk/ethics/code-of-ethics</w:t>
        </w:r>
      </w:hyperlink>
      <w:r>
        <w:t xml:space="preserve"> </w:t>
      </w:r>
      <w:r w:rsidRPr="00410EBE">
        <w:t>(Accessed: 01 October 2023).</w:t>
      </w:r>
    </w:p>
    <w:p w14:paraId="23CB56F1" w14:textId="77777777" w:rsidR="00650616" w:rsidRDefault="00650616" w:rsidP="00AF53AE">
      <w:pPr>
        <w:pStyle w:val="NormalWeb"/>
        <w:ind w:left="567" w:hanging="567"/>
      </w:pPr>
      <w:r>
        <w:t>College of Policing (2017) ‘</w:t>
      </w:r>
      <w:r>
        <w:rPr>
          <w:i/>
          <w:iCs/>
        </w:rPr>
        <w:t xml:space="preserve">Multi-agency Public Protection Arrangements </w:t>
      </w:r>
      <w:r>
        <w:t xml:space="preserve">(MAPPA) Available at: </w:t>
      </w:r>
      <w:hyperlink r:id="rId9" w:history="1">
        <w:r w:rsidRPr="00882D55">
          <w:rPr>
            <w:rStyle w:val="Hyperlink"/>
          </w:rPr>
          <w:t>https://www.college.police.uk/app/major-investigation-and-public-protection/managing-sexual-offenders-and-violent-offenders/multi-agency-public-protection-arrangements-mappa</w:t>
        </w:r>
      </w:hyperlink>
      <w:r>
        <w:t xml:space="preserve"> (Accessed: 22 October 2023). </w:t>
      </w:r>
    </w:p>
    <w:p w14:paraId="4AD3262E" w14:textId="77777777" w:rsidR="00650616" w:rsidRDefault="00650616" w:rsidP="00CC5371">
      <w:pPr>
        <w:pStyle w:val="NormalWeb"/>
        <w:ind w:left="567" w:hanging="567"/>
      </w:pPr>
      <w:r w:rsidRPr="009D55DF">
        <w:t xml:space="preserve">Donner, C. M., </w:t>
      </w:r>
      <w:proofErr w:type="spellStart"/>
      <w:r w:rsidRPr="009D55DF">
        <w:t>Fridell</w:t>
      </w:r>
      <w:proofErr w:type="spellEnd"/>
      <w:r w:rsidRPr="009D55DF">
        <w:t xml:space="preserve">, L. A., &amp; Jennings, W. G. (2016). </w:t>
      </w:r>
      <w:r w:rsidRPr="00BF55BC">
        <w:rPr>
          <w:i/>
          <w:iCs/>
        </w:rPr>
        <w:t>‘The Relationship Between Self-Control and Police Misconduct: A Multi-Agency Study of First-Line Police Supervisors’</w:t>
      </w:r>
      <w:r w:rsidRPr="009D55DF">
        <w:t xml:space="preserve">. </w:t>
      </w:r>
      <w:r w:rsidRPr="00BF55BC">
        <w:rPr>
          <w:i/>
          <w:iCs/>
        </w:rPr>
        <w:t xml:space="preserve">Criminal Justice and </w:t>
      </w:r>
      <w:proofErr w:type="spellStart"/>
      <w:r w:rsidRPr="00BF55BC">
        <w:rPr>
          <w:i/>
          <w:iCs/>
        </w:rPr>
        <w:t>Behavior</w:t>
      </w:r>
      <w:proofErr w:type="spellEnd"/>
      <w:r w:rsidRPr="009D55DF">
        <w:t xml:space="preserve">, 43(7), 841-862. </w:t>
      </w:r>
      <w:r>
        <w:t xml:space="preserve">DOI: </w:t>
      </w:r>
      <w:r w:rsidRPr="009570BC">
        <w:t>10.1177/0093854815626751</w:t>
      </w:r>
      <w:r>
        <w:t xml:space="preserve">  </w:t>
      </w:r>
    </w:p>
    <w:p w14:paraId="216C8941" w14:textId="77777777" w:rsidR="00650616" w:rsidRDefault="00650616" w:rsidP="00AF53AE">
      <w:pPr>
        <w:pStyle w:val="NormalWeb"/>
        <w:ind w:left="567" w:hanging="567"/>
      </w:pPr>
      <w:r>
        <w:t xml:space="preserve">Dow, J. (2004) </w:t>
      </w:r>
      <w:r w:rsidRPr="002E0E01">
        <w:rPr>
          <w:i/>
          <w:iCs/>
        </w:rPr>
        <w:t>‘</w:t>
      </w:r>
      <w:r w:rsidRPr="00C20D62">
        <w:t>Multi‐agency public protection arrangements’</w:t>
      </w:r>
      <w:r>
        <w:t xml:space="preserve">, </w:t>
      </w:r>
      <w:r>
        <w:rPr>
          <w:i/>
          <w:iCs/>
        </w:rPr>
        <w:t>Journal of Integrated Care</w:t>
      </w:r>
      <w:r>
        <w:t xml:space="preserve">, 12(3), pp. 27–29. DOI:10.1108/14769018200400020. </w:t>
      </w:r>
    </w:p>
    <w:p w14:paraId="5BDA5495" w14:textId="77777777" w:rsidR="00650616" w:rsidRDefault="00650616" w:rsidP="00650616">
      <w:pPr>
        <w:pStyle w:val="NormalWeb"/>
        <w:ind w:left="567" w:hanging="567"/>
      </w:pPr>
      <w:r w:rsidRPr="008C1F56">
        <w:t>E</w:t>
      </w:r>
      <w:r>
        <w:t>llison</w:t>
      </w:r>
      <w:r w:rsidRPr="008C1F56">
        <w:t>, M., F</w:t>
      </w:r>
      <w:r>
        <w:t>ox</w:t>
      </w:r>
      <w:r w:rsidRPr="008C1F56">
        <w:t>, C., G</w:t>
      </w:r>
      <w:r>
        <w:t>ains</w:t>
      </w:r>
      <w:r w:rsidRPr="008C1F56">
        <w:t>, A. and P</w:t>
      </w:r>
      <w:r>
        <w:t>ollock</w:t>
      </w:r>
      <w:r w:rsidRPr="008C1F56">
        <w:t xml:space="preserve">, G., </w:t>
      </w:r>
      <w:r>
        <w:t>(</w:t>
      </w:r>
      <w:r w:rsidRPr="008C1F56">
        <w:t>2013</w:t>
      </w:r>
      <w:r>
        <w:t>)</w:t>
      </w:r>
      <w:r w:rsidRPr="008C1F56">
        <w:t xml:space="preserve">. </w:t>
      </w:r>
      <w:r w:rsidRPr="00431E22">
        <w:rPr>
          <w:i/>
          <w:iCs/>
        </w:rPr>
        <w:t>‘An evaluation of the effect of housing provision on re-offending’</w:t>
      </w:r>
      <w:r w:rsidRPr="008C1F56">
        <w:t xml:space="preserve">. </w:t>
      </w:r>
      <w:r w:rsidRPr="005F02DE">
        <w:rPr>
          <w:i/>
          <w:iCs/>
        </w:rPr>
        <w:t>Safer Communities</w:t>
      </w:r>
      <w:r w:rsidRPr="008C1F56">
        <w:t>, 12(1), pp. 27-37.</w:t>
      </w:r>
      <w:r>
        <w:t xml:space="preserve"> DOI:</w:t>
      </w:r>
      <w:r w:rsidRPr="00412E23">
        <w:t xml:space="preserve"> 10.1108/17578041311293125</w:t>
      </w:r>
    </w:p>
    <w:p w14:paraId="61EBCD64" w14:textId="77777777" w:rsidR="00650616" w:rsidRDefault="00650616" w:rsidP="00604934">
      <w:pPr>
        <w:pStyle w:val="NormalWeb"/>
        <w:ind w:left="567" w:hanging="567"/>
      </w:pPr>
      <w:r>
        <w:t xml:space="preserve">Harper, L. (2022) </w:t>
      </w:r>
      <w:r w:rsidRPr="00031C55">
        <w:t>‘The four theories of victimization’.</w:t>
      </w:r>
      <w:r>
        <w:t xml:space="preserve"> </w:t>
      </w:r>
      <w:proofErr w:type="spellStart"/>
      <w:r>
        <w:rPr>
          <w:i/>
          <w:iCs/>
        </w:rPr>
        <w:t>Soapboxie</w:t>
      </w:r>
      <w:proofErr w:type="spellEnd"/>
      <w:r>
        <w:t xml:space="preserve">. Available at: </w:t>
      </w:r>
      <w:hyperlink r:id="rId10" w:history="1">
        <w:r w:rsidRPr="00C65FB2">
          <w:rPr>
            <w:rStyle w:val="Hyperlink"/>
          </w:rPr>
          <w:t>https://soapboxie.com/government/The-Four-Theories-of-Victimization</w:t>
        </w:r>
      </w:hyperlink>
      <w:r>
        <w:t xml:space="preserve"> (Accessed: 01 November 2023). </w:t>
      </w:r>
    </w:p>
    <w:p w14:paraId="2E33596F" w14:textId="77777777" w:rsidR="00650616" w:rsidRDefault="00650616" w:rsidP="00AF53AE">
      <w:pPr>
        <w:pStyle w:val="NormalWeb"/>
        <w:ind w:left="567" w:hanging="567"/>
      </w:pPr>
      <w:r>
        <w:t>His Majesties Inspection of Probation (2022) ‘</w:t>
      </w:r>
      <w:r w:rsidRPr="00EC00EE">
        <w:t>20 years of multi-agency public protection arrangements (MAPPA) – they are ‘underused’, and further improvements are needed</w:t>
      </w:r>
      <w:r>
        <w:rPr>
          <w:i/>
          <w:iCs/>
        </w:rPr>
        <w:t>’</w:t>
      </w:r>
      <w:r>
        <w:t xml:space="preserve">. Available at: </w:t>
      </w:r>
      <w:hyperlink r:id="rId11" w:history="1">
        <w:r w:rsidRPr="00CD7BF5">
          <w:rPr>
            <w:rStyle w:val="Hyperlink"/>
          </w:rPr>
          <w:t>https://www.justiceinspectorates.gov.uk/hmiprobation/media/press-releases/2022/07/mappa/</w:t>
        </w:r>
      </w:hyperlink>
      <w:r>
        <w:t xml:space="preserve"> (Accessed: 02 December 2023). </w:t>
      </w:r>
    </w:p>
    <w:p w14:paraId="02FAC494" w14:textId="77777777" w:rsidR="00650616" w:rsidRDefault="00650616" w:rsidP="00CC5371">
      <w:pPr>
        <w:pStyle w:val="NormalWeb"/>
        <w:ind w:left="567" w:hanging="567"/>
      </w:pPr>
      <w:r>
        <w:t>His Majesties Inspectorate of Constabulary and Fire and Rescue Services (2022) ‘</w:t>
      </w:r>
      <w:r>
        <w:rPr>
          <w:i/>
          <w:iCs/>
        </w:rPr>
        <w:t>An inspection of vetting, misconduct, and misogyny in the Police Service</w:t>
      </w:r>
      <w:r>
        <w:t xml:space="preserve">’. Available at: </w:t>
      </w:r>
      <w:hyperlink r:id="rId12" w:history="1">
        <w:r w:rsidRPr="002B00E3">
          <w:rPr>
            <w:rStyle w:val="Hyperlink"/>
          </w:rPr>
          <w:t>https://hmicfrs.justiceinspectorates.gov.uk/publications/an-inspection-of-vetting-misconduct-and-misogyny-in-the-police-service/</w:t>
        </w:r>
      </w:hyperlink>
      <w:r>
        <w:t xml:space="preserve"> (Accessed: 01 October 2023). </w:t>
      </w:r>
    </w:p>
    <w:p w14:paraId="69541FA7" w14:textId="77777777" w:rsidR="00650616" w:rsidRDefault="00650616" w:rsidP="00650616">
      <w:pPr>
        <w:pStyle w:val="NormalWeb"/>
        <w:ind w:left="567" w:hanging="567"/>
      </w:pPr>
      <w:r>
        <w:t xml:space="preserve">His Majesties Inspectorate of Probation (2021). </w:t>
      </w:r>
      <w:r w:rsidRPr="00405BC5">
        <w:rPr>
          <w:i/>
          <w:iCs/>
        </w:rPr>
        <w:t>‘Integrated Offender Management’</w:t>
      </w:r>
      <w:r>
        <w:t xml:space="preserve">. Available at: </w:t>
      </w:r>
      <w:hyperlink r:id="rId13" w:history="1">
        <w:r w:rsidRPr="00AA7538">
          <w:rPr>
            <w:rStyle w:val="Hyperlink"/>
          </w:rPr>
          <w:t>https://www.justiceinspectorates.gov.uk/hmiprobation/research/the-evidence-base-probation/specific-types-of-delivery/integrated-offender-management/</w:t>
        </w:r>
      </w:hyperlink>
      <w:r>
        <w:t xml:space="preserve">  (Accessed: 10 December 2023)</w:t>
      </w:r>
    </w:p>
    <w:p w14:paraId="5B4F4B38" w14:textId="77777777" w:rsidR="00650616" w:rsidRDefault="00650616" w:rsidP="00CC5371">
      <w:pPr>
        <w:pStyle w:val="NormalWeb"/>
        <w:ind w:left="567" w:hanging="567"/>
      </w:pPr>
      <w:r w:rsidRPr="00260A03">
        <w:t>Independent Office for Police Conduct (</w:t>
      </w:r>
      <w:r>
        <w:t>2023).</w:t>
      </w:r>
      <w:r w:rsidRPr="00260A03">
        <w:rPr>
          <w:i/>
          <w:iCs/>
        </w:rPr>
        <w:t xml:space="preserve"> </w:t>
      </w:r>
      <w:r>
        <w:rPr>
          <w:i/>
          <w:iCs/>
        </w:rPr>
        <w:t>‘IOPC publishes figures on police complaints made in 2022/23’</w:t>
      </w:r>
      <w:r>
        <w:t xml:space="preserve">. Available at: </w:t>
      </w:r>
      <w:hyperlink r:id="rId14" w:history="1">
        <w:r w:rsidRPr="00AA7538">
          <w:rPr>
            <w:rStyle w:val="Hyperlink"/>
          </w:rPr>
          <w:t>https://www.policeconduct.gov.uk/news/iopc-publishes-figures-police-complaints-made-202223</w:t>
        </w:r>
      </w:hyperlink>
      <w:r>
        <w:t xml:space="preserve"> (Accessed: 01 December 2023). </w:t>
      </w:r>
    </w:p>
    <w:p w14:paraId="0C05965D" w14:textId="77777777" w:rsidR="00650616" w:rsidRDefault="00650616" w:rsidP="00650616">
      <w:pPr>
        <w:pStyle w:val="NormalWeb"/>
        <w:ind w:left="567" w:hanging="567"/>
      </w:pPr>
      <w:r>
        <w:lastRenderedPageBreak/>
        <w:t xml:space="preserve">Ministry of Justice (2021). </w:t>
      </w:r>
      <w:r w:rsidRPr="00405BC5">
        <w:rPr>
          <w:i/>
          <w:iCs/>
        </w:rPr>
        <w:t>‘</w:t>
      </w:r>
      <w:r w:rsidRPr="004821C2">
        <w:rPr>
          <w:i/>
          <w:iCs/>
        </w:rPr>
        <w:t>New prison strategy to rehabilitate offenders and cut crime</w:t>
      </w:r>
      <w:r w:rsidRPr="00405BC5">
        <w:rPr>
          <w:i/>
          <w:iCs/>
        </w:rPr>
        <w:t>’</w:t>
      </w:r>
      <w:r>
        <w:t xml:space="preserve">. Available at: </w:t>
      </w:r>
      <w:hyperlink r:id="rId15" w:history="1">
        <w:r w:rsidRPr="00AA7538">
          <w:rPr>
            <w:rStyle w:val="Hyperlink"/>
          </w:rPr>
          <w:t>https://www.gov.uk/government/news/new-prison-strategy-to-rehabilitate-offenders-and-cut-crime</w:t>
        </w:r>
      </w:hyperlink>
      <w:r>
        <w:t xml:space="preserve"> (Accessed: 04 November 2023)</w:t>
      </w:r>
    </w:p>
    <w:p w14:paraId="4D661A4B" w14:textId="77777777" w:rsidR="00650616" w:rsidRDefault="00650616" w:rsidP="00650616">
      <w:pPr>
        <w:pStyle w:val="NormalWeb"/>
        <w:ind w:left="567" w:hanging="567"/>
      </w:pPr>
      <w:r>
        <w:t xml:space="preserve">Ministry of Justice (2023). </w:t>
      </w:r>
      <w:r w:rsidRPr="00405BC5">
        <w:rPr>
          <w:i/>
          <w:iCs/>
        </w:rPr>
        <w:t>‘</w:t>
      </w:r>
      <w:r w:rsidRPr="00806F69">
        <w:rPr>
          <w:i/>
          <w:iCs/>
        </w:rPr>
        <w:t>Proven reoffending statistics: October to December 2021</w:t>
      </w:r>
      <w:r w:rsidRPr="00405BC5">
        <w:rPr>
          <w:i/>
          <w:iCs/>
        </w:rPr>
        <w:t>’</w:t>
      </w:r>
      <w:r>
        <w:t xml:space="preserve">. Available at: </w:t>
      </w:r>
      <w:hyperlink r:id="rId16" w:history="1">
        <w:r w:rsidRPr="00AA7538">
          <w:rPr>
            <w:rStyle w:val="Hyperlink"/>
          </w:rPr>
          <w:t>https://www.gov.uk/government/statistics/proven-reoffending-statistics-october-to-december-2021/proven-reoffending-statistics-october-to-december-2021</w:t>
        </w:r>
      </w:hyperlink>
      <w:r>
        <w:t xml:space="preserve"> </w:t>
      </w:r>
      <w:r w:rsidRPr="00006C59">
        <w:t xml:space="preserve"> </w:t>
      </w:r>
      <w:r>
        <w:t>(Accessed: 04 November 2023)</w:t>
      </w:r>
    </w:p>
    <w:p w14:paraId="610B850A" w14:textId="77777777" w:rsidR="00650616" w:rsidRDefault="00650616" w:rsidP="00CC5371">
      <w:pPr>
        <w:pStyle w:val="NormalWeb"/>
        <w:ind w:left="567" w:hanging="567"/>
      </w:pPr>
      <w:r>
        <w:t xml:space="preserve">Muir, R. (2022) </w:t>
      </w:r>
      <w:r w:rsidRPr="00A5563C">
        <w:rPr>
          <w:i/>
          <w:iCs/>
        </w:rPr>
        <w:t>‘Police culture has been called out. It’s time for change’</w:t>
      </w:r>
      <w:r>
        <w:t xml:space="preserve">, </w:t>
      </w:r>
      <w:r>
        <w:rPr>
          <w:i/>
          <w:iCs/>
        </w:rPr>
        <w:t>The Police Foundation</w:t>
      </w:r>
      <w:r>
        <w:t xml:space="preserve">, 3 November. Available at: </w:t>
      </w:r>
      <w:hyperlink r:id="rId17" w:history="1">
        <w:r w:rsidRPr="001B06E9">
          <w:rPr>
            <w:rStyle w:val="Hyperlink"/>
          </w:rPr>
          <w:t>https://www.police-foundation.org.uk/2022/11/police-culture-has-been-called-out-its-time-for-change/</w:t>
        </w:r>
      </w:hyperlink>
      <w:r>
        <w:t xml:space="preserve"> (Accessed: 01 December 2023). </w:t>
      </w:r>
    </w:p>
    <w:p w14:paraId="11FBA9A7" w14:textId="77777777" w:rsidR="00650616" w:rsidRPr="007E0FB9" w:rsidRDefault="00650616" w:rsidP="00604934">
      <w:pPr>
        <w:pStyle w:val="NormalWeb"/>
        <w:ind w:left="567" w:hanging="567"/>
      </w:pPr>
      <w:r>
        <w:t xml:space="preserve">National Crime Agency (2020) </w:t>
      </w:r>
      <w:r w:rsidRPr="007C3A90">
        <w:t>‘County lines violence, exploitation and drug supply’</w:t>
      </w:r>
      <w:r>
        <w:rPr>
          <w:i/>
          <w:iCs/>
        </w:rPr>
        <w:t xml:space="preserve"> </w:t>
      </w:r>
      <w:r>
        <w:t xml:space="preserve">(2016) Available at: </w:t>
      </w:r>
      <w:hyperlink r:id="rId18" w:history="1">
        <w:r w:rsidRPr="009B28D0">
          <w:rPr>
            <w:rStyle w:val="Hyperlink"/>
          </w:rPr>
          <w:t>https://nationalcrimeagency.gov.uk/who-we-are/publications/15-county-lines-gang-violence-exploitation-and-drug-supply-2016/file</w:t>
        </w:r>
      </w:hyperlink>
      <w:r>
        <w:t xml:space="preserve"> (Accessed: 08 December 2023)</w:t>
      </w:r>
    </w:p>
    <w:p w14:paraId="7EA8170C" w14:textId="77777777" w:rsidR="00650616" w:rsidRDefault="00650616" w:rsidP="00604934">
      <w:pPr>
        <w:pStyle w:val="NormalWeb"/>
        <w:ind w:left="567" w:hanging="567"/>
      </w:pPr>
      <w:r>
        <w:t>National Crime Agency (2020) ‘</w:t>
      </w:r>
      <w:r>
        <w:rPr>
          <w:i/>
          <w:iCs/>
        </w:rPr>
        <w:t>National strategic assessment of serious and organised crime 2020’</w:t>
      </w:r>
      <w:r>
        <w:t xml:space="preserve">. Available at: </w:t>
      </w:r>
      <w:hyperlink r:id="rId19" w:history="1">
        <w:r w:rsidRPr="002E550A">
          <w:rPr>
            <w:rStyle w:val="Hyperlink"/>
          </w:rPr>
          <w:t>https://www.nationalcrimeagency.gov.uk/news/nsa2020</w:t>
        </w:r>
      </w:hyperlink>
      <w:r>
        <w:t xml:space="preserve"> (Accessed: 03 November 2023). </w:t>
      </w:r>
    </w:p>
    <w:p w14:paraId="11892E15" w14:textId="77777777" w:rsidR="00650616" w:rsidRDefault="00650616" w:rsidP="00604934">
      <w:pPr>
        <w:pStyle w:val="NormalWeb"/>
        <w:ind w:left="567" w:hanging="567"/>
      </w:pPr>
      <w:r w:rsidRPr="009A2B09">
        <w:t xml:space="preserve">Pratt, Travis </w:t>
      </w:r>
      <w:proofErr w:type="gramStart"/>
      <w:r w:rsidRPr="009A2B09">
        <w:t>C. ;</w:t>
      </w:r>
      <w:proofErr w:type="gramEnd"/>
      <w:r w:rsidRPr="009A2B09">
        <w:t xml:space="preserve"> </w:t>
      </w:r>
      <w:proofErr w:type="spellStart"/>
      <w:r w:rsidRPr="009A2B09">
        <w:t>Turanovic</w:t>
      </w:r>
      <w:proofErr w:type="spellEnd"/>
      <w:r w:rsidRPr="009A2B09">
        <w:t xml:space="preserve">, Jillian J. </w:t>
      </w:r>
      <w:r w:rsidRPr="009D55DF">
        <w:t xml:space="preserve">(2016). </w:t>
      </w:r>
      <w:r>
        <w:t>‘</w:t>
      </w:r>
      <w:r w:rsidRPr="007204D3">
        <w:t>Lifestyle and Routine Activity Theories Revisited: The Importance of "Risk" to the Study of Victimization</w:t>
      </w:r>
      <w:r>
        <w:t xml:space="preserve">’. </w:t>
      </w:r>
      <w:r w:rsidRPr="00107119">
        <w:rPr>
          <w:i/>
          <w:iCs/>
        </w:rPr>
        <w:t>Victims and Offenders</w:t>
      </w:r>
      <w:r w:rsidRPr="009D55DF">
        <w:t xml:space="preserve">, </w:t>
      </w:r>
      <w:r>
        <w:t>11</w:t>
      </w:r>
      <w:r w:rsidRPr="009D55DF">
        <w:t>(</w:t>
      </w:r>
      <w:r>
        <w:t>3</w:t>
      </w:r>
      <w:r w:rsidRPr="009D55DF">
        <w:t xml:space="preserve">), </w:t>
      </w:r>
      <w:r>
        <w:t>335</w:t>
      </w:r>
      <w:r w:rsidRPr="009D55DF">
        <w:t>-</w:t>
      </w:r>
      <w:r>
        <w:t>354</w:t>
      </w:r>
      <w:r w:rsidRPr="009D55DF">
        <w:t xml:space="preserve">. </w:t>
      </w:r>
      <w:r>
        <w:t xml:space="preserve">DOI: </w:t>
      </w:r>
      <w:r w:rsidRPr="009B556D">
        <w:t>10.1080/15564886.2015.1057351</w:t>
      </w:r>
    </w:p>
    <w:p w14:paraId="56B9A5E2" w14:textId="77777777" w:rsidR="00650616" w:rsidRDefault="00650616" w:rsidP="00604934">
      <w:pPr>
        <w:pStyle w:val="NormalWeb"/>
        <w:ind w:left="567" w:hanging="567"/>
      </w:pPr>
      <w:r w:rsidRPr="009A2B09">
        <w:t xml:space="preserve">Pratt, Travis </w:t>
      </w:r>
      <w:proofErr w:type="gramStart"/>
      <w:r w:rsidRPr="009A2B09">
        <w:t>C. ;</w:t>
      </w:r>
      <w:proofErr w:type="gramEnd"/>
      <w:r w:rsidRPr="009A2B09">
        <w:t xml:space="preserve"> </w:t>
      </w:r>
      <w:proofErr w:type="spellStart"/>
      <w:r w:rsidRPr="009A2B09">
        <w:t>Turanovic</w:t>
      </w:r>
      <w:proofErr w:type="spellEnd"/>
      <w:r w:rsidRPr="009A2B09">
        <w:t xml:space="preserve">, Jillian J. </w:t>
      </w:r>
      <w:r w:rsidRPr="009D55DF">
        <w:t xml:space="preserve">(2016). </w:t>
      </w:r>
      <w:r>
        <w:t>‘</w:t>
      </w:r>
      <w:r w:rsidRPr="007204D3">
        <w:t>Lifestyle and Routine Activity Theories Revisited: The Importance of "Risk" to the Study of Victimization</w:t>
      </w:r>
      <w:r>
        <w:t xml:space="preserve">’. </w:t>
      </w:r>
      <w:r w:rsidRPr="00171826">
        <w:rPr>
          <w:i/>
          <w:iCs/>
        </w:rPr>
        <w:t>Victims and Offenders</w:t>
      </w:r>
      <w:r w:rsidRPr="009D55DF">
        <w:t xml:space="preserve">, </w:t>
      </w:r>
      <w:r>
        <w:t>11</w:t>
      </w:r>
      <w:r w:rsidRPr="009D55DF">
        <w:t>(</w:t>
      </w:r>
      <w:r>
        <w:t>3</w:t>
      </w:r>
      <w:r w:rsidRPr="009D55DF">
        <w:t xml:space="preserve">), </w:t>
      </w:r>
      <w:r>
        <w:t>335</w:t>
      </w:r>
      <w:r w:rsidRPr="009D55DF">
        <w:t>-</w:t>
      </w:r>
      <w:r>
        <w:t>354</w:t>
      </w:r>
      <w:r w:rsidRPr="009D55DF">
        <w:t xml:space="preserve">. </w:t>
      </w:r>
      <w:r>
        <w:t xml:space="preserve">DOI: </w:t>
      </w:r>
      <w:r w:rsidRPr="009B556D">
        <w:t>10.1080/15564886.2015.1057351</w:t>
      </w:r>
    </w:p>
    <w:p w14:paraId="2B1DA92B" w14:textId="77777777" w:rsidR="00650616" w:rsidRDefault="00650616" w:rsidP="00650616">
      <w:pPr>
        <w:pStyle w:val="NormalWeb"/>
        <w:ind w:left="567" w:hanging="567"/>
      </w:pPr>
      <w:r>
        <w:t xml:space="preserve">Public Health England (2019). </w:t>
      </w:r>
      <w:r w:rsidRPr="00405BC5">
        <w:rPr>
          <w:i/>
          <w:iCs/>
        </w:rPr>
        <w:t>‘</w:t>
      </w:r>
      <w:r w:rsidRPr="000F6DE0">
        <w:rPr>
          <w:i/>
          <w:iCs/>
        </w:rPr>
        <w:t>Collaborative approaches to preventing offending and re-offending by children (CAPRICORN): summar</w:t>
      </w:r>
      <w:r>
        <w:rPr>
          <w:i/>
          <w:iCs/>
        </w:rPr>
        <w:t>y’.</w:t>
      </w:r>
      <w:r>
        <w:t xml:space="preserve"> Available at: </w:t>
      </w:r>
      <w:hyperlink r:id="rId20" w:history="1">
        <w:r w:rsidRPr="00AA7538">
          <w:rPr>
            <w:rStyle w:val="Hyperlink"/>
          </w:rPr>
          <w:t>https://www.gov.uk/government/publications/preventing-offending-and-re-offending-by-children/collaborative-approaches-to-preventing-offending-and-re-offending-by-children-capricorn-summary#introduction</w:t>
        </w:r>
      </w:hyperlink>
      <w:r>
        <w:t xml:space="preserve">  </w:t>
      </w:r>
      <w:r w:rsidRPr="00006C59">
        <w:t xml:space="preserve"> </w:t>
      </w:r>
      <w:r>
        <w:t>(Accessed: 04 November 2023)</w:t>
      </w:r>
    </w:p>
    <w:p w14:paraId="2BEF96D6" w14:textId="77777777" w:rsidR="00650616" w:rsidRDefault="00650616" w:rsidP="00AF53AE">
      <w:pPr>
        <w:pStyle w:val="NormalWeb"/>
        <w:ind w:left="567" w:hanging="567"/>
      </w:pPr>
      <w:r>
        <w:t xml:space="preserve">Rawlinson, L. (2012) </w:t>
      </w:r>
      <w:r w:rsidRPr="00806C1C">
        <w:rPr>
          <w:i/>
          <w:iCs/>
        </w:rPr>
        <w:t>‘</w:t>
      </w:r>
      <w:r w:rsidRPr="00C20D62">
        <w:t>Thematic inspection of multi-agency public protection arrangements’</w:t>
      </w:r>
      <w:r>
        <w:t xml:space="preserve">, </w:t>
      </w:r>
      <w:r>
        <w:rPr>
          <w:i/>
          <w:iCs/>
        </w:rPr>
        <w:t>Probation Journal</w:t>
      </w:r>
      <w:r>
        <w:t xml:space="preserve">, 59(2), pp. 166–167. DOI:10.1177/0264550512447221. </w:t>
      </w:r>
    </w:p>
    <w:p w14:paraId="217A5CC5" w14:textId="77777777" w:rsidR="00650616" w:rsidRDefault="00650616" w:rsidP="00650616">
      <w:pPr>
        <w:pStyle w:val="NormalWeb"/>
        <w:ind w:left="567" w:hanging="567"/>
      </w:pPr>
      <w:proofErr w:type="spellStart"/>
      <w:r>
        <w:t>Sleath</w:t>
      </w:r>
      <w:proofErr w:type="spellEnd"/>
      <w:r>
        <w:t>, E</w:t>
      </w:r>
      <w:r w:rsidRPr="009A2B09">
        <w:t xml:space="preserve"> </w:t>
      </w:r>
      <w:r>
        <w:t>and</w:t>
      </w:r>
      <w:r w:rsidRPr="009A2B09">
        <w:t xml:space="preserve"> </w:t>
      </w:r>
      <w:r>
        <w:t>Brown, S</w:t>
      </w:r>
      <w:r w:rsidRPr="009A2B09">
        <w:t xml:space="preserve"> </w:t>
      </w:r>
      <w:r w:rsidRPr="009D55DF">
        <w:t xml:space="preserve">(2016). </w:t>
      </w:r>
      <w:r w:rsidRPr="00AA3C7F">
        <w:rPr>
          <w:i/>
          <w:iCs/>
        </w:rPr>
        <w:t>‘Staff and offender perspectives of Integrated Offender Management and the impact of its introduction on arrests and risk of reoffending in one police force region’.</w:t>
      </w:r>
      <w:r>
        <w:t xml:space="preserve"> </w:t>
      </w:r>
      <w:r w:rsidRPr="00E730F6">
        <w:rPr>
          <w:i/>
          <w:iCs/>
        </w:rPr>
        <w:t>Policing and Society</w:t>
      </w:r>
      <w:r w:rsidRPr="009D55DF">
        <w:t xml:space="preserve">, </w:t>
      </w:r>
      <w:r>
        <w:t>29</w:t>
      </w:r>
      <w:r w:rsidRPr="009D55DF">
        <w:t>(</w:t>
      </w:r>
      <w:r>
        <w:t>5</w:t>
      </w:r>
      <w:r w:rsidRPr="009D55DF">
        <w:t xml:space="preserve">), </w:t>
      </w:r>
      <w:r>
        <w:t xml:space="preserve">pp. 511 </w:t>
      </w:r>
      <w:r w:rsidRPr="009D55DF">
        <w:t>-</w:t>
      </w:r>
      <w:r>
        <w:t xml:space="preserve"> 529</w:t>
      </w:r>
      <w:r w:rsidRPr="009D55DF">
        <w:t xml:space="preserve">. </w:t>
      </w:r>
      <w:r>
        <w:t xml:space="preserve">DOI: </w:t>
      </w:r>
      <w:r w:rsidRPr="00314406">
        <w:t>10.1080/10439463.2017.1410148</w:t>
      </w:r>
    </w:p>
    <w:p w14:paraId="6E45C0EA" w14:textId="77777777" w:rsidR="00650616" w:rsidRDefault="00650616" w:rsidP="00CC5371">
      <w:pPr>
        <w:pStyle w:val="NormalWeb"/>
        <w:ind w:left="567" w:hanging="567"/>
      </w:pPr>
      <w:r w:rsidRPr="005A46CB">
        <w:t>The Crime Prevention Website</w:t>
      </w:r>
      <w:r>
        <w:t xml:space="preserve"> (no date) ‘</w:t>
      </w:r>
      <w:r>
        <w:rPr>
          <w:i/>
          <w:iCs/>
        </w:rPr>
        <w:t>The Peelian Principles’</w:t>
      </w:r>
      <w:r>
        <w:t xml:space="preserve">. Available at: </w:t>
      </w:r>
      <w:hyperlink r:id="rId21" w:history="1">
        <w:r w:rsidRPr="00EF67DC">
          <w:rPr>
            <w:rStyle w:val="Hyperlink"/>
          </w:rPr>
          <w:t>https://thecrimepreventionwebsite.com/police-crime-prevention-service---a-short-history/744/the-peelian-principles/</w:t>
        </w:r>
      </w:hyperlink>
      <w:r>
        <w:t xml:space="preserve"> (Accessed: 01 October 2023). </w:t>
      </w:r>
    </w:p>
    <w:p w14:paraId="0506B890" w14:textId="77777777" w:rsidR="00650616" w:rsidRDefault="00650616" w:rsidP="00CC5371">
      <w:pPr>
        <w:pStyle w:val="NormalWeb"/>
        <w:ind w:left="567" w:hanging="567"/>
      </w:pPr>
      <w:r>
        <w:lastRenderedPageBreak/>
        <w:t xml:space="preserve">Tudor, S. (2023) </w:t>
      </w:r>
      <w:r>
        <w:rPr>
          <w:i/>
          <w:iCs/>
        </w:rPr>
        <w:t>Police standards and culture: Restoring public trust</w:t>
      </w:r>
      <w:r>
        <w:t xml:space="preserve">, </w:t>
      </w:r>
      <w:r>
        <w:rPr>
          <w:i/>
          <w:iCs/>
        </w:rPr>
        <w:t>House of Lords Library</w:t>
      </w:r>
      <w:r>
        <w:t xml:space="preserve">. Available at: </w:t>
      </w:r>
      <w:hyperlink r:id="rId22" w:history="1">
        <w:r w:rsidRPr="00EF67DC">
          <w:rPr>
            <w:rStyle w:val="Hyperlink"/>
          </w:rPr>
          <w:t>https://lordslibrary.parliament.uk/police-standards-and-culture-restoring-public-trust/</w:t>
        </w:r>
      </w:hyperlink>
      <w:r>
        <w:t xml:space="preserve"> (Accessed: 01 October 2023). </w:t>
      </w:r>
    </w:p>
    <w:p w14:paraId="6DE320FC" w14:textId="77777777" w:rsidR="00650616" w:rsidRDefault="00650616" w:rsidP="00CC5371">
      <w:pPr>
        <w:pStyle w:val="NormalWeb"/>
        <w:ind w:left="567" w:hanging="567"/>
      </w:pPr>
      <w:proofErr w:type="spellStart"/>
      <w:r>
        <w:t>Westmarland</w:t>
      </w:r>
      <w:proofErr w:type="spellEnd"/>
      <w:r>
        <w:t xml:space="preserve">, L. and Rowe, M. (2016) ‘Police ethics and integrity: can a new code overturn the blue code?’, </w:t>
      </w:r>
      <w:r>
        <w:rPr>
          <w:i/>
          <w:iCs/>
        </w:rPr>
        <w:t>Policing and Society</w:t>
      </w:r>
      <w:r>
        <w:t xml:space="preserve">, 28(7), pp. 854–870. DOI:10.1080/10439463.2016.1262365. </w:t>
      </w:r>
    </w:p>
    <w:p w14:paraId="3D7557FC" w14:textId="77777777" w:rsidR="00650616" w:rsidRDefault="00650616" w:rsidP="00604934">
      <w:pPr>
        <w:pStyle w:val="NormalWeb"/>
        <w:ind w:left="567" w:hanging="567"/>
      </w:pPr>
      <w:r>
        <w:t xml:space="preserve">Winchester, N. (2020) </w:t>
      </w:r>
      <w:r w:rsidRPr="00561BFC">
        <w:t>‘Policing in the UK: Serious and organised crime’, House of Lords Library</w:t>
      </w:r>
      <w:r>
        <w:t xml:space="preserve">. Available at: </w:t>
      </w:r>
      <w:hyperlink r:id="rId23" w:history="1">
        <w:r w:rsidRPr="00C65FB2">
          <w:rPr>
            <w:rStyle w:val="Hyperlink"/>
          </w:rPr>
          <w:t>http</w:t>
        </w:r>
        <w:r w:rsidRPr="00C65FB2">
          <w:rPr>
            <w:rStyle w:val="Hyperlink"/>
          </w:rPr>
          <w:t>s</w:t>
        </w:r>
        <w:r w:rsidRPr="00C65FB2">
          <w:rPr>
            <w:rStyle w:val="Hyperlink"/>
          </w:rPr>
          <w:t>://lordslibrary.parliament.uk/research-briefings/lln-2020-0016/</w:t>
        </w:r>
      </w:hyperlink>
      <w:r>
        <w:t xml:space="preserve"> (Accessed: 01 November 2023). </w:t>
      </w:r>
    </w:p>
    <w:p w14:paraId="59BD42E0" w14:textId="77777777" w:rsidR="00650616" w:rsidRDefault="00650616" w:rsidP="00604934">
      <w:pPr>
        <w:pStyle w:val="NormalWeb"/>
        <w:ind w:left="567" w:hanging="567"/>
      </w:pPr>
      <w:r>
        <w:t xml:space="preserve">Windle, </w:t>
      </w:r>
      <w:proofErr w:type="gramStart"/>
      <w:r>
        <w:t>J :</w:t>
      </w:r>
      <w:proofErr w:type="gramEnd"/>
      <w:r>
        <w:t xml:space="preserve"> Briggs, D. (2015). ‘</w:t>
      </w:r>
      <w:r w:rsidRPr="00194960">
        <w:t>Going solo: the social organisation of drug dealing within a London street gang</w:t>
      </w:r>
      <w:r>
        <w:t xml:space="preserve">’. </w:t>
      </w:r>
      <w:r w:rsidRPr="00171826">
        <w:rPr>
          <w:i/>
          <w:iCs/>
        </w:rPr>
        <w:t>Journal of Youth Studies</w:t>
      </w:r>
      <w:r>
        <w:t xml:space="preserve">, 18 (9), 1170 – 1185. DOI: </w:t>
      </w:r>
      <w:r w:rsidRPr="006B5EAD">
        <w:t>10.1080/13676261.2015.1020925</w:t>
      </w:r>
    </w:p>
    <w:p w14:paraId="4CBB6D88" w14:textId="77777777" w:rsidR="00650616" w:rsidRDefault="00650616" w:rsidP="00AF53AE">
      <w:pPr>
        <w:pStyle w:val="NormalWeb"/>
        <w:ind w:left="567" w:hanging="567"/>
      </w:pPr>
      <w:r>
        <w:t>Wood, J. (2012) ‘</w:t>
      </w:r>
      <w:proofErr w:type="spellStart"/>
      <w:r>
        <w:t>Mappa</w:t>
      </w:r>
      <w:proofErr w:type="spellEnd"/>
      <w:r>
        <w:t xml:space="preserve"> Level 3 offenders: </w:t>
      </w:r>
      <w:r w:rsidRPr="00B65068">
        <w:rPr>
          <w:i/>
          <w:iCs/>
        </w:rPr>
        <w:t>‘</w:t>
      </w:r>
      <w:r w:rsidRPr="00B73EB5">
        <w:t>Reconviction as a measure of effectiveness’</w:t>
      </w:r>
      <w:r>
        <w:t xml:space="preserve">, </w:t>
      </w:r>
      <w:r>
        <w:rPr>
          <w:i/>
          <w:iCs/>
        </w:rPr>
        <w:t>Probation Journal</w:t>
      </w:r>
      <w:r>
        <w:t xml:space="preserve">, 59(2), pp. 111–123. DOI:10.1177/0264550512438254. </w:t>
      </w:r>
    </w:p>
    <w:p w14:paraId="4D65D24C" w14:textId="77777777" w:rsidR="00650616" w:rsidRDefault="00650616" w:rsidP="00AF53AE">
      <w:pPr>
        <w:pStyle w:val="NormalWeb"/>
        <w:ind w:left="567" w:hanging="567"/>
      </w:pPr>
      <w:r>
        <w:t xml:space="preserve">Young, S., Gudjonsson, G.H. and Needham-Bennett, H. (2005) </w:t>
      </w:r>
      <w:r w:rsidRPr="00B65068">
        <w:rPr>
          <w:i/>
          <w:iCs/>
        </w:rPr>
        <w:t>‘</w:t>
      </w:r>
      <w:proofErr w:type="gramStart"/>
      <w:r w:rsidRPr="00EC00EE">
        <w:t>Multi-agency</w:t>
      </w:r>
      <w:proofErr w:type="gramEnd"/>
      <w:r w:rsidRPr="00EC00EE">
        <w:t xml:space="preserve"> public protection panels for dangerous offenders: One London forensic team’s experience’, </w:t>
      </w:r>
      <w:r>
        <w:rPr>
          <w:i/>
          <w:iCs/>
        </w:rPr>
        <w:t>Journal of Forensic Psychiatry &amp; Psychology</w:t>
      </w:r>
      <w:r>
        <w:t xml:space="preserve">, 16(2), pp. 312–327. DOI:10.1080/14789940500097899. </w:t>
      </w:r>
    </w:p>
    <w:p w14:paraId="632244BD" w14:textId="77777777" w:rsidR="004C4A93" w:rsidRPr="007B7CBF" w:rsidRDefault="004C4A93" w:rsidP="00CB39CD">
      <w:pPr>
        <w:rPr>
          <w:b/>
          <w:bCs/>
          <w:i/>
          <w:iCs/>
          <w:u w:val="single"/>
        </w:rPr>
      </w:pPr>
    </w:p>
    <w:sectPr w:rsidR="004C4A93" w:rsidRPr="007B7CBF">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24D42D" w14:textId="77777777" w:rsidR="002E1F80" w:rsidRDefault="002E1F80" w:rsidP="00F47DB2">
      <w:pPr>
        <w:spacing w:after="0" w:line="240" w:lineRule="auto"/>
      </w:pPr>
      <w:r>
        <w:separator/>
      </w:r>
    </w:p>
  </w:endnote>
  <w:endnote w:type="continuationSeparator" w:id="0">
    <w:p w14:paraId="23CCED30" w14:textId="77777777" w:rsidR="002E1F80" w:rsidRDefault="002E1F80" w:rsidP="00F47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DBD13" w14:textId="77777777" w:rsidR="002E1F80" w:rsidRDefault="002E1F80" w:rsidP="00F47DB2">
      <w:pPr>
        <w:spacing w:after="0" w:line="240" w:lineRule="auto"/>
      </w:pPr>
      <w:r>
        <w:separator/>
      </w:r>
    </w:p>
  </w:footnote>
  <w:footnote w:type="continuationSeparator" w:id="0">
    <w:p w14:paraId="1A1C184B" w14:textId="77777777" w:rsidR="002E1F80" w:rsidRDefault="002E1F80" w:rsidP="00F47D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9B1946" w14:textId="5279EDF3" w:rsidR="00F47DB2" w:rsidRDefault="00F47DB2">
    <w:pPr>
      <w:pStyle w:val="Header"/>
    </w:pPr>
    <w:r>
      <w:t>Louis Barrett</w:t>
    </w:r>
    <w:r>
      <w:ptab w:relativeTo="margin" w:alignment="center" w:leader="none"/>
    </w:r>
    <w:r>
      <w:t>Professional Policing</w:t>
    </w:r>
    <w:r>
      <w:ptab w:relativeTo="margin" w:alignment="right" w:leader="none"/>
    </w:r>
    <w:r>
      <w:t>2134408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AA3492"/>
    <w:multiLevelType w:val="hybridMultilevel"/>
    <w:tmpl w:val="5BD8D208"/>
    <w:lvl w:ilvl="0" w:tplc="14346A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DC1009"/>
    <w:multiLevelType w:val="hybridMultilevel"/>
    <w:tmpl w:val="F9EEBCD0"/>
    <w:lvl w:ilvl="0" w:tplc="F56AA88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422678">
    <w:abstractNumId w:val="0"/>
  </w:num>
  <w:num w:numId="2" w16cid:durableId="18793193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DB2"/>
    <w:rsid w:val="00010F7A"/>
    <w:rsid w:val="0001758C"/>
    <w:rsid w:val="00023145"/>
    <w:rsid w:val="00042669"/>
    <w:rsid w:val="00044EB7"/>
    <w:rsid w:val="00047F36"/>
    <w:rsid w:val="00052FAD"/>
    <w:rsid w:val="00063536"/>
    <w:rsid w:val="00064E4C"/>
    <w:rsid w:val="000732CA"/>
    <w:rsid w:val="00080674"/>
    <w:rsid w:val="00092A5D"/>
    <w:rsid w:val="00093BCF"/>
    <w:rsid w:val="0009535A"/>
    <w:rsid w:val="0009576A"/>
    <w:rsid w:val="00096663"/>
    <w:rsid w:val="000A0FE3"/>
    <w:rsid w:val="000A2114"/>
    <w:rsid w:val="000A24F2"/>
    <w:rsid w:val="000A4F88"/>
    <w:rsid w:val="000A7FA3"/>
    <w:rsid w:val="000B060D"/>
    <w:rsid w:val="000B3D61"/>
    <w:rsid w:val="000B4BEB"/>
    <w:rsid w:val="000B54D2"/>
    <w:rsid w:val="000B7924"/>
    <w:rsid w:val="000C0485"/>
    <w:rsid w:val="000C0BD3"/>
    <w:rsid w:val="000C7DC6"/>
    <w:rsid w:val="000D034D"/>
    <w:rsid w:val="000D37CC"/>
    <w:rsid w:val="000E1668"/>
    <w:rsid w:val="000F2E2E"/>
    <w:rsid w:val="001023BA"/>
    <w:rsid w:val="0011245F"/>
    <w:rsid w:val="0011669A"/>
    <w:rsid w:val="0012471A"/>
    <w:rsid w:val="00124B44"/>
    <w:rsid w:val="00126F8B"/>
    <w:rsid w:val="00130757"/>
    <w:rsid w:val="001451A5"/>
    <w:rsid w:val="0015263C"/>
    <w:rsid w:val="00164A4E"/>
    <w:rsid w:val="001668E1"/>
    <w:rsid w:val="001A4BA6"/>
    <w:rsid w:val="001B27AD"/>
    <w:rsid w:val="001B739F"/>
    <w:rsid w:val="001C2208"/>
    <w:rsid w:val="001C75CB"/>
    <w:rsid w:val="001D04C2"/>
    <w:rsid w:val="001D57A7"/>
    <w:rsid w:val="001E02A0"/>
    <w:rsid w:val="001E1575"/>
    <w:rsid w:val="001F3DFD"/>
    <w:rsid w:val="001F480D"/>
    <w:rsid w:val="00213BE8"/>
    <w:rsid w:val="002162D1"/>
    <w:rsid w:val="00216E07"/>
    <w:rsid w:val="00217032"/>
    <w:rsid w:val="00230945"/>
    <w:rsid w:val="002364A5"/>
    <w:rsid w:val="0024053B"/>
    <w:rsid w:val="002407A6"/>
    <w:rsid w:val="00240C43"/>
    <w:rsid w:val="00241DF0"/>
    <w:rsid w:val="00252FB1"/>
    <w:rsid w:val="0025660C"/>
    <w:rsid w:val="002616CF"/>
    <w:rsid w:val="002628E3"/>
    <w:rsid w:val="00263ADA"/>
    <w:rsid w:val="0026417C"/>
    <w:rsid w:val="002706CC"/>
    <w:rsid w:val="00293837"/>
    <w:rsid w:val="00293EBC"/>
    <w:rsid w:val="0029440A"/>
    <w:rsid w:val="00295B10"/>
    <w:rsid w:val="0029658E"/>
    <w:rsid w:val="002A215F"/>
    <w:rsid w:val="002A48DD"/>
    <w:rsid w:val="002A7C77"/>
    <w:rsid w:val="002B41C9"/>
    <w:rsid w:val="002B6B36"/>
    <w:rsid w:val="002C0676"/>
    <w:rsid w:val="002C22F4"/>
    <w:rsid w:val="002D5451"/>
    <w:rsid w:val="002D7F7E"/>
    <w:rsid w:val="002E1F80"/>
    <w:rsid w:val="002E2332"/>
    <w:rsid w:val="002E3615"/>
    <w:rsid w:val="002E46BE"/>
    <w:rsid w:val="002E5565"/>
    <w:rsid w:val="002E76F0"/>
    <w:rsid w:val="002F0AE7"/>
    <w:rsid w:val="002F2A03"/>
    <w:rsid w:val="00304B37"/>
    <w:rsid w:val="003102F7"/>
    <w:rsid w:val="00313104"/>
    <w:rsid w:val="00316D7B"/>
    <w:rsid w:val="0031799E"/>
    <w:rsid w:val="00324209"/>
    <w:rsid w:val="00325BFA"/>
    <w:rsid w:val="0033295C"/>
    <w:rsid w:val="00336FD5"/>
    <w:rsid w:val="00340039"/>
    <w:rsid w:val="00343A65"/>
    <w:rsid w:val="00345FBC"/>
    <w:rsid w:val="003469A1"/>
    <w:rsid w:val="0035262D"/>
    <w:rsid w:val="00355C44"/>
    <w:rsid w:val="0035634C"/>
    <w:rsid w:val="0035640D"/>
    <w:rsid w:val="00356BE0"/>
    <w:rsid w:val="00364CD4"/>
    <w:rsid w:val="0038343D"/>
    <w:rsid w:val="003845EE"/>
    <w:rsid w:val="00386716"/>
    <w:rsid w:val="00387DF6"/>
    <w:rsid w:val="0039048E"/>
    <w:rsid w:val="003A3600"/>
    <w:rsid w:val="003A4647"/>
    <w:rsid w:val="003B3514"/>
    <w:rsid w:val="003C0470"/>
    <w:rsid w:val="003C4969"/>
    <w:rsid w:val="003D04A0"/>
    <w:rsid w:val="003D069A"/>
    <w:rsid w:val="003D40F1"/>
    <w:rsid w:val="003E043E"/>
    <w:rsid w:val="003E3B7E"/>
    <w:rsid w:val="003E423A"/>
    <w:rsid w:val="003E4883"/>
    <w:rsid w:val="003F07B7"/>
    <w:rsid w:val="003F2D00"/>
    <w:rsid w:val="004030F9"/>
    <w:rsid w:val="00407903"/>
    <w:rsid w:val="0041171F"/>
    <w:rsid w:val="00414191"/>
    <w:rsid w:val="00423043"/>
    <w:rsid w:val="0043305E"/>
    <w:rsid w:val="004335C4"/>
    <w:rsid w:val="00435DFD"/>
    <w:rsid w:val="00440389"/>
    <w:rsid w:val="00453184"/>
    <w:rsid w:val="00456E0E"/>
    <w:rsid w:val="004575E2"/>
    <w:rsid w:val="00461329"/>
    <w:rsid w:val="00461DFF"/>
    <w:rsid w:val="00463BEA"/>
    <w:rsid w:val="0046521B"/>
    <w:rsid w:val="00472287"/>
    <w:rsid w:val="00472309"/>
    <w:rsid w:val="00472CB9"/>
    <w:rsid w:val="004766EA"/>
    <w:rsid w:val="00482E6B"/>
    <w:rsid w:val="00485CA6"/>
    <w:rsid w:val="004861EE"/>
    <w:rsid w:val="00494A0B"/>
    <w:rsid w:val="00496C56"/>
    <w:rsid w:val="004B4D6F"/>
    <w:rsid w:val="004C3096"/>
    <w:rsid w:val="004C4A93"/>
    <w:rsid w:val="004D04C5"/>
    <w:rsid w:val="004D3AB6"/>
    <w:rsid w:val="004D7512"/>
    <w:rsid w:val="004E52FC"/>
    <w:rsid w:val="004F3AC5"/>
    <w:rsid w:val="004F6B09"/>
    <w:rsid w:val="00500331"/>
    <w:rsid w:val="005201A9"/>
    <w:rsid w:val="00520B88"/>
    <w:rsid w:val="005231E3"/>
    <w:rsid w:val="00524367"/>
    <w:rsid w:val="00524507"/>
    <w:rsid w:val="00530652"/>
    <w:rsid w:val="00537312"/>
    <w:rsid w:val="00540159"/>
    <w:rsid w:val="0054535C"/>
    <w:rsid w:val="00547AF7"/>
    <w:rsid w:val="00550E3A"/>
    <w:rsid w:val="0055131D"/>
    <w:rsid w:val="0055205F"/>
    <w:rsid w:val="00564661"/>
    <w:rsid w:val="00574A1E"/>
    <w:rsid w:val="00574C2B"/>
    <w:rsid w:val="00575E2B"/>
    <w:rsid w:val="00577E8A"/>
    <w:rsid w:val="00577EED"/>
    <w:rsid w:val="0058302A"/>
    <w:rsid w:val="00584A74"/>
    <w:rsid w:val="00586FB5"/>
    <w:rsid w:val="0059290D"/>
    <w:rsid w:val="005B2D23"/>
    <w:rsid w:val="005B5AAC"/>
    <w:rsid w:val="005C6B5A"/>
    <w:rsid w:val="005D2ECD"/>
    <w:rsid w:val="005D7A55"/>
    <w:rsid w:val="005E11C7"/>
    <w:rsid w:val="005F54E2"/>
    <w:rsid w:val="005F7174"/>
    <w:rsid w:val="00601622"/>
    <w:rsid w:val="00602245"/>
    <w:rsid w:val="00604934"/>
    <w:rsid w:val="00616F33"/>
    <w:rsid w:val="0062093F"/>
    <w:rsid w:val="00621F3A"/>
    <w:rsid w:val="00650616"/>
    <w:rsid w:val="00650A36"/>
    <w:rsid w:val="00652E83"/>
    <w:rsid w:val="006553E0"/>
    <w:rsid w:val="006622AF"/>
    <w:rsid w:val="006654F3"/>
    <w:rsid w:val="00666938"/>
    <w:rsid w:val="00671FC9"/>
    <w:rsid w:val="006750D2"/>
    <w:rsid w:val="00676F30"/>
    <w:rsid w:val="006806F0"/>
    <w:rsid w:val="0068408D"/>
    <w:rsid w:val="00687A38"/>
    <w:rsid w:val="00692B85"/>
    <w:rsid w:val="006B290B"/>
    <w:rsid w:val="006B47B9"/>
    <w:rsid w:val="006B5639"/>
    <w:rsid w:val="006D2257"/>
    <w:rsid w:val="006D56CC"/>
    <w:rsid w:val="006D5743"/>
    <w:rsid w:val="006D736B"/>
    <w:rsid w:val="006E25E7"/>
    <w:rsid w:val="006E2FAF"/>
    <w:rsid w:val="006F0F79"/>
    <w:rsid w:val="006F47B7"/>
    <w:rsid w:val="0070012E"/>
    <w:rsid w:val="00703BEF"/>
    <w:rsid w:val="00710302"/>
    <w:rsid w:val="0071712F"/>
    <w:rsid w:val="007175A9"/>
    <w:rsid w:val="00721B10"/>
    <w:rsid w:val="00727FDE"/>
    <w:rsid w:val="00730EA0"/>
    <w:rsid w:val="00742BD9"/>
    <w:rsid w:val="007446C5"/>
    <w:rsid w:val="00745417"/>
    <w:rsid w:val="00747680"/>
    <w:rsid w:val="00752ADF"/>
    <w:rsid w:val="00753F5E"/>
    <w:rsid w:val="00755C7B"/>
    <w:rsid w:val="007605CF"/>
    <w:rsid w:val="00761301"/>
    <w:rsid w:val="007642C2"/>
    <w:rsid w:val="007660E4"/>
    <w:rsid w:val="00775BD6"/>
    <w:rsid w:val="00781CD3"/>
    <w:rsid w:val="00784000"/>
    <w:rsid w:val="0078589A"/>
    <w:rsid w:val="00791895"/>
    <w:rsid w:val="007919F6"/>
    <w:rsid w:val="00792011"/>
    <w:rsid w:val="00793BDF"/>
    <w:rsid w:val="007957E2"/>
    <w:rsid w:val="00795811"/>
    <w:rsid w:val="007A00C2"/>
    <w:rsid w:val="007A0A3E"/>
    <w:rsid w:val="007A3218"/>
    <w:rsid w:val="007B03B8"/>
    <w:rsid w:val="007B45F8"/>
    <w:rsid w:val="007B5DF4"/>
    <w:rsid w:val="007B77C7"/>
    <w:rsid w:val="007B7CBF"/>
    <w:rsid w:val="007C0A34"/>
    <w:rsid w:val="007C14C8"/>
    <w:rsid w:val="007C5754"/>
    <w:rsid w:val="007C6346"/>
    <w:rsid w:val="007D2141"/>
    <w:rsid w:val="007D616B"/>
    <w:rsid w:val="007E4F80"/>
    <w:rsid w:val="007F1459"/>
    <w:rsid w:val="007F1B96"/>
    <w:rsid w:val="00801E0D"/>
    <w:rsid w:val="00802A49"/>
    <w:rsid w:val="00812CFD"/>
    <w:rsid w:val="00816CED"/>
    <w:rsid w:val="00817769"/>
    <w:rsid w:val="00825BD1"/>
    <w:rsid w:val="008307CF"/>
    <w:rsid w:val="00851981"/>
    <w:rsid w:val="00862918"/>
    <w:rsid w:val="008643B0"/>
    <w:rsid w:val="00864430"/>
    <w:rsid w:val="0087118F"/>
    <w:rsid w:val="00875DB1"/>
    <w:rsid w:val="008858F8"/>
    <w:rsid w:val="0089341E"/>
    <w:rsid w:val="00896F9B"/>
    <w:rsid w:val="008A1C2E"/>
    <w:rsid w:val="008A28E7"/>
    <w:rsid w:val="008A2FD2"/>
    <w:rsid w:val="008A46E9"/>
    <w:rsid w:val="008A5526"/>
    <w:rsid w:val="008C45ED"/>
    <w:rsid w:val="008C5CE0"/>
    <w:rsid w:val="008D35B9"/>
    <w:rsid w:val="008D5635"/>
    <w:rsid w:val="008E08B3"/>
    <w:rsid w:val="008E623E"/>
    <w:rsid w:val="008E7D8D"/>
    <w:rsid w:val="00900137"/>
    <w:rsid w:val="009001D4"/>
    <w:rsid w:val="00900EAA"/>
    <w:rsid w:val="009102DD"/>
    <w:rsid w:val="00910590"/>
    <w:rsid w:val="00913E86"/>
    <w:rsid w:val="00914629"/>
    <w:rsid w:val="009347C7"/>
    <w:rsid w:val="00934C8E"/>
    <w:rsid w:val="0094139F"/>
    <w:rsid w:val="00943AAF"/>
    <w:rsid w:val="00954256"/>
    <w:rsid w:val="00962BC9"/>
    <w:rsid w:val="00971354"/>
    <w:rsid w:val="00973DD6"/>
    <w:rsid w:val="00975940"/>
    <w:rsid w:val="00983A47"/>
    <w:rsid w:val="00984B90"/>
    <w:rsid w:val="00992319"/>
    <w:rsid w:val="00997B4E"/>
    <w:rsid w:val="009A3A8E"/>
    <w:rsid w:val="009A78EB"/>
    <w:rsid w:val="009B442A"/>
    <w:rsid w:val="009B512F"/>
    <w:rsid w:val="009C3A9A"/>
    <w:rsid w:val="009C41D4"/>
    <w:rsid w:val="009C4B2F"/>
    <w:rsid w:val="009D153A"/>
    <w:rsid w:val="009D2B3D"/>
    <w:rsid w:val="009D4FF1"/>
    <w:rsid w:val="009D55DF"/>
    <w:rsid w:val="009D7078"/>
    <w:rsid w:val="009E44CC"/>
    <w:rsid w:val="009E614B"/>
    <w:rsid w:val="009E7A15"/>
    <w:rsid w:val="009F0082"/>
    <w:rsid w:val="009F17C3"/>
    <w:rsid w:val="009F7FF9"/>
    <w:rsid w:val="00A02E95"/>
    <w:rsid w:val="00A06A1A"/>
    <w:rsid w:val="00A12F49"/>
    <w:rsid w:val="00A14B8F"/>
    <w:rsid w:val="00A20573"/>
    <w:rsid w:val="00A20FCA"/>
    <w:rsid w:val="00A21439"/>
    <w:rsid w:val="00A257DC"/>
    <w:rsid w:val="00A25802"/>
    <w:rsid w:val="00A26FB6"/>
    <w:rsid w:val="00A2730B"/>
    <w:rsid w:val="00A3211D"/>
    <w:rsid w:val="00A4221B"/>
    <w:rsid w:val="00A51A3F"/>
    <w:rsid w:val="00A52A84"/>
    <w:rsid w:val="00A5675E"/>
    <w:rsid w:val="00A60885"/>
    <w:rsid w:val="00A61757"/>
    <w:rsid w:val="00A70C8B"/>
    <w:rsid w:val="00A73EFF"/>
    <w:rsid w:val="00A73F90"/>
    <w:rsid w:val="00A75ABC"/>
    <w:rsid w:val="00A76E69"/>
    <w:rsid w:val="00A82A9D"/>
    <w:rsid w:val="00A8493E"/>
    <w:rsid w:val="00A87277"/>
    <w:rsid w:val="00A914B7"/>
    <w:rsid w:val="00A965B7"/>
    <w:rsid w:val="00A96B76"/>
    <w:rsid w:val="00AA59C8"/>
    <w:rsid w:val="00AA5C24"/>
    <w:rsid w:val="00AB0DAA"/>
    <w:rsid w:val="00AC5B34"/>
    <w:rsid w:val="00AC760C"/>
    <w:rsid w:val="00AD17B7"/>
    <w:rsid w:val="00AD1C51"/>
    <w:rsid w:val="00AD23BD"/>
    <w:rsid w:val="00AD2C5B"/>
    <w:rsid w:val="00AD5884"/>
    <w:rsid w:val="00AD5A53"/>
    <w:rsid w:val="00AE25A2"/>
    <w:rsid w:val="00AF1CF6"/>
    <w:rsid w:val="00AF4EA4"/>
    <w:rsid w:val="00AF53AE"/>
    <w:rsid w:val="00AF67A5"/>
    <w:rsid w:val="00AF72BC"/>
    <w:rsid w:val="00B1183A"/>
    <w:rsid w:val="00B14AEB"/>
    <w:rsid w:val="00B14F97"/>
    <w:rsid w:val="00B2256D"/>
    <w:rsid w:val="00B370CA"/>
    <w:rsid w:val="00B52051"/>
    <w:rsid w:val="00B55827"/>
    <w:rsid w:val="00B559DD"/>
    <w:rsid w:val="00B55BC8"/>
    <w:rsid w:val="00B61AB0"/>
    <w:rsid w:val="00B80C8B"/>
    <w:rsid w:val="00B8400A"/>
    <w:rsid w:val="00B926B7"/>
    <w:rsid w:val="00BA45D5"/>
    <w:rsid w:val="00BA6B7F"/>
    <w:rsid w:val="00BB2F95"/>
    <w:rsid w:val="00BC033B"/>
    <w:rsid w:val="00BC32A1"/>
    <w:rsid w:val="00BD42A2"/>
    <w:rsid w:val="00BE3ADD"/>
    <w:rsid w:val="00BE4AD3"/>
    <w:rsid w:val="00BF75C6"/>
    <w:rsid w:val="00C10488"/>
    <w:rsid w:val="00C10D09"/>
    <w:rsid w:val="00C14FA1"/>
    <w:rsid w:val="00C40E03"/>
    <w:rsid w:val="00C43B7F"/>
    <w:rsid w:val="00C55993"/>
    <w:rsid w:val="00C66770"/>
    <w:rsid w:val="00C708E0"/>
    <w:rsid w:val="00C80E7B"/>
    <w:rsid w:val="00C81E92"/>
    <w:rsid w:val="00C86A42"/>
    <w:rsid w:val="00C90F1F"/>
    <w:rsid w:val="00C93CAC"/>
    <w:rsid w:val="00C96A55"/>
    <w:rsid w:val="00CA2B68"/>
    <w:rsid w:val="00CA2FD7"/>
    <w:rsid w:val="00CB03D7"/>
    <w:rsid w:val="00CB1792"/>
    <w:rsid w:val="00CB39CD"/>
    <w:rsid w:val="00CC34F4"/>
    <w:rsid w:val="00CC5371"/>
    <w:rsid w:val="00CC7E65"/>
    <w:rsid w:val="00CD085D"/>
    <w:rsid w:val="00CD1F58"/>
    <w:rsid w:val="00CE177C"/>
    <w:rsid w:val="00CE4A14"/>
    <w:rsid w:val="00CE541D"/>
    <w:rsid w:val="00CF0CC4"/>
    <w:rsid w:val="00CF624F"/>
    <w:rsid w:val="00D005C9"/>
    <w:rsid w:val="00D00F92"/>
    <w:rsid w:val="00D02456"/>
    <w:rsid w:val="00D02F08"/>
    <w:rsid w:val="00D03B70"/>
    <w:rsid w:val="00D10C93"/>
    <w:rsid w:val="00D12A30"/>
    <w:rsid w:val="00D159A8"/>
    <w:rsid w:val="00D173E0"/>
    <w:rsid w:val="00D21210"/>
    <w:rsid w:val="00D2194D"/>
    <w:rsid w:val="00D24692"/>
    <w:rsid w:val="00D24736"/>
    <w:rsid w:val="00D25568"/>
    <w:rsid w:val="00D276CC"/>
    <w:rsid w:val="00D314FF"/>
    <w:rsid w:val="00D32EAA"/>
    <w:rsid w:val="00D43C98"/>
    <w:rsid w:val="00D5180E"/>
    <w:rsid w:val="00D52C7B"/>
    <w:rsid w:val="00D612FF"/>
    <w:rsid w:val="00D62570"/>
    <w:rsid w:val="00D745CD"/>
    <w:rsid w:val="00D81316"/>
    <w:rsid w:val="00D831EF"/>
    <w:rsid w:val="00D92F2E"/>
    <w:rsid w:val="00D945BF"/>
    <w:rsid w:val="00D9738F"/>
    <w:rsid w:val="00DA41D7"/>
    <w:rsid w:val="00DA5EA2"/>
    <w:rsid w:val="00DA6338"/>
    <w:rsid w:val="00DA7235"/>
    <w:rsid w:val="00DB40A4"/>
    <w:rsid w:val="00DC1C77"/>
    <w:rsid w:val="00DC682E"/>
    <w:rsid w:val="00DD02BE"/>
    <w:rsid w:val="00DD02FD"/>
    <w:rsid w:val="00DD185E"/>
    <w:rsid w:val="00DD2F0C"/>
    <w:rsid w:val="00DE2CB5"/>
    <w:rsid w:val="00DE2D78"/>
    <w:rsid w:val="00DE6C0F"/>
    <w:rsid w:val="00DF7318"/>
    <w:rsid w:val="00E001CA"/>
    <w:rsid w:val="00E06B42"/>
    <w:rsid w:val="00E11B10"/>
    <w:rsid w:val="00E14E38"/>
    <w:rsid w:val="00E15646"/>
    <w:rsid w:val="00E33C56"/>
    <w:rsid w:val="00E36A3A"/>
    <w:rsid w:val="00E40BD1"/>
    <w:rsid w:val="00E43A75"/>
    <w:rsid w:val="00E463DD"/>
    <w:rsid w:val="00E52277"/>
    <w:rsid w:val="00E52997"/>
    <w:rsid w:val="00E636F0"/>
    <w:rsid w:val="00E665A0"/>
    <w:rsid w:val="00E90736"/>
    <w:rsid w:val="00E9234B"/>
    <w:rsid w:val="00E94935"/>
    <w:rsid w:val="00E9685B"/>
    <w:rsid w:val="00E970EE"/>
    <w:rsid w:val="00EA224D"/>
    <w:rsid w:val="00EB5309"/>
    <w:rsid w:val="00EB70AF"/>
    <w:rsid w:val="00EC52C9"/>
    <w:rsid w:val="00EC5F55"/>
    <w:rsid w:val="00ED4C17"/>
    <w:rsid w:val="00EE132E"/>
    <w:rsid w:val="00EE4E17"/>
    <w:rsid w:val="00EE5623"/>
    <w:rsid w:val="00EE5D3E"/>
    <w:rsid w:val="00EE651D"/>
    <w:rsid w:val="00EF47F5"/>
    <w:rsid w:val="00EF4DF7"/>
    <w:rsid w:val="00F00E36"/>
    <w:rsid w:val="00F02CE1"/>
    <w:rsid w:val="00F04D8F"/>
    <w:rsid w:val="00F05109"/>
    <w:rsid w:val="00F234F5"/>
    <w:rsid w:val="00F238C2"/>
    <w:rsid w:val="00F263B4"/>
    <w:rsid w:val="00F277A4"/>
    <w:rsid w:val="00F30449"/>
    <w:rsid w:val="00F30B92"/>
    <w:rsid w:val="00F32D78"/>
    <w:rsid w:val="00F35207"/>
    <w:rsid w:val="00F42B21"/>
    <w:rsid w:val="00F4556F"/>
    <w:rsid w:val="00F47DB2"/>
    <w:rsid w:val="00F53ED6"/>
    <w:rsid w:val="00F57734"/>
    <w:rsid w:val="00F6090D"/>
    <w:rsid w:val="00F6371C"/>
    <w:rsid w:val="00F66529"/>
    <w:rsid w:val="00F73162"/>
    <w:rsid w:val="00F808E1"/>
    <w:rsid w:val="00F85ECC"/>
    <w:rsid w:val="00F86187"/>
    <w:rsid w:val="00F87DBF"/>
    <w:rsid w:val="00F87EF6"/>
    <w:rsid w:val="00F90EDE"/>
    <w:rsid w:val="00F929DD"/>
    <w:rsid w:val="00F941A2"/>
    <w:rsid w:val="00F96DD6"/>
    <w:rsid w:val="00F96E2D"/>
    <w:rsid w:val="00FA70E7"/>
    <w:rsid w:val="00FD17B1"/>
    <w:rsid w:val="00FD58ED"/>
    <w:rsid w:val="00FD7552"/>
    <w:rsid w:val="00FD7E24"/>
    <w:rsid w:val="00FE6407"/>
    <w:rsid w:val="00FF2B70"/>
    <w:rsid w:val="00FF76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68C83"/>
  <w15:chartTrackingRefBased/>
  <w15:docId w15:val="{99C21605-FDB2-4623-83C6-F8878C67A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7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7DB2"/>
  </w:style>
  <w:style w:type="paragraph" w:styleId="Footer">
    <w:name w:val="footer"/>
    <w:basedOn w:val="Normal"/>
    <w:link w:val="FooterChar"/>
    <w:uiPriority w:val="99"/>
    <w:unhideWhenUsed/>
    <w:rsid w:val="00F47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7DB2"/>
  </w:style>
  <w:style w:type="paragraph" w:styleId="ListParagraph">
    <w:name w:val="List Paragraph"/>
    <w:basedOn w:val="Normal"/>
    <w:uiPriority w:val="34"/>
    <w:qFormat/>
    <w:rsid w:val="000C7DC6"/>
    <w:pPr>
      <w:ind w:left="720"/>
      <w:contextualSpacing/>
    </w:pPr>
  </w:style>
  <w:style w:type="paragraph" w:styleId="NormalWeb">
    <w:name w:val="Normal (Web)"/>
    <w:basedOn w:val="Normal"/>
    <w:uiPriority w:val="99"/>
    <w:semiHidden/>
    <w:unhideWhenUsed/>
    <w:rsid w:val="004C4A9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4A93"/>
    <w:rPr>
      <w:color w:val="0563C1" w:themeColor="hyperlink"/>
      <w:u w:val="single"/>
    </w:rPr>
  </w:style>
  <w:style w:type="character" w:styleId="FollowedHyperlink">
    <w:name w:val="FollowedHyperlink"/>
    <w:basedOn w:val="DefaultParagraphFont"/>
    <w:uiPriority w:val="99"/>
    <w:semiHidden/>
    <w:unhideWhenUsed/>
    <w:rsid w:val="004C4A93"/>
    <w:rPr>
      <w:color w:val="954F72" w:themeColor="followedHyperlink"/>
      <w:u w:val="single"/>
    </w:rPr>
  </w:style>
  <w:style w:type="character" w:styleId="UnresolvedMention">
    <w:name w:val="Unresolved Mention"/>
    <w:basedOn w:val="DefaultParagraphFont"/>
    <w:uiPriority w:val="99"/>
    <w:semiHidden/>
    <w:unhideWhenUsed/>
    <w:rsid w:val="00386716"/>
    <w:rPr>
      <w:color w:val="605E5C"/>
      <w:shd w:val="clear" w:color="auto" w:fill="E1DFDD"/>
    </w:rPr>
  </w:style>
  <w:style w:type="character" w:customStyle="1" w:styleId="authorname">
    <w:name w:val="authorname"/>
    <w:basedOn w:val="DefaultParagraphFont"/>
    <w:rsid w:val="00130757"/>
  </w:style>
  <w:style w:type="character" w:customStyle="1" w:styleId="separator">
    <w:name w:val="separator"/>
    <w:basedOn w:val="DefaultParagraphFont"/>
    <w:rsid w:val="00130757"/>
  </w:style>
  <w:style w:type="character" w:customStyle="1" w:styleId="Date1">
    <w:name w:val="Date1"/>
    <w:basedOn w:val="DefaultParagraphFont"/>
    <w:rsid w:val="00130757"/>
  </w:style>
  <w:style w:type="character" w:customStyle="1" w:styleId="arttitle">
    <w:name w:val="art_title"/>
    <w:basedOn w:val="DefaultParagraphFont"/>
    <w:rsid w:val="00130757"/>
  </w:style>
  <w:style w:type="character" w:customStyle="1" w:styleId="serialtitle">
    <w:name w:val="serial_title"/>
    <w:basedOn w:val="DefaultParagraphFont"/>
    <w:rsid w:val="00130757"/>
  </w:style>
  <w:style w:type="character" w:customStyle="1" w:styleId="volumeissue">
    <w:name w:val="volume_issue"/>
    <w:basedOn w:val="DefaultParagraphFont"/>
    <w:rsid w:val="00130757"/>
  </w:style>
  <w:style w:type="character" w:customStyle="1" w:styleId="pagerange">
    <w:name w:val="page_range"/>
    <w:basedOn w:val="DefaultParagraphFont"/>
    <w:rsid w:val="00130757"/>
  </w:style>
  <w:style w:type="character" w:customStyle="1" w:styleId="doilink">
    <w:name w:val="doi_link"/>
    <w:basedOn w:val="DefaultParagraphFont"/>
    <w:rsid w:val="001307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6983227">
      <w:bodyDiv w:val="1"/>
      <w:marLeft w:val="0"/>
      <w:marRight w:val="0"/>
      <w:marTop w:val="0"/>
      <w:marBottom w:val="0"/>
      <w:divBdr>
        <w:top w:val="none" w:sz="0" w:space="0" w:color="auto"/>
        <w:left w:val="none" w:sz="0" w:space="0" w:color="auto"/>
        <w:bottom w:val="none" w:sz="0" w:space="0" w:color="auto"/>
        <w:right w:val="none" w:sz="0" w:space="0" w:color="auto"/>
      </w:divBdr>
    </w:div>
    <w:div w:id="1371225621">
      <w:bodyDiv w:val="1"/>
      <w:marLeft w:val="0"/>
      <w:marRight w:val="0"/>
      <w:marTop w:val="0"/>
      <w:marBottom w:val="0"/>
      <w:divBdr>
        <w:top w:val="none" w:sz="0" w:space="0" w:color="auto"/>
        <w:left w:val="none" w:sz="0" w:space="0" w:color="auto"/>
        <w:bottom w:val="none" w:sz="0" w:space="0" w:color="auto"/>
        <w:right w:val="none" w:sz="0" w:space="0" w:color="auto"/>
      </w:divBdr>
    </w:div>
    <w:div w:id="1962416897">
      <w:bodyDiv w:val="1"/>
      <w:marLeft w:val="0"/>
      <w:marRight w:val="0"/>
      <w:marTop w:val="0"/>
      <w:marBottom w:val="0"/>
      <w:divBdr>
        <w:top w:val="none" w:sz="0" w:space="0" w:color="auto"/>
        <w:left w:val="none" w:sz="0" w:space="0" w:color="auto"/>
        <w:bottom w:val="none" w:sz="0" w:space="0" w:color="auto"/>
        <w:right w:val="none" w:sz="0" w:space="0" w:color="auto"/>
      </w:divBdr>
    </w:div>
    <w:div w:id="2017028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ethics/code-of-ethics" TargetMode="External"/><Relationship Id="rId13" Type="http://schemas.openxmlformats.org/officeDocument/2006/relationships/hyperlink" Target="https://www.justiceinspectorates.gov.uk/hmiprobation/research/the-evidence-base-probation/specific-types-of-delivery/integrated-offender-management/" TargetMode="External"/><Relationship Id="rId18" Type="http://schemas.openxmlformats.org/officeDocument/2006/relationships/hyperlink" Target="https://nationalcrimeagency.gov.uk/who-we-are/publications/15-county-lines-gang-violence-exploitation-and-drug-supply-2016/file"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thecrimepreventionwebsite.com/police-crime-prevention-service---a-short-history/744/the-peelian-principles/" TargetMode="External"/><Relationship Id="rId7" Type="http://schemas.openxmlformats.org/officeDocument/2006/relationships/hyperlink" Target="https://www.statista.com/statistics/303963/uk-police-officer-numbers/" TargetMode="External"/><Relationship Id="rId12" Type="http://schemas.openxmlformats.org/officeDocument/2006/relationships/hyperlink" Target="https://hmicfrs.justiceinspectorates.gov.uk/publications/an-inspection-of-vetting-misconduct-and-misogyny-in-the-police-service/" TargetMode="External"/><Relationship Id="rId17" Type="http://schemas.openxmlformats.org/officeDocument/2006/relationships/hyperlink" Target="https://www.police-foundation.org.uk/2022/11/police-culture-has-been-called-out-its-time-for-change/"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statistics/proven-reoffending-statistics-october-to-december-2021/proven-reoffending-statistics-october-to-december-2021" TargetMode="External"/><Relationship Id="rId20" Type="http://schemas.openxmlformats.org/officeDocument/2006/relationships/hyperlink" Target="https://www.gov.uk/government/publications/preventing-offending-and-re-offending-by-children/collaborative-approaches-to-preventing-offending-and-re-offending-by-children-capricorn-summary#introduc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usticeinspectorates.gov.uk/hmiprobation/media/press-releases/2022/07/mappa/"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gov.uk/government/news/new-prison-strategy-to-rehabilitate-offenders-and-cut-crime" TargetMode="External"/><Relationship Id="rId23" Type="http://schemas.openxmlformats.org/officeDocument/2006/relationships/hyperlink" Target="https://lordslibrary.parliament.uk/research-briefings/lln-2020-0016/" TargetMode="External"/><Relationship Id="rId10" Type="http://schemas.openxmlformats.org/officeDocument/2006/relationships/hyperlink" Target="https://soapboxie.com/government/The-Four-Theories-of-Victimization" TargetMode="External"/><Relationship Id="rId19" Type="http://schemas.openxmlformats.org/officeDocument/2006/relationships/hyperlink" Target="https://www.nationalcrimeagency.gov.uk/news/nsa2020" TargetMode="External"/><Relationship Id="rId4" Type="http://schemas.openxmlformats.org/officeDocument/2006/relationships/webSettings" Target="webSettings.xml"/><Relationship Id="rId9" Type="http://schemas.openxmlformats.org/officeDocument/2006/relationships/hyperlink" Target="https://www.college.police.uk/app/major-investigation-and-public-protection/managing-sexual-offenders-and-violent-offenders/multi-agency-public-protection-arrangements-mappa" TargetMode="External"/><Relationship Id="rId14" Type="http://schemas.openxmlformats.org/officeDocument/2006/relationships/hyperlink" Target="https://www.policeconduct.gov.uk/news/iopc-publishes-figures-police-complaints-made-202223" TargetMode="External"/><Relationship Id="rId22" Type="http://schemas.openxmlformats.org/officeDocument/2006/relationships/hyperlink" Target="https://lordslibrary.parliament.uk/police-standards-and-culture-restoring-public-tru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5990</TotalTime>
  <Pages>11</Pages>
  <Words>4774</Words>
  <Characters>27214</Characters>
  <Application>Microsoft Office Word</Application>
  <DocSecurity>0</DocSecurity>
  <Lines>226</Lines>
  <Paragraphs>63</Paragraphs>
  <ScaleCrop>false</ScaleCrop>
  <Company>Gwent Police</Company>
  <LinksUpToDate>false</LinksUpToDate>
  <CharactersWithSpaces>31925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Barrett, Louis</dc:creator>
  <cp:keywords/>
  <dc:description/>
  <cp:lastModifiedBy>Barrett, Louis</cp:lastModifiedBy>
  <cp:revision>539</cp:revision>
  <dcterms:created xsi:type="dcterms:W3CDTF">2023-08-13T19:54:00Z</dcterms:created>
  <dcterms:modified xsi:type="dcterms:W3CDTF">2023-12-11T17:38:00Z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2023-08-13T19:57:28Z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1dd80fb9-aec8-421a-b6e4-19d0850530d5</vt:lpwstr>
  </property>
  <property fmtid="{D5CDD505-2E9C-101B-9397-08002B2CF9AE}" pid="8" name="MSIP_Label_f2acd28b-79a3-4a0f-b0ff-4b75658b1549_ContentBits">
    <vt:lpwstr>0</vt:lpwstr>
  </property>
</Properties>
</file>