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3340B" w14:textId="77777777" w:rsidR="007832C5" w:rsidRPr="00D51B89" w:rsidRDefault="007832C5" w:rsidP="007832C5">
      <w:pPr>
        <w:spacing w:line="360" w:lineRule="auto"/>
        <w:jc w:val="center"/>
        <w:rPr>
          <w:rFonts w:ascii="Times New Roman" w:hAnsi="Times New Roman" w:cs="Times New Roman"/>
          <w:b/>
          <w:bCs/>
          <w:sz w:val="32"/>
          <w:szCs w:val="32"/>
        </w:rPr>
      </w:pPr>
      <w:r w:rsidRPr="00D51B89">
        <w:rPr>
          <w:rFonts w:ascii="Times New Roman" w:hAnsi="Times New Roman" w:cs="Times New Roman"/>
          <w:b/>
          <w:bCs/>
          <w:sz w:val="32"/>
          <w:szCs w:val="32"/>
        </w:rPr>
        <w:t>BA International Hotel Management</w:t>
      </w:r>
    </w:p>
    <w:p w14:paraId="7F30748A" w14:textId="77777777" w:rsidR="007832C5" w:rsidRPr="00D51B89" w:rsidRDefault="007832C5" w:rsidP="007832C5">
      <w:pPr>
        <w:spacing w:line="360" w:lineRule="auto"/>
        <w:rPr>
          <w:rFonts w:ascii="Times New Roman" w:hAnsi="Times New Roman" w:cs="Times New Roman"/>
          <w:b/>
          <w:bCs/>
          <w:sz w:val="32"/>
          <w:szCs w:val="32"/>
        </w:rPr>
      </w:pPr>
    </w:p>
    <w:p w14:paraId="00F3DDBA" w14:textId="77777777" w:rsidR="007832C5" w:rsidRPr="00D51B89" w:rsidRDefault="007832C5" w:rsidP="007832C5">
      <w:pPr>
        <w:spacing w:line="360" w:lineRule="auto"/>
        <w:jc w:val="center"/>
        <w:rPr>
          <w:rFonts w:ascii="Times New Roman" w:hAnsi="Times New Roman" w:cs="Times New Roman"/>
          <w:b/>
          <w:bCs/>
          <w:sz w:val="32"/>
          <w:szCs w:val="32"/>
        </w:rPr>
      </w:pPr>
      <w:r w:rsidRPr="00D51B89">
        <w:rPr>
          <w:rFonts w:ascii="Times New Roman" w:hAnsi="Times New Roman" w:cs="Times New Roman"/>
          <w:b/>
          <w:bCs/>
          <w:sz w:val="32"/>
          <w:szCs w:val="32"/>
        </w:rPr>
        <w:t>Module Title: Hotel Placement Research Project</w:t>
      </w:r>
    </w:p>
    <w:p w14:paraId="268DEB55" w14:textId="77777777" w:rsidR="007832C5" w:rsidRPr="00D51B89" w:rsidRDefault="007832C5" w:rsidP="007832C5">
      <w:pPr>
        <w:spacing w:line="360" w:lineRule="auto"/>
        <w:jc w:val="center"/>
        <w:rPr>
          <w:rFonts w:ascii="Times New Roman" w:hAnsi="Times New Roman" w:cs="Times New Roman"/>
          <w:b/>
          <w:bCs/>
          <w:sz w:val="32"/>
          <w:szCs w:val="32"/>
        </w:rPr>
      </w:pPr>
      <w:r w:rsidRPr="00D51B89">
        <w:rPr>
          <w:rFonts w:ascii="Times New Roman" w:hAnsi="Times New Roman" w:cs="Times New Roman"/>
          <w:b/>
          <w:bCs/>
          <w:sz w:val="32"/>
          <w:szCs w:val="32"/>
        </w:rPr>
        <w:t>Module code: BMIH6008</w:t>
      </w:r>
    </w:p>
    <w:p w14:paraId="2D89EFA7" w14:textId="77777777" w:rsidR="007832C5" w:rsidRPr="00D51B89" w:rsidRDefault="007832C5" w:rsidP="007832C5">
      <w:pPr>
        <w:spacing w:line="360" w:lineRule="auto"/>
        <w:jc w:val="center"/>
        <w:rPr>
          <w:rFonts w:ascii="Times New Roman" w:hAnsi="Times New Roman" w:cs="Times New Roman"/>
          <w:b/>
          <w:bCs/>
          <w:sz w:val="32"/>
          <w:szCs w:val="32"/>
        </w:rPr>
      </w:pPr>
    </w:p>
    <w:p w14:paraId="1FBB9B7F" w14:textId="77777777" w:rsidR="007832C5" w:rsidRPr="00D51B89" w:rsidRDefault="007832C5" w:rsidP="007832C5">
      <w:pPr>
        <w:spacing w:line="360" w:lineRule="auto"/>
        <w:jc w:val="center"/>
        <w:rPr>
          <w:rFonts w:ascii="Times New Roman" w:hAnsi="Times New Roman" w:cs="Times New Roman"/>
          <w:sz w:val="32"/>
          <w:szCs w:val="32"/>
        </w:rPr>
      </w:pPr>
      <w:r w:rsidRPr="00D51B89">
        <w:rPr>
          <w:rFonts w:ascii="Times New Roman" w:hAnsi="Times New Roman" w:cs="Times New Roman"/>
          <w:b/>
          <w:bCs/>
          <w:sz w:val="32"/>
          <w:szCs w:val="32"/>
        </w:rPr>
        <w:t xml:space="preserve">Research Title: </w:t>
      </w:r>
      <w:r w:rsidRPr="00D51B89">
        <w:rPr>
          <w:rFonts w:ascii="Times New Roman" w:hAnsi="Times New Roman" w:cs="Times New Roman"/>
          <w:sz w:val="32"/>
          <w:szCs w:val="32"/>
        </w:rPr>
        <w:t>An Analysis of Hospitality Management Practices at Rossington Hall</w:t>
      </w:r>
    </w:p>
    <w:p w14:paraId="7B490D58" w14:textId="77777777" w:rsidR="007832C5" w:rsidRPr="00D51B89" w:rsidRDefault="007832C5" w:rsidP="007832C5">
      <w:pPr>
        <w:spacing w:line="360" w:lineRule="auto"/>
        <w:jc w:val="center"/>
        <w:rPr>
          <w:rFonts w:ascii="Times New Roman" w:hAnsi="Times New Roman" w:cs="Times New Roman"/>
          <w:b/>
          <w:bCs/>
          <w:sz w:val="32"/>
          <w:szCs w:val="32"/>
        </w:rPr>
      </w:pPr>
    </w:p>
    <w:p w14:paraId="3C91E5FD" w14:textId="77777777" w:rsidR="007832C5" w:rsidRPr="00AD4C21" w:rsidRDefault="007832C5" w:rsidP="007832C5">
      <w:pPr>
        <w:spacing w:line="360" w:lineRule="auto"/>
        <w:jc w:val="center"/>
        <w:rPr>
          <w:rFonts w:ascii="Times New Roman" w:hAnsi="Times New Roman" w:cs="Times New Roman"/>
          <w:b/>
          <w:bCs/>
          <w:sz w:val="32"/>
          <w:szCs w:val="32"/>
        </w:rPr>
      </w:pPr>
      <w:r w:rsidRPr="00D51B89">
        <w:rPr>
          <w:rFonts w:ascii="Times New Roman" w:hAnsi="Times New Roman" w:cs="Times New Roman"/>
          <w:b/>
          <w:bCs/>
          <w:sz w:val="32"/>
          <w:szCs w:val="32"/>
        </w:rPr>
        <w:t xml:space="preserve">Name of the Professor: </w:t>
      </w:r>
      <w:r w:rsidRPr="00AD4C21">
        <w:rPr>
          <w:sz w:val="32"/>
          <w:szCs w:val="32"/>
        </w:rPr>
        <w:t>Ben Chong</w:t>
      </w:r>
    </w:p>
    <w:p w14:paraId="4430E444" w14:textId="77777777" w:rsidR="007832C5" w:rsidRPr="00D51B89" w:rsidRDefault="007832C5" w:rsidP="007832C5">
      <w:pPr>
        <w:spacing w:line="360" w:lineRule="auto"/>
        <w:jc w:val="center"/>
        <w:rPr>
          <w:rFonts w:ascii="Times New Roman" w:hAnsi="Times New Roman" w:cs="Times New Roman"/>
          <w:b/>
          <w:bCs/>
          <w:sz w:val="32"/>
          <w:szCs w:val="32"/>
        </w:rPr>
      </w:pPr>
      <w:r w:rsidRPr="00D51B89">
        <w:rPr>
          <w:rFonts w:ascii="Times New Roman" w:hAnsi="Times New Roman" w:cs="Times New Roman"/>
          <w:b/>
          <w:bCs/>
          <w:sz w:val="32"/>
          <w:szCs w:val="32"/>
        </w:rPr>
        <w:t>Student Name:</w:t>
      </w:r>
      <w:r>
        <w:rPr>
          <w:rFonts w:ascii="Times New Roman" w:hAnsi="Times New Roman" w:cs="Times New Roman"/>
          <w:b/>
          <w:bCs/>
          <w:sz w:val="32"/>
          <w:szCs w:val="32"/>
        </w:rPr>
        <w:t xml:space="preserve"> </w:t>
      </w:r>
      <w:r w:rsidRPr="00AD4C21">
        <w:rPr>
          <w:rFonts w:ascii="Times New Roman" w:hAnsi="Times New Roman" w:cs="Times New Roman"/>
          <w:sz w:val="32"/>
          <w:szCs w:val="32"/>
        </w:rPr>
        <w:t>Natalia Mirosnicova</w:t>
      </w:r>
    </w:p>
    <w:p w14:paraId="22B1D7E0" w14:textId="77777777" w:rsidR="007832C5" w:rsidRDefault="007832C5" w:rsidP="007832C5">
      <w:pPr>
        <w:spacing w:line="360" w:lineRule="auto"/>
        <w:jc w:val="center"/>
        <w:rPr>
          <w:rFonts w:ascii="Times New Roman" w:hAnsi="Times New Roman" w:cs="Times New Roman"/>
          <w:b/>
          <w:bCs/>
          <w:sz w:val="32"/>
          <w:szCs w:val="32"/>
        </w:rPr>
      </w:pPr>
      <w:r w:rsidRPr="00D51B89">
        <w:rPr>
          <w:rFonts w:ascii="Times New Roman" w:hAnsi="Times New Roman" w:cs="Times New Roman"/>
          <w:b/>
          <w:bCs/>
          <w:sz w:val="32"/>
          <w:szCs w:val="32"/>
        </w:rPr>
        <w:t>Student ID:</w:t>
      </w:r>
      <w:r w:rsidRPr="00AD4C21">
        <w:rPr>
          <w:rFonts w:eastAsiaTheme="minorEastAsia" w:hAnsi="Arial"/>
          <w:color w:val="000000" w:themeColor="text1"/>
          <w:sz w:val="20"/>
          <w:szCs w:val="20"/>
        </w:rPr>
        <w:t xml:space="preserve"> </w:t>
      </w:r>
      <w:r w:rsidRPr="00AD4C21">
        <w:rPr>
          <w:rFonts w:eastAsiaTheme="minorEastAsia" w:hAnsi="Arial"/>
          <w:color w:val="000000" w:themeColor="text1"/>
          <w:sz w:val="32"/>
          <w:szCs w:val="32"/>
        </w:rPr>
        <w:t>2129102</w:t>
      </w:r>
    </w:p>
    <w:p w14:paraId="1BB377AE" w14:textId="77777777" w:rsidR="007832C5" w:rsidRDefault="007832C5" w:rsidP="007832C5"/>
    <w:p w14:paraId="4F0316BE" w14:textId="77777777" w:rsidR="007832C5" w:rsidRDefault="007832C5" w:rsidP="007832C5"/>
    <w:p w14:paraId="448C4A45" w14:textId="77777777" w:rsidR="007832C5" w:rsidRDefault="007832C5" w:rsidP="007832C5"/>
    <w:p w14:paraId="550A0B56" w14:textId="77777777" w:rsidR="007832C5" w:rsidRDefault="007832C5" w:rsidP="007832C5"/>
    <w:p w14:paraId="7D61CD03" w14:textId="77777777" w:rsidR="007832C5" w:rsidRDefault="007832C5" w:rsidP="007832C5"/>
    <w:p w14:paraId="2C02E613" w14:textId="77777777" w:rsidR="007832C5" w:rsidRDefault="007832C5" w:rsidP="007832C5"/>
    <w:p w14:paraId="064135A8" w14:textId="77777777" w:rsidR="007832C5" w:rsidRDefault="007832C5" w:rsidP="007832C5"/>
    <w:p w14:paraId="0EB41DD7" w14:textId="77777777" w:rsidR="007832C5" w:rsidRDefault="007832C5" w:rsidP="007832C5"/>
    <w:p w14:paraId="2EE9703D" w14:textId="77777777" w:rsidR="007832C5" w:rsidRDefault="007832C5" w:rsidP="007832C5"/>
    <w:p w14:paraId="4C83914D" w14:textId="77777777" w:rsidR="007832C5" w:rsidRDefault="007832C5" w:rsidP="007832C5"/>
    <w:p w14:paraId="6E6A1933" w14:textId="77777777" w:rsidR="007832C5" w:rsidRDefault="007832C5" w:rsidP="007832C5"/>
    <w:p w14:paraId="7831997B" w14:textId="77777777" w:rsidR="007832C5" w:rsidRDefault="007832C5" w:rsidP="007832C5">
      <w:pPr>
        <w:rPr>
          <w:kern w:val="0"/>
          <w:sz w:val="24"/>
          <w:szCs w:val="24"/>
          <w14:ligatures w14:val="none"/>
        </w:rPr>
      </w:pPr>
    </w:p>
    <w:p w14:paraId="44A5C3B2" w14:textId="77777777" w:rsidR="007832C5" w:rsidRDefault="007832C5" w:rsidP="007832C5">
      <w:pPr>
        <w:rPr>
          <w:kern w:val="0"/>
          <w:sz w:val="24"/>
          <w:szCs w:val="24"/>
          <w14:ligatures w14:val="none"/>
        </w:rPr>
      </w:pPr>
    </w:p>
    <w:p w14:paraId="7755BEBF" w14:textId="26516320" w:rsidR="007832C5" w:rsidRDefault="007832C5" w:rsidP="007832C5">
      <w:pPr>
        <w:rPr>
          <w:kern w:val="0"/>
          <w:sz w:val="24"/>
          <w:szCs w:val="24"/>
          <w14:ligatures w14:val="none"/>
        </w:rPr>
      </w:pPr>
      <w:r w:rsidRPr="00E73B42">
        <w:rPr>
          <w:kern w:val="0"/>
          <w:sz w:val="24"/>
          <w:szCs w:val="24"/>
          <w14:ligatures w14:val="none"/>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kern w:val="0"/>
          <w:sz w:val="24"/>
          <w:szCs w:val="24"/>
          <w14:ligatures w14:val="none"/>
        </w:rPr>
        <w:t>.</w:t>
      </w:r>
    </w:p>
    <w:p w14:paraId="149F39F6" w14:textId="77777777" w:rsidR="007832C5" w:rsidRDefault="007832C5" w:rsidP="007832C5">
      <w:pPr>
        <w:rPr>
          <w:kern w:val="0"/>
          <w:sz w:val="24"/>
          <w:szCs w:val="24"/>
          <w14:ligatures w14:val="none"/>
        </w:rPr>
      </w:pPr>
    </w:p>
    <w:p w14:paraId="1F1FA4B1" w14:textId="77777777" w:rsidR="007832C5" w:rsidRDefault="007832C5" w:rsidP="007832C5">
      <w:pPr>
        <w:rPr>
          <w:kern w:val="0"/>
          <w:sz w:val="24"/>
          <w:szCs w:val="24"/>
          <w14:ligatures w14:val="none"/>
        </w:rPr>
      </w:pPr>
    </w:p>
    <w:p w14:paraId="74D7456D" w14:textId="77777777" w:rsidR="007832C5" w:rsidRDefault="007832C5" w:rsidP="007832C5">
      <w:pPr>
        <w:rPr>
          <w:kern w:val="0"/>
          <w:sz w:val="24"/>
          <w:szCs w:val="24"/>
          <w14:ligatures w14:val="none"/>
        </w:rPr>
      </w:pPr>
    </w:p>
    <w:p w14:paraId="722BBD76" w14:textId="77777777" w:rsidR="007832C5" w:rsidRDefault="007832C5" w:rsidP="007832C5">
      <w:pPr>
        <w:rPr>
          <w:kern w:val="0"/>
          <w:sz w:val="24"/>
          <w:szCs w:val="24"/>
          <w14:ligatures w14:val="none"/>
        </w:rPr>
      </w:pPr>
    </w:p>
    <w:p w14:paraId="75ADA0A2" w14:textId="77777777" w:rsidR="007832C5" w:rsidRDefault="007832C5" w:rsidP="007832C5">
      <w:pPr>
        <w:rPr>
          <w:kern w:val="0"/>
          <w:sz w:val="24"/>
          <w:szCs w:val="24"/>
          <w14:ligatures w14:val="none"/>
        </w:rPr>
      </w:pPr>
    </w:p>
    <w:p w14:paraId="74E3F26A" w14:textId="77777777" w:rsidR="007832C5" w:rsidRDefault="007832C5" w:rsidP="007832C5">
      <w:pPr>
        <w:rPr>
          <w:kern w:val="0"/>
          <w:sz w:val="24"/>
          <w:szCs w:val="24"/>
          <w14:ligatures w14:val="none"/>
        </w:rPr>
      </w:pPr>
    </w:p>
    <w:p w14:paraId="59AD7847" w14:textId="77777777" w:rsidR="007832C5" w:rsidRDefault="007832C5" w:rsidP="007832C5">
      <w:pPr>
        <w:rPr>
          <w:kern w:val="0"/>
          <w:sz w:val="24"/>
          <w:szCs w:val="24"/>
          <w14:ligatures w14:val="none"/>
        </w:rPr>
      </w:pPr>
    </w:p>
    <w:p w14:paraId="751D35F5" w14:textId="77777777" w:rsidR="007832C5" w:rsidRDefault="007832C5" w:rsidP="007832C5">
      <w:pPr>
        <w:rPr>
          <w:kern w:val="0"/>
          <w:sz w:val="24"/>
          <w:szCs w:val="24"/>
          <w14:ligatures w14:val="none"/>
        </w:rPr>
      </w:pPr>
    </w:p>
    <w:p w14:paraId="69333F78" w14:textId="77777777" w:rsidR="007832C5" w:rsidRDefault="007832C5" w:rsidP="007832C5">
      <w:pPr>
        <w:rPr>
          <w:kern w:val="0"/>
          <w:sz w:val="24"/>
          <w:szCs w:val="24"/>
          <w14:ligatures w14:val="none"/>
        </w:rPr>
      </w:pPr>
    </w:p>
    <w:p w14:paraId="7B5A6D37" w14:textId="77777777" w:rsidR="007832C5" w:rsidRDefault="007832C5" w:rsidP="007832C5">
      <w:pPr>
        <w:rPr>
          <w:kern w:val="0"/>
          <w:sz w:val="24"/>
          <w:szCs w:val="24"/>
          <w14:ligatures w14:val="none"/>
        </w:rPr>
      </w:pPr>
    </w:p>
    <w:p w14:paraId="05251E1B" w14:textId="77777777" w:rsidR="007832C5" w:rsidRDefault="007832C5" w:rsidP="007832C5">
      <w:pPr>
        <w:rPr>
          <w:kern w:val="0"/>
          <w:sz w:val="24"/>
          <w:szCs w:val="24"/>
          <w14:ligatures w14:val="none"/>
        </w:rPr>
      </w:pPr>
    </w:p>
    <w:p w14:paraId="3FA0D564" w14:textId="77777777" w:rsidR="007832C5" w:rsidRDefault="007832C5" w:rsidP="007832C5">
      <w:pPr>
        <w:rPr>
          <w:kern w:val="0"/>
          <w:sz w:val="24"/>
          <w:szCs w:val="24"/>
          <w14:ligatures w14:val="none"/>
        </w:rPr>
      </w:pPr>
    </w:p>
    <w:p w14:paraId="326E0A73" w14:textId="77777777" w:rsidR="007832C5" w:rsidRDefault="007832C5" w:rsidP="007832C5">
      <w:pPr>
        <w:rPr>
          <w:kern w:val="0"/>
          <w:sz w:val="24"/>
          <w:szCs w:val="24"/>
          <w14:ligatures w14:val="none"/>
        </w:rPr>
      </w:pPr>
    </w:p>
    <w:p w14:paraId="38767461" w14:textId="77777777" w:rsidR="007832C5" w:rsidRDefault="007832C5" w:rsidP="007832C5">
      <w:pPr>
        <w:rPr>
          <w:kern w:val="0"/>
          <w:sz w:val="24"/>
          <w:szCs w:val="24"/>
          <w14:ligatures w14:val="none"/>
        </w:rPr>
      </w:pPr>
    </w:p>
    <w:p w14:paraId="5ADB0A9B" w14:textId="77777777" w:rsidR="007832C5" w:rsidRDefault="007832C5" w:rsidP="007832C5">
      <w:pPr>
        <w:rPr>
          <w:kern w:val="0"/>
          <w:sz w:val="24"/>
          <w:szCs w:val="24"/>
          <w14:ligatures w14:val="none"/>
        </w:rPr>
      </w:pPr>
    </w:p>
    <w:p w14:paraId="57EC7A29" w14:textId="77777777" w:rsidR="007832C5" w:rsidRDefault="007832C5" w:rsidP="007832C5">
      <w:pPr>
        <w:rPr>
          <w:kern w:val="0"/>
          <w:sz w:val="24"/>
          <w:szCs w:val="24"/>
          <w14:ligatures w14:val="none"/>
        </w:rPr>
      </w:pPr>
    </w:p>
    <w:p w14:paraId="6969B7FB" w14:textId="77777777" w:rsidR="007832C5" w:rsidRDefault="007832C5" w:rsidP="007832C5">
      <w:pPr>
        <w:rPr>
          <w:kern w:val="0"/>
          <w:sz w:val="24"/>
          <w:szCs w:val="24"/>
          <w14:ligatures w14:val="none"/>
        </w:rPr>
      </w:pPr>
    </w:p>
    <w:p w14:paraId="5755F1BE" w14:textId="77777777" w:rsidR="007832C5" w:rsidRDefault="007832C5" w:rsidP="007832C5">
      <w:pPr>
        <w:rPr>
          <w:kern w:val="0"/>
          <w:sz w:val="24"/>
          <w:szCs w:val="24"/>
          <w14:ligatures w14:val="none"/>
        </w:rPr>
      </w:pPr>
    </w:p>
    <w:p w14:paraId="6FEC3125" w14:textId="77777777" w:rsidR="007832C5" w:rsidRDefault="007832C5" w:rsidP="007832C5">
      <w:pPr>
        <w:rPr>
          <w:kern w:val="0"/>
          <w:sz w:val="24"/>
          <w:szCs w:val="24"/>
          <w14:ligatures w14:val="none"/>
        </w:rPr>
      </w:pPr>
    </w:p>
    <w:p w14:paraId="7E2CA5D4" w14:textId="77777777" w:rsidR="007832C5" w:rsidRDefault="007832C5" w:rsidP="007832C5">
      <w:pPr>
        <w:rPr>
          <w:kern w:val="0"/>
          <w:sz w:val="24"/>
          <w:szCs w:val="24"/>
          <w14:ligatures w14:val="none"/>
        </w:rPr>
      </w:pPr>
    </w:p>
    <w:p w14:paraId="3EC09355" w14:textId="77777777" w:rsidR="007832C5" w:rsidRDefault="007832C5" w:rsidP="007832C5">
      <w:pPr>
        <w:rPr>
          <w:kern w:val="0"/>
          <w:sz w:val="24"/>
          <w:szCs w:val="24"/>
          <w14:ligatures w14:val="none"/>
        </w:rPr>
      </w:pPr>
    </w:p>
    <w:p w14:paraId="5FD3DD9B" w14:textId="77777777" w:rsidR="007832C5" w:rsidRDefault="007832C5" w:rsidP="007832C5">
      <w:pPr>
        <w:rPr>
          <w:kern w:val="0"/>
          <w:sz w:val="24"/>
          <w:szCs w:val="24"/>
          <w14:ligatures w14:val="none"/>
        </w:rPr>
      </w:pPr>
    </w:p>
    <w:p w14:paraId="611F5901" w14:textId="77777777" w:rsidR="007832C5" w:rsidRDefault="007832C5" w:rsidP="007832C5">
      <w:pPr>
        <w:rPr>
          <w:kern w:val="0"/>
          <w:sz w:val="24"/>
          <w:szCs w:val="24"/>
          <w14:ligatures w14:val="none"/>
        </w:rPr>
      </w:pPr>
    </w:p>
    <w:p w14:paraId="2B786E0C" w14:textId="77777777" w:rsidR="007832C5" w:rsidRDefault="007832C5" w:rsidP="007832C5">
      <w:pPr>
        <w:rPr>
          <w:kern w:val="0"/>
          <w:sz w:val="24"/>
          <w:szCs w:val="24"/>
          <w14:ligatures w14:val="none"/>
        </w:rPr>
      </w:pPr>
    </w:p>
    <w:p w14:paraId="339F1DF3" w14:textId="77777777" w:rsidR="007832C5" w:rsidRDefault="007832C5" w:rsidP="007832C5">
      <w:pPr>
        <w:rPr>
          <w:kern w:val="0"/>
          <w:sz w:val="24"/>
          <w:szCs w:val="24"/>
          <w14:ligatures w14:val="none"/>
        </w:rPr>
      </w:pPr>
    </w:p>
    <w:p w14:paraId="2B3F0543" w14:textId="77777777" w:rsidR="007832C5" w:rsidRDefault="007832C5" w:rsidP="007832C5">
      <w:pPr>
        <w:rPr>
          <w:kern w:val="0"/>
          <w:sz w:val="24"/>
          <w:szCs w:val="24"/>
          <w14:ligatures w14:val="none"/>
        </w:rPr>
      </w:pPr>
    </w:p>
    <w:p w14:paraId="6E672CEC" w14:textId="77777777" w:rsidR="007832C5" w:rsidRPr="00222A0B" w:rsidRDefault="007832C5" w:rsidP="007832C5">
      <w:pPr>
        <w:spacing w:line="360" w:lineRule="auto"/>
        <w:jc w:val="center"/>
        <w:rPr>
          <w:rFonts w:ascii="Times New Roman" w:hAnsi="Times New Roman" w:cs="Times New Roman"/>
          <w:b/>
          <w:bCs/>
          <w:sz w:val="24"/>
          <w:szCs w:val="24"/>
        </w:rPr>
      </w:pPr>
      <w:r w:rsidRPr="00222A0B">
        <w:rPr>
          <w:rFonts w:ascii="Times New Roman" w:hAnsi="Times New Roman" w:cs="Times New Roman"/>
          <w:b/>
          <w:bCs/>
          <w:sz w:val="24"/>
          <w:szCs w:val="24"/>
        </w:rPr>
        <w:lastRenderedPageBreak/>
        <w:t>Executive Summary</w:t>
      </w:r>
    </w:p>
    <w:p w14:paraId="07335A2A" w14:textId="77777777" w:rsidR="007832C5" w:rsidRPr="00E628DC" w:rsidRDefault="007832C5" w:rsidP="007832C5">
      <w:pPr>
        <w:spacing w:line="360" w:lineRule="auto"/>
        <w:jc w:val="both"/>
        <w:rPr>
          <w:rFonts w:ascii="Times New Roman" w:hAnsi="Times New Roman" w:cs="Times New Roman"/>
          <w:sz w:val="24"/>
          <w:szCs w:val="24"/>
          <w:lang w:val="en-IN"/>
        </w:rPr>
      </w:pPr>
      <w:r w:rsidRPr="00E628DC">
        <w:rPr>
          <w:rFonts w:ascii="Times New Roman" w:hAnsi="Times New Roman" w:cs="Times New Roman"/>
          <w:b/>
          <w:bCs/>
          <w:sz w:val="24"/>
          <w:szCs w:val="24"/>
        </w:rPr>
        <w:t>Purpose:</w:t>
      </w:r>
      <w:r>
        <w:rPr>
          <w:rFonts w:ascii="Times New Roman" w:hAnsi="Times New Roman" w:cs="Times New Roman"/>
          <w:sz w:val="24"/>
          <w:szCs w:val="24"/>
        </w:rPr>
        <w:t xml:space="preserve"> </w:t>
      </w:r>
      <w:r w:rsidRPr="00E628DC">
        <w:rPr>
          <w:rFonts w:ascii="Times New Roman" w:hAnsi="Times New Roman" w:cs="Times New Roman"/>
          <w:sz w:val="24"/>
          <w:szCs w:val="24"/>
          <w:lang w:val="en-IN"/>
        </w:rPr>
        <w:t xml:space="preserve">This study critically examines food and beverage, hotel administration, and guest services management at Rossington Hall, a luxury hotel in South Yorkshire, to determine their impact on operational efficiency and customer satisfaction. Food and beverage management enhances service, inventory control, and guest dining experiences, according to the report. Hotel administration approaches for teamwork, financial sustainability, and regulatory compliance are also evaluated. Guest service management affects customer satisfaction, brand reputation, and business performance. </w:t>
      </w:r>
    </w:p>
    <w:p w14:paraId="5816BD9F" w14:textId="77777777" w:rsidR="007832C5" w:rsidRPr="00E628DC" w:rsidRDefault="007832C5" w:rsidP="007832C5">
      <w:pPr>
        <w:spacing w:line="360" w:lineRule="auto"/>
        <w:jc w:val="both"/>
        <w:rPr>
          <w:rFonts w:ascii="Times New Roman" w:hAnsi="Times New Roman" w:cs="Times New Roman"/>
          <w:sz w:val="24"/>
          <w:szCs w:val="24"/>
          <w:lang w:val="en-IN"/>
        </w:rPr>
      </w:pPr>
      <w:r w:rsidRPr="00E628DC">
        <w:rPr>
          <w:rFonts w:ascii="Times New Roman" w:hAnsi="Times New Roman" w:cs="Times New Roman"/>
          <w:b/>
          <w:bCs/>
          <w:sz w:val="24"/>
          <w:szCs w:val="24"/>
        </w:rPr>
        <w:t>Research Objectives:</w:t>
      </w:r>
      <w:r>
        <w:rPr>
          <w:rFonts w:ascii="Times New Roman" w:hAnsi="Times New Roman" w:cs="Times New Roman"/>
          <w:sz w:val="24"/>
          <w:szCs w:val="24"/>
        </w:rPr>
        <w:t xml:space="preserve"> </w:t>
      </w:r>
      <w:r w:rsidRPr="00711262">
        <w:rPr>
          <w:rFonts w:ascii="Times New Roman" w:hAnsi="Times New Roman" w:cs="Times New Roman"/>
          <w:sz w:val="24"/>
          <w:szCs w:val="24"/>
          <w:lang w:val="en-IN"/>
        </w:rPr>
        <w:t xml:space="preserve">Well-organised procurement, menu planning, and quality assurance reduce costs and improve customer experience in food and beverage management. For operational sustainability, hotel administration must manage reservations, finances, and laws while adopting digital revolution and sustainable business practices. In guest service management, personalised attention, employee training, and complaint resolution increase client loyalty and growth. Success requires addressing labour shortages, rising operating costs, and changing customer expectations, according to the research. </w:t>
      </w:r>
    </w:p>
    <w:p w14:paraId="7B7557B9" w14:textId="77777777" w:rsidR="007832C5" w:rsidRPr="00E628DC" w:rsidRDefault="007832C5" w:rsidP="007832C5">
      <w:pPr>
        <w:spacing w:line="360" w:lineRule="auto"/>
        <w:jc w:val="both"/>
        <w:rPr>
          <w:rFonts w:ascii="Times New Roman" w:hAnsi="Times New Roman" w:cs="Times New Roman"/>
          <w:sz w:val="24"/>
          <w:szCs w:val="24"/>
          <w:lang w:val="en-IN"/>
        </w:rPr>
      </w:pPr>
      <w:r w:rsidRPr="00E628DC">
        <w:rPr>
          <w:rFonts w:ascii="Times New Roman" w:hAnsi="Times New Roman" w:cs="Times New Roman"/>
          <w:b/>
          <w:bCs/>
          <w:sz w:val="24"/>
          <w:szCs w:val="24"/>
        </w:rPr>
        <w:t>Key Findings:</w:t>
      </w:r>
      <w:r>
        <w:rPr>
          <w:rFonts w:ascii="Times New Roman" w:hAnsi="Times New Roman" w:cs="Times New Roman"/>
          <w:sz w:val="24"/>
          <w:szCs w:val="24"/>
        </w:rPr>
        <w:t xml:space="preserve"> </w:t>
      </w:r>
      <w:r w:rsidRPr="00711262">
        <w:rPr>
          <w:rFonts w:ascii="Times New Roman" w:hAnsi="Times New Roman" w:cs="Times New Roman"/>
          <w:sz w:val="24"/>
          <w:szCs w:val="24"/>
          <w:lang w:val="en-IN"/>
        </w:rPr>
        <w:t xml:space="preserve">The paper recommends advanced inventory control for food and beverage operations and hospitality management. Hotel operations will benefit from digital technologies, sustainability programs, and staff development. Data analytics, personalised experiences, and thorough staff training boost guest pleasure and brand loyalty. </w:t>
      </w:r>
    </w:p>
    <w:p w14:paraId="5FB341AD" w14:textId="77777777" w:rsidR="007832C5" w:rsidRPr="00711262" w:rsidRDefault="007832C5" w:rsidP="007832C5">
      <w:pPr>
        <w:spacing w:line="360" w:lineRule="auto"/>
        <w:jc w:val="both"/>
        <w:rPr>
          <w:rFonts w:ascii="Times New Roman" w:hAnsi="Times New Roman" w:cs="Times New Roman"/>
          <w:sz w:val="24"/>
          <w:szCs w:val="24"/>
          <w:lang w:val="en-IN"/>
        </w:rPr>
      </w:pPr>
      <w:r w:rsidRPr="00E628DC">
        <w:rPr>
          <w:rFonts w:ascii="Times New Roman" w:hAnsi="Times New Roman" w:cs="Times New Roman"/>
          <w:b/>
          <w:bCs/>
          <w:sz w:val="24"/>
          <w:szCs w:val="24"/>
        </w:rPr>
        <w:t>Proposed Actions:</w:t>
      </w:r>
      <w:r>
        <w:rPr>
          <w:rFonts w:ascii="Times New Roman" w:hAnsi="Times New Roman" w:cs="Times New Roman"/>
          <w:sz w:val="24"/>
          <w:szCs w:val="24"/>
        </w:rPr>
        <w:t xml:space="preserve"> </w:t>
      </w:r>
      <w:r w:rsidRPr="00711262">
        <w:rPr>
          <w:rFonts w:ascii="Times New Roman" w:hAnsi="Times New Roman" w:cs="Times New Roman"/>
          <w:sz w:val="24"/>
          <w:szCs w:val="24"/>
          <w:lang w:val="en-IN"/>
        </w:rPr>
        <w:t>These proposals should be implemented by Rossington Hall using digital reservations, customer involvement, and operational management. Structured staff training and tailored loyalty programs improve service and client retention. Resource management optimisation balances cost and service. These strategies can help Rossington Hall remain a premium hotel, ensuring long-term operational performance, great guest experiences, and a hospitality industry advantage.</w:t>
      </w:r>
    </w:p>
    <w:p w14:paraId="0C0FB26A" w14:textId="77777777" w:rsidR="007832C5" w:rsidRDefault="007832C5" w:rsidP="007832C5">
      <w:pPr>
        <w:rPr>
          <w:kern w:val="0"/>
          <w:sz w:val="24"/>
          <w:szCs w:val="24"/>
          <w14:ligatures w14:val="none"/>
        </w:rPr>
      </w:pPr>
    </w:p>
    <w:p w14:paraId="1E74B3A1" w14:textId="77777777" w:rsidR="007832C5" w:rsidRDefault="007832C5" w:rsidP="007832C5">
      <w:pPr>
        <w:rPr>
          <w:kern w:val="0"/>
          <w:sz w:val="24"/>
          <w:szCs w:val="24"/>
          <w14:ligatures w14:val="none"/>
        </w:rPr>
      </w:pPr>
    </w:p>
    <w:p w14:paraId="0DDCE535" w14:textId="77777777" w:rsidR="007832C5" w:rsidRDefault="007832C5" w:rsidP="007832C5">
      <w:pPr>
        <w:rPr>
          <w:kern w:val="0"/>
          <w:sz w:val="24"/>
          <w:szCs w:val="24"/>
          <w14:ligatures w14:val="none"/>
        </w:rPr>
      </w:pPr>
    </w:p>
    <w:p w14:paraId="5572ADBE" w14:textId="77777777" w:rsidR="007832C5" w:rsidRDefault="007832C5" w:rsidP="007832C5">
      <w:pPr>
        <w:rPr>
          <w:kern w:val="0"/>
          <w:sz w:val="24"/>
          <w:szCs w:val="24"/>
          <w14:ligatures w14:val="none"/>
        </w:rPr>
      </w:pPr>
    </w:p>
    <w:p w14:paraId="6EF19106" w14:textId="77777777" w:rsidR="007832C5" w:rsidRDefault="007832C5" w:rsidP="007832C5">
      <w:pPr>
        <w:rPr>
          <w:kern w:val="0"/>
          <w:sz w:val="24"/>
          <w:szCs w:val="24"/>
          <w14:ligatures w14:val="none"/>
        </w:rPr>
      </w:pPr>
    </w:p>
    <w:p w14:paraId="2054BBC0" w14:textId="77777777" w:rsidR="007832C5" w:rsidRDefault="007832C5" w:rsidP="007832C5">
      <w:pPr>
        <w:rPr>
          <w:kern w:val="0"/>
          <w:sz w:val="24"/>
          <w:szCs w:val="24"/>
          <w14:ligatures w14:val="none"/>
        </w:rPr>
      </w:pPr>
    </w:p>
    <w:sdt>
      <w:sdtPr>
        <w:rPr>
          <w:rFonts w:ascii="Times New Roman" w:hAnsi="Times New Roman" w:cs="Times New Roman"/>
          <w:sz w:val="24"/>
          <w:szCs w:val="24"/>
        </w:rPr>
        <w:id w:val="662516199"/>
        <w:docPartObj>
          <w:docPartGallery w:val="Table of Contents"/>
          <w:docPartUnique/>
        </w:docPartObj>
      </w:sdtPr>
      <w:sdtEndPr>
        <w:rPr>
          <w:b/>
          <w:bCs/>
        </w:rPr>
      </w:sdtEndPr>
      <w:sdtContent>
        <w:p w14:paraId="2014BCC3" w14:textId="77777777" w:rsidR="007832C5" w:rsidRPr="007832C5" w:rsidRDefault="007832C5" w:rsidP="007832C5">
          <w:pPr>
            <w:keepNext/>
            <w:keepLines/>
            <w:spacing w:before="240" w:after="0" w:line="360" w:lineRule="auto"/>
            <w:jc w:val="center"/>
            <w:rPr>
              <w:rFonts w:ascii="Times New Roman" w:eastAsiaTheme="majorEastAsia" w:hAnsi="Times New Roman" w:cs="Times New Roman"/>
              <w:b/>
              <w:bCs/>
              <w:kern w:val="0"/>
              <w:sz w:val="24"/>
              <w:szCs w:val="24"/>
              <w14:ligatures w14:val="none"/>
            </w:rPr>
          </w:pPr>
          <w:r w:rsidRPr="007832C5">
            <w:rPr>
              <w:rFonts w:ascii="Times New Roman" w:eastAsiaTheme="majorEastAsia" w:hAnsi="Times New Roman" w:cs="Times New Roman"/>
              <w:b/>
              <w:bCs/>
              <w:kern w:val="0"/>
              <w:sz w:val="24"/>
              <w:szCs w:val="24"/>
              <w14:ligatures w14:val="none"/>
            </w:rPr>
            <w:t>Table of Contents</w:t>
          </w:r>
        </w:p>
        <w:p w14:paraId="569A4640"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r w:rsidRPr="007832C5">
            <w:rPr>
              <w:rFonts w:ascii="Times New Roman" w:hAnsi="Times New Roman" w:cs="Times New Roman"/>
              <w:sz w:val="24"/>
              <w:szCs w:val="24"/>
            </w:rPr>
            <w:fldChar w:fldCharType="begin"/>
          </w:r>
          <w:r w:rsidRPr="007832C5">
            <w:rPr>
              <w:rFonts w:ascii="Times New Roman" w:hAnsi="Times New Roman" w:cs="Times New Roman"/>
              <w:sz w:val="24"/>
              <w:szCs w:val="24"/>
            </w:rPr>
            <w:instrText xml:space="preserve"> TOC \o "1-3" \h \z \u </w:instrText>
          </w:r>
          <w:r w:rsidRPr="007832C5">
            <w:rPr>
              <w:rFonts w:ascii="Times New Roman" w:hAnsi="Times New Roman" w:cs="Times New Roman"/>
              <w:sz w:val="24"/>
              <w:szCs w:val="24"/>
            </w:rPr>
            <w:fldChar w:fldCharType="separate"/>
          </w:r>
          <w:hyperlink w:anchor="_Toc191932917" w:history="1">
            <w:r w:rsidRPr="007832C5">
              <w:rPr>
                <w:rFonts w:ascii="Times New Roman" w:hAnsi="Times New Roman" w:cs="Times New Roman"/>
                <w:color w:val="0563C1" w:themeColor="hyperlink"/>
                <w:sz w:val="24"/>
                <w:szCs w:val="24"/>
                <w:u w:val="single"/>
              </w:rPr>
              <w:t>Introduction</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_Toc191932917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4</w:t>
            </w:r>
            <w:r w:rsidRPr="007832C5">
              <w:rPr>
                <w:rFonts w:ascii="Times New Roman" w:hAnsi="Times New Roman" w:cs="Times New Roman"/>
                <w:webHidden/>
                <w:sz w:val="24"/>
                <w:szCs w:val="24"/>
              </w:rPr>
              <w:fldChar w:fldCharType="end"/>
            </w:r>
          </w:hyperlink>
        </w:p>
        <w:p w14:paraId="7785F50A"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18" w:history="1">
            <w:r w:rsidRPr="007832C5">
              <w:rPr>
                <w:rFonts w:ascii="Times New Roman" w:hAnsi="Times New Roman" w:cs="Times New Roman"/>
                <w:color w:val="0563C1" w:themeColor="hyperlink"/>
                <w:sz w:val="24"/>
                <w:szCs w:val="24"/>
                <w:u w:val="single"/>
              </w:rPr>
              <w:t>Aims and objectives of the research</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_Toc191932918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4</w:t>
            </w:r>
            <w:r w:rsidRPr="007832C5">
              <w:rPr>
                <w:rFonts w:ascii="Times New Roman" w:hAnsi="Times New Roman" w:cs="Times New Roman"/>
                <w:webHidden/>
                <w:sz w:val="24"/>
                <w:szCs w:val="24"/>
              </w:rPr>
              <w:fldChar w:fldCharType="end"/>
            </w:r>
          </w:hyperlink>
        </w:p>
        <w:p w14:paraId="69168122"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19" w:history="1">
            <w:r w:rsidRPr="007832C5">
              <w:rPr>
                <w:rFonts w:ascii="Times New Roman" w:hAnsi="Times New Roman" w:cs="Times New Roman"/>
                <w:color w:val="0563C1" w:themeColor="hyperlink"/>
                <w:sz w:val="24"/>
                <w:szCs w:val="24"/>
                <w:u w:val="single"/>
              </w:rPr>
              <w:t>Research Question</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_Toc191932919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4</w:t>
            </w:r>
            <w:r w:rsidRPr="007832C5">
              <w:rPr>
                <w:rFonts w:ascii="Times New Roman" w:hAnsi="Times New Roman" w:cs="Times New Roman"/>
                <w:webHidden/>
                <w:sz w:val="24"/>
                <w:szCs w:val="24"/>
              </w:rPr>
              <w:fldChar w:fldCharType="end"/>
            </w:r>
          </w:hyperlink>
        </w:p>
        <w:p w14:paraId="1F64E2F9"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0" w:history="1">
            <w:r w:rsidRPr="007832C5">
              <w:rPr>
                <w:rFonts w:ascii="Times New Roman" w:hAnsi="Times New Roman" w:cs="Times New Roman"/>
                <w:color w:val="0563C1" w:themeColor="hyperlink"/>
                <w:sz w:val="24"/>
                <w:szCs w:val="24"/>
                <w:u w:val="single"/>
              </w:rPr>
              <w:t>Background to the research project</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_Toc191932920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4</w:t>
            </w:r>
            <w:r w:rsidRPr="007832C5">
              <w:rPr>
                <w:rFonts w:ascii="Times New Roman" w:hAnsi="Times New Roman" w:cs="Times New Roman"/>
                <w:webHidden/>
                <w:sz w:val="24"/>
                <w:szCs w:val="24"/>
              </w:rPr>
              <w:fldChar w:fldCharType="end"/>
            </w:r>
          </w:hyperlink>
        </w:p>
        <w:p w14:paraId="7C643A54"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1" w:history="1">
            <w:r w:rsidRPr="007832C5">
              <w:rPr>
                <w:rFonts w:ascii="Times New Roman" w:hAnsi="Times New Roman" w:cs="Times New Roman"/>
                <w:color w:val="0563C1" w:themeColor="hyperlink"/>
                <w:sz w:val="24"/>
                <w:szCs w:val="24"/>
                <w:u w:val="single"/>
              </w:rPr>
              <w:t>Overview of the case study</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_Toc191932921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5</w:t>
            </w:r>
            <w:r w:rsidRPr="007832C5">
              <w:rPr>
                <w:rFonts w:ascii="Times New Roman" w:hAnsi="Times New Roman" w:cs="Times New Roman"/>
                <w:webHidden/>
                <w:sz w:val="24"/>
                <w:szCs w:val="24"/>
              </w:rPr>
              <w:fldChar w:fldCharType="end"/>
            </w:r>
          </w:hyperlink>
        </w:p>
        <w:p w14:paraId="2C1E9A7C"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2" w:history="1">
            <w:r w:rsidRPr="007832C5">
              <w:rPr>
                <w:rFonts w:ascii="Times New Roman" w:hAnsi="Times New Roman" w:cs="Times New Roman"/>
                <w:color w:val="0563C1" w:themeColor="hyperlink"/>
                <w:sz w:val="24"/>
                <w:szCs w:val="24"/>
                <w:u w:val="single"/>
              </w:rPr>
              <w:t>Highlighting the hotel brand, its location</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_Toc191932922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5</w:t>
            </w:r>
            <w:r w:rsidRPr="007832C5">
              <w:rPr>
                <w:rFonts w:ascii="Times New Roman" w:hAnsi="Times New Roman" w:cs="Times New Roman"/>
                <w:webHidden/>
                <w:sz w:val="24"/>
                <w:szCs w:val="24"/>
              </w:rPr>
              <w:fldChar w:fldCharType="end"/>
            </w:r>
          </w:hyperlink>
        </w:p>
        <w:p w14:paraId="2D19452A"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3" w:history="1">
            <w:r w:rsidRPr="007832C5">
              <w:rPr>
                <w:rFonts w:ascii="Times New Roman" w:hAnsi="Times New Roman" w:cs="Times New Roman"/>
                <w:color w:val="0563C1" w:themeColor="hyperlink"/>
                <w:sz w:val="24"/>
                <w:szCs w:val="24"/>
                <w:u w:val="single"/>
              </w:rPr>
              <w:t>Key theme to be explored within the study</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_Toc191932923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6</w:t>
            </w:r>
            <w:r w:rsidRPr="007832C5">
              <w:rPr>
                <w:rFonts w:ascii="Times New Roman" w:hAnsi="Times New Roman" w:cs="Times New Roman"/>
                <w:webHidden/>
                <w:sz w:val="24"/>
                <w:szCs w:val="24"/>
              </w:rPr>
              <w:fldChar w:fldCharType="end"/>
            </w:r>
          </w:hyperlink>
        </w:p>
        <w:p w14:paraId="3D7F25FD"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hyperlink w:anchor="_Toc191932924" w:history="1">
            <w:r w:rsidRPr="007832C5">
              <w:rPr>
                <w:rFonts w:ascii="Times New Roman" w:hAnsi="Times New Roman" w:cs="Times New Roman"/>
                <w:color w:val="0563C1" w:themeColor="hyperlink"/>
                <w:sz w:val="24"/>
                <w:szCs w:val="24"/>
                <w:u w:val="single"/>
              </w:rPr>
              <w:t>Literature Review</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_Toc191932924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6</w:t>
            </w:r>
            <w:r w:rsidRPr="007832C5">
              <w:rPr>
                <w:rFonts w:ascii="Times New Roman" w:hAnsi="Times New Roman" w:cs="Times New Roman"/>
                <w:webHidden/>
                <w:sz w:val="24"/>
                <w:szCs w:val="24"/>
              </w:rPr>
              <w:fldChar w:fldCharType="end"/>
            </w:r>
          </w:hyperlink>
        </w:p>
        <w:p w14:paraId="51E12A8F"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hyperlink w:anchor="_Toc191932925" w:history="1">
            <w:r w:rsidRPr="007832C5">
              <w:rPr>
                <w:rFonts w:ascii="Times New Roman" w:hAnsi="Times New Roman" w:cs="Times New Roman"/>
                <w:color w:val="0563C1" w:themeColor="hyperlink"/>
                <w:sz w:val="24"/>
                <w:szCs w:val="24"/>
                <w:u w:val="single"/>
              </w:rPr>
              <w:t>Methods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_Toc191932925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9</w:t>
            </w:r>
            <w:r w:rsidRPr="007832C5">
              <w:rPr>
                <w:rFonts w:ascii="Times New Roman" w:hAnsi="Times New Roman" w:cs="Times New Roman"/>
                <w:webHidden/>
                <w:sz w:val="24"/>
                <w:szCs w:val="24"/>
              </w:rPr>
              <w:fldChar w:fldCharType="end"/>
            </w:r>
          </w:hyperlink>
        </w:p>
        <w:p w14:paraId="462A8D03"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6" w:history="1">
            <w:r w:rsidRPr="007832C5">
              <w:rPr>
                <w:rFonts w:ascii="Times New Roman" w:hAnsi="Times New Roman" w:cs="Times New Roman"/>
                <w:color w:val="0563C1" w:themeColor="hyperlink"/>
                <w:sz w:val="24"/>
                <w:szCs w:val="24"/>
                <w:u w:val="single"/>
              </w:rPr>
              <w:t>Overview of the 'Case Study' methodological approach</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_Toc191932926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9</w:t>
            </w:r>
            <w:r w:rsidRPr="007832C5">
              <w:rPr>
                <w:rFonts w:ascii="Times New Roman" w:hAnsi="Times New Roman" w:cs="Times New Roman"/>
                <w:webHidden/>
                <w:sz w:val="24"/>
                <w:szCs w:val="24"/>
              </w:rPr>
              <w:fldChar w:fldCharType="end"/>
            </w:r>
          </w:hyperlink>
        </w:p>
        <w:p w14:paraId="6970767E"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7" w:history="1">
            <w:r w:rsidRPr="007832C5">
              <w:rPr>
                <w:rFonts w:ascii="Times New Roman" w:hAnsi="Times New Roman" w:cs="Times New Roman"/>
                <w:color w:val="0563C1" w:themeColor="hyperlink"/>
                <w:sz w:val="24"/>
                <w:szCs w:val="24"/>
                <w:u w:val="single"/>
              </w:rPr>
              <w:t>Advantages of the 'Case Study' methodological approach</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_Toc191932927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10</w:t>
            </w:r>
            <w:r w:rsidRPr="007832C5">
              <w:rPr>
                <w:rFonts w:ascii="Times New Roman" w:hAnsi="Times New Roman" w:cs="Times New Roman"/>
                <w:webHidden/>
                <w:sz w:val="24"/>
                <w:szCs w:val="24"/>
              </w:rPr>
              <w:fldChar w:fldCharType="end"/>
            </w:r>
          </w:hyperlink>
        </w:p>
        <w:p w14:paraId="1A7EA7C7"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8" w:history="1">
            <w:r w:rsidRPr="007832C5">
              <w:rPr>
                <w:rFonts w:ascii="Times New Roman" w:hAnsi="Times New Roman" w:cs="Times New Roman"/>
                <w:color w:val="0563C1" w:themeColor="hyperlink"/>
                <w:sz w:val="24"/>
                <w:szCs w:val="24"/>
                <w:u w:val="single"/>
              </w:rPr>
              <w:t>Limitations of the 'Case Study' methodological approach</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_Toc191932928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10</w:t>
            </w:r>
            <w:r w:rsidRPr="007832C5">
              <w:rPr>
                <w:rFonts w:ascii="Times New Roman" w:hAnsi="Times New Roman" w:cs="Times New Roman"/>
                <w:webHidden/>
                <w:sz w:val="24"/>
                <w:szCs w:val="24"/>
              </w:rPr>
              <w:fldChar w:fldCharType="end"/>
            </w:r>
          </w:hyperlink>
        </w:p>
        <w:p w14:paraId="07F73545"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29" w:history="1">
            <w:r w:rsidRPr="007832C5">
              <w:rPr>
                <w:rFonts w:ascii="Times New Roman" w:hAnsi="Times New Roman" w:cs="Times New Roman"/>
                <w:color w:val="0563C1" w:themeColor="hyperlink"/>
                <w:sz w:val="24"/>
                <w:szCs w:val="24"/>
                <w:u w:val="single"/>
              </w:rPr>
              <w:t>Associated technique of the 'Case Study' methodological approach</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_Toc191932929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11</w:t>
            </w:r>
            <w:r w:rsidRPr="007832C5">
              <w:rPr>
                <w:rFonts w:ascii="Times New Roman" w:hAnsi="Times New Roman" w:cs="Times New Roman"/>
                <w:webHidden/>
                <w:sz w:val="24"/>
                <w:szCs w:val="24"/>
              </w:rPr>
              <w:fldChar w:fldCharType="end"/>
            </w:r>
          </w:hyperlink>
        </w:p>
        <w:p w14:paraId="31C33F7B"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0" w:history="1">
            <w:r w:rsidRPr="007832C5">
              <w:rPr>
                <w:rFonts w:ascii="Times New Roman" w:hAnsi="Times New Roman" w:cs="Times New Roman"/>
                <w:color w:val="0563C1" w:themeColor="hyperlink"/>
                <w:sz w:val="24"/>
                <w:szCs w:val="24"/>
                <w:u w:val="single"/>
              </w:rPr>
              <w:t>Significant methods employed</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_Toc191932930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11</w:t>
            </w:r>
            <w:r w:rsidRPr="007832C5">
              <w:rPr>
                <w:rFonts w:ascii="Times New Roman" w:hAnsi="Times New Roman" w:cs="Times New Roman"/>
                <w:webHidden/>
                <w:sz w:val="24"/>
                <w:szCs w:val="24"/>
              </w:rPr>
              <w:fldChar w:fldCharType="end"/>
            </w:r>
          </w:hyperlink>
        </w:p>
        <w:p w14:paraId="2A6719FE"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hyperlink w:anchor="_Toc191932931" w:history="1">
            <w:r w:rsidRPr="007832C5">
              <w:rPr>
                <w:rFonts w:ascii="Times New Roman" w:hAnsi="Times New Roman" w:cs="Times New Roman"/>
                <w:color w:val="0563C1" w:themeColor="hyperlink"/>
                <w:sz w:val="24"/>
                <w:szCs w:val="24"/>
                <w:u w:val="single"/>
              </w:rPr>
              <w:t>Case Study Hotel Overview and Findings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_Toc191932931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12</w:t>
            </w:r>
            <w:r w:rsidRPr="007832C5">
              <w:rPr>
                <w:rFonts w:ascii="Times New Roman" w:hAnsi="Times New Roman" w:cs="Times New Roman"/>
                <w:webHidden/>
                <w:sz w:val="24"/>
                <w:szCs w:val="24"/>
              </w:rPr>
              <w:fldChar w:fldCharType="end"/>
            </w:r>
          </w:hyperlink>
        </w:p>
        <w:p w14:paraId="505CE39D"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2" w:history="1">
            <w:r w:rsidRPr="007832C5">
              <w:rPr>
                <w:rFonts w:ascii="Times New Roman" w:hAnsi="Times New Roman" w:cs="Times New Roman"/>
                <w:color w:val="0563C1" w:themeColor="hyperlink"/>
                <w:sz w:val="24"/>
                <w:szCs w:val="24"/>
                <w:u w:val="single"/>
              </w:rPr>
              <w:t>Overview of the placement hotel</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_Toc191932932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12</w:t>
            </w:r>
            <w:r w:rsidRPr="007832C5">
              <w:rPr>
                <w:rFonts w:ascii="Times New Roman" w:hAnsi="Times New Roman" w:cs="Times New Roman"/>
                <w:webHidden/>
                <w:sz w:val="24"/>
                <w:szCs w:val="24"/>
              </w:rPr>
              <w:fldChar w:fldCharType="end"/>
            </w:r>
          </w:hyperlink>
        </w:p>
        <w:p w14:paraId="1694DCAC"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3" w:history="1">
            <w:r w:rsidRPr="007832C5">
              <w:rPr>
                <w:rFonts w:ascii="Times New Roman" w:hAnsi="Times New Roman" w:cs="Times New Roman"/>
                <w:color w:val="0563C1" w:themeColor="hyperlink"/>
                <w:sz w:val="24"/>
                <w:szCs w:val="24"/>
                <w:u w:val="single"/>
              </w:rPr>
              <w:t>Information about the hotel, its brand, and location</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_Toc191932933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12</w:t>
            </w:r>
            <w:r w:rsidRPr="007832C5">
              <w:rPr>
                <w:rFonts w:ascii="Times New Roman" w:hAnsi="Times New Roman" w:cs="Times New Roman"/>
                <w:webHidden/>
                <w:sz w:val="24"/>
                <w:szCs w:val="24"/>
              </w:rPr>
              <w:fldChar w:fldCharType="end"/>
            </w:r>
          </w:hyperlink>
        </w:p>
        <w:p w14:paraId="67E275C5"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4" w:history="1">
            <w:r w:rsidRPr="007832C5">
              <w:rPr>
                <w:rFonts w:ascii="Times New Roman" w:hAnsi="Times New Roman" w:cs="Times New Roman"/>
                <w:color w:val="0563C1" w:themeColor="hyperlink"/>
                <w:sz w:val="24"/>
                <w:szCs w:val="24"/>
                <w:u w:val="single"/>
              </w:rPr>
              <w:t>SWOT</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_Toc191932934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13</w:t>
            </w:r>
            <w:r w:rsidRPr="007832C5">
              <w:rPr>
                <w:rFonts w:ascii="Times New Roman" w:hAnsi="Times New Roman" w:cs="Times New Roman"/>
                <w:webHidden/>
                <w:sz w:val="24"/>
                <w:szCs w:val="24"/>
              </w:rPr>
              <w:fldChar w:fldCharType="end"/>
            </w:r>
          </w:hyperlink>
        </w:p>
        <w:p w14:paraId="75CCE4C0"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5" w:history="1">
            <w:r w:rsidRPr="007832C5">
              <w:rPr>
                <w:rFonts w:ascii="Times New Roman" w:hAnsi="Times New Roman" w:cs="Times New Roman"/>
                <w:color w:val="0563C1" w:themeColor="hyperlink"/>
                <w:sz w:val="24"/>
                <w:szCs w:val="24"/>
                <w:u w:val="single"/>
              </w:rPr>
              <w:t>PEST</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_Toc191932935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15</w:t>
            </w:r>
            <w:r w:rsidRPr="007832C5">
              <w:rPr>
                <w:rFonts w:ascii="Times New Roman" w:hAnsi="Times New Roman" w:cs="Times New Roman"/>
                <w:webHidden/>
                <w:sz w:val="24"/>
                <w:szCs w:val="24"/>
              </w:rPr>
              <w:fldChar w:fldCharType="end"/>
            </w:r>
          </w:hyperlink>
        </w:p>
        <w:p w14:paraId="50707FF4"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6" w:history="1">
            <w:r w:rsidRPr="007832C5">
              <w:rPr>
                <w:rFonts w:ascii="Times New Roman" w:hAnsi="Times New Roman" w:cs="Times New Roman"/>
                <w:color w:val="0563C1" w:themeColor="hyperlink"/>
                <w:sz w:val="24"/>
                <w:szCs w:val="24"/>
                <w:u w:val="single"/>
              </w:rPr>
              <w:t>Competitor Analysis (Price vs Quality)</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_Toc191932936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16</w:t>
            </w:r>
            <w:r w:rsidRPr="007832C5">
              <w:rPr>
                <w:rFonts w:ascii="Times New Roman" w:hAnsi="Times New Roman" w:cs="Times New Roman"/>
                <w:webHidden/>
                <w:sz w:val="24"/>
                <w:szCs w:val="24"/>
              </w:rPr>
              <w:fldChar w:fldCharType="end"/>
            </w:r>
          </w:hyperlink>
        </w:p>
        <w:p w14:paraId="06E98431"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7" w:history="1">
            <w:r w:rsidRPr="007832C5">
              <w:rPr>
                <w:rFonts w:ascii="Times New Roman" w:hAnsi="Times New Roman" w:cs="Times New Roman"/>
                <w:color w:val="0563C1" w:themeColor="hyperlink"/>
                <w:sz w:val="24"/>
                <w:szCs w:val="24"/>
                <w:u w:val="single"/>
              </w:rPr>
              <w:t>Netnography</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_Toc191932937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17</w:t>
            </w:r>
            <w:r w:rsidRPr="007832C5">
              <w:rPr>
                <w:rFonts w:ascii="Times New Roman" w:hAnsi="Times New Roman" w:cs="Times New Roman"/>
                <w:webHidden/>
                <w:sz w:val="24"/>
                <w:szCs w:val="24"/>
              </w:rPr>
              <w:fldChar w:fldCharType="end"/>
            </w:r>
          </w:hyperlink>
        </w:p>
        <w:p w14:paraId="47810964"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38" w:history="1">
            <w:r w:rsidRPr="007832C5">
              <w:rPr>
                <w:rFonts w:ascii="Times New Roman" w:hAnsi="Times New Roman" w:cs="Times New Roman"/>
                <w:color w:val="0563C1" w:themeColor="hyperlink"/>
                <w:sz w:val="24"/>
                <w:szCs w:val="24"/>
                <w:u w:val="single"/>
              </w:rPr>
              <w:t>Reflective account based on a personal account of your professional observations and experience</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_Toc191932938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18</w:t>
            </w:r>
            <w:r w:rsidRPr="007832C5">
              <w:rPr>
                <w:rFonts w:ascii="Times New Roman" w:hAnsi="Times New Roman" w:cs="Times New Roman"/>
                <w:webHidden/>
                <w:sz w:val="24"/>
                <w:szCs w:val="24"/>
              </w:rPr>
              <w:fldChar w:fldCharType="end"/>
            </w:r>
          </w:hyperlink>
        </w:p>
        <w:p w14:paraId="3C522702"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hyperlink w:anchor="_Toc191932939" w:history="1">
            <w:r w:rsidRPr="007832C5">
              <w:rPr>
                <w:rFonts w:ascii="Times New Roman" w:hAnsi="Times New Roman" w:cs="Times New Roman"/>
                <w:color w:val="0563C1" w:themeColor="hyperlink"/>
                <w:sz w:val="24"/>
                <w:szCs w:val="24"/>
                <w:u w:val="single"/>
              </w:rPr>
              <w:t>Discussion</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_Toc191932939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19</w:t>
            </w:r>
            <w:r w:rsidRPr="007832C5">
              <w:rPr>
                <w:rFonts w:ascii="Times New Roman" w:hAnsi="Times New Roman" w:cs="Times New Roman"/>
                <w:webHidden/>
                <w:sz w:val="24"/>
                <w:szCs w:val="24"/>
              </w:rPr>
              <w:fldChar w:fldCharType="end"/>
            </w:r>
          </w:hyperlink>
        </w:p>
        <w:p w14:paraId="36AF3DDC"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0" w:history="1">
            <w:r w:rsidRPr="007832C5">
              <w:rPr>
                <w:rFonts w:ascii="Times New Roman" w:hAnsi="Times New Roman" w:cs="Times New Roman"/>
                <w:color w:val="0563C1" w:themeColor="hyperlink"/>
                <w:sz w:val="24"/>
                <w:szCs w:val="24"/>
                <w:u w:val="single"/>
              </w:rPr>
              <w:t>Research findings in relation to the existing literature</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_Toc191932940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19</w:t>
            </w:r>
            <w:r w:rsidRPr="007832C5">
              <w:rPr>
                <w:rFonts w:ascii="Times New Roman" w:hAnsi="Times New Roman" w:cs="Times New Roman"/>
                <w:webHidden/>
                <w:sz w:val="24"/>
                <w:szCs w:val="24"/>
              </w:rPr>
              <w:fldChar w:fldCharType="end"/>
            </w:r>
          </w:hyperlink>
        </w:p>
        <w:p w14:paraId="7BE4FB5B"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1" w:history="1">
            <w:r w:rsidRPr="007832C5">
              <w:rPr>
                <w:rFonts w:ascii="Times New Roman" w:hAnsi="Times New Roman" w:cs="Times New Roman"/>
                <w:color w:val="0563C1" w:themeColor="hyperlink"/>
                <w:sz w:val="24"/>
                <w:szCs w:val="24"/>
                <w:u w:val="single"/>
              </w:rPr>
              <w:t>Research findings in addressing the research topic</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_Toc191932941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20</w:t>
            </w:r>
            <w:r w:rsidRPr="007832C5">
              <w:rPr>
                <w:rFonts w:ascii="Times New Roman" w:hAnsi="Times New Roman" w:cs="Times New Roman"/>
                <w:webHidden/>
                <w:sz w:val="24"/>
                <w:szCs w:val="24"/>
              </w:rPr>
              <w:fldChar w:fldCharType="end"/>
            </w:r>
          </w:hyperlink>
        </w:p>
        <w:p w14:paraId="1A8BDB7B"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2" w:history="1">
            <w:r w:rsidRPr="007832C5">
              <w:rPr>
                <w:rFonts w:ascii="Times New Roman" w:hAnsi="Times New Roman" w:cs="Times New Roman"/>
                <w:color w:val="0563C1" w:themeColor="hyperlink"/>
                <w:sz w:val="24"/>
                <w:szCs w:val="24"/>
                <w:u w:val="single"/>
              </w:rPr>
              <w:t>Research findings in research objective or research question</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_Toc191932942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20</w:t>
            </w:r>
            <w:r w:rsidRPr="007832C5">
              <w:rPr>
                <w:rFonts w:ascii="Times New Roman" w:hAnsi="Times New Roman" w:cs="Times New Roman"/>
                <w:webHidden/>
                <w:sz w:val="24"/>
                <w:szCs w:val="24"/>
              </w:rPr>
              <w:fldChar w:fldCharType="end"/>
            </w:r>
          </w:hyperlink>
        </w:p>
        <w:p w14:paraId="026FB642"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3" w:history="1">
            <w:r w:rsidRPr="007832C5">
              <w:rPr>
                <w:rFonts w:ascii="Times New Roman" w:hAnsi="Times New Roman" w:cs="Times New Roman"/>
                <w:color w:val="0563C1" w:themeColor="hyperlink"/>
                <w:sz w:val="24"/>
                <w:szCs w:val="24"/>
                <w:u w:val="single"/>
              </w:rPr>
              <w:t>Research findings in exploring implications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_Toc191932943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21</w:t>
            </w:r>
            <w:r w:rsidRPr="007832C5">
              <w:rPr>
                <w:rFonts w:ascii="Times New Roman" w:hAnsi="Times New Roman" w:cs="Times New Roman"/>
                <w:webHidden/>
                <w:sz w:val="24"/>
                <w:szCs w:val="24"/>
              </w:rPr>
              <w:fldChar w:fldCharType="end"/>
            </w:r>
          </w:hyperlink>
        </w:p>
        <w:p w14:paraId="12AFBAC6"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4" w:history="1">
            <w:r w:rsidRPr="007832C5">
              <w:rPr>
                <w:rFonts w:ascii="Times New Roman" w:hAnsi="Times New Roman" w:cs="Times New Roman"/>
                <w:color w:val="0563C1" w:themeColor="hyperlink"/>
                <w:sz w:val="24"/>
                <w:szCs w:val="24"/>
                <w:u w:val="single"/>
              </w:rPr>
              <w:t>Research findings in acknowledging limitations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_Toc191932944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22</w:t>
            </w:r>
            <w:r w:rsidRPr="007832C5">
              <w:rPr>
                <w:rFonts w:ascii="Times New Roman" w:hAnsi="Times New Roman" w:cs="Times New Roman"/>
                <w:webHidden/>
                <w:sz w:val="24"/>
                <w:szCs w:val="24"/>
              </w:rPr>
              <w:fldChar w:fldCharType="end"/>
            </w:r>
          </w:hyperlink>
        </w:p>
        <w:p w14:paraId="7A9D0BA1"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5" w:history="1">
            <w:r w:rsidRPr="007832C5">
              <w:rPr>
                <w:rFonts w:ascii="Times New Roman" w:hAnsi="Times New Roman" w:cs="Times New Roman"/>
                <w:color w:val="0563C1" w:themeColor="hyperlink"/>
                <w:sz w:val="24"/>
                <w:szCs w:val="24"/>
                <w:u w:val="single"/>
              </w:rPr>
              <w:t>Research findings in pointing out valuable areas critical to the placement hotel operation</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_Toc191932945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24</w:t>
            </w:r>
            <w:r w:rsidRPr="007832C5">
              <w:rPr>
                <w:rFonts w:ascii="Times New Roman" w:hAnsi="Times New Roman" w:cs="Times New Roman"/>
                <w:webHidden/>
                <w:sz w:val="24"/>
                <w:szCs w:val="24"/>
              </w:rPr>
              <w:fldChar w:fldCharType="end"/>
            </w:r>
          </w:hyperlink>
        </w:p>
        <w:p w14:paraId="75D41E30"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hyperlink w:anchor="_Toc191932946" w:history="1">
            <w:r w:rsidRPr="007832C5">
              <w:rPr>
                <w:rFonts w:ascii="Times New Roman" w:hAnsi="Times New Roman" w:cs="Times New Roman"/>
                <w:color w:val="0563C1" w:themeColor="hyperlink"/>
                <w:sz w:val="24"/>
                <w:szCs w:val="24"/>
                <w:u w:val="single"/>
              </w:rPr>
              <w:t>Conclusion and Recommendations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_Toc191932946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24</w:t>
            </w:r>
            <w:r w:rsidRPr="007832C5">
              <w:rPr>
                <w:rFonts w:ascii="Times New Roman" w:hAnsi="Times New Roman" w:cs="Times New Roman"/>
                <w:webHidden/>
                <w:sz w:val="24"/>
                <w:szCs w:val="24"/>
              </w:rPr>
              <w:fldChar w:fldCharType="end"/>
            </w:r>
          </w:hyperlink>
        </w:p>
        <w:p w14:paraId="65971DA2"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7" w:history="1">
            <w:r w:rsidRPr="007832C5">
              <w:rPr>
                <w:rFonts w:ascii="Times New Roman" w:hAnsi="Times New Roman" w:cs="Times New Roman"/>
                <w:color w:val="0563C1" w:themeColor="hyperlink"/>
                <w:sz w:val="24"/>
                <w:szCs w:val="24"/>
                <w:u w:val="single"/>
              </w:rPr>
              <w:t>Key findings and essential points from the research work</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_Toc191932947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25</w:t>
            </w:r>
            <w:r w:rsidRPr="007832C5">
              <w:rPr>
                <w:rFonts w:ascii="Times New Roman" w:hAnsi="Times New Roman" w:cs="Times New Roman"/>
                <w:webHidden/>
                <w:sz w:val="24"/>
                <w:szCs w:val="24"/>
              </w:rPr>
              <w:fldChar w:fldCharType="end"/>
            </w:r>
          </w:hyperlink>
        </w:p>
        <w:p w14:paraId="7158B5FA"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8" w:history="1">
            <w:r w:rsidRPr="007832C5">
              <w:rPr>
                <w:rFonts w:ascii="Times New Roman" w:hAnsi="Times New Roman" w:cs="Times New Roman"/>
                <w:color w:val="0563C1" w:themeColor="hyperlink"/>
                <w:sz w:val="24"/>
                <w:szCs w:val="24"/>
                <w:u w:val="single"/>
              </w:rPr>
              <w:t>Most critical aspects discussed in the research</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_Toc191932948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25</w:t>
            </w:r>
            <w:r w:rsidRPr="007832C5">
              <w:rPr>
                <w:rFonts w:ascii="Times New Roman" w:hAnsi="Times New Roman" w:cs="Times New Roman"/>
                <w:webHidden/>
                <w:sz w:val="24"/>
                <w:szCs w:val="24"/>
              </w:rPr>
              <w:fldChar w:fldCharType="end"/>
            </w:r>
          </w:hyperlink>
        </w:p>
        <w:p w14:paraId="734A27C3" w14:textId="77777777" w:rsidR="007832C5" w:rsidRPr="007832C5" w:rsidRDefault="007832C5" w:rsidP="007832C5">
          <w:pPr>
            <w:tabs>
              <w:tab w:val="right" w:leader="dot" w:pos="9350"/>
            </w:tabs>
            <w:spacing w:after="100" w:line="360" w:lineRule="auto"/>
            <w:ind w:left="220"/>
            <w:rPr>
              <w:rFonts w:ascii="Times New Roman" w:hAnsi="Times New Roman" w:cs="Times New Roman"/>
              <w:sz w:val="24"/>
              <w:szCs w:val="24"/>
            </w:rPr>
          </w:pPr>
          <w:hyperlink w:anchor="_Toc191932949" w:history="1">
            <w:r w:rsidRPr="007832C5">
              <w:rPr>
                <w:rFonts w:ascii="Times New Roman" w:hAnsi="Times New Roman" w:cs="Times New Roman"/>
                <w:color w:val="0563C1" w:themeColor="hyperlink"/>
                <w:sz w:val="24"/>
                <w:szCs w:val="24"/>
                <w:u w:val="single"/>
              </w:rPr>
              <w:t>Key findings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_Toc191932949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25</w:t>
            </w:r>
            <w:r w:rsidRPr="007832C5">
              <w:rPr>
                <w:rFonts w:ascii="Times New Roman" w:hAnsi="Times New Roman" w:cs="Times New Roman"/>
                <w:webHidden/>
                <w:sz w:val="24"/>
                <w:szCs w:val="24"/>
              </w:rPr>
              <w:fldChar w:fldCharType="end"/>
            </w:r>
          </w:hyperlink>
        </w:p>
        <w:p w14:paraId="7EE44C10"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hyperlink w:anchor="_Toc191932950" w:history="1">
            <w:r w:rsidRPr="007832C5">
              <w:rPr>
                <w:rFonts w:ascii="Times New Roman" w:hAnsi="Times New Roman" w:cs="Times New Roman"/>
                <w:color w:val="0563C1" w:themeColor="hyperlink"/>
                <w:sz w:val="24"/>
                <w:szCs w:val="24"/>
                <w:u w:val="single"/>
              </w:rPr>
              <w:t>Recommendations and Practical Strategies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_Toc191932950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25</w:t>
            </w:r>
            <w:r w:rsidRPr="007832C5">
              <w:rPr>
                <w:rFonts w:ascii="Times New Roman" w:hAnsi="Times New Roman" w:cs="Times New Roman"/>
                <w:webHidden/>
                <w:sz w:val="24"/>
                <w:szCs w:val="24"/>
              </w:rPr>
              <w:fldChar w:fldCharType="end"/>
            </w:r>
          </w:hyperlink>
        </w:p>
        <w:p w14:paraId="1746F521" w14:textId="77777777" w:rsidR="007832C5" w:rsidRPr="007832C5" w:rsidRDefault="007832C5" w:rsidP="007832C5">
          <w:pPr>
            <w:tabs>
              <w:tab w:val="right" w:leader="dot" w:pos="9350"/>
            </w:tabs>
            <w:spacing w:after="100" w:line="360" w:lineRule="auto"/>
            <w:rPr>
              <w:rFonts w:ascii="Times New Roman" w:hAnsi="Times New Roman" w:cs="Times New Roman"/>
              <w:sz w:val="24"/>
              <w:szCs w:val="24"/>
            </w:rPr>
          </w:pPr>
          <w:hyperlink w:anchor="_Toc191932951" w:history="1">
            <w:r w:rsidRPr="007832C5">
              <w:rPr>
                <w:rFonts w:ascii="Times New Roman" w:hAnsi="Times New Roman" w:cs="Times New Roman"/>
                <w:color w:val="0563C1" w:themeColor="hyperlink"/>
                <w:sz w:val="24"/>
                <w:szCs w:val="24"/>
                <w:u w:val="single"/>
              </w:rPr>
              <w:t>References:</w:t>
            </w:r>
            <w:r w:rsidRPr="007832C5">
              <w:rPr>
                <w:rFonts w:ascii="Times New Roman" w:hAnsi="Times New Roman" w:cs="Times New Roman"/>
                <w:webHidden/>
                <w:sz w:val="24"/>
                <w:szCs w:val="24"/>
              </w:rPr>
              <w:tab/>
            </w:r>
            <w:r w:rsidRPr="007832C5">
              <w:rPr>
                <w:rFonts w:ascii="Times New Roman" w:hAnsi="Times New Roman" w:cs="Times New Roman"/>
                <w:webHidden/>
                <w:sz w:val="24"/>
                <w:szCs w:val="24"/>
              </w:rPr>
              <w:fldChar w:fldCharType="begin"/>
            </w:r>
            <w:r w:rsidRPr="007832C5">
              <w:rPr>
                <w:rFonts w:ascii="Times New Roman" w:hAnsi="Times New Roman" w:cs="Times New Roman"/>
                <w:webHidden/>
                <w:sz w:val="24"/>
                <w:szCs w:val="24"/>
              </w:rPr>
              <w:instrText xml:space="preserve"> PAGEREF _Toc191932951 \h </w:instrText>
            </w:r>
            <w:r w:rsidRPr="007832C5">
              <w:rPr>
                <w:rFonts w:ascii="Times New Roman" w:hAnsi="Times New Roman" w:cs="Times New Roman"/>
                <w:webHidden/>
                <w:sz w:val="24"/>
                <w:szCs w:val="24"/>
              </w:rPr>
            </w:r>
            <w:r w:rsidRPr="007832C5">
              <w:rPr>
                <w:rFonts w:ascii="Times New Roman" w:hAnsi="Times New Roman" w:cs="Times New Roman"/>
                <w:webHidden/>
                <w:sz w:val="24"/>
                <w:szCs w:val="24"/>
              </w:rPr>
              <w:fldChar w:fldCharType="separate"/>
            </w:r>
            <w:r w:rsidRPr="007832C5">
              <w:rPr>
                <w:rFonts w:ascii="Times New Roman" w:hAnsi="Times New Roman" w:cs="Times New Roman"/>
                <w:webHidden/>
                <w:sz w:val="24"/>
                <w:szCs w:val="24"/>
              </w:rPr>
              <w:t>29</w:t>
            </w:r>
            <w:r w:rsidRPr="007832C5">
              <w:rPr>
                <w:rFonts w:ascii="Times New Roman" w:hAnsi="Times New Roman" w:cs="Times New Roman"/>
                <w:webHidden/>
                <w:sz w:val="24"/>
                <w:szCs w:val="24"/>
              </w:rPr>
              <w:fldChar w:fldCharType="end"/>
            </w:r>
          </w:hyperlink>
        </w:p>
        <w:p w14:paraId="1836BB72"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fldChar w:fldCharType="end"/>
          </w:r>
        </w:p>
      </w:sdtContent>
    </w:sdt>
    <w:p w14:paraId="06C1D0B2" w14:textId="77777777" w:rsidR="007832C5" w:rsidRPr="007832C5" w:rsidRDefault="007832C5" w:rsidP="007832C5">
      <w:pPr>
        <w:spacing w:line="360" w:lineRule="auto"/>
        <w:rPr>
          <w:rFonts w:ascii="Times New Roman" w:eastAsiaTheme="majorEastAsia" w:hAnsi="Times New Roman" w:cs="Times New Roman"/>
          <w:b/>
          <w:bCs/>
          <w:sz w:val="24"/>
          <w:szCs w:val="24"/>
        </w:rPr>
      </w:pPr>
      <w:r w:rsidRPr="007832C5">
        <w:rPr>
          <w:rFonts w:ascii="Times New Roman" w:eastAsiaTheme="majorEastAsia" w:hAnsi="Times New Roman" w:cs="Times New Roman"/>
          <w:b/>
          <w:bCs/>
          <w:sz w:val="24"/>
          <w:szCs w:val="24"/>
        </w:rPr>
        <w:br w:type="page"/>
      </w:r>
    </w:p>
    <w:p w14:paraId="546FECB1" w14:textId="77777777" w:rsidR="007832C5" w:rsidRPr="007832C5" w:rsidRDefault="007832C5" w:rsidP="007832C5">
      <w:pPr>
        <w:spacing w:line="360" w:lineRule="auto"/>
        <w:jc w:val="both"/>
        <w:rPr>
          <w:rFonts w:ascii="Times New Roman" w:eastAsiaTheme="majorEastAsia" w:hAnsi="Times New Roman" w:cs="Times New Roman"/>
          <w:b/>
          <w:bCs/>
          <w:sz w:val="24"/>
          <w:szCs w:val="24"/>
        </w:rPr>
      </w:pPr>
      <w:bookmarkStart w:id="0" w:name="_Toc191932917"/>
      <w:r w:rsidRPr="007832C5">
        <w:rPr>
          <w:rFonts w:ascii="Times New Roman" w:eastAsiaTheme="majorEastAsia" w:hAnsi="Times New Roman" w:cs="Times New Roman"/>
          <w:b/>
          <w:bCs/>
          <w:sz w:val="24"/>
          <w:szCs w:val="24"/>
        </w:rPr>
        <w:lastRenderedPageBreak/>
        <w:t>Introduction</w:t>
      </w:r>
      <w:bookmarkEnd w:id="0"/>
      <w:r w:rsidRPr="007832C5">
        <w:rPr>
          <w:rFonts w:ascii="Times New Roman" w:eastAsiaTheme="majorEastAsia" w:hAnsi="Times New Roman" w:cs="Times New Roman"/>
          <w:b/>
          <w:bCs/>
          <w:sz w:val="24"/>
          <w:szCs w:val="24"/>
        </w:rPr>
        <w:t xml:space="preserve"> </w:t>
      </w:r>
    </w:p>
    <w:p w14:paraId="64D82CB2"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luxury hospitality sector demands exceptional management practices to ensure high service standards, operational efficiency, and customer satisfaction. Rossington Hall, a distinguished luxury hotel, serves as an ideal case study to explore the critical aspects of food and beverage management, hotel administration, and guest services. This placement report aims to analyse and evaluate these key areas to understand their contribution to enhancing customer experience and sustaining business performance. By identifying best practices and challenges within the hospitality sector, this study will provide valuable insights and recommendations for optimizing service quality and guest satisfaction at Rossington Hall.</w:t>
      </w:r>
    </w:p>
    <w:p w14:paraId="5437A62B" w14:textId="77777777" w:rsidR="007832C5" w:rsidRPr="007832C5" w:rsidRDefault="007832C5" w:rsidP="007832C5">
      <w:pPr>
        <w:spacing w:line="360" w:lineRule="auto"/>
        <w:jc w:val="both"/>
        <w:rPr>
          <w:rFonts w:ascii="Times New Roman" w:hAnsi="Times New Roman" w:cs="Times New Roman"/>
          <w:sz w:val="24"/>
          <w:szCs w:val="24"/>
        </w:rPr>
      </w:pPr>
      <w:r w:rsidRPr="007832C5">
        <w:rPr>
          <w:noProof/>
        </w:rPr>
        <w:drawing>
          <wp:inline distT="0" distB="0" distL="0" distR="0" wp14:anchorId="303E5B7B" wp14:editId="63485A25">
            <wp:extent cx="5943600" cy="3343275"/>
            <wp:effectExtent l="0" t="0" r="0" b="9525"/>
            <wp:docPr id="313274681" name="Picture 1" descr="ROSSINGTON HALL - Hotel Reviews, Photos, Rate Comparison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SSINGTON HALL - Hotel Reviews, Photos, Rate Comparison - Tripadvis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5EEA2F9" w14:textId="77777777" w:rsidR="007832C5" w:rsidRPr="007832C5" w:rsidRDefault="007832C5" w:rsidP="007832C5">
      <w:pPr>
        <w:spacing w:line="360" w:lineRule="auto"/>
        <w:jc w:val="center"/>
        <w:rPr>
          <w:rFonts w:ascii="Times New Roman" w:hAnsi="Times New Roman" w:cs="Times New Roman"/>
          <w:sz w:val="24"/>
          <w:szCs w:val="24"/>
        </w:rPr>
      </w:pPr>
      <w:r w:rsidRPr="007832C5">
        <w:rPr>
          <w:noProof/>
        </w:rPr>
        <w:drawing>
          <wp:inline distT="0" distB="0" distL="0" distR="0" wp14:anchorId="69B71CD3" wp14:editId="30D9AD42">
            <wp:extent cx="5943600" cy="1118870"/>
            <wp:effectExtent l="0" t="0" r="0" b="5080"/>
            <wp:docPr id="939605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605555" name=""/>
                    <pic:cNvPicPr/>
                  </pic:nvPicPr>
                  <pic:blipFill>
                    <a:blip r:embed="rId8"/>
                    <a:stretch>
                      <a:fillRect/>
                    </a:stretch>
                  </pic:blipFill>
                  <pic:spPr>
                    <a:xfrm>
                      <a:off x="0" y="0"/>
                      <a:ext cx="5943600" cy="1118870"/>
                    </a:xfrm>
                    <a:prstGeom prst="rect">
                      <a:avLst/>
                    </a:prstGeom>
                  </pic:spPr>
                </pic:pic>
              </a:graphicData>
            </a:graphic>
          </wp:inline>
        </w:drawing>
      </w:r>
    </w:p>
    <w:p w14:paraId="5EEF251D"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Figure: The Rossington Hall</w:t>
      </w:r>
    </w:p>
    <w:p w14:paraId="176FB0B7" w14:textId="77777777" w:rsidR="007832C5" w:rsidRPr="007832C5" w:rsidRDefault="007832C5" w:rsidP="007832C5">
      <w:pPr>
        <w:spacing w:line="360" w:lineRule="auto"/>
        <w:jc w:val="center"/>
        <w:rPr>
          <w:rFonts w:ascii="Times New Roman" w:hAnsi="Times New Roman" w:cs="Times New Roman"/>
          <w:sz w:val="24"/>
          <w:szCs w:val="24"/>
        </w:rPr>
      </w:pPr>
      <w:r w:rsidRPr="007832C5">
        <w:rPr>
          <w:rFonts w:ascii="Times New Roman" w:hAnsi="Times New Roman" w:cs="Times New Roman"/>
          <w:b/>
          <w:bCs/>
          <w:sz w:val="24"/>
          <w:szCs w:val="24"/>
        </w:rPr>
        <w:t>Source:</w:t>
      </w:r>
      <w:r w:rsidRPr="007832C5">
        <w:rPr>
          <w:rFonts w:ascii="Times New Roman" w:hAnsi="Times New Roman" w:cs="Times New Roman"/>
          <w:sz w:val="24"/>
          <w:szCs w:val="24"/>
        </w:rPr>
        <w:t xml:space="preserve"> (Rossington Hall, 2024)</w:t>
      </w:r>
    </w:p>
    <w:p w14:paraId="32DB1487"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 w:name="_Toc191932918"/>
      <w:r w:rsidRPr="007832C5">
        <w:rPr>
          <w:rFonts w:ascii="Times New Roman" w:eastAsiaTheme="majorEastAsia" w:hAnsi="Times New Roman" w:cs="Times New Roman"/>
          <w:b/>
          <w:bCs/>
          <w:sz w:val="24"/>
          <w:szCs w:val="24"/>
        </w:rPr>
        <w:t>Aims and objectives of the research</w:t>
      </w:r>
      <w:bookmarkEnd w:id="1"/>
    </w:p>
    <w:p w14:paraId="19AF53CA"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Aim:</w:t>
      </w:r>
    </w:p>
    <w:p w14:paraId="762E3091"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The study aims to analyse and evaluate the management practices of food and beverages, hotel administration, and guest services at Rossington Hall to identify key factors contributing to operational efficiency and customer satisfaction in the luxury hospitality sector.</w:t>
      </w:r>
    </w:p>
    <w:p w14:paraId="650A0FC1"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Objectives:</w:t>
      </w:r>
    </w:p>
    <w:p w14:paraId="4E0B3A4D" w14:textId="77777777" w:rsidR="007832C5" w:rsidRPr="007832C5" w:rsidRDefault="007832C5" w:rsidP="007832C5">
      <w:pPr>
        <w:numPr>
          <w:ilvl w:val="0"/>
          <w:numId w:val="1"/>
        </w:num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To examine the role of food and beverage management in enhancing customer experience and operational efficiency at Rossington Hall.</w:t>
      </w:r>
    </w:p>
    <w:p w14:paraId="1FC877FD" w14:textId="77777777" w:rsidR="007832C5" w:rsidRPr="007832C5" w:rsidRDefault="007832C5" w:rsidP="007832C5">
      <w:pPr>
        <w:numPr>
          <w:ilvl w:val="0"/>
          <w:numId w:val="1"/>
        </w:num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To evaluate the effectiveness of hotel administration strategies in maintaining high service standards and operational sustainability.</w:t>
      </w:r>
    </w:p>
    <w:p w14:paraId="68AFDA7B" w14:textId="77777777" w:rsidR="007832C5" w:rsidRPr="007832C5" w:rsidRDefault="007832C5" w:rsidP="007832C5">
      <w:pPr>
        <w:numPr>
          <w:ilvl w:val="0"/>
          <w:numId w:val="1"/>
        </w:num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To analyse the impact of guest service management on customer satisfaction, loyalty, and overall business performance.</w:t>
      </w:r>
    </w:p>
    <w:p w14:paraId="3D5D9C04" w14:textId="77777777" w:rsidR="007832C5" w:rsidRPr="007832C5" w:rsidRDefault="007832C5" w:rsidP="007832C5">
      <w:pPr>
        <w:numPr>
          <w:ilvl w:val="0"/>
          <w:numId w:val="1"/>
        </w:num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To identify best practices and challenges in managing hospitality services within a luxury hotel setting.</w:t>
      </w:r>
    </w:p>
    <w:p w14:paraId="4B371E8B" w14:textId="77777777" w:rsidR="007832C5" w:rsidRPr="007832C5" w:rsidRDefault="007832C5" w:rsidP="007832C5">
      <w:pPr>
        <w:numPr>
          <w:ilvl w:val="0"/>
          <w:numId w:val="1"/>
        </w:num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To provide recommendations for optimizing hospitality management practices to improve service quality and guest satisfaction.</w:t>
      </w:r>
    </w:p>
    <w:p w14:paraId="1C9B9337"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 w:name="_Toc191932919"/>
      <w:r w:rsidRPr="007832C5">
        <w:rPr>
          <w:rFonts w:ascii="Times New Roman" w:eastAsiaTheme="majorEastAsia" w:hAnsi="Times New Roman" w:cs="Times New Roman"/>
          <w:b/>
          <w:bCs/>
          <w:sz w:val="24"/>
          <w:szCs w:val="24"/>
        </w:rPr>
        <w:t>Research Question</w:t>
      </w:r>
      <w:bookmarkEnd w:id="2"/>
    </w:p>
    <w:p w14:paraId="176B5ADB"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How do food and beverage management, hotel administration, and guest service practices at Rossington Hall contribute to operational efficiency and customer satisfaction in the luxury hospitality sector?</w:t>
      </w:r>
    </w:p>
    <w:p w14:paraId="0C894E0A"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3" w:name="_Toc191932920"/>
      <w:r w:rsidRPr="007832C5">
        <w:rPr>
          <w:rFonts w:ascii="Times New Roman" w:eastAsiaTheme="majorEastAsia" w:hAnsi="Times New Roman" w:cs="Times New Roman"/>
          <w:b/>
          <w:bCs/>
          <w:sz w:val="24"/>
          <w:szCs w:val="24"/>
        </w:rPr>
        <w:t>Background to the research project</w:t>
      </w:r>
      <w:bookmarkEnd w:id="3"/>
    </w:p>
    <w:p w14:paraId="0A839E3E"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Luxury hotels benefit the global economy by valuing service, efficiency, and comfort. Rossington Hall, a premium hotel, offers unique food &amp; beverage, hotel administration, and guest services courses. Good food and beverage management assures smooth operations, cost control, and a great dining experience, while good administrative processes boost efficiency and industry compliance (Kravariti et al., 2025). Guest services affect brand reputation, loyalty, and performance. Service consistency, guest expectations, and resource management remain challenges for hospitality organisations. Rossington Hall's primary management areas are assessed for best practises and opportunities for improvement to improve service delivery and business success.</w:t>
      </w:r>
    </w:p>
    <w:p w14:paraId="765A645F"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4" w:name="_Toc191932921"/>
      <w:r w:rsidRPr="007832C5">
        <w:rPr>
          <w:rFonts w:ascii="Times New Roman" w:eastAsiaTheme="majorEastAsia" w:hAnsi="Times New Roman" w:cs="Times New Roman"/>
          <w:b/>
          <w:bCs/>
          <w:sz w:val="24"/>
          <w:szCs w:val="24"/>
        </w:rPr>
        <w:lastRenderedPageBreak/>
        <w:t>Overview of the case study</w:t>
      </w:r>
      <w:bookmarkEnd w:id="4"/>
    </w:p>
    <w:p w14:paraId="04C9850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An upscale hotel Rossington Hall offers gracious hospitality, historical charm, and luxurious accommodations. Excellent food and beverage management, hotel administration, and guest services contribute to its high-end reputation. A Rossington Hall student handles these three essentials in this case study. Food and beverage management includes restaurant operations, quality control, inventory, and customer satisfaction (Carvalho and Alves, 2023). Hotel reservations, staffing, hospitality, and finances must be managed well. Visitor service management handles brand loyalty and complaints. Rossington Hall, like other luxury hotels, values service, contentment, and efficiency. A case study will expose the hotel's strategy, challenges, and service improvements (Kumar and Garg, 2018). The research assesses Rossington Hall's vital duties to help hotel management businesses improve service and efficiency in a competitive industry.</w:t>
      </w:r>
    </w:p>
    <w:p w14:paraId="42012267"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5" w:name="_Toc191932922"/>
      <w:r w:rsidRPr="007832C5">
        <w:rPr>
          <w:rFonts w:ascii="Times New Roman" w:eastAsiaTheme="majorEastAsia" w:hAnsi="Times New Roman" w:cs="Times New Roman"/>
          <w:b/>
          <w:bCs/>
          <w:sz w:val="24"/>
          <w:szCs w:val="24"/>
        </w:rPr>
        <w:t>Highlighting the hotel brand, its location</w:t>
      </w:r>
      <w:bookmarkEnd w:id="5"/>
    </w:p>
    <w:p w14:paraId="4091A07C"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Brand Identity and Reputation</w:t>
      </w:r>
    </w:p>
    <w:p w14:paraId="2DC6916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Heritage, service, and hospitality distinguish luxury hotel Rossington Hall. Luxury accommodations, excellent restaurants, and bespoke event services make the hotel suitable for weddings, corporate events, and leisure trips. Rossington Hall, a luxury hotel, blends old and new (Rossington Hall, 2024). </w:t>
      </w:r>
    </w:p>
    <w:p w14:paraId="35C627BE"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Location and Setting</w:t>
      </w:r>
    </w:p>
    <w:p w14:paraId="0DEF6464"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Country hideaway Rossington Hall is in South Yorkshire. The hotel near Doncaster is accessible to domestic and foreign guests. Unique and immersive, the Victorian buildings, lush gardens, and massive estate attract high-end clients seeking comfort, exclusivity, and superb hospitality.</w:t>
      </w:r>
    </w:p>
    <w:p w14:paraId="33EB04EE"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Service Offerings and Guest Experience</w:t>
      </w:r>
    </w:p>
    <w:p w14:paraId="5A28E591"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Gourmet food, wedding and conference planning, and individual service are available at the hotel. Quality service ensures each guest's stay meets and exceeds expectations from check-in to departure. Rossington Hall's antiquity and modern amenities make it luxurious (Kumar and Samtani, 2021).</w:t>
      </w:r>
    </w:p>
    <w:p w14:paraId="6DFBD3F9"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6" w:name="_Toc191932923"/>
      <w:r w:rsidRPr="007832C5">
        <w:rPr>
          <w:rFonts w:ascii="Times New Roman" w:eastAsiaTheme="majorEastAsia" w:hAnsi="Times New Roman" w:cs="Times New Roman"/>
          <w:b/>
          <w:bCs/>
          <w:sz w:val="24"/>
          <w:szCs w:val="24"/>
        </w:rPr>
        <w:lastRenderedPageBreak/>
        <w:t>Key theme to be explored within the study</w:t>
      </w:r>
      <w:bookmarkEnd w:id="6"/>
    </w:p>
    <w:p w14:paraId="70FFF1A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Food and beverage management, hotel administration, and guest services are examined in this Rossington Hall hospitality management program. The research evaluates operational efficiency, customer satisfaction, and service excellence to improve luxury hotel management.</w:t>
      </w:r>
    </w:p>
    <w:p w14:paraId="25E6EA7D" w14:textId="77777777" w:rsidR="007832C5" w:rsidRPr="007832C5" w:rsidRDefault="007832C5" w:rsidP="007832C5">
      <w:pPr>
        <w:spacing w:line="360" w:lineRule="auto"/>
        <w:jc w:val="both"/>
        <w:rPr>
          <w:rFonts w:ascii="Times New Roman" w:hAnsi="Times New Roman" w:cs="Times New Roman"/>
          <w:b/>
          <w:bCs/>
          <w:sz w:val="24"/>
          <w:szCs w:val="24"/>
        </w:rPr>
      </w:pPr>
      <w:bookmarkStart w:id="7" w:name="_Toc191932924"/>
      <w:r w:rsidRPr="007832C5">
        <w:rPr>
          <w:rFonts w:ascii="Times New Roman" w:eastAsiaTheme="majorEastAsia" w:hAnsi="Times New Roman" w:cs="Times New Roman"/>
          <w:b/>
          <w:bCs/>
          <w:sz w:val="24"/>
          <w:szCs w:val="24"/>
        </w:rPr>
        <w:t>Literature Review</w:t>
      </w:r>
      <w:bookmarkEnd w:id="7"/>
      <w:r w:rsidRPr="007832C5">
        <w:rPr>
          <w:rFonts w:ascii="Times New Roman" w:hAnsi="Times New Roman" w:cs="Times New Roman"/>
          <w:b/>
          <w:bCs/>
          <w:sz w:val="24"/>
          <w:szCs w:val="24"/>
        </w:rPr>
        <w:t xml:space="preserve"> </w:t>
      </w:r>
    </w:p>
    <w:p w14:paraId="26BE8E42"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The Role of Food and Beverage Management in Enhancing Customer Experience and Operational Efficiency</w:t>
      </w:r>
    </w:p>
    <w:p w14:paraId="77645370"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Luxury hotel F&amp;B management impacts income, guest pleasure, and efficiency. The worldwide hospitality sector needs well-structured F&amp;B operations because food and beverage services make up a large part of income (Gursoy et al., 2022). World food service was $2.65 trillion in 2022 and is predicted to expand 4.5% by 2027. F&amp;B accounts about 25-40% of luxury hotel revenue, proving their value. F&amp;B management extends beyond income generation to offer guests high-quality cuisine, excellent service, and a brand-appropriate dining experience. Dining setting, food quality, and service speed affect hospitality customer pleasure (Elkhwesky et al., 2022). Since 57% of luxury hotel customers choose lodgings based on distinctive and high-quality dining experiences, a well-managed F&amp;B department may set hotels apart. Menu engineering is essential to guest experience and income by pricing and generating profitable and popular items. Good menu engineering influences customers to order higher-margin, more profitable foods, increasing revenue by 10-15%. Maintaining food quality is crucial because 89% of tourists depart after one bad meal. F&amp;B management efficiency requires cost control, inventory management, supply chain optimisation, and worker training. Inventory management cuts food waste and expenses (Ghani et al., 2022). Hotels waste $100 billion in food yearly, therefore better buying and storage are needed. Advanced inventory tracking systems reduce food waste by 15-20% at premium hotels, enhancing cost efficiency and sustainability (Li et al., 2020). Manpower accounts for 30-40% of luxury hotel F&amp;B expenditures, making labour cost reduction difficult. Studies show that structured workforce training programs boost worker efficiency by 20% and reduce service delay complaints by 25%. Hotel F&amp;B management has changed with technology. Digital ordering, AI-driven menu recommendations, and smart kitchen automation have increased service speed by 12-18% and consumer spending by 10%. Hotel guests prefer mobile ordering and contactless payment for dining (63%). Luxury hotels use AI-driven demand forecasting to reduce overstocking and understocking by 8–12%. Despite these advancements, luxury hotel F&amp;B management faces increased operational </w:t>
      </w:r>
      <w:r w:rsidRPr="007832C5">
        <w:rPr>
          <w:rFonts w:ascii="Times New Roman" w:hAnsi="Times New Roman" w:cs="Times New Roman"/>
          <w:sz w:val="24"/>
          <w:szCs w:val="24"/>
        </w:rPr>
        <w:lastRenderedPageBreak/>
        <w:t xml:space="preserve">expenses, changing consumer preferences, and food safety standards. Inflation and supply chain interruptions have raised global food prices by 10-15%, requiring hotels to rethink pricing without compromising customer pleasure (Ghani et al., 2022). </w:t>
      </w:r>
    </w:p>
    <w:p w14:paraId="5EE1EB3E"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The Effectiveness of Hotel Administration in Maintaining High Service Standards and Operational Sustainability</w:t>
      </w:r>
    </w:p>
    <w:p w14:paraId="1C0A9798"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Administration sustains and improves luxury hotels. Good administration encompasses HR, guest relations, finances, industry compliance, and environmental operations. Hotels must combine service quality and efficiency to meet changing client expectations. Luxury hotels need a well-structured administrative framework to boost customer satisfaction, resource usage, and profits. Hotel staff management impacts operations. In a 30-40% turnover company, engagement boosts productivity by 20-25% and lowers turnover. Staff training, performance incentives, and a positive workplace ensure great service (Morrison and Barry O’Mahony, 2003). Hotel efficiency improves with structured workflow and automated personnel scheduling. Another crucial hotel management function is guest relations (Rossington Hall, 2025). A well-run front desk, fast check-in/check-out, and tailored services please guests. Service is most essential to 78% of hotel guests. Booking automation and AI-driven customer service improved efficiency. AI chatbots and digital concierges cut hotel service delay complaints 25-30%. Hotel operations involve budgeting and expenditure control. Hotel utility, labour, and food costs are rising worldwide (Pham et al., 2019). Operating costs drop 10-15% with energy-efficient solutions, faster procurement, and workforce deployment. Hotels maximise room occupancy and revenue with data-driven forecasts and dynamic pricing. Advanced revenue management earns 8–12% more. Service excellence requires regulatory compliance and risk management. Hospitality management must respect safety, employment, and environmental laws. Industry standards infractions can lead to lawsuits and reputation damage. </w:t>
      </w:r>
    </w:p>
    <w:p w14:paraId="5D66758A"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The Impact of Guest Service Management on Customer Satisfaction, Loyalty, and Business Performance</w:t>
      </w:r>
    </w:p>
    <w:p w14:paraId="3EB8085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Luxury hotels must manage guest service to compete with personalised care and detail. Brand loyalty, consumer satisfaction, and business performance depend on guest service. Studies show that 75% of customers will pay more for a better experience, while luxury hotels with exceptional service keep 80–85%. Hoteliers must increase client interactions, service, and expansion to boost finances. Hospitality customers like efficiency, reactivity, and </w:t>
      </w:r>
      <w:r w:rsidRPr="007832C5">
        <w:rPr>
          <w:rFonts w:ascii="Times New Roman" w:hAnsi="Times New Roman" w:cs="Times New Roman"/>
          <w:sz w:val="24"/>
          <w:szCs w:val="24"/>
        </w:rPr>
        <w:lastRenderedPageBreak/>
        <w:t>personalisation. Research shows 87% of hotel guests return for excellent service. Room customisation, eating alternatives, and easy check-in/check-out boost guest satisfaction by 20-30%. AI-driven CRM systems boost hotel response times and accuracy by 15-20%. Service consistency and emotional connection build hotel brand loyalty. Long-term partnerships are important because obtaining a new customer costs 5-7 times more than retaining one (Riva et al., 2021). Hotel reward points and member benefits increase repeat bookings 30-40%. Excellent guest service improves brand advocacy and reputation because 92% of travellers book word-of-mouth. Luxury hotel guest service management affects performance. Study reveals customer-focused hotels have 15-20% higher RevPAR than competitors. Online reviews impact hotel economics. A one-star online rating increase can boost hotel income by 5–9%, highlighting guest service (So et al., 2023). Luxury hotels also have service issues. Hotel personnel turnover can approach 30-40%, making management tough. Structured training and engagement improve worker performance and service consistency by 20-25%. Efficiency in personalisation is another concern. Massive visitor experience customisation requires AI-driven automation and data analytics (Rossington Hall, 2025). Hotels must adapt since 63% of tourists desire smart room technologies and digital concierge services.</w:t>
      </w:r>
    </w:p>
    <w:p w14:paraId="35260B2A"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Best Practices and Challenges in Managing Hospitality Services in a Luxury Hotel Setting</w:t>
      </w:r>
    </w:p>
    <w:p w14:paraId="0F871E41"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Luxury hotel management requires balancing world-class service, operational efficiency, and evolving visitor expectations. Luxury hotels' individualised service, facilities, and meticulous attention to detail promote brand reputation and financial performance. Quality service creates competitive advantage in the 5.1% global luxury hotel growth forecast. Hoteliers struggle to provide good service and make money. Best practices for luxury hotel management include guest-centricity. Hotel guests are 20-30% happier in personalised hotels. Hotel rooms, cuisine, and proactive service are customised to guest preferences. Staff participation and training are essential. Continuous training improves hotel service 15-20%. Staff skills determine service quality. Employees make customised judgements under the Ritz-Carlton's "Gold Standard" service style, which boosts customer satisfaction and loyalty. Performance-based incentive schemes reduce workforce turnover by 10-15%, ensuring service delivery. Technology integration is another luxury hospitality management requirement. 72% of guests prefer hotels with smartphone check-ins, smart room controls, AI chatbots, and contactless payments. Hotel innovation boosts efficiency and guest engagement by 12-18%. Predictive analytics improve room pricing and inventory management, increasing RevPAR 7-10%. Handling upscale hospitality is hard. Luxury hotels must invest much in labour, technology, and infrastructure to </w:t>
      </w:r>
      <w:r w:rsidRPr="007832C5">
        <w:rPr>
          <w:rFonts w:ascii="Times New Roman" w:hAnsi="Times New Roman" w:cs="Times New Roman"/>
          <w:sz w:val="24"/>
          <w:szCs w:val="24"/>
        </w:rPr>
        <w:lastRenderedPageBreak/>
        <w:t>maintain high service standards, making cost control difficult. Operating expenses are up 10-15% due to rising human costs and supply chain delays, requiring a balance between premium services and financial viability. Another issue is guest experience homogeneity. Luxury hotels must be flawless, unlike mid-range hotels. Research shows that 78% of luxury hotel guests desire more customisation, which requires trained staff and advanced CRM systems (Sanchez-Casado et al., 2019). Luxury hotels care about sustainability because modern tourists want green rooms. 68% of tourists visit luxury hotels with sustainable sourcing, energy efficiency, and zero-waste initiatives. Strategic planning and green technology investment are needed for luxury sustainability.</w:t>
      </w:r>
    </w:p>
    <w:p w14:paraId="4DA06ED7"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Recommendations for Optimizing Hospitality Management Practices</w:t>
      </w:r>
    </w:p>
    <w:p w14:paraId="1EC91609"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Enhancing Service Quality Through Staff Training and Technology Integration</w:t>
      </w:r>
    </w:p>
    <w:p w14:paraId="235F0846"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Hospitality managers must prioritise staff training and tech-driven service improvements. Continuous training boosts tourist satisfaction and worker productivity 20–25%. AI-driven concierge and smartphone check-in reduce wait times 30-40%, improving convenience (Wu and Gao, 2019). Luxury hotels that leverage real-time data analytics for personalised guest experiences have 15% more repeat bookings.</w:t>
      </w:r>
    </w:p>
    <w:p w14:paraId="0FCD3754"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Sustainable Cost Management and Operational Efficiency</w:t>
      </w:r>
    </w:p>
    <w:p w14:paraId="4ED05972"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Sustainable luxury hospitality requires cost control and great service. Energy-efficient technology and smart resource management cut hotel running expenses by 10-15% without losing service. Predictive analytics increases RevPAR and inventory management 7-10%. Sustainable sourcing and waste reduction attract 68% of eco-friendly travellers, boosting revenue and reputation.</w:t>
      </w:r>
    </w:p>
    <w:p w14:paraId="2A0452A4" w14:textId="77777777" w:rsidR="007832C5" w:rsidRPr="007832C5" w:rsidRDefault="007832C5" w:rsidP="007832C5">
      <w:pPr>
        <w:spacing w:line="360" w:lineRule="auto"/>
        <w:jc w:val="both"/>
        <w:rPr>
          <w:rFonts w:ascii="Times New Roman" w:hAnsi="Times New Roman" w:cs="Times New Roman"/>
          <w:b/>
          <w:bCs/>
          <w:sz w:val="24"/>
          <w:szCs w:val="24"/>
        </w:rPr>
      </w:pPr>
      <w:bookmarkStart w:id="8" w:name="_Toc191932925"/>
      <w:r w:rsidRPr="007832C5">
        <w:rPr>
          <w:rFonts w:ascii="Times New Roman" w:eastAsiaTheme="majorEastAsia" w:hAnsi="Times New Roman" w:cs="Times New Roman"/>
          <w:b/>
          <w:bCs/>
          <w:sz w:val="24"/>
          <w:szCs w:val="24"/>
        </w:rPr>
        <w:t>Methods</w:t>
      </w:r>
      <w:bookmarkEnd w:id="8"/>
      <w:r w:rsidRPr="007832C5">
        <w:rPr>
          <w:rFonts w:ascii="Times New Roman" w:hAnsi="Times New Roman" w:cs="Times New Roman"/>
          <w:b/>
          <w:bCs/>
          <w:sz w:val="24"/>
          <w:szCs w:val="24"/>
        </w:rPr>
        <w:t xml:space="preserve"> </w:t>
      </w:r>
    </w:p>
    <w:p w14:paraId="02E32A75"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9" w:name="_Toc191932926"/>
      <w:r w:rsidRPr="007832C5">
        <w:rPr>
          <w:rFonts w:ascii="Times New Roman" w:eastAsiaTheme="majorEastAsia" w:hAnsi="Times New Roman" w:cs="Times New Roman"/>
          <w:b/>
          <w:bCs/>
          <w:sz w:val="24"/>
          <w:szCs w:val="24"/>
        </w:rPr>
        <w:t>Overview of the 'Case Study' methodological approach</w:t>
      </w:r>
      <w:bookmarkEnd w:id="9"/>
    </w:p>
    <w:p w14:paraId="5FE08BE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Rossington Hall's hospitality management practises are examined using qualitative case studies. It evaluates operational strategies, managerial activities, and their consequences on service quality, customer happiness, and corporate performance. The descriptive and exploratory study evaluates hotel administration, food and beverage management, and guest service using personal observations, structured staff interviews, and operational data analysis. Combining qualitative staff and visitor interviews with quantitative performance data like occupancy, RevPAR, customer retention, and guest satisfaction scores strengthens the study. </w:t>
      </w:r>
      <w:r w:rsidRPr="007832C5">
        <w:rPr>
          <w:rFonts w:ascii="Times New Roman" w:hAnsi="Times New Roman" w:cs="Times New Roman"/>
          <w:sz w:val="24"/>
          <w:szCs w:val="24"/>
        </w:rPr>
        <w:lastRenderedPageBreak/>
        <w:t>This multidimensional analysis finds service delivery trends, best practices, operational challenges, and improvement opportunities. The case study evaluates hospitality trends utilising financial data, consumer feedback, and industry benchmarks. Practical, evidence-based evaluations improve Rossington Hall hospitality management and industry standards.</w:t>
      </w:r>
    </w:p>
    <w:p w14:paraId="44647FCE"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0" w:name="_Toc191932927"/>
      <w:r w:rsidRPr="007832C5">
        <w:rPr>
          <w:rFonts w:ascii="Times New Roman" w:eastAsiaTheme="majorEastAsia" w:hAnsi="Times New Roman" w:cs="Times New Roman"/>
          <w:b/>
          <w:bCs/>
          <w:sz w:val="24"/>
          <w:szCs w:val="24"/>
        </w:rPr>
        <w:t>Advantages of the 'Case Study' methodological approach</w:t>
      </w:r>
      <w:bookmarkEnd w:id="10"/>
    </w:p>
    <w:p w14:paraId="5E87CC9D"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In-Depth Exploration of Real-World Practices</w:t>
      </w:r>
    </w:p>
    <w:p w14:paraId="1AC18784"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Hospitality management case studies use Rossington Hall's operations. Unlike surveys or trials, case studies let researchers observe complex managerial procedures, consumer interactions, and service standards (Dubey, and Kothari, 2022). This detailed study of food and beverage management, hotel administration, and guest service concerns and best practices guides strategic decision-making.</w:t>
      </w:r>
    </w:p>
    <w:p w14:paraId="0D789CB0"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Combination of Qualitative and Quantitative Data</w:t>
      </w:r>
    </w:p>
    <w:p w14:paraId="671FB539"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Hotel performance is better analysed using qualitative and quantitative data in case studies. Customer happiness, RevPAR, and staff efficiency measure performance. Interviews, guest remarks, and managerial observations indicate consumer expectations, staff concerns, and service development potential. This improves reliability and refines hospitality operations interpretation.</w:t>
      </w:r>
    </w:p>
    <w:p w14:paraId="467828C5"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Practical and Actionable Insights for Industry Application</w:t>
      </w:r>
    </w:p>
    <w:p w14:paraId="0AC0D7F9"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Academic research and hospitality management gain from case studies. Rossington Hall operational context research identifies successful service strategies, operational issues, and improvement opportunities (Huang et al., 2023). Luxury hotels increase customer experience, operational efficiency, and financial sustainability using proof-based insights.</w:t>
      </w:r>
    </w:p>
    <w:p w14:paraId="232A2D19"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1" w:name="_Toc191932928"/>
      <w:r w:rsidRPr="007832C5">
        <w:rPr>
          <w:rFonts w:ascii="Times New Roman" w:eastAsiaTheme="majorEastAsia" w:hAnsi="Times New Roman" w:cs="Times New Roman"/>
          <w:b/>
          <w:bCs/>
          <w:sz w:val="24"/>
          <w:szCs w:val="24"/>
        </w:rPr>
        <w:t>Limitations of the 'Case Study' methodological approach</w:t>
      </w:r>
      <w:bookmarkEnd w:id="11"/>
    </w:p>
    <w:p w14:paraId="2410D00E"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Limited Generalizability to Broader Hospitality Industry</w:t>
      </w:r>
    </w:p>
    <w:p w14:paraId="340A76DD"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Case studies are useless outside Rossington Hall. The study only examined one luxury hotel, thus its conclusions may not apply to budget, chain, or regional hotels. Rossington Hall and customer demographics may restrict research value.</w:t>
      </w:r>
    </w:p>
    <w:p w14:paraId="107EC498"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Potential for Subjectivity and Researcher Bias</w:t>
      </w:r>
    </w:p>
    <w:p w14:paraId="6A48B98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Interviews, observations, and management insights may bias case study researchers. Supervisors, employees, and guests may generate opinions based on personal experiences and expectations. Hotel management knowledge and preconceptions may influence data collection and analysis, impacting study impartiality.</w:t>
      </w:r>
    </w:p>
    <w:p w14:paraId="03038196"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Time-Intensive and Resource-Heavy Approach</w:t>
      </w:r>
    </w:p>
    <w:p w14:paraId="388F1AC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A thorough case study involves more time and resources than surveys or secondary data analysis. On-site inspections, document checks, interviews, and qualitative and quantitative data analysis are tough (Lo and Yao, 2019). Limited financial documents, consumer comments, and staff insights may limit research and findings.</w:t>
      </w:r>
    </w:p>
    <w:p w14:paraId="6503227A"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2" w:name="_Toc191932929"/>
      <w:r w:rsidRPr="007832C5">
        <w:rPr>
          <w:rFonts w:ascii="Times New Roman" w:eastAsiaTheme="majorEastAsia" w:hAnsi="Times New Roman" w:cs="Times New Roman"/>
          <w:b/>
          <w:bCs/>
          <w:sz w:val="24"/>
          <w:szCs w:val="24"/>
        </w:rPr>
        <w:t>Associated technique of the 'Case Study' methodological approach</w:t>
      </w:r>
      <w:bookmarkEnd w:id="12"/>
    </w:p>
    <w:p w14:paraId="444E9F8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case study method uses qualitative and quantitative methods to investigate Rossington Hall hospitality management. Using several data gathering and analysis methodologies, this strategy evaluates operational strategies, guest services, and administrative efficacy in depth.</w:t>
      </w:r>
    </w:p>
    <w:p w14:paraId="174AC587"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3" w:name="_Toc191932930"/>
      <w:r w:rsidRPr="007832C5">
        <w:rPr>
          <w:rFonts w:ascii="Times New Roman" w:eastAsiaTheme="majorEastAsia" w:hAnsi="Times New Roman" w:cs="Times New Roman"/>
          <w:b/>
          <w:bCs/>
          <w:sz w:val="24"/>
          <w:szCs w:val="24"/>
        </w:rPr>
        <w:t>Significant methods employed</w:t>
      </w:r>
      <w:bookmarkEnd w:id="13"/>
    </w:p>
    <w:p w14:paraId="2A888A76"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1. Interviews and Focus Groups</w:t>
      </w:r>
    </w:p>
    <w:p w14:paraId="5334901B"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Hotel managers, staff, and customers' organised and semi-structured interviews reveal service quality, operational issues, and customer expectations. Staff focus groups improve internal processes by discussing best practices, team dynamics, and managerial decisions.</w:t>
      </w:r>
    </w:p>
    <w:p w14:paraId="22894157"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2. Observational Research</w:t>
      </w:r>
    </w:p>
    <w:p w14:paraId="069C5ECE"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Hospitality management methods can be assessed by observing hotel operations, staff-guest interactions, and service delivery. Real-time customer satisfaction and workflow efficiency statistics from observations enhance interviews (Ocaña-Fernández and Fuster-Guillén, 2021).</w:t>
      </w:r>
    </w:p>
    <w:p w14:paraId="37EDC127"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3. Analysis of Performance Metrics</w:t>
      </w:r>
    </w:p>
    <w:p w14:paraId="3717D77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Business performance is measured by occupancy, RevPAR, customer retention, and guest satisfaction. These data help assess Rossington Hall's industrial competitiveness.</w:t>
      </w:r>
    </w:p>
    <w:p w14:paraId="28B222C9"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4. Document and Archival Analysis</w:t>
      </w:r>
    </w:p>
    <w:p w14:paraId="54ED4D1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Secondary data for primary research includes financial reports, visitor feedback, and operational manuals. Monitoring client preferences, financial sustainability, and service improvements makes hospitality management evaluation data-driven.</w:t>
      </w:r>
    </w:p>
    <w:p w14:paraId="2EB33D8E" w14:textId="77777777" w:rsidR="007832C5" w:rsidRPr="007832C5" w:rsidRDefault="007832C5" w:rsidP="007832C5">
      <w:pPr>
        <w:spacing w:line="360" w:lineRule="auto"/>
        <w:jc w:val="both"/>
        <w:rPr>
          <w:rFonts w:ascii="Times New Roman" w:hAnsi="Times New Roman" w:cs="Times New Roman"/>
          <w:b/>
          <w:bCs/>
          <w:sz w:val="24"/>
          <w:szCs w:val="24"/>
        </w:rPr>
      </w:pPr>
      <w:bookmarkStart w:id="14" w:name="_Toc191932931"/>
      <w:r w:rsidRPr="007832C5">
        <w:rPr>
          <w:rFonts w:ascii="Times New Roman" w:eastAsiaTheme="majorEastAsia" w:hAnsi="Times New Roman" w:cs="Times New Roman"/>
          <w:b/>
          <w:bCs/>
          <w:sz w:val="24"/>
          <w:szCs w:val="24"/>
        </w:rPr>
        <w:lastRenderedPageBreak/>
        <w:t>Case Study Hotel Overview and Findings</w:t>
      </w:r>
      <w:bookmarkEnd w:id="14"/>
      <w:r w:rsidRPr="007832C5">
        <w:rPr>
          <w:rFonts w:ascii="Times New Roman" w:hAnsi="Times New Roman" w:cs="Times New Roman"/>
          <w:b/>
          <w:bCs/>
          <w:sz w:val="24"/>
          <w:szCs w:val="24"/>
        </w:rPr>
        <w:t xml:space="preserve"> </w:t>
      </w:r>
    </w:p>
    <w:p w14:paraId="2D4D2E07"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5" w:name="_Toc191932932"/>
      <w:r w:rsidRPr="007832C5">
        <w:rPr>
          <w:rFonts w:ascii="Times New Roman" w:eastAsiaTheme="majorEastAsia" w:hAnsi="Times New Roman" w:cs="Times New Roman"/>
          <w:b/>
          <w:bCs/>
          <w:sz w:val="24"/>
          <w:szCs w:val="24"/>
        </w:rPr>
        <w:t>Overview of the placement hotel</w:t>
      </w:r>
      <w:bookmarkEnd w:id="15"/>
    </w:p>
    <w:p w14:paraId="04EB9A4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Rossington Hall, a country house hotel near Doncaster, England, has modern conveniences. The Victorian estate hotel offers luxury lodgings, delicious meals, and customised event services to leisure and corporate clientele. Operationally excellent, the hotel offers customised experiences and industry-standard client service (Mishra and Alok, 2022). Luxury suites, fine dining restaurants, conference rooms, and event spaces make the hotel ideal for weddings, corporate retreats, and special occasions. Rossington Hall's food and beverage management improves brand image and client happiness (Orús et al., 2021). The hotel restaurant prepares guest-specific dishes with locally obtained, high-quality ingredients. Gourmet food and luxury stay offer the hotel an edge in hospitality. Food and beverage operational efficiency improves visitor experiences and cuts costs by optimising inventory management, supply chain logistics, and service delivery. Administration and management support hotel dining and operations. </w:t>
      </w:r>
    </w:p>
    <w:p w14:paraId="5D8AB0E5"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6" w:name="_Toc191932933"/>
      <w:r w:rsidRPr="007832C5">
        <w:rPr>
          <w:rFonts w:ascii="Times New Roman" w:eastAsiaTheme="majorEastAsia" w:hAnsi="Times New Roman" w:cs="Times New Roman"/>
          <w:b/>
          <w:bCs/>
          <w:sz w:val="24"/>
          <w:szCs w:val="24"/>
        </w:rPr>
        <w:t>Information about the hotel, its brand, and location</w:t>
      </w:r>
      <w:bookmarkEnd w:id="16"/>
    </w:p>
    <w:p w14:paraId="2CB11AE2"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Hotel Name and Brand Identity</w:t>
      </w:r>
    </w:p>
    <w:p w14:paraId="216113D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A stately country home hotel with modern amenities is Rossington Hall. Its tailored service attracts premium hotel, dining, and event guests. Rossington Hall is a top wedding, corporate retreat, and luxury holiday destination due to its elegance and service.</w:t>
      </w:r>
    </w:p>
    <w:p w14:paraId="2442DA60"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Location and Setting</w:t>
      </w:r>
    </w:p>
    <w:p w14:paraId="33C0625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Rossington Hall, a Victorian mansion near Doncaster, South Yorkshire, England, with lovely gardens, vistas, and architecture. Private and tranquil, the countryside is near Doncaster Sheffield Airport and trains. Peace and connectivity make it perfect for leisure and business travellers (Smela et al., 2023).</w:t>
      </w:r>
    </w:p>
    <w:p w14:paraId="7689E97D"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Facilities and Services</w:t>
      </w:r>
    </w:p>
    <w:p w14:paraId="23CF559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Rossington Hall offers luxury amenities to satisfy guests. The hotel includes elegant bedrooms, an award-winning fine dining restaurant, a bar and lounge and sophisticated conference and event facilities. The hall offers concierge, corporate event planning, and customised wedding packages. Rossington Hall retains its premium hospitality status by stressing client service and efficiency.</w:t>
      </w:r>
    </w:p>
    <w:p w14:paraId="6413ABB7"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7" w:name="_Toc191932934"/>
      <w:r w:rsidRPr="007832C5">
        <w:rPr>
          <w:rFonts w:ascii="Times New Roman" w:eastAsiaTheme="majorEastAsia" w:hAnsi="Times New Roman" w:cs="Times New Roman"/>
          <w:b/>
          <w:bCs/>
          <w:sz w:val="24"/>
          <w:szCs w:val="24"/>
        </w:rPr>
        <w:lastRenderedPageBreak/>
        <w:t>SWOT</w:t>
      </w:r>
      <w:bookmarkEnd w:id="17"/>
    </w:p>
    <w:tbl>
      <w:tblPr>
        <w:tblStyle w:val="TableGrid"/>
        <w:tblW w:w="0" w:type="auto"/>
        <w:tblLook w:val="04A0" w:firstRow="1" w:lastRow="0" w:firstColumn="1" w:lastColumn="0" w:noHBand="0" w:noVBand="1"/>
      </w:tblPr>
      <w:tblGrid>
        <w:gridCol w:w="2243"/>
        <w:gridCol w:w="2258"/>
        <w:gridCol w:w="2264"/>
        <w:gridCol w:w="2251"/>
      </w:tblGrid>
      <w:tr w:rsidR="007832C5" w:rsidRPr="007832C5" w14:paraId="4A39B0DF" w14:textId="77777777" w:rsidTr="004D7D27">
        <w:tc>
          <w:tcPr>
            <w:tcW w:w="2337" w:type="dxa"/>
            <w:shd w:val="clear" w:color="auto" w:fill="A5A5A5" w:themeFill="accent3"/>
          </w:tcPr>
          <w:p w14:paraId="61AF8337"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Strength</w:t>
            </w:r>
          </w:p>
        </w:tc>
        <w:tc>
          <w:tcPr>
            <w:tcW w:w="2337" w:type="dxa"/>
            <w:shd w:val="clear" w:color="auto" w:fill="FF0000"/>
          </w:tcPr>
          <w:p w14:paraId="2549B8DD"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Weakness</w:t>
            </w:r>
          </w:p>
        </w:tc>
        <w:tc>
          <w:tcPr>
            <w:tcW w:w="2338" w:type="dxa"/>
            <w:shd w:val="clear" w:color="auto" w:fill="FFD966" w:themeFill="accent4" w:themeFillTint="99"/>
          </w:tcPr>
          <w:p w14:paraId="1845AEA2"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Opportunities</w:t>
            </w:r>
          </w:p>
        </w:tc>
        <w:tc>
          <w:tcPr>
            <w:tcW w:w="2338" w:type="dxa"/>
            <w:shd w:val="clear" w:color="auto" w:fill="29B95C"/>
          </w:tcPr>
          <w:p w14:paraId="4449471B"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Threats</w:t>
            </w:r>
          </w:p>
        </w:tc>
      </w:tr>
      <w:tr w:rsidR="007832C5" w:rsidRPr="007832C5" w14:paraId="292053A8" w14:textId="77777777" w:rsidTr="004D7D27">
        <w:tc>
          <w:tcPr>
            <w:tcW w:w="2337" w:type="dxa"/>
          </w:tcPr>
          <w:p w14:paraId="2243419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Historical elegance, strategic location, excellent food and beverage offerings, and efficient operations make Rossington Hall a top luxury hotel. Luxury clients are drawn to its Victorian estate setting and heritage branding. This historical charm distinguishes it from characterless modern luxury hotels. This calm and handy Doncaster, South Yorkshire hotel is ideal for corporate meetings, weddings, and luxury vacations. Domestic and international guests can reach the hotel by rail and road 7 miles from Doncaster Sheffield Airport. Event planners, business </w:t>
            </w:r>
            <w:r w:rsidRPr="007832C5">
              <w:rPr>
                <w:rFonts w:ascii="Times New Roman" w:hAnsi="Times New Roman" w:cs="Times New Roman"/>
                <w:sz w:val="24"/>
                <w:szCs w:val="24"/>
              </w:rPr>
              <w:lastRenderedPageBreak/>
              <w:t xml:space="preserve">travellers, and luxury guests frequent Rossington Hall. Major review sites rate Above 4.5 stars: Rossington Hall's exquisite dining. Locally produced, high-quality ingredients lure hotel guests and outside customers to its food. Banquet and catering services make about 35% of revenue, making food and beverage operations vital (Baiocco and Paniccia, 2022). </w:t>
            </w:r>
          </w:p>
          <w:p w14:paraId="09380AE3" w14:textId="77777777" w:rsidR="007832C5" w:rsidRPr="007832C5" w:rsidRDefault="007832C5" w:rsidP="007832C5">
            <w:pPr>
              <w:spacing w:line="360" w:lineRule="auto"/>
              <w:jc w:val="both"/>
              <w:rPr>
                <w:rFonts w:ascii="Times New Roman" w:hAnsi="Times New Roman" w:cs="Times New Roman"/>
                <w:b/>
                <w:bCs/>
                <w:sz w:val="24"/>
                <w:szCs w:val="24"/>
              </w:rPr>
            </w:pPr>
          </w:p>
        </w:tc>
        <w:tc>
          <w:tcPr>
            <w:tcW w:w="2337" w:type="dxa"/>
          </w:tcPr>
          <w:p w14:paraId="46064F73"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 xml:space="preserve">Although strong, Rossington Hall confronts operational issues that could hinder its growth and profitability. Depending on seasonal demand is bad. Hotel occupancy peaks between May and September and declines to 55% off-season, affecting revenue stability. Multi-location chains offer more seasonal possibilities than Rossington Hall. Another issue is that operational expenditures account for 65% of revenue, compared to 55-60% for premium hotels. Maintenance of the hotel's ageing infrastructure costs over £500,000 annually, reducing revenues. Luxury </w:t>
            </w:r>
            <w:r w:rsidRPr="007832C5">
              <w:rPr>
                <w:rFonts w:ascii="Times New Roman" w:hAnsi="Times New Roman" w:cs="Times New Roman"/>
                <w:sz w:val="24"/>
                <w:szCs w:val="24"/>
              </w:rPr>
              <w:lastRenderedPageBreak/>
              <w:t xml:space="preserve">service requires specialised training and a high staff-to-guest ratio, which raises staffing costs. Brand recognition also deters international tourists and business travellers from Rossington Hall. Rossington Hall may be limited in international expansion by word-of-mouth, local relationships, and online reviews, unlike luxury hotel conglomerates with large marketing resources. Less than 20 suites and guestrooms limit overnight revenue. </w:t>
            </w:r>
          </w:p>
          <w:p w14:paraId="7B22D653" w14:textId="77777777" w:rsidR="007832C5" w:rsidRPr="007832C5" w:rsidRDefault="007832C5" w:rsidP="007832C5">
            <w:pPr>
              <w:spacing w:line="360" w:lineRule="auto"/>
              <w:jc w:val="both"/>
              <w:rPr>
                <w:rFonts w:ascii="Times New Roman" w:hAnsi="Times New Roman" w:cs="Times New Roman"/>
                <w:b/>
                <w:bCs/>
                <w:sz w:val="24"/>
                <w:szCs w:val="24"/>
              </w:rPr>
            </w:pPr>
          </w:p>
        </w:tc>
        <w:tc>
          <w:tcPr>
            <w:tcW w:w="2338" w:type="dxa"/>
          </w:tcPr>
          <w:p w14:paraId="02852F68"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 xml:space="preserve">Market share, operational efficiency, and brand expansion are Rossington Hall features. Luxury and experience travel are lucrative. Increased disposable income and demand for high-end, experience-based tourism will drive the global luxury hotel industry to rise 4.5% from 2023 to 2030. Rossington Hall's heritage excursions, gourmet meals, and wellness retreats may attract wealthy domestic and foreign guests seeking personalised hospitality. Eco-travel is profitable. Worldwide, 73% of tourists prefer sustainable hotels, and premium eco-tourism is anticipated </w:t>
            </w:r>
            <w:r w:rsidRPr="007832C5">
              <w:rPr>
                <w:rFonts w:ascii="Times New Roman" w:hAnsi="Times New Roman" w:cs="Times New Roman"/>
                <w:sz w:val="24"/>
                <w:szCs w:val="24"/>
              </w:rPr>
              <w:lastRenderedPageBreak/>
              <w:t xml:space="preserve">to expand 8.3% annually. Rossington Hall may attract eco-conscious guests by using renewable energy, eliminating food waste, and offering green amenities. Event hosting and corporate collaborations are other options. Corporate vacations and location meetings earn £31 billion in the UK. Rossington Hall's premium setting, conference facilities, and delicious food are perfect for executive retreats, leadership summits, and corporate events. Strategic connections with corporate clients, wedding planners, and event organisers might improve hotel event reservations, 15% of income. Direct </w:t>
            </w:r>
            <w:r w:rsidRPr="007832C5">
              <w:rPr>
                <w:rFonts w:ascii="Times New Roman" w:hAnsi="Times New Roman" w:cs="Times New Roman"/>
                <w:sz w:val="24"/>
                <w:szCs w:val="24"/>
              </w:rPr>
              <w:lastRenderedPageBreak/>
              <w:t xml:space="preserve">booking and digital marketing increase revenue. </w:t>
            </w:r>
          </w:p>
          <w:p w14:paraId="4A7868FF" w14:textId="77777777" w:rsidR="007832C5" w:rsidRPr="007832C5" w:rsidRDefault="007832C5" w:rsidP="007832C5">
            <w:pPr>
              <w:spacing w:line="360" w:lineRule="auto"/>
              <w:jc w:val="both"/>
              <w:rPr>
                <w:rFonts w:ascii="Times New Roman" w:hAnsi="Times New Roman" w:cs="Times New Roman"/>
                <w:b/>
                <w:bCs/>
                <w:sz w:val="24"/>
                <w:szCs w:val="24"/>
              </w:rPr>
            </w:pPr>
          </w:p>
        </w:tc>
        <w:tc>
          <w:tcPr>
            <w:tcW w:w="2338" w:type="dxa"/>
          </w:tcPr>
          <w:p w14:paraId="0860CBAB"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 xml:space="preserve">Rossington Hall faces external threats to its long-term sustainability despite its market position. Risks include economic uncertainty and luxury travel spending swings. UK recessions cut luxury hotel occupancy by 15-20%, cutting revenue. Inflation, interest rates, and geopolitical risk may reduce luxury hotel and event bookings and discretionary spending. Another issue is boutique-lifestyle hotel competition. Independent boutique hotels with personalised experiences, themed stays, and immersive hospitality concepts have grown 12% in the UK luxury hotel </w:t>
            </w:r>
            <w:r w:rsidRPr="007832C5">
              <w:rPr>
                <w:rFonts w:ascii="Times New Roman" w:hAnsi="Times New Roman" w:cs="Times New Roman"/>
                <w:sz w:val="24"/>
                <w:szCs w:val="24"/>
              </w:rPr>
              <w:lastRenderedPageBreak/>
              <w:t xml:space="preserve">industry. Technology, wellness, and hyper-local experiences draw younger luxury tourists to these hotels. Novel products without innovation may steal Rossington Hall market share. Brexit and immigration hurt UK hospitality workers. The industry has 20% staff shortages due to rising wages and difficulty recruiting hospitality professionals. Hiring and retention challenges could generate operational inefficiencies at Rossington Hall, which needs qualified service staff. If worker shortages persist, the hotel may boost wages or offer incentives, straining resources. Rising </w:t>
            </w:r>
            <w:r w:rsidRPr="007832C5">
              <w:rPr>
                <w:rFonts w:ascii="Times New Roman" w:hAnsi="Times New Roman" w:cs="Times New Roman"/>
                <w:sz w:val="24"/>
                <w:szCs w:val="24"/>
              </w:rPr>
              <w:lastRenderedPageBreak/>
              <w:t xml:space="preserve">operational and maintenance costs are another issue. Rossington Hall's obsolete infrastructure costs over £500,000 per year, more than luxury hotels. </w:t>
            </w:r>
          </w:p>
          <w:p w14:paraId="04721F1D" w14:textId="77777777" w:rsidR="007832C5" w:rsidRPr="007832C5" w:rsidRDefault="007832C5" w:rsidP="007832C5">
            <w:pPr>
              <w:spacing w:line="360" w:lineRule="auto"/>
              <w:jc w:val="both"/>
              <w:rPr>
                <w:rFonts w:ascii="Times New Roman" w:hAnsi="Times New Roman" w:cs="Times New Roman"/>
                <w:b/>
                <w:bCs/>
                <w:sz w:val="24"/>
                <w:szCs w:val="24"/>
              </w:rPr>
            </w:pPr>
          </w:p>
        </w:tc>
      </w:tr>
    </w:tbl>
    <w:p w14:paraId="58362FBE" w14:textId="77777777" w:rsidR="007832C5" w:rsidRPr="007832C5" w:rsidRDefault="007832C5" w:rsidP="007832C5">
      <w:pPr>
        <w:spacing w:line="360" w:lineRule="auto"/>
        <w:jc w:val="both"/>
        <w:rPr>
          <w:rFonts w:ascii="Times New Roman" w:hAnsi="Times New Roman" w:cs="Times New Roman"/>
          <w:b/>
          <w:bCs/>
          <w:sz w:val="24"/>
          <w:szCs w:val="24"/>
        </w:rPr>
      </w:pPr>
    </w:p>
    <w:p w14:paraId="31D27274" w14:textId="77777777" w:rsidR="007832C5" w:rsidRPr="007832C5" w:rsidRDefault="007832C5" w:rsidP="007832C5">
      <w:pPr>
        <w:spacing w:line="360" w:lineRule="auto"/>
        <w:jc w:val="both"/>
        <w:rPr>
          <w:rFonts w:ascii="Times New Roman" w:hAnsi="Times New Roman" w:cs="Times New Roman"/>
          <w:sz w:val="24"/>
          <w:szCs w:val="24"/>
        </w:rPr>
      </w:pPr>
      <w:r w:rsidRPr="007832C5">
        <w:rPr>
          <w:noProof/>
        </w:rPr>
        <w:drawing>
          <wp:inline distT="0" distB="0" distL="0" distR="0" wp14:anchorId="29D89851" wp14:editId="75581F02">
            <wp:extent cx="5943600" cy="4351283"/>
            <wp:effectExtent l="0" t="0" r="0" b="0"/>
            <wp:docPr id="534511932" name="Picture 3" descr="SWOT Analysis: How to Create One + Examples to Inspire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How to Create One + Examples to Inspire Yo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8963" cy="4355209"/>
                    </a:xfrm>
                    <a:prstGeom prst="rect">
                      <a:avLst/>
                    </a:prstGeom>
                    <a:noFill/>
                    <a:ln>
                      <a:noFill/>
                    </a:ln>
                  </pic:spPr>
                </pic:pic>
              </a:graphicData>
            </a:graphic>
          </wp:inline>
        </w:drawing>
      </w:r>
    </w:p>
    <w:p w14:paraId="717D8B3A"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Figure: SWOT Analysis</w:t>
      </w:r>
    </w:p>
    <w:p w14:paraId="78532E06" w14:textId="77777777" w:rsidR="007832C5" w:rsidRPr="007832C5" w:rsidRDefault="007832C5" w:rsidP="007832C5">
      <w:pPr>
        <w:spacing w:line="360" w:lineRule="auto"/>
        <w:jc w:val="center"/>
        <w:rPr>
          <w:rFonts w:ascii="Times New Roman" w:hAnsi="Times New Roman" w:cs="Times New Roman"/>
          <w:sz w:val="24"/>
          <w:szCs w:val="24"/>
        </w:rPr>
      </w:pPr>
      <w:r w:rsidRPr="007832C5">
        <w:rPr>
          <w:rFonts w:ascii="Times New Roman" w:hAnsi="Times New Roman" w:cs="Times New Roman"/>
          <w:b/>
          <w:bCs/>
          <w:sz w:val="24"/>
          <w:szCs w:val="24"/>
        </w:rPr>
        <w:t>Source:</w:t>
      </w:r>
      <w:r w:rsidRPr="007832C5">
        <w:rPr>
          <w:rFonts w:ascii="Times New Roman" w:hAnsi="Times New Roman" w:cs="Times New Roman"/>
          <w:sz w:val="24"/>
          <w:szCs w:val="24"/>
        </w:rPr>
        <w:t xml:space="preserve"> (Baiocco and Paniccia, 2022)</w:t>
      </w:r>
    </w:p>
    <w:p w14:paraId="2A19830F"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18" w:name="_Toc191932935"/>
      <w:r w:rsidRPr="007832C5">
        <w:rPr>
          <w:rFonts w:ascii="Times New Roman" w:eastAsiaTheme="majorEastAsia" w:hAnsi="Times New Roman" w:cs="Times New Roman"/>
          <w:b/>
          <w:bCs/>
          <w:sz w:val="24"/>
          <w:szCs w:val="24"/>
        </w:rPr>
        <w:t>PEST</w:t>
      </w:r>
      <w:bookmarkEnd w:id="18"/>
    </w:p>
    <w:p w14:paraId="2FC59910"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Political Factor</w:t>
      </w:r>
    </w:p>
    <w:p w14:paraId="4A8DC0A5"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 xml:space="preserve">Government regulations, geopolitics, and laws affect Rossington Hall and other UK luxury hotels. Politically sensitive post-Brexit labour shortages. Due to harsher visa restrictions, many EU hospitality workers left the UK after Brexit, decreasing its workforce by 20%. Luxury hotels struggle to provide excellent service due to the skilled worker scarcity, which has raised wages, operating costs, and service inefficiencies (Carlo, 2021). Hospitality businesses avoid the UK government's Skilled Worker Visa program due to its high prices and regulations. Corporate taxation and financial laws impact politics. In 2023, high-end hotels with high operational costs lost profit margins as the UK corporate tax rate rose from 19% to 25%. Luxury hotels in prime locations spend over £500,000 on business rates. Tax hikes or regulatory changes may raise hotel rates, making them less competitive in the global luxury market. Tourism policies and government subsidies shape the business. China and India visa relaxations and tourism incentives are predicted to increase UK international arrivals by 15-20% in five years. </w:t>
      </w:r>
    </w:p>
    <w:p w14:paraId="3B245EDF"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Economic Factor</w:t>
      </w:r>
    </w:p>
    <w:p w14:paraId="7D585E2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Luxury hotel performance and sustainability depend on economy. Inflation and operational costs worry me. UK inflation was 7.9% in mid-2023, rising food, beverage, utility, and maintenance costs. Luxury hotels like Rossington Hall have witnessed 20-30% procurement cost increases. This pace of inflation may raise hotel prices, reducing budget tourism. Luxury hospitality demand depends on consumer spending and disposable income. Consumer spending on discretionary travel and luxury accommodations plummeted 15% amid economic downturns like the 2023 cost-of-living crisis as many selected cheaper solutions (George, 2021). Hotel Rossington Hall benefits from a healthy economy when high-net-worth individuals spend more on luxury trips, dinners, and services. In 2024, UK GDP growth may recover to 1.2%, improving hotel and event reservations. Tourism and exchange rates impact Rossington Hall. Pound fluctuations effect international tourists' UK travel costs. As the pound declines, US and Eurozone tourists find UK travel cheaper, fuelling luxury hotel demand. A strong pound deters foreign travellers, therefore hotels must diversify earnings and attract wealthy domestic consumers. </w:t>
      </w:r>
    </w:p>
    <w:p w14:paraId="422234B9"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Social Factor</w:t>
      </w:r>
    </w:p>
    <w:p w14:paraId="354D7C9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Luxury hotels like Rossington Hall follow social and consumer trends. Changes in demographics, lifestyle, and culture impact tourism. To suit experiential travel needs, premium hotels offer personalised experiences, themed meals, and unique activities. Eco-friendly hotels </w:t>
      </w:r>
      <w:r w:rsidRPr="007832C5">
        <w:rPr>
          <w:rFonts w:ascii="Times New Roman" w:hAnsi="Times New Roman" w:cs="Times New Roman"/>
          <w:sz w:val="24"/>
          <w:szCs w:val="24"/>
        </w:rPr>
        <w:lastRenderedPageBreak/>
        <w:t>attract 73% of guests because they reduce waste, carbon footprint, and use local food. Hotels are offering organic food, spa services, and fitness facilities to accommodate the $1.3 trillion wellness tourism sector, which is growing due to health-conscious lifestyles (Muzwardi and Simbolon, 2024). Since over 60% of travellers are millennials and Gen Z, hospitality tactics must match their desire for digital ease, social media involvement, and immersive experiences over luxury. Digital nomads and remote workers need hybrid work-friendly hotels with better workstations, connectivity, and business facilities.</w:t>
      </w:r>
    </w:p>
    <w:p w14:paraId="78B18F75"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Technological Factor</w:t>
      </w:r>
    </w:p>
    <w:p w14:paraId="4ED97D34"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Luxury hotels improve productivity and customer experience with smart automation, AI, and digital technologies. Over 50% faster response times from AI-powered 24/7 customer care chatbots and virtual assistants have improved guest engagement and service personalisation. Smartphone apps for voice-controlled lighting, heating, and keyless entry make tech-savvy tourists feel safe. Due to COVID-19, over 80% of premium hotels worldwide use mobile check-in to increase efficiency and reduce physical contact (Rahman, 2021). Tracking visitor preferences and customising services with data analytics and CRM software can boost repeat reservations by 30%. Showing potential customers rooms before booking with virtual hotel tours and immersive VR/AR marketing experiences increases conversion rates by 20%. Digital solutions must include cybersecurity since hotels manage massive amounts of sensitive guest data and must comply with GDPR. Rossington Hall must invest in cutting-edge digital technologies to compete and exceed tourist expectations as technology alters hospitality.</w:t>
      </w:r>
    </w:p>
    <w:p w14:paraId="08A51DEB" w14:textId="77777777" w:rsidR="007832C5" w:rsidRPr="007832C5" w:rsidRDefault="007832C5" w:rsidP="007832C5">
      <w:pPr>
        <w:spacing w:line="360" w:lineRule="auto"/>
        <w:jc w:val="center"/>
      </w:pPr>
      <w:r w:rsidRPr="007832C5">
        <w:rPr>
          <w:noProof/>
        </w:rPr>
        <w:lastRenderedPageBreak/>
        <w:drawing>
          <wp:inline distT="0" distB="0" distL="0" distR="0" wp14:anchorId="50AA89C9" wp14:editId="3974B9D0">
            <wp:extent cx="4918841" cy="38153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4741" cy="3827708"/>
                    </a:xfrm>
                    <a:prstGeom prst="rect">
                      <a:avLst/>
                    </a:prstGeom>
                  </pic:spPr>
                </pic:pic>
              </a:graphicData>
            </a:graphic>
          </wp:inline>
        </w:drawing>
      </w:r>
    </w:p>
    <w:p w14:paraId="417974AC" w14:textId="77777777" w:rsidR="007832C5" w:rsidRPr="007832C5" w:rsidRDefault="007832C5" w:rsidP="007832C5">
      <w:pPr>
        <w:spacing w:line="360" w:lineRule="auto"/>
        <w:jc w:val="center"/>
        <w:rPr>
          <w:rFonts w:ascii="Times New Roman" w:hAnsi="Times New Roman" w:cs="Times New Roman"/>
          <w:b/>
          <w:iCs/>
          <w:sz w:val="24"/>
          <w:szCs w:val="24"/>
        </w:rPr>
      </w:pPr>
      <w:bookmarkStart w:id="19" w:name="_Toc191665646"/>
      <w:r w:rsidRPr="007832C5">
        <w:rPr>
          <w:rFonts w:ascii="Times New Roman" w:hAnsi="Times New Roman" w:cs="Times New Roman"/>
          <w:b/>
          <w:iCs/>
          <w:sz w:val="24"/>
          <w:szCs w:val="24"/>
        </w:rPr>
        <w:t>Figure: Perceptual map of Rossington Hall, UK</w:t>
      </w:r>
      <w:bookmarkEnd w:id="19"/>
    </w:p>
    <w:p w14:paraId="6B7DBC14" w14:textId="77777777" w:rsidR="007832C5" w:rsidRPr="007832C5" w:rsidRDefault="007832C5" w:rsidP="007832C5">
      <w:pPr>
        <w:spacing w:line="360" w:lineRule="auto"/>
        <w:jc w:val="center"/>
        <w:rPr>
          <w:rFonts w:ascii="Times New Roman" w:hAnsi="Times New Roman" w:cs="Times New Roman"/>
          <w:b/>
          <w:iCs/>
          <w:sz w:val="24"/>
          <w:szCs w:val="24"/>
        </w:rPr>
      </w:pPr>
      <w:r w:rsidRPr="007832C5">
        <w:rPr>
          <w:rFonts w:ascii="Times New Roman" w:hAnsi="Times New Roman" w:cs="Times New Roman"/>
          <w:b/>
          <w:iCs/>
          <w:sz w:val="24"/>
          <w:szCs w:val="24"/>
        </w:rPr>
        <w:t xml:space="preserve">Source: </w:t>
      </w:r>
      <w:r w:rsidRPr="007832C5">
        <w:rPr>
          <w:rFonts w:ascii="Times New Roman" w:hAnsi="Times New Roman" w:cs="Times New Roman"/>
          <w:bCs/>
          <w:iCs/>
          <w:sz w:val="24"/>
          <w:szCs w:val="24"/>
        </w:rPr>
        <w:t>(Self-created)</w:t>
      </w:r>
    </w:p>
    <w:p w14:paraId="51A5440D"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0" w:name="_Toc191932936"/>
      <w:r w:rsidRPr="007832C5">
        <w:rPr>
          <w:rFonts w:ascii="Times New Roman" w:eastAsiaTheme="majorEastAsia" w:hAnsi="Times New Roman" w:cs="Times New Roman"/>
          <w:b/>
          <w:bCs/>
          <w:sz w:val="24"/>
          <w:szCs w:val="24"/>
        </w:rPr>
        <w:t>Competitor Analysis (Price vs Quality)</w:t>
      </w:r>
      <w:bookmarkEnd w:id="20"/>
    </w:p>
    <w:p w14:paraId="4C307912"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The competitive luxury hospitality sector demands hotels to balance high rates and quality to attract and keep high-end customers. Rossington Hall is a chic country house hotel competing with Grantley Hall, Oulton Hall, and The Grand York. Luxury hotels cost £250–£600 per night, depending on location, amenities, and exclusivity. Rossington Hall's mid-to-upper rooms cost £280 to £450 a night and offer historic surroundings, great food, and personalised service. Grantley Hall, a five-star luxury resort with Michelin-starred restaurants, spa, and wellness retreats, charges £500–£650 a night, according to competitive analysis. Five-star city hotel Grand York charges £320 to £550 a night for business travellers and urban aficionados. Service and experience, not price, determine customer satisfaction (Rahman, 2021). Rossington Hall has a 4.7-star Google rating, with 86% of guests appreciating its heritage decor, unique wedding services, and gourmet food. Grantley Hall gets a 4.8 rating due to its vast leisure facilities, personalised spa treatments, and innovative room technology. Michelin-star chefs and world-famous cuisine earn Rossington Hall an 89% fine dining satisfaction rating, while Grantley Hall and The Grand York score above 91%. Guest demand exceptional service at premium </w:t>
      </w:r>
      <w:r w:rsidRPr="007832C5">
        <w:rPr>
          <w:rFonts w:ascii="Times New Roman" w:hAnsi="Times New Roman" w:cs="Times New Roman"/>
          <w:sz w:val="24"/>
          <w:szCs w:val="24"/>
        </w:rPr>
        <w:lastRenderedPageBreak/>
        <w:t>prices, thus value is vital. Rossington Hall's cost is unrealistic compared to competitors' indoor pools, health spas, and luxury chauffeur services. Rossington Hall's boutique luxury weddings, historic estate attraction, and guest interactions make it competitive. Rossington Hall must invest in service innovation, personnel training, and facility renovations while maintaining competitive pricing to ensure luxury hospitality profitability.</w:t>
      </w:r>
    </w:p>
    <w:p w14:paraId="7AA172EA" w14:textId="77777777" w:rsidR="007832C5" w:rsidRPr="007832C5" w:rsidRDefault="007832C5" w:rsidP="007832C5">
      <w:pPr>
        <w:spacing w:line="360" w:lineRule="auto"/>
        <w:jc w:val="center"/>
        <w:rPr>
          <w:rFonts w:ascii="Times New Roman" w:hAnsi="Times New Roman" w:cs="Times New Roman"/>
          <w:sz w:val="24"/>
          <w:szCs w:val="24"/>
        </w:rPr>
      </w:pPr>
      <w:r w:rsidRPr="007832C5">
        <w:rPr>
          <w:noProof/>
        </w:rPr>
        <w:drawing>
          <wp:inline distT="0" distB="0" distL="0" distR="0" wp14:anchorId="4E093994" wp14:editId="52F2B483">
            <wp:extent cx="5707380" cy="5707380"/>
            <wp:effectExtent l="0" t="0" r="7620" b="7620"/>
            <wp:docPr id="1805817871" name="Picture 4" descr="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7380" cy="5707380"/>
                    </a:xfrm>
                    <a:prstGeom prst="rect">
                      <a:avLst/>
                    </a:prstGeom>
                    <a:noFill/>
                    <a:ln>
                      <a:noFill/>
                    </a:ln>
                  </pic:spPr>
                </pic:pic>
              </a:graphicData>
            </a:graphic>
          </wp:inline>
        </w:drawing>
      </w:r>
    </w:p>
    <w:p w14:paraId="1EC270DF"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 xml:space="preserve">Figure: PEST Analysis </w:t>
      </w:r>
    </w:p>
    <w:p w14:paraId="2470EA37" w14:textId="77777777" w:rsidR="007832C5" w:rsidRPr="007832C5" w:rsidRDefault="007832C5" w:rsidP="007832C5">
      <w:pPr>
        <w:spacing w:line="360" w:lineRule="auto"/>
        <w:jc w:val="center"/>
        <w:rPr>
          <w:rFonts w:ascii="Times New Roman" w:hAnsi="Times New Roman" w:cs="Times New Roman"/>
          <w:sz w:val="24"/>
          <w:szCs w:val="24"/>
        </w:rPr>
      </w:pPr>
      <w:r w:rsidRPr="007832C5">
        <w:rPr>
          <w:rFonts w:ascii="Times New Roman" w:hAnsi="Times New Roman" w:cs="Times New Roman"/>
          <w:b/>
          <w:bCs/>
          <w:sz w:val="24"/>
          <w:szCs w:val="24"/>
        </w:rPr>
        <w:t>Source:</w:t>
      </w:r>
      <w:r w:rsidRPr="007832C5">
        <w:rPr>
          <w:rFonts w:ascii="Times New Roman" w:hAnsi="Times New Roman" w:cs="Times New Roman"/>
          <w:sz w:val="24"/>
          <w:szCs w:val="24"/>
        </w:rPr>
        <w:t xml:space="preserve"> (Rahman, 2021)</w:t>
      </w:r>
    </w:p>
    <w:tbl>
      <w:tblPr>
        <w:tblStyle w:val="GridTable4-Accent1"/>
        <w:tblW w:w="0" w:type="auto"/>
        <w:tblLook w:val="04A0" w:firstRow="1" w:lastRow="0" w:firstColumn="1" w:lastColumn="0" w:noHBand="0" w:noVBand="1"/>
      </w:tblPr>
      <w:tblGrid>
        <w:gridCol w:w="1490"/>
        <w:gridCol w:w="1538"/>
        <w:gridCol w:w="1657"/>
        <w:gridCol w:w="2661"/>
        <w:gridCol w:w="1670"/>
      </w:tblGrid>
      <w:tr w:rsidR="007832C5" w:rsidRPr="007832C5" w14:paraId="298E5B79" w14:textId="77777777" w:rsidTr="004D7D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D5F33C"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Hotel</w:t>
            </w:r>
          </w:p>
        </w:tc>
        <w:tc>
          <w:tcPr>
            <w:tcW w:w="0" w:type="auto"/>
            <w:hideMark/>
          </w:tcPr>
          <w:p w14:paraId="1CE10191" w14:textId="77777777" w:rsidR="007832C5" w:rsidRPr="007832C5" w:rsidRDefault="007832C5" w:rsidP="00783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Average Price per Night (£)</w:t>
            </w:r>
          </w:p>
        </w:tc>
        <w:tc>
          <w:tcPr>
            <w:tcW w:w="0" w:type="auto"/>
            <w:hideMark/>
          </w:tcPr>
          <w:p w14:paraId="7F05D710" w14:textId="77777777" w:rsidR="007832C5" w:rsidRPr="007832C5" w:rsidRDefault="007832C5" w:rsidP="00783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Customer Rating (out of 5)</w:t>
            </w:r>
          </w:p>
        </w:tc>
        <w:tc>
          <w:tcPr>
            <w:tcW w:w="0" w:type="auto"/>
            <w:hideMark/>
          </w:tcPr>
          <w:p w14:paraId="1E187448" w14:textId="77777777" w:rsidR="007832C5" w:rsidRPr="007832C5" w:rsidRDefault="007832C5" w:rsidP="00783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Key Amenities</w:t>
            </w:r>
          </w:p>
        </w:tc>
        <w:tc>
          <w:tcPr>
            <w:tcW w:w="0" w:type="auto"/>
            <w:hideMark/>
          </w:tcPr>
          <w:p w14:paraId="2B319E30" w14:textId="77777777" w:rsidR="007832C5" w:rsidRPr="007832C5" w:rsidRDefault="007832C5" w:rsidP="007832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Food &amp; Beverage Rating (%)</w:t>
            </w:r>
          </w:p>
        </w:tc>
      </w:tr>
      <w:tr w:rsidR="007832C5" w:rsidRPr="007832C5" w14:paraId="7C125B3B" w14:textId="77777777" w:rsidTr="004D7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580819"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Rossington Hall</w:t>
            </w:r>
          </w:p>
        </w:tc>
        <w:tc>
          <w:tcPr>
            <w:tcW w:w="0" w:type="auto"/>
            <w:hideMark/>
          </w:tcPr>
          <w:p w14:paraId="2D3B8A70"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£280 - £450</w:t>
            </w:r>
          </w:p>
        </w:tc>
        <w:tc>
          <w:tcPr>
            <w:tcW w:w="0" w:type="auto"/>
            <w:hideMark/>
          </w:tcPr>
          <w:p w14:paraId="603ABEFB"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4.7</w:t>
            </w:r>
          </w:p>
        </w:tc>
        <w:tc>
          <w:tcPr>
            <w:tcW w:w="0" w:type="auto"/>
            <w:hideMark/>
          </w:tcPr>
          <w:p w14:paraId="48BD8A49"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Historic estate, fine dining, personalized service, wedding venue</w:t>
            </w:r>
          </w:p>
        </w:tc>
        <w:tc>
          <w:tcPr>
            <w:tcW w:w="0" w:type="auto"/>
            <w:hideMark/>
          </w:tcPr>
          <w:p w14:paraId="2A6EE9F6"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89%</w:t>
            </w:r>
          </w:p>
        </w:tc>
      </w:tr>
      <w:tr w:rsidR="007832C5" w:rsidRPr="007832C5" w14:paraId="1EA80EBB" w14:textId="77777777" w:rsidTr="004D7D27">
        <w:tc>
          <w:tcPr>
            <w:cnfStyle w:val="001000000000" w:firstRow="0" w:lastRow="0" w:firstColumn="1" w:lastColumn="0" w:oddVBand="0" w:evenVBand="0" w:oddHBand="0" w:evenHBand="0" w:firstRowFirstColumn="0" w:firstRowLastColumn="0" w:lastRowFirstColumn="0" w:lastRowLastColumn="0"/>
            <w:tcW w:w="0" w:type="auto"/>
            <w:hideMark/>
          </w:tcPr>
          <w:p w14:paraId="6742D09B"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Grantley Hall</w:t>
            </w:r>
          </w:p>
        </w:tc>
        <w:tc>
          <w:tcPr>
            <w:tcW w:w="0" w:type="auto"/>
            <w:hideMark/>
          </w:tcPr>
          <w:p w14:paraId="0949B2FD"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£500 - £650</w:t>
            </w:r>
          </w:p>
        </w:tc>
        <w:tc>
          <w:tcPr>
            <w:tcW w:w="0" w:type="auto"/>
            <w:hideMark/>
          </w:tcPr>
          <w:p w14:paraId="6B643DDE"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4.8</w:t>
            </w:r>
          </w:p>
        </w:tc>
        <w:tc>
          <w:tcPr>
            <w:tcW w:w="0" w:type="auto"/>
            <w:hideMark/>
          </w:tcPr>
          <w:p w14:paraId="7FA6630F"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Michelin-star dining, luxury spa, wellness retreats, indoor pool</w:t>
            </w:r>
          </w:p>
        </w:tc>
        <w:tc>
          <w:tcPr>
            <w:tcW w:w="0" w:type="auto"/>
            <w:hideMark/>
          </w:tcPr>
          <w:p w14:paraId="2D332891"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92%</w:t>
            </w:r>
          </w:p>
        </w:tc>
      </w:tr>
      <w:tr w:rsidR="007832C5" w:rsidRPr="007832C5" w14:paraId="4B12F4B7" w14:textId="77777777" w:rsidTr="004D7D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9DD6C"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Grand York</w:t>
            </w:r>
          </w:p>
        </w:tc>
        <w:tc>
          <w:tcPr>
            <w:tcW w:w="0" w:type="auto"/>
            <w:hideMark/>
          </w:tcPr>
          <w:p w14:paraId="1CC048A3"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£320 - £550</w:t>
            </w:r>
          </w:p>
        </w:tc>
        <w:tc>
          <w:tcPr>
            <w:tcW w:w="0" w:type="auto"/>
            <w:hideMark/>
          </w:tcPr>
          <w:p w14:paraId="17AF44DF"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4.7</w:t>
            </w:r>
          </w:p>
        </w:tc>
        <w:tc>
          <w:tcPr>
            <w:tcW w:w="0" w:type="auto"/>
            <w:hideMark/>
          </w:tcPr>
          <w:p w14:paraId="39F1E692"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Five-star city luxury, business-friendly, full spa services</w:t>
            </w:r>
          </w:p>
        </w:tc>
        <w:tc>
          <w:tcPr>
            <w:tcW w:w="0" w:type="auto"/>
            <w:hideMark/>
          </w:tcPr>
          <w:p w14:paraId="1027346D" w14:textId="77777777" w:rsidR="007832C5" w:rsidRPr="007832C5" w:rsidRDefault="007832C5" w:rsidP="007832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91%</w:t>
            </w:r>
          </w:p>
        </w:tc>
      </w:tr>
      <w:tr w:rsidR="007832C5" w:rsidRPr="007832C5" w14:paraId="16FC02A4" w14:textId="77777777" w:rsidTr="004D7D27">
        <w:tc>
          <w:tcPr>
            <w:cnfStyle w:val="001000000000" w:firstRow="0" w:lastRow="0" w:firstColumn="1" w:lastColumn="0" w:oddVBand="0" w:evenVBand="0" w:oddHBand="0" w:evenHBand="0" w:firstRowFirstColumn="0" w:firstRowLastColumn="0" w:lastRowFirstColumn="0" w:lastRowLastColumn="0"/>
            <w:tcW w:w="0" w:type="auto"/>
            <w:hideMark/>
          </w:tcPr>
          <w:p w14:paraId="3142F662"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Oulton Hall</w:t>
            </w:r>
          </w:p>
        </w:tc>
        <w:tc>
          <w:tcPr>
            <w:tcW w:w="0" w:type="auto"/>
            <w:hideMark/>
          </w:tcPr>
          <w:p w14:paraId="70F2E8A3"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£250 - £400</w:t>
            </w:r>
          </w:p>
        </w:tc>
        <w:tc>
          <w:tcPr>
            <w:tcW w:w="0" w:type="auto"/>
            <w:hideMark/>
          </w:tcPr>
          <w:p w14:paraId="31D3A9A8"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4.5</w:t>
            </w:r>
          </w:p>
        </w:tc>
        <w:tc>
          <w:tcPr>
            <w:tcW w:w="0" w:type="auto"/>
            <w:hideMark/>
          </w:tcPr>
          <w:p w14:paraId="20205000"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Golf course, spa facilities, countryside retreat</w:t>
            </w:r>
          </w:p>
        </w:tc>
        <w:tc>
          <w:tcPr>
            <w:tcW w:w="0" w:type="auto"/>
            <w:hideMark/>
          </w:tcPr>
          <w:p w14:paraId="12A9CBCC" w14:textId="77777777" w:rsidR="007832C5" w:rsidRPr="007832C5" w:rsidRDefault="007832C5" w:rsidP="007832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32C5">
              <w:rPr>
                <w:rFonts w:ascii="Times New Roman" w:hAnsi="Times New Roman" w:cs="Times New Roman"/>
                <w:sz w:val="24"/>
                <w:szCs w:val="24"/>
              </w:rPr>
              <w:t>88%</w:t>
            </w:r>
          </w:p>
        </w:tc>
      </w:tr>
    </w:tbl>
    <w:p w14:paraId="5CFE0386"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1" w:name="_Toc191932937"/>
      <w:r w:rsidRPr="007832C5">
        <w:rPr>
          <w:rFonts w:ascii="Times New Roman" w:eastAsiaTheme="majorEastAsia" w:hAnsi="Times New Roman" w:cs="Times New Roman"/>
          <w:b/>
          <w:bCs/>
          <w:sz w:val="24"/>
          <w:szCs w:val="24"/>
        </w:rPr>
        <w:t>Netnography</w:t>
      </w:r>
      <w:bookmarkEnd w:id="21"/>
    </w:p>
    <w:p w14:paraId="17DA237E"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Netnography, a qualitative ethnographic research method, examines online communities, reviews, and social media interactions to understand consumer behaviour, brand perception, and industry trends. Netnography evaluates TripAdvisor, Google Reviews, Booking.com, and social media customer digital footprints to determine guest expectations, service quality, and areas for improvement in luxury hotels like Rossington Hall.</w:t>
      </w:r>
    </w:p>
    <w:p w14:paraId="26905D43"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Understanding Customer Sentiment and Preferences</w:t>
      </w:r>
    </w:p>
    <w:p w14:paraId="0B568792"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A netnographic survey shows hotel guests' positive and negative sentiment. Rossington Hall has over 86% good internet reviews for its heritage ambiance, wedding services, and meals (Bisui et al., 2022). Critics believe the hotel lacks leisure and technology, which could hurt its competitiveness. Such findings assist management improve service, upgrades, and marketing to satisfy guests.</w:t>
      </w:r>
    </w:p>
    <w:p w14:paraId="119B904F"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Competitive Benchmarking through Digital Engagement</w:t>
      </w:r>
    </w:p>
    <w:p w14:paraId="17FBD6E2"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Netnography lets you compare client engagement and social media presence to competitors. Over 70% of tourists read online reviews, thus stronger digital engagement helps hotels book more. Despite its 4.7-star Google rating, Rossington Hall's digital marketing is less effective than Grantley Hall's influencer collaborations and visually engaging material. User-generated material, interactive promotions, and digital storytelling can boost Rossington Hall's online presence.</w:t>
      </w:r>
    </w:p>
    <w:p w14:paraId="336F47B6"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lastRenderedPageBreak/>
        <w:t>Strategic Decision-Making and Service Innovation</w:t>
      </w:r>
    </w:p>
    <w:p w14:paraId="4F1EE004"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Netnography helps hotels strategies using social media, travel blogs, and customer-generated information. Online arguments emphasise customised, eco-friendly, and digital tourism. Nearly 65% of luxury travellers favour green hotels. Rossington Hall may leverage these analytics to offer green hospitality, digital concierge, and customised guest experiences that meet customer expectations.</w:t>
      </w:r>
    </w:p>
    <w:p w14:paraId="6E84DD8E"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2" w:name="_Toc191932938"/>
      <w:r w:rsidRPr="007832C5">
        <w:rPr>
          <w:rFonts w:ascii="Times New Roman" w:eastAsiaTheme="majorEastAsia" w:hAnsi="Times New Roman" w:cs="Times New Roman"/>
          <w:b/>
          <w:bCs/>
          <w:sz w:val="24"/>
          <w:szCs w:val="24"/>
        </w:rPr>
        <w:t>Reflective account based on a personal account of your professional observations and experience</w:t>
      </w:r>
      <w:bookmarkEnd w:id="22"/>
    </w:p>
    <w:p w14:paraId="7A348432" w14:textId="77777777" w:rsidR="007832C5" w:rsidRPr="007832C5" w:rsidRDefault="007832C5" w:rsidP="007832C5">
      <w:pPr>
        <w:spacing w:line="360" w:lineRule="auto"/>
        <w:rPr>
          <w:rFonts w:ascii="Times New Roman" w:hAnsi="Times New Roman" w:cs="Times New Roman"/>
          <w:b/>
          <w:bCs/>
          <w:i/>
          <w:iCs/>
          <w:sz w:val="24"/>
          <w:szCs w:val="24"/>
        </w:rPr>
      </w:pPr>
      <w:r w:rsidRPr="007832C5">
        <w:rPr>
          <w:rFonts w:ascii="Times New Roman" w:hAnsi="Times New Roman" w:cs="Times New Roman"/>
          <w:b/>
          <w:bCs/>
          <w:i/>
          <w:iCs/>
          <w:sz w:val="24"/>
          <w:szCs w:val="24"/>
        </w:rPr>
        <w:t xml:space="preserve">Description </w:t>
      </w:r>
    </w:p>
    <w:p w14:paraId="4BC07CDB"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 xml:space="preserve">My Rossington Hall experiences included food and beverage, hotel administration, and guest service. I saw how rigorous precision, outstanding department coordination, and customised visitor experiences boost customer happiness and corporate success (Goh et aal., 2022). </w:t>
      </w:r>
    </w:p>
    <w:p w14:paraId="3282BFCA" w14:textId="77777777" w:rsidR="007832C5" w:rsidRPr="007832C5" w:rsidRDefault="007832C5" w:rsidP="007832C5">
      <w:pPr>
        <w:spacing w:line="360" w:lineRule="auto"/>
        <w:jc w:val="both"/>
        <w:rPr>
          <w:rFonts w:ascii="Times New Roman" w:hAnsi="Times New Roman" w:cs="Times New Roman"/>
          <w:b/>
          <w:bCs/>
          <w:i/>
          <w:iCs/>
          <w:sz w:val="24"/>
          <w:szCs w:val="24"/>
        </w:rPr>
      </w:pPr>
      <w:r w:rsidRPr="007832C5">
        <w:rPr>
          <w:rFonts w:ascii="Times New Roman" w:hAnsi="Times New Roman" w:cs="Times New Roman"/>
          <w:b/>
          <w:bCs/>
          <w:i/>
          <w:iCs/>
          <w:sz w:val="24"/>
          <w:szCs w:val="24"/>
        </w:rPr>
        <w:t xml:space="preserve">Feelings </w:t>
      </w:r>
    </w:p>
    <w:p w14:paraId="5D04873E"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From managing food and beverage services, I learnt inventory control, menu planning, and culinary excellence, which affected customer experiences. Although hotel administration taught me that resource allocation, staff management, and operational policy compliance promote smooth daily operations. </w:t>
      </w:r>
    </w:p>
    <w:p w14:paraId="11C52DB8" w14:textId="77777777" w:rsidR="007832C5" w:rsidRPr="007832C5" w:rsidRDefault="007832C5" w:rsidP="007832C5">
      <w:pPr>
        <w:spacing w:line="360" w:lineRule="auto"/>
        <w:jc w:val="both"/>
        <w:rPr>
          <w:rFonts w:ascii="Times New Roman" w:hAnsi="Times New Roman" w:cs="Times New Roman"/>
          <w:b/>
          <w:bCs/>
          <w:i/>
          <w:iCs/>
          <w:sz w:val="24"/>
          <w:szCs w:val="24"/>
        </w:rPr>
      </w:pPr>
      <w:r w:rsidRPr="007832C5">
        <w:rPr>
          <w:rFonts w:ascii="Times New Roman" w:hAnsi="Times New Roman" w:cs="Times New Roman"/>
          <w:b/>
          <w:bCs/>
          <w:i/>
          <w:iCs/>
          <w:sz w:val="24"/>
          <w:szCs w:val="24"/>
        </w:rPr>
        <w:t xml:space="preserve">Evaluation </w:t>
      </w:r>
    </w:p>
    <w:p w14:paraId="5477974D"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Guest service showed me how customisation and proactive problem-solving boost customer loyalty. Even little issues like room service delays or digital discomfort can harm visitor impressions, underscoring the need for continuous development. I discovered that quality hospitality requires critical thinking, flexibility, and customer service. </w:t>
      </w:r>
    </w:p>
    <w:p w14:paraId="0AF44C4D" w14:textId="77777777" w:rsidR="007832C5" w:rsidRPr="007832C5" w:rsidRDefault="007832C5" w:rsidP="007832C5">
      <w:pPr>
        <w:spacing w:line="360" w:lineRule="auto"/>
        <w:jc w:val="both"/>
        <w:rPr>
          <w:rFonts w:ascii="Times New Roman" w:hAnsi="Times New Roman" w:cs="Times New Roman"/>
          <w:b/>
          <w:bCs/>
          <w:i/>
          <w:iCs/>
          <w:sz w:val="24"/>
          <w:szCs w:val="24"/>
        </w:rPr>
      </w:pPr>
      <w:r w:rsidRPr="007832C5">
        <w:rPr>
          <w:rFonts w:ascii="Times New Roman" w:hAnsi="Times New Roman" w:cs="Times New Roman"/>
          <w:b/>
          <w:bCs/>
          <w:i/>
          <w:iCs/>
          <w:sz w:val="24"/>
          <w:szCs w:val="24"/>
        </w:rPr>
        <w:t xml:space="preserve">Analysis </w:t>
      </w:r>
    </w:p>
    <w:p w14:paraId="591FEBF4"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After my time at Rossington Hall, I understand the need of balancing operational efficiency and service quality and want to use these abilities in hospitality management. Great service hotels have over 50% return customers, but inconsistent hotels have more negative reviews and decrease brand confidence. According to its 4.7/5 review scores and customer retention percentages, Rossington Hall's personalised service and connection please guests. Industry research shows that smartphone apps, chatbots, and digital concierge services are changing guest expectations. </w:t>
      </w:r>
    </w:p>
    <w:p w14:paraId="38ABE282" w14:textId="77777777" w:rsidR="007832C5" w:rsidRPr="007832C5" w:rsidRDefault="007832C5" w:rsidP="007832C5">
      <w:pPr>
        <w:spacing w:line="360" w:lineRule="auto"/>
        <w:jc w:val="both"/>
        <w:rPr>
          <w:rFonts w:ascii="Times New Roman" w:hAnsi="Times New Roman" w:cs="Times New Roman"/>
          <w:b/>
          <w:bCs/>
          <w:i/>
          <w:iCs/>
          <w:sz w:val="24"/>
          <w:szCs w:val="24"/>
        </w:rPr>
      </w:pPr>
      <w:r w:rsidRPr="007832C5">
        <w:rPr>
          <w:rFonts w:ascii="Times New Roman" w:hAnsi="Times New Roman" w:cs="Times New Roman"/>
          <w:b/>
          <w:bCs/>
          <w:i/>
          <w:iCs/>
          <w:sz w:val="24"/>
          <w:szCs w:val="24"/>
        </w:rPr>
        <w:lastRenderedPageBreak/>
        <w:t xml:space="preserve">Action Plan </w:t>
      </w:r>
    </w:p>
    <w:p w14:paraId="351D5A29"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Rossington Hall excels in tailored face-to-face care, but hybrid hotels have 25% higher visitor satisfaction rates, so adding digital service touchpoints could boost its competitiveness. The findings confirm the previous research and highlight industry trends including digital transformation and client preferences. </w:t>
      </w:r>
    </w:p>
    <w:p w14:paraId="4218B4EE" w14:textId="77777777" w:rsidR="007832C5" w:rsidRPr="007832C5" w:rsidRDefault="007832C5" w:rsidP="007832C5">
      <w:pPr>
        <w:spacing w:line="360" w:lineRule="auto"/>
        <w:jc w:val="both"/>
        <w:rPr>
          <w:rFonts w:ascii="Times New Roman" w:hAnsi="Times New Roman" w:cs="Times New Roman"/>
          <w:b/>
          <w:bCs/>
          <w:i/>
          <w:iCs/>
          <w:sz w:val="24"/>
          <w:szCs w:val="24"/>
        </w:rPr>
      </w:pPr>
      <w:r w:rsidRPr="007832C5">
        <w:rPr>
          <w:rFonts w:ascii="Times New Roman" w:hAnsi="Times New Roman" w:cs="Times New Roman"/>
          <w:b/>
          <w:bCs/>
          <w:i/>
          <w:iCs/>
          <w:sz w:val="24"/>
          <w:szCs w:val="24"/>
        </w:rPr>
        <w:t xml:space="preserve">Conclusion </w:t>
      </w:r>
    </w:p>
    <w:p w14:paraId="48E1E6B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Rossington Hall's luxury service, food and beverage quality, and administrative efficiency are top-notch, but technology-driven hotel operations and guest service management might increase its market competitiveness and sustainability.</w:t>
      </w:r>
    </w:p>
    <w:p w14:paraId="1D5D465D" w14:textId="77777777" w:rsidR="007832C5" w:rsidRPr="007832C5" w:rsidRDefault="007832C5" w:rsidP="007832C5">
      <w:pPr>
        <w:spacing w:line="360" w:lineRule="auto"/>
        <w:jc w:val="center"/>
        <w:rPr>
          <w:rFonts w:ascii="Times New Roman" w:hAnsi="Times New Roman" w:cs="Times New Roman"/>
          <w:sz w:val="24"/>
          <w:szCs w:val="24"/>
        </w:rPr>
      </w:pPr>
      <w:r w:rsidRPr="007832C5">
        <w:rPr>
          <w:noProof/>
        </w:rPr>
        <w:drawing>
          <wp:inline distT="0" distB="0" distL="0" distR="0" wp14:anchorId="4403E5F3" wp14:editId="64996561">
            <wp:extent cx="3436620" cy="2774950"/>
            <wp:effectExtent l="0" t="0" r="0" b="6350"/>
            <wp:docPr id="1426621254" name="Picture 2" descr="Applying the Gibbs Reflective Model: an essay for the Future Skills Award  from MMU | by helen abdu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ying the Gibbs Reflective Model: an essay for the Future Skills Award  from MMU | by helen abdul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6620" cy="2774950"/>
                    </a:xfrm>
                    <a:prstGeom prst="rect">
                      <a:avLst/>
                    </a:prstGeom>
                    <a:noFill/>
                    <a:ln>
                      <a:noFill/>
                    </a:ln>
                  </pic:spPr>
                </pic:pic>
              </a:graphicData>
            </a:graphic>
          </wp:inline>
        </w:drawing>
      </w:r>
    </w:p>
    <w:p w14:paraId="1E611AA1"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 xml:space="preserve">Figure: Gibbs Reflective Cycle </w:t>
      </w:r>
    </w:p>
    <w:p w14:paraId="0E4758D9" w14:textId="77777777" w:rsidR="007832C5" w:rsidRPr="007832C5" w:rsidRDefault="007832C5" w:rsidP="007832C5">
      <w:pPr>
        <w:spacing w:line="360" w:lineRule="auto"/>
        <w:jc w:val="center"/>
        <w:rPr>
          <w:rFonts w:ascii="Times New Roman" w:hAnsi="Times New Roman" w:cs="Times New Roman"/>
          <w:b/>
          <w:bCs/>
          <w:sz w:val="24"/>
          <w:szCs w:val="24"/>
        </w:rPr>
      </w:pPr>
      <w:r w:rsidRPr="007832C5">
        <w:rPr>
          <w:rFonts w:ascii="Times New Roman" w:hAnsi="Times New Roman" w:cs="Times New Roman"/>
          <w:b/>
          <w:bCs/>
          <w:sz w:val="24"/>
          <w:szCs w:val="24"/>
        </w:rPr>
        <w:t xml:space="preserve">Source: </w:t>
      </w:r>
      <w:r w:rsidRPr="007832C5">
        <w:rPr>
          <w:rFonts w:ascii="Times New Roman" w:hAnsi="Times New Roman" w:cs="Times New Roman"/>
          <w:sz w:val="24"/>
          <w:szCs w:val="24"/>
        </w:rPr>
        <w:t>(Goh et aal., 2022)</w:t>
      </w:r>
    </w:p>
    <w:p w14:paraId="622845CF" w14:textId="77777777" w:rsidR="007832C5" w:rsidRPr="007832C5" w:rsidRDefault="007832C5" w:rsidP="007832C5">
      <w:pPr>
        <w:spacing w:line="360" w:lineRule="auto"/>
        <w:jc w:val="both"/>
        <w:rPr>
          <w:rFonts w:ascii="Times New Roman" w:hAnsi="Times New Roman" w:cs="Times New Roman"/>
          <w:b/>
          <w:bCs/>
          <w:sz w:val="24"/>
          <w:szCs w:val="24"/>
        </w:rPr>
      </w:pPr>
      <w:bookmarkStart w:id="23" w:name="_Toc191932939"/>
      <w:r w:rsidRPr="007832C5">
        <w:rPr>
          <w:rFonts w:ascii="Times New Roman" w:eastAsiaTheme="majorEastAsia" w:hAnsi="Times New Roman" w:cs="Times New Roman"/>
          <w:b/>
          <w:bCs/>
          <w:sz w:val="24"/>
          <w:szCs w:val="24"/>
        </w:rPr>
        <w:t>Discussion</w:t>
      </w:r>
      <w:bookmarkEnd w:id="23"/>
      <w:r w:rsidRPr="007832C5">
        <w:rPr>
          <w:rFonts w:ascii="Times New Roman" w:hAnsi="Times New Roman" w:cs="Times New Roman"/>
          <w:b/>
          <w:bCs/>
          <w:sz w:val="24"/>
          <w:szCs w:val="24"/>
        </w:rPr>
        <w:t xml:space="preserve"> </w:t>
      </w:r>
    </w:p>
    <w:p w14:paraId="3E0B1341"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4" w:name="_Toc191932940"/>
      <w:r w:rsidRPr="007832C5">
        <w:rPr>
          <w:rFonts w:ascii="Times New Roman" w:eastAsiaTheme="majorEastAsia" w:hAnsi="Times New Roman" w:cs="Times New Roman"/>
          <w:b/>
          <w:bCs/>
          <w:sz w:val="24"/>
          <w:szCs w:val="24"/>
        </w:rPr>
        <w:t>Research findings in relation to the existing literature</w:t>
      </w:r>
      <w:bookmarkEnd w:id="24"/>
    </w:p>
    <w:p w14:paraId="49EE8485"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This study enhances luxury hospitality food and beverage, hotel administration, and guest service management literature. By providing high-quality dining experiences that shape hotel service standards, food and beverage management enhances visitor satisfaction and efficiency. Over 60% of luxury hotel visitors consider superb dining essential, and hotels that invest in premium food and beverage retain more clientele. Guest reviews of Rossington Hall's gourmet dining and culinary attention to detail support industry studies that show great F&amp;B services </w:t>
      </w:r>
      <w:r w:rsidRPr="007832C5">
        <w:rPr>
          <w:rFonts w:ascii="Times New Roman" w:hAnsi="Times New Roman" w:cs="Times New Roman"/>
          <w:sz w:val="24"/>
          <w:szCs w:val="24"/>
        </w:rPr>
        <w:lastRenderedPageBreak/>
        <w:t xml:space="preserve">boost luxury brand positioning. Hotel administration study encourages good leadership, resource allocation, and technology for service (Mun et al., 2021). Well-structured administrative frameworks increase hotel profitability, personnel performance, cost efficiency, and tourist pleasure by 20%. Staff management, operational policy compliance, and resource optimisation keep Rossington Hall great. However, AI-driven guest management solutions can boost operational efficiency by 30%, showing that hotel administration is turning digital. Rossington Hall's administrative processes are good, but it needs digital updates like automated check-ins and AI-driven concierge services. Service excellence, guest loyalty, and company performance are linked in guest service management literature. </w:t>
      </w:r>
    </w:p>
    <w:p w14:paraId="5E5ECF56"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5" w:name="_Toc191932941"/>
      <w:r w:rsidRPr="007832C5">
        <w:rPr>
          <w:rFonts w:ascii="Times New Roman" w:eastAsiaTheme="majorEastAsia" w:hAnsi="Times New Roman" w:cs="Times New Roman"/>
          <w:b/>
          <w:bCs/>
          <w:sz w:val="24"/>
          <w:szCs w:val="24"/>
        </w:rPr>
        <w:t>Research findings in addressing the research topic</w:t>
      </w:r>
      <w:bookmarkEnd w:id="25"/>
    </w:p>
    <w:p w14:paraId="7644FB18"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research demonstrates that food and beverage, hotel administration, and guest service management help luxury hotels like Rossington Hall prosper. Luxury hotel dining experiences are praised because structured food and beverage operations boost customer pleasure and efficiency. Over 60% of Rossington Hall dinner attendees thought their meal was good due to premium menus and service. Quality meals and drinks increase client retention by 35% and corporate profitability, according to industry research (Mun et al., 2022). Organised management improves operational sustainability, resource allocation, and service quality. Service quality and cost-effectiveness demonstrate Rossington Hall's administrative efficiency. Research recommends AI-powered booking and check-in/check-out. Research reveals that digital administrative tools boost hotel production by 30%, making Rossington Hall more competitive. Customisation increases brand loyalty and customer pleasure. Rossington Hall retains over 50% of customers due to its skilled staff, meticulous service, and proactive guest contact. Great visitor experiences have 20% higher RevPAR than poor service, according to industry trends. The study indicated that 70% of modern visitors want personalisation and technology, driving digital guest interaction solutions. Rossington Hall specialised on face-to-face hospitality, but mobile concierge apps or AI-driven chat support may improve guest happiness and operations. Great food and beverage, hotel administration, and guest services management boost customer satisfaction, operational efficiency, and commercial profitability. Traditional service at Rossington Hall is great, but digital administration and visitor engagement would keep it competitive.</w:t>
      </w:r>
    </w:p>
    <w:p w14:paraId="4F61B44A"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6" w:name="_Toc191932942"/>
      <w:r w:rsidRPr="007832C5">
        <w:rPr>
          <w:rFonts w:ascii="Times New Roman" w:eastAsiaTheme="majorEastAsia" w:hAnsi="Times New Roman" w:cs="Times New Roman"/>
          <w:b/>
          <w:bCs/>
          <w:sz w:val="24"/>
          <w:szCs w:val="24"/>
        </w:rPr>
        <w:lastRenderedPageBreak/>
        <w:t>Research findings in research objective or research question</w:t>
      </w:r>
      <w:bookmarkEnd w:id="26"/>
    </w:p>
    <w:p w14:paraId="724E5C5D"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study found that food and beverage management, hotel administration, and guest service management boost Rossington Hall's efficiency, customer happiness, and business performance. The research shows that strategic management in these areas boosts hotel revenue and identifies digital integration and service innovation opportunities. Research sought to improve customer experience and operational efficiency through food and beverage management. As over 60% of Rossington Hall customers enjoyed their meals, outstanding food and drink improve guest satisfaction. Good inventory control, menu diversification, and premium service delivery increase cost effectiveness and profitability, confirming that luxury hotels with good F&amp;B operations retain up to 35% more customers. The paper recommends menu innovation and sustainability-focused sourcing to meet customer needs and industry trends. To evaluate hotel management's service and operational sustainability. Rossington Hall maintains service quality through people management, operational protocol compliance, and financial control. Research reveals that luxury hotels with well-organised administration are 20% more efficient, supporting Rossington Hall's strong commercial operations. The poll indicated that the hotel has yet to completely integrate AI-powered booking systems and automated check-in/check-out, which can boost operational efficiency by 30%. Rossington Hall's competitiveness and visitor comfort would increase. Final goal was to research how guest service management affects customer satisfaction, loyalty, and corporate performance (Ruiz Molina et al., 2022). Rossington Hall's 50% customer retention rate and specialised tourist experiences support research linking guest service quality to recurring business. Rossington Hall's profitability and customer evaluations reflect research showing outstanding guest service boosts RevPAR by 20%. While classic guest service remains popular, modern travellers want hybrid models that integrate human and technology. Given that 70% of luxury hotel guests prefer digital service touchpoints over tailored human interactions, mobile concierge apps and AI-driven guest engagement technologies may be included. The research shows that food and beverage, hotel administration, and guest services management improve customer satisfaction, operational efficiency, and business performance. Rossington Hall has good management, but digital technologies and sustainability regulations would boost its luxury hotel competitiveness.</w:t>
      </w:r>
    </w:p>
    <w:p w14:paraId="433A41B0"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7" w:name="_Toc191932943"/>
      <w:r w:rsidRPr="007832C5">
        <w:rPr>
          <w:rFonts w:ascii="Times New Roman" w:eastAsiaTheme="majorEastAsia" w:hAnsi="Times New Roman" w:cs="Times New Roman"/>
          <w:b/>
          <w:bCs/>
          <w:sz w:val="24"/>
          <w:szCs w:val="24"/>
        </w:rPr>
        <w:t>Research findings in exploring implications</w:t>
      </w:r>
      <w:bookmarkEnd w:id="27"/>
    </w:p>
    <w:p w14:paraId="2CF6D7F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Guest happiness, operational efficiency, and strategic planning are influenced at Rossington Hall. The report recommends improvements to hotel food and beverage management, </w:t>
      </w:r>
      <w:r w:rsidRPr="007832C5">
        <w:rPr>
          <w:rFonts w:ascii="Times New Roman" w:hAnsi="Times New Roman" w:cs="Times New Roman"/>
          <w:sz w:val="24"/>
          <w:szCs w:val="24"/>
        </w:rPr>
        <w:lastRenderedPageBreak/>
        <w:t>administration, and guest service. Constant food and beverage service innovation is crucial. Over 60% of Rossington Hall customers evaluate their meal as good. Healthy, local, and sustainable meals are growing in popularity. Study finds sustainable dining habits boost consumer pleasure and brand reputation by 25%. Rossington Hall might capitalise on this trend by adding plant-based and organic alternatives to its menu to meet modern hospitality standards and compete. Research shows administrative hotel management digital change. Rossington Hall provides good service but lacks AI-powered booking systems, automated check-ins, and digital inventory management due to structured human management and operational supervision. Industry research reveals that AI and automation increase hotel operating efficiency by 30%, lowering overhead costs and enhancing visitor comfort. Rossington Hall needs digital infrastructure to increase administrative accuracy, speed, and resource allocation. Over 50% of clients return to Rossington Hall due to its hospitality. However, 70% of luxury tourists desire both human and digital service connections, thus the lack of mobile concierge apps and AI-driven chat may limit consumer involvement. Rossington Hall needs chatbots, digital concierge services, and data-driven customisation to engage tech-savvy clients. These findings show that premium hotels must blend old-fashioned hospitality with new technology to prosper. Strategic digital investments and sustainable practises may improve Rossington Hall's customer service and operational efficiency, according to studies. The hotel will retain customers, future-proof operations, and improve hospitality with these adjustments.</w:t>
      </w:r>
    </w:p>
    <w:p w14:paraId="14C85FE6"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8" w:name="_Toc191932944"/>
      <w:r w:rsidRPr="007832C5">
        <w:rPr>
          <w:rFonts w:ascii="Times New Roman" w:eastAsiaTheme="majorEastAsia" w:hAnsi="Times New Roman" w:cs="Times New Roman"/>
          <w:b/>
          <w:bCs/>
          <w:sz w:val="24"/>
          <w:szCs w:val="24"/>
        </w:rPr>
        <w:t>Research findings in acknowledging limitations</w:t>
      </w:r>
      <w:bookmarkEnd w:id="28"/>
    </w:p>
    <w:p w14:paraId="6613B85E"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Limited Scope of Generalization</w:t>
      </w:r>
    </w:p>
    <w:p w14:paraId="1D94E8BC"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hotel, clientele, and operating structure of Rossington Hall limit this study's findings. Unlike large-chain hotels and inexpensive accommodations, Rossington Hall offers personalised service, high-end food and drinks, and a historic environment. This study's operational strategies, client expectations, and service standards may not apply to other hospitality businesses in different countries, economies, or target audiences. Regional business practices are affected by competition, economic volatility, and culture. Due to its tailored service, Rossington Hall retains over 50% of visitors, while large metropolitan luxury hotels may rely on brand awareness, corporate collaborations, or global travel patterns. Rossington Hall may excel in high-end dining and beverage venues but not in price or speed. Seasonal guests may change peak service demands, restricting data generalisation. To further understand industry trends and management practices, future study could compare luxury hotels with different business models, locations, and client demographics.</w:t>
      </w:r>
    </w:p>
    <w:p w14:paraId="74B12E10"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lastRenderedPageBreak/>
        <w:t>Dependence on Qualitative Data</w:t>
      </w:r>
    </w:p>
    <w:p w14:paraId="4C411DBD"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study analyses service dynamics and operational challenges using qualitative data from observations, managerial insights, and consumer feedback without prejudice. Due to individual viewpoints, interviews, and interpretative analysis, qualitative research sometimes includes human biases, selective reporting, and respondent experiences. Large datasets, statistical models, and numerical performance indicators are used in quantitative research. Rossington Hall visitor ratings prioritise customer pleasure over revenue, cost, and market share. Management can assess operations efficiency using internal standards and strategic goals, not industry or competition performance. Qualitative and quantitative performance assessments help hospitality firms understand service efficacy, labour productivity, and client retention, according to research. Interviews and observational studies are time-sensitive, thus staffing changes, economic situations, and special events may temporarily affect hotel performance. Financial records, predictive analytics, and structured surveys improve credibility, objectivity, trend projections, and hotel sector comparisons.</w:t>
      </w:r>
    </w:p>
    <w:p w14:paraId="791EB44C"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Evolving Industry Trends</w:t>
      </w:r>
    </w:p>
    <w:p w14:paraId="29F7C33E"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New technology, customer tastes, and trends affect hotel operations, guest experiences, and competitive positioning. AI chatbots, smart room technologies, and smartphone check-in have increased hotel efficiency and guest relations. Over 60% of hotel guests prefer digital self-service, and AI-driven solutions have reduced front desk wait times by 30% and efficiency by 20%. As consumers become greener, they seek eco-friendly housing. Luxury hotels use energy-efficient technologies, rubbish reduction strategies, and carbon footprint tracking to match market expectations because 73% of global guests prefer sustainable hotels. Luxury hotels use past selections, loyalty program data, and behavioural analytics to tailor visitor experiences. Millennial and Gen Z tourists’ book 60% of hotels worldwide, boosting demand for social, wellness-focused, and immersive cultural experiences. Global economic instability, inflation, and geopolitical tensions have led hotels to use dynamic pricing models, clever cost-cutting, and flexible workforce structures to manage pricing, supply chain resilience, and workforce. Airbnb, which controls 20% of the worldwide accommodation market, has increased competition, forcing established hotels to modify their offering to retain customers. Hotels must invest in cutting-edge technology, environmental programs, and novel guest experiences to compete, efficiently, and profit in a changing market.</w:t>
      </w:r>
    </w:p>
    <w:p w14:paraId="2109F046"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Limited Exploration of External Market Factors</w:t>
      </w:r>
    </w:p>
    <w:p w14:paraId="1553839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A major shortcoming of this study is its limited examination of external market dynamics affecting the hotel industry. The research concentrates on Rossington Hall's internal management, guest services, and operational efficiency, not its economic, political, and competitive market conditions that affect its performance and long-term viability. Luxury hotel occupancy rates can drop 15-20% during recessions, inflation, and consumer purchasing power, resulting in revenue losses. Political uncertainty, regulatory changes, and Brexit-related trade concerns have influenced UK hospitality worker availability, supply chain prices, and international tourist intakes. After Brexit, the hospitality industry lost 10% of its personnel, worsening manpower shortages and increasing domestic recruiting and automation. Competition from Airbnb and VRBO, which control 20% of the global lodging market, has forced conventional hotels to offer bespoke experiences, exceptional service, and unique loyalty schemes. This study does not examine AI-driven dynamic pricing, blockchain-based booking platforms, or VR for immersive guest experiences, which are transforming hospitality. The research ignores these external factors, limiting hotel management and industry application. Future research should examine how external factors affect hospitality operational strategies using macro-level market trend analysis, competitive benchmarking, and economic effect evaluations.</w:t>
      </w:r>
    </w:p>
    <w:p w14:paraId="3FEC5A13"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29" w:name="_Toc191932945"/>
      <w:r w:rsidRPr="007832C5">
        <w:rPr>
          <w:rFonts w:ascii="Times New Roman" w:eastAsiaTheme="majorEastAsia" w:hAnsi="Times New Roman" w:cs="Times New Roman"/>
          <w:b/>
          <w:bCs/>
          <w:sz w:val="24"/>
          <w:szCs w:val="24"/>
        </w:rPr>
        <w:t>Research findings in pointing out valuable areas critical to the placement hotel operation</w:t>
      </w:r>
      <w:bookmarkEnd w:id="29"/>
    </w:p>
    <w:p w14:paraId="69486E68"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Rossington Hall needs strategic food and beverage management, hotel administration, and guest service changes to run properly. Food and beverage service optimisation requires inventory control, menu engineering, and cost efficiency to maximise profits and customer satisfaction. Waste reduction and accurate forecasting boost food and beverage profits by 15-20%. Automation and administrative frameworks boost worker productivity and operational sustainability by 30% for seamless hotel operations. AI-driven analytics, cloud-based property management, and automated booking platforms improve administration and decision-making. Personalisation and excellent guest service keep customers coming back. Research demonstrates that loyalty programs and tailored visitor experiences can increase repeat bookings by 25% and long-term profitability. The research also covers labour management, technological integration, and sustainability challenges that require proactive staff training, digital transformation, and eco-friendly operations. It is found that boutique hotels and Airbnb are growing more competitive, requiring stronger brand positioning, service differentiation, and strategic pricing. By excelling in service, customer satisfaction, and financial success, Rossington Hall can compete in the luxury hotel market.</w:t>
      </w:r>
    </w:p>
    <w:p w14:paraId="1AC06E04" w14:textId="77777777" w:rsidR="007832C5" w:rsidRPr="007832C5" w:rsidRDefault="007832C5" w:rsidP="007832C5">
      <w:pPr>
        <w:spacing w:line="360" w:lineRule="auto"/>
        <w:jc w:val="both"/>
        <w:rPr>
          <w:rFonts w:ascii="Times New Roman" w:hAnsi="Times New Roman" w:cs="Times New Roman"/>
          <w:b/>
          <w:bCs/>
          <w:sz w:val="24"/>
          <w:szCs w:val="24"/>
        </w:rPr>
      </w:pPr>
      <w:bookmarkStart w:id="30" w:name="_Toc191932946"/>
      <w:r w:rsidRPr="007832C5">
        <w:rPr>
          <w:rFonts w:ascii="Times New Roman" w:eastAsiaTheme="majorEastAsia" w:hAnsi="Times New Roman" w:cs="Times New Roman"/>
          <w:b/>
          <w:bCs/>
          <w:sz w:val="24"/>
          <w:szCs w:val="24"/>
        </w:rPr>
        <w:lastRenderedPageBreak/>
        <w:t>Conclusion and Recommendations</w:t>
      </w:r>
      <w:bookmarkEnd w:id="30"/>
      <w:r w:rsidRPr="007832C5">
        <w:rPr>
          <w:rFonts w:ascii="Times New Roman" w:hAnsi="Times New Roman" w:cs="Times New Roman"/>
          <w:b/>
          <w:bCs/>
          <w:sz w:val="24"/>
          <w:szCs w:val="24"/>
        </w:rPr>
        <w:t xml:space="preserve"> </w:t>
      </w:r>
    </w:p>
    <w:p w14:paraId="634947F2"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31" w:name="_Toc191932947"/>
      <w:r w:rsidRPr="007832C5">
        <w:rPr>
          <w:rFonts w:ascii="Times New Roman" w:eastAsiaTheme="majorEastAsia" w:hAnsi="Times New Roman" w:cs="Times New Roman"/>
          <w:b/>
          <w:bCs/>
          <w:sz w:val="24"/>
          <w:szCs w:val="24"/>
        </w:rPr>
        <w:t>Key findings and essential points from the research work</w:t>
      </w:r>
      <w:bookmarkEnd w:id="31"/>
    </w:p>
    <w:p w14:paraId="0D5A0D79"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The research offers key data and components for understanding Rossington Hall's operational efficiency, customer service dynamics, and luxury hospitality competitive positioning. Food and beverage management greatly impact guest happiness and revenue. Effective inventory control, menu pricing, and waste reduction can boost revenue 20% and cost efficiency 15%. For client satisfaction and financial stability, new cuisine, data-driven forecasting models, and supplier agreements are needed. Hotels with advanced property management systems and automated workflow solutions boost efficiency by 30% and reduce administrative errors by 25%, demonstrating the importance of hotel administration in smooth operations and staff productivity. Process optimisation and digital transformation boost service quality and decrease costs. Luxury hotels make 60% of their revenue from repeat clients, and targeted care can enhance reviews by 40%. </w:t>
      </w:r>
    </w:p>
    <w:p w14:paraId="52C3866A"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32" w:name="_Toc191932948"/>
      <w:r w:rsidRPr="007832C5">
        <w:rPr>
          <w:rFonts w:ascii="Times New Roman" w:eastAsiaTheme="majorEastAsia" w:hAnsi="Times New Roman" w:cs="Times New Roman"/>
          <w:b/>
          <w:bCs/>
          <w:sz w:val="24"/>
          <w:szCs w:val="24"/>
        </w:rPr>
        <w:t>Most critical aspects discussed in the research</w:t>
      </w:r>
      <w:bookmarkEnd w:id="32"/>
    </w:p>
    <w:p w14:paraId="320877D6"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From the above analysis it is seen that Rossington Hall's success has numerous causes. Menu engineering and strategic cost control can boost food and beverage income by 20% and reduce waste. Automated property management systems boost staff productivity by 30% and reduce operational errors by 25%: hotel administration efficiency is crucial. Guest service management is vital to customer satisfaction since 60% of luxury hotel income comes from repeat guests. Luxury hotels must differentiate to compete with Airbnb, which owns 20% of worldwide accommodations. Finally, Brexit-induced staffing shortages and rising inflation affect tourist and people costs, requiring flexible corporate strategies and risk management.</w:t>
      </w:r>
    </w:p>
    <w:p w14:paraId="09EA12BB" w14:textId="77777777" w:rsidR="007832C5" w:rsidRPr="007832C5" w:rsidRDefault="007832C5" w:rsidP="007832C5">
      <w:pPr>
        <w:keepNext/>
        <w:keepLines/>
        <w:spacing w:before="160" w:after="80" w:line="360" w:lineRule="auto"/>
        <w:jc w:val="both"/>
        <w:outlineLvl w:val="1"/>
        <w:rPr>
          <w:rFonts w:ascii="Times New Roman" w:eastAsiaTheme="majorEastAsia" w:hAnsi="Times New Roman" w:cs="Times New Roman"/>
          <w:b/>
          <w:bCs/>
          <w:sz w:val="24"/>
          <w:szCs w:val="24"/>
        </w:rPr>
      </w:pPr>
      <w:bookmarkStart w:id="33" w:name="_Toc191932949"/>
      <w:r w:rsidRPr="007832C5">
        <w:rPr>
          <w:rFonts w:ascii="Times New Roman" w:eastAsiaTheme="majorEastAsia" w:hAnsi="Times New Roman" w:cs="Times New Roman"/>
          <w:b/>
          <w:bCs/>
          <w:sz w:val="24"/>
          <w:szCs w:val="24"/>
        </w:rPr>
        <w:t>Key findings</w:t>
      </w:r>
      <w:bookmarkEnd w:id="33"/>
    </w:p>
    <w:p w14:paraId="73DD3612"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The analysis done above guides Rossington Hall's business. Customised services increase repeat reservations 25% and AI automates hotel management, saving 40% of administrative effort. Luxury hotels must invest in sustainability because 73% of travellers prefer green hotels. Pricing strategies are crucial because price-sensitive customers compare Rossington Hall to nearby luxury service providers at competitive prices. These findings may boost client engagement, operational efficiency, and hospitality market competitiveness.</w:t>
      </w:r>
    </w:p>
    <w:p w14:paraId="08703BD7" w14:textId="77777777" w:rsidR="007832C5" w:rsidRPr="007832C5" w:rsidRDefault="007832C5" w:rsidP="007832C5">
      <w:pPr>
        <w:spacing w:line="360" w:lineRule="auto"/>
        <w:jc w:val="both"/>
        <w:rPr>
          <w:rFonts w:ascii="Times New Roman" w:hAnsi="Times New Roman" w:cs="Times New Roman"/>
          <w:b/>
          <w:bCs/>
          <w:sz w:val="24"/>
          <w:szCs w:val="24"/>
        </w:rPr>
      </w:pPr>
      <w:bookmarkStart w:id="34" w:name="_Toc191932950"/>
      <w:r w:rsidRPr="007832C5">
        <w:rPr>
          <w:rFonts w:ascii="Times New Roman" w:eastAsiaTheme="majorEastAsia" w:hAnsi="Times New Roman" w:cs="Times New Roman"/>
          <w:b/>
          <w:bCs/>
          <w:sz w:val="24"/>
          <w:szCs w:val="24"/>
        </w:rPr>
        <w:t>Recommendations and Practical Strategies</w:t>
      </w:r>
      <w:bookmarkEnd w:id="34"/>
      <w:r w:rsidRPr="007832C5">
        <w:rPr>
          <w:rFonts w:ascii="Times New Roman" w:hAnsi="Times New Roman" w:cs="Times New Roman"/>
          <w:b/>
          <w:bCs/>
          <w:sz w:val="24"/>
          <w:szCs w:val="24"/>
        </w:rPr>
        <w:t xml:space="preserve"> </w:t>
      </w:r>
    </w:p>
    <w:p w14:paraId="54B45EC7"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Enhancing Food and Beverage Management</w:t>
      </w:r>
    </w:p>
    <w:p w14:paraId="26A4D08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Rossington Hall needs good food and beverage management to improve service, cut waste, and increase revenue. Data-driven inventory control cuts food waste 15-20%, improving cost and sustainability. Menu engineering income can increase 25% by prioritising high-margin commodities and attracting visitors. Use seasonal and local foods for freshness, sustainability, and supply chain continuity. Food and beverage staff training on upselling, wine pairings, and guest engagement can boost sales per client by 10-15%. Modernising kitchen operations with digital ordering, contactless payments, and AI-driven demand estimates can cut wait times by 30%. Rossington Hall can boost repeat business and premium hospitality by presenting chef's specials and tasting meals.</w:t>
      </w:r>
    </w:p>
    <w:p w14:paraId="1BE1D6BE"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Strengthening Hotel Administration Efficiency</w:t>
      </w:r>
    </w:p>
    <w:p w14:paraId="41F7F3DE"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Guest satisfaction, operational sustainability, and company performance depend on hotel management efficiency. Highly integrated property management systems (PMS) can automate housekeeping schedules, streamline reservations, and enhance resource allocation, reducing administrative workload by 40% and operating efficiency by 25%. Manpower and cost savings rise using AI occupancy trend prediction. Digital check-in/check-out streamlines front desk operations and improves service. Technology-driven hotels need staff training to improve service, reduce errors, and incorporate innovation. Using automated surveys and sentiment analysis, management may quickly adjust visitor experiences. To retain guests, Rossington Hall should prioritise GDPR and data security. Finally, energy efficiency and paperless transactions save money and demonstrate hotel sustainability. Prioritising these methods can improve Rossington Hall's efficiency, customer satisfaction, and luxury hotel market share.</w:t>
      </w:r>
    </w:p>
    <w:p w14:paraId="60535201"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Improving Guest Service and Customer Experience</w:t>
      </w:r>
    </w:p>
    <w:p w14:paraId="777DDFB4"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Excellent guest service boosts consumer loyalty and business success. Rossington Hall should use client data to customise housing, eating, and return offerings. Personalised hotel experiences attract 80% of customers, study finds. Complete staff training on hospitality etiquette, proactive problem-solving, and emotional intelligence can boost visitor satisfaction by 20%. AI chatbots and digital concierges enhance guest service and communication. Real-time visitor feedback can help you find and fix service issues, enhancing retention and reviews. Customers like rapid check-in, perks, and loyalty awards. A study found 25% more repeat bookings at hotels with similar services. Finally, analysing rivals and adopting best practises can help Rossington Hall improve visitor experience and brand reputation.</w:t>
      </w:r>
    </w:p>
    <w:p w14:paraId="32FBF972"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Strengthening Competitive Positioning and Market Expansion</w:t>
      </w:r>
    </w:p>
    <w:p w14:paraId="079D6A67"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lastRenderedPageBreak/>
        <w:t>Rossington Hall needs differentiation, strategic engagement, and brand recognition. Dynamic pricing increases revenue by matching demand. Luxury hotels have witnessed 15-20% RevPAR gains utilising such approaches. Strategic collaborations with travel agents, event planners, and luxury experience providers can attract high-end customers and diversify revenue. Influencer relationships, social media, and targeted digital advertising increase brand awareness and audience reach. Hotels utilising influencer marketing get 35% more engagement than advertisements. Regional development initiatives like bilingual customer service and culturally appropriate services for international tourists should be considered by Rossington Hall. Green initiatives like carbon reduction and community involvement improve brand power. Rossington Hall can adapt to luxury hotel client preferences and industry trends via competitive benchmarking and market trend analysis.</w:t>
      </w:r>
    </w:p>
    <w:p w14:paraId="3D0798AE"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t>Addressing Economic and Political Challenges</w:t>
      </w:r>
    </w:p>
    <w:p w14:paraId="67792BF1"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Rossington Hall and other luxury hotels face economic and political uncertainty that hurts profits. Economy, inflation, and consumer spending effect luxury accommodation demand. Recessions reduce discretionary spending, decreasing occupancy and income. Luxury hotel bookings decreased 15-20% during the 2008 financial crisis and COVID-19 epidemic, costing the UK hospitality industry £30 billion in 2020. Market-based pricing and operational efficiency should help Rossington Hall avoid economic risks and stay profitable. Luxury hotels are affected by Brexit, regulations, labour laws, and trade agreements. Immigration restrictions after Brexit have cost the UK hotel business 10% of its trained workers. Operating inefficiencies and labour costs soared. To address worker shortages, Rossington Hall must engage in retention, skill development, and automation. Hotels must meet strict environmental standards like the UK's Net Zero 2050 objective to fulfil government and consumer demands. Energy-efficient infrastructure, garbage minimisation, and ethical material acquisition may save Rossington Hall money. Geopolitical concerns, financial volatility, and changing international travel restrictions hamper visitors, especially from high-spending China and the US. As Brexit made the UK cheaper, inbound tourism rose 8% in 2017. The 72% decline in international arrivals due to pandemic travel restrictions showed the industry's dependence on global stability. Rossington Hall may offer domestic travellers exclusive local packages and loyalty programmes and partner with overseas travel brokers to attract high-net-worth travellers to address such issues. Rossington Hall can maintain its luxury hospitality leadership by addressing economic and political issues with smart financial planning, staff resiliency, regulatory compliance, and market diversification. Strategic adaptation to changing economic </w:t>
      </w:r>
      <w:r w:rsidRPr="007832C5">
        <w:rPr>
          <w:rFonts w:ascii="Times New Roman" w:hAnsi="Times New Roman" w:cs="Times New Roman"/>
          <w:sz w:val="24"/>
          <w:szCs w:val="24"/>
        </w:rPr>
        <w:lastRenderedPageBreak/>
        <w:t>conditions and government policies ensures long-term growth and stability in turbulent businesses.</w:t>
      </w:r>
    </w:p>
    <w:p w14:paraId="2E97A97F" w14:textId="77777777" w:rsidR="007832C5" w:rsidRPr="007832C5" w:rsidRDefault="007832C5" w:rsidP="007832C5">
      <w:pPr>
        <w:spacing w:line="360" w:lineRule="auto"/>
        <w:jc w:val="both"/>
        <w:rPr>
          <w:rFonts w:ascii="Times New Roman" w:hAnsi="Times New Roman" w:cs="Times New Roman"/>
          <w:b/>
          <w:bCs/>
          <w:sz w:val="24"/>
          <w:szCs w:val="24"/>
        </w:rPr>
      </w:pPr>
      <w:r w:rsidRPr="007832C5">
        <w:rPr>
          <w:rFonts w:ascii="Times New Roman" w:hAnsi="Times New Roman" w:cs="Times New Roman"/>
          <w:b/>
          <w:bCs/>
          <w:sz w:val="24"/>
          <w:szCs w:val="24"/>
        </w:rPr>
        <w:br w:type="page"/>
      </w:r>
    </w:p>
    <w:p w14:paraId="0B4E4B07" w14:textId="77777777" w:rsidR="007832C5" w:rsidRPr="007832C5" w:rsidRDefault="007832C5" w:rsidP="007832C5">
      <w:pPr>
        <w:keepNext/>
        <w:keepLines/>
        <w:spacing w:before="360" w:after="80" w:line="360" w:lineRule="auto"/>
        <w:jc w:val="both"/>
        <w:outlineLvl w:val="0"/>
        <w:rPr>
          <w:rFonts w:ascii="Times New Roman" w:eastAsiaTheme="majorEastAsia" w:hAnsi="Times New Roman" w:cs="Times New Roman"/>
          <w:b/>
          <w:bCs/>
          <w:sz w:val="24"/>
          <w:szCs w:val="24"/>
        </w:rPr>
      </w:pPr>
      <w:bookmarkStart w:id="35" w:name="_Toc191932951"/>
      <w:r w:rsidRPr="007832C5">
        <w:rPr>
          <w:rFonts w:ascii="Times New Roman" w:eastAsiaTheme="majorEastAsia" w:hAnsi="Times New Roman" w:cs="Times New Roman"/>
          <w:b/>
          <w:bCs/>
          <w:sz w:val="24"/>
          <w:szCs w:val="24"/>
        </w:rPr>
        <w:lastRenderedPageBreak/>
        <w:t>References:</w:t>
      </w:r>
      <w:bookmarkEnd w:id="35"/>
    </w:p>
    <w:p w14:paraId="55A0EF82"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Baiocco, S. and Paniccia, P.M., 2022. Key Management Tools for Managing Tourism Firms and Destinations. </w:t>
      </w:r>
      <w:r w:rsidRPr="007832C5">
        <w:rPr>
          <w:rFonts w:ascii="Times New Roman" w:hAnsi="Times New Roman" w:cs="Times New Roman"/>
          <w:i/>
          <w:iCs/>
          <w:sz w:val="24"/>
          <w:szCs w:val="24"/>
        </w:rPr>
        <w:t>7th International Thematic Monograph: Modern Management Tools and Economy of Tourism Sector in Present Era, Bevanda, V., Štetić, S.(eds.). Belgrade: Association of Economists and Managers of the Balkans in cooperation with the Faculty of Tourism and Hospitality, Ohrid, North Macedonia</w:t>
      </w:r>
      <w:r w:rsidRPr="007832C5">
        <w:rPr>
          <w:rFonts w:ascii="Times New Roman" w:hAnsi="Times New Roman" w:cs="Times New Roman"/>
          <w:sz w:val="24"/>
          <w:szCs w:val="24"/>
        </w:rPr>
        <w:t>, pp.1-20.</w:t>
      </w:r>
    </w:p>
    <w:p w14:paraId="1A112F43"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Bisui, R., Uniyal, M.C. and Sharma, N., 2022, May. A systematic review of papers on guest satisfaction practices in food &amp; beverage service department and its impact on customer satisfaction and retention. In </w:t>
      </w:r>
      <w:r w:rsidRPr="007832C5">
        <w:rPr>
          <w:rFonts w:ascii="Times New Roman" w:hAnsi="Times New Roman" w:cs="Times New Roman"/>
          <w:i/>
          <w:iCs/>
          <w:sz w:val="24"/>
          <w:szCs w:val="24"/>
        </w:rPr>
        <w:t>AIP Conference Proceedings</w:t>
      </w:r>
      <w:r w:rsidRPr="007832C5">
        <w:rPr>
          <w:rFonts w:ascii="Times New Roman" w:hAnsi="Times New Roman" w:cs="Times New Roman"/>
          <w:sz w:val="24"/>
          <w:szCs w:val="24"/>
        </w:rPr>
        <w:t> (Vol. 2393, No. 1). AIP Publishing.</w:t>
      </w:r>
    </w:p>
    <w:p w14:paraId="204ED96F"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Carlo, C., 2021. Critical success factors in hotel companies: A managerial perspective. </w:t>
      </w:r>
      <w:r w:rsidRPr="007832C5">
        <w:rPr>
          <w:rFonts w:ascii="Times New Roman" w:hAnsi="Times New Roman" w:cs="Times New Roman"/>
          <w:i/>
          <w:iCs/>
          <w:sz w:val="24"/>
          <w:szCs w:val="24"/>
        </w:rPr>
        <w:t>Journal of Tourism and Hospitality Management</w:t>
      </w:r>
      <w:r w:rsidRPr="007832C5">
        <w:rPr>
          <w:rFonts w:ascii="Times New Roman" w:hAnsi="Times New Roman" w:cs="Times New Roman"/>
          <w:sz w:val="24"/>
          <w:szCs w:val="24"/>
        </w:rPr>
        <w:t>, </w:t>
      </w:r>
      <w:r w:rsidRPr="007832C5">
        <w:rPr>
          <w:rFonts w:ascii="Times New Roman" w:hAnsi="Times New Roman" w:cs="Times New Roman"/>
          <w:i/>
          <w:iCs/>
          <w:sz w:val="24"/>
          <w:szCs w:val="24"/>
        </w:rPr>
        <w:t>9</w:t>
      </w:r>
      <w:r w:rsidRPr="007832C5">
        <w:rPr>
          <w:rFonts w:ascii="Times New Roman" w:hAnsi="Times New Roman" w:cs="Times New Roman"/>
          <w:sz w:val="24"/>
          <w:szCs w:val="24"/>
        </w:rPr>
        <w:t>(2), pp.1-7.</w:t>
      </w:r>
    </w:p>
    <w:p w14:paraId="0BF844BB"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Carvalho, P. and Alves, H., 2023. Customer value co-creation in the hospitality and tourism industry: a systematic literature review. </w:t>
      </w:r>
      <w:r w:rsidRPr="007832C5">
        <w:rPr>
          <w:rFonts w:ascii="Times New Roman" w:hAnsi="Times New Roman" w:cs="Times New Roman"/>
          <w:i/>
          <w:iCs/>
          <w:sz w:val="24"/>
          <w:szCs w:val="24"/>
        </w:rPr>
        <w:t>International Journal of Contemporary Hospitality Management</w:t>
      </w:r>
      <w:r w:rsidRPr="007832C5">
        <w:rPr>
          <w:rFonts w:ascii="Times New Roman" w:hAnsi="Times New Roman" w:cs="Times New Roman"/>
          <w:sz w:val="24"/>
          <w:szCs w:val="24"/>
        </w:rPr>
        <w:t>, </w:t>
      </w:r>
      <w:r w:rsidRPr="007832C5">
        <w:rPr>
          <w:rFonts w:ascii="Times New Roman" w:hAnsi="Times New Roman" w:cs="Times New Roman"/>
          <w:i/>
          <w:iCs/>
          <w:sz w:val="24"/>
          <w:szCs w:val="24"/>
        </w:rPr>
        <w:t>35</w:t>
      </w:r>
      <w:r w:rsidRPr="007832C5">
        <w:rPr>
          <w:rFonts w:ascii="Times New Roman" w:hAnsi="Times New Roman" w:cs="Times New Roman"/>
          <w:sz w:val="24"/>
          <w:szCs w:val="24"/>
        </w:rPr>
        <w:t>(1), pp.250-273.</w:t>
      </w:r>
    </w:p>
    <w:p w14:paraId="4E715F66"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Dubey, U.K.B. and Kothari, D.P., 2022. </w:t>
      </w:r>
      <w:r w:rsidRPr="007832C5">
        <w:rPr>
          <w:rFonts w:ascii="Times New Roman" w:hAnsi="Times New Roman" w:cs="Times New Roman"/>
          <w:i/>
          <w:iCs/>
          <w:sz w:val="24"/>
          <w:szCs w:val="24"/>
        </w:rPr>
        <w:t>Research methodology: Techniques and trends</w:t>
      </w:r>
      <w:r w:rsidRPr="007832C5">
        <w:rPr>
          <w:rFonts w:ascii="Times New Roman" w:hAnsi="Times New Roman" w:cs="Times New Roman"/>
          <w:sz w:val="24"/>
          <w:szCs w:val="24"/>
        </w:rPr>
        <w:t>. Chapman and Hall/CRC.</w:t>
      </w:r>
    </w:p>
    <w:p w14:paraId="6E659EF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Elkhwesky, Z., Salem, I.E., Ramkissoon, H. and Castañeda-García, J.A., 2022. A systematic and critical review of leadership styles in contemporary hospitality: a roadmap and a call for future research. </w:t>
      </w:r>
      <w:r w:rsidRPr="007832C5">
        <w:rPr>
          <w:rFonts w:ascii="Times New Roman" w:hAnsi="Times New Roman" w:cs="Times New Roman"/>
          <w:i/>
          <w:iCs/>
          <w:sz w:val="24"/>
          <w:szCs w:val="24"/>
        </w:rPr>
        <w:t>International Journal of Contemporary Hospitality Management</w:t>
      </w:r>
      <w:r w:rsidRPr="007832C5">
        <w:rPr>
          <w:rFonts w:ascii="Times New Roman" w:hAnsi="Times New Roman" w:cs="Times New Roman"/>
          <w:sz w:val="24"/>
          <w:szCs w:val="24"/>
        </w:rPr>
        <w:t>, </w:t>
      </w:r>
      <w:r w:rsidRPr="007832C5">
        <w:rPr>
          <w:rFonts w:ascii="Times New Roman" w:hAnsi="Times New Roman" w:cs="Times New Roman"/>
          <w:i/>
          <w:iCs/>
          <w:sz w:val="24"/>
          <w:szCs w:val="24"/>
        </w:rPr>
        <w:t>34</w:t>
      </w:r>
      <w:r w:rsidRPr="007832C5">
        <w:rPr>
          <w:rFonts w:ascii="Times New Roman" w:hAnsi="Times New Roman" w:cs="Times New Roman"/>
          <w:sz w:val="24"/>
          <w:szCs w:val="24"/>
        </w:rPr>
        <w:t>(5), pp.1925-1958.</w:t>
      </w:r>
    </w:p>
    <w:p w14:paraId="4B919FC3"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George, R., 2021. The tourism and hospitality marketing environment. In </w:t>
      </w:r>
      <w:r w:rsidRPr="007832C5">
        <w:rPr>
          <w:rFonts w:ascii="Times New Roman" w:hAnsi="Times New Roman" w:cs="Times New Roman"/>
          <w:i/>
          <w:iCs/>
          <w:sz w:val="24"/>
          <w:szCs w:val="24"/>
        </w:rPr>
        <w:t>Marketing Tourism and Hospitality: Concepts and Cases</w:t>
      </w:r>
      <w:r w:rsidRPr="007832C5">
        <w:rPr>
          <w:rFonts w:ascii="Times New Roman" w:hAnsi="Times New Roman" w:cs="Times New Roman"/>
          <w:sz w:val="24"/>
          <w:szCs w:val="24"/>
        </w:rPr>
        <w:t> (pp. 183-219). Cham: Springer International Publishing.</w:t>
      </w:r>
    </w:p>
    <w:p w14:paraId="2CAAD0E3"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Ghani, B., Zada, M., Memon, K.R., Ullah, R., Khattak, A., Han, H., Ariza-Montes, A. and Araya-Castillo, L., 2022. Challenges and strategies for employee retention in the hospitality industry: A review. </w:t>
      </w:r>
      <w:r w:rsidRPr="007832C5">
        <w:rPr>
          <w:rFonts w:ascii="Times New Roman" w:hAnsi="Times New Roman" w:cs="Times New Roman"/>
          <w:i/>
          <w:iCs/>
          <w:sz w:val="24"/>
          <w:szCs w:val="24"/>
        </w:rPr>
        <w:t>Sustainability</w:t>
      </w:r>
      <w:r w:rsidRPr="007832C5">
        <w:rPr>
          <w:rFonts w:ascii="Times New Roman" w:hAnsi="Times New Roman" w:cs="Times New Roman"/>
          <w:sz w:val="24"/>
          <w:szCs w:val="24"/>
        </w:rPr>
        <w:t>, </w:t>
      </w:r>
      <w:r w:rsidRPr="007832C5">
        <w:rPr>
          <w:rFonts w:ascii="Times New Roman" w:hAnsi="Times New Roman" w:cs="Times New Roman"/>
          <w:i/>
          <w:iCs/>
          <w:sz w:val="24"/>
          <w:szCs w:val="24"/>
        </w:rPr>
        <w:t>14</w:t>
      </w:r>
      <w:r w:rsidRPr="007832C5">
        <w:rPr>
          <w:rFonts w:ascii="Times New Roman" w:hAnsi="Times New Roman" w:cs="Times New Roman"/>
          <w:sz w:val="24"/>
          <w:szCs w:val="24"/>
        </w:rPr>
        <w:t>(5), p.2885.</w:t>
      </w:r>
    </w:p>
    <w:p w14:paraId="301C4E29"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Ghani, B., Zada, M., Memon, K.R., Ullah, R., Khattak, A., Han, H., Ariza-Montes, A. and Araya-Castillo, L., 2022. Challenges and strategies for employee retention in the hospitality industry: A review. </w:t>
      </w:r>
      <w:r w:rsidRPr="007832C5">
        <w:rPr>
          <w:rFonts w:ascii="Times New Roman" w:hAnsi="Times New Roman" w:cs="Times New Roman"/>
          <w:i/>
          <w:iCs/>
          <w:sz w:val="24"/>
          <w:szCs w:val="24"/>
        </w:rPr>
        <w:t>Sustainability</w:t>
      </w:r>
      <w:r w:rsidRPr="007832C5">
        <w:rPr>
          <w:rFonts w:ascii="Times New Roman" w:hAnsi="Times New Roman" w:cs="Times New Roman"/>
          <w:sz w:val="24"/>
          <w:szCs w:val="24"/>
        </w:rPr>
        <w:t>, </w:t>
      </w:r>
      <w:r w:rsidRPr="007832C5">
        <w:rPr>
          <w:rFonts w:ascii="Times New Roman" w:hAnsi="Times New Roman" w:cs="Times New Roman"/>
          <w:i/>
          <w:iCs/>
          <w:sz w:val="24"/>
          <w:szCs w:val="24"/>
        </w:rPr>
        <w:t>14</w:t>
      </w:r>
      <w:r w:rsidRPr="007832C5">
        <w:rPr>
          <w:rFonts w:ascii="Times New Roman" w:hAnsi="Times New Roman" w:cs="Times New Roman"/>
          <w:sz w:val="24"/>
          <w:szCs w:val="24"/>
        </w:rPr>
        <w:t>(5), p.2885.</w:t>
      </w:r>
    </w:p>
    <w:p w14:paraId="48EF4F7D"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lastRenderedPageBreak/>
        <w:t>Goh, E., Okumus, B., Jie, F., Djajadikerta, H.G. and Lemy, D.M., 2022. Managing food wastage in hotels: discrepancies between injunctive and descriptive norms amongst hotel food and beverage managers. </w:t>
      </w:r>
      <w:r w:rsidRPr="007832C5">
        <w:rPr>
          <w:rFonts w:ascii="Times New Roman" w:hAnsi="Times New Roman" w:cs="Times New Roman"/>
          <w:i/>
          <w:iCs/>
          <w:sz w:val="24"/>
          <w:szCs w:val="24"/>
        </w:rPr>
        <w:t>British Food Journal</w:t>
      </w:r>
      <w:r w:rsidRPr="007832C5">
        <w:rPr>
          <w:rFonts w:ascii="Times New Roman" w:hAnsi="Times New Roman" w:cs="Times New Roman"/>
          <w:sz w:val="24"/>
          <w:szCs w:val="24"/>
        </w:rPr>
        <w:t>, </w:t>
      </w:r>
      <w:r w:rsidRPr="007832C5">
        <w:rPr>
          <w:rFonts w:ascii="Times New Roman" w:hAnsi="Times New Roman" w:cs="Times New Roman"/>
          <w:i/>
          <w:iCs/>
          <w:sz w:val="24"/>
          <w:szCs w:val="24"/>
        </w:rPr>
        <w:t>124</w:t>
      </w:r>
      <w:r w:rsidRPr="007832C5">
        <w:rPr>
          <w:rFonts w:ascii="Times New Roman" w:hAnsi="Times New Roman" w:cs="Times New Roman"/>
          <w:sz w:val="24"/>
          <w:szCs w:val="24"/>
        </w:rPr>
        <w:t>(12), pp.4666-4685.</w:t>
      </w:r>
    </w:p>
    <w:p w14:paraId="1FC94B06" w14:textId="77777777" w:rsidR="007832C5" w:rsidRPr="007832C5" w:rsidRDefault="007832C5" w:rsidP="007832C5">
      <w:pPr>
        <w:spacing w:line="360" w:lineRule="auto"/>
        <w:jc w:val="both"/>
        <w:rPr>
          <w:rFonts w:ascii="Times New Roman" w:hAnsi="Times New Roman" w:cs="Times New Roman"/>
          <w:color w:val="1155CC"/>
          <w:sz w:val="24"/>
          <w:szCs w:val="24"/>
          <w:u w:val="single"/>
        </w:rPr>
      </w:pPr>
      <w:r w:rsidRPr="007832C5">
        <w:rPr>
          <w:rFonts w:ascii="Times New Roman" w:hAnsi="Times New Roman" w:cs="Times New Roman"/>
          <w:sz w:val="24"/>
          <w:szCs w:val="24"/>
        </w:rPr>
        <w:t xml:space="preserve">Gursoy, D., Malodia, S. and Dhir, A., 2022. The metaverse in the hospitality and tourism industry: An overview of current trends and future research directions. </w:t>
      </w:r>
      <w:r w:rsidRPr="007832C5">
        <w:rPr>
          <w:rFonts w:ascii="Times New Roman" w:hAnsi="Times New Roman" w:cs="Times New Roman"/>
          <w:i/>
          <w:sz w:val="24"/>
          <w:szCs w:val="24"/>
        </w:rPr>
        <w:t>Journal of Hospitality Marketing &amp; Management</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31</w:t>
      </w:r>
      <w:r w:rsidRPr="007832C5">
        <w:rPr>
          <w:rFonts w:ascii="Times New Roman" w:hAnsi="Times New Roman" w:cs="Times New Roman"/>
          <w:sz w:val="24"/>
          <w:szCs w:val="24"/>
        </w:rPr>
        <w:t>(5), pp.527-534.</w:t>
      </w:r>
      <w:r w:rsidRPr="007832C5">
        <w:rPr>
          <w:rFonts w:ascii="Times New Roman" w:hAnsi="Times New Roman" w:cs="Times New Roman"/>
          <w:color w:val="1155CC"/>
          <w:sz w:val="24"/>
          <w:szCs w:val="24"/>
          <w:u w:val="single"/>
        </w:rPr>
        <w:t xml:space="preserve"> </w:t>
      </w:r>
    </w:p>
    <w:p w14:paraId="084FEC24"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Huang, L., Qin, J., Zhou, Y., Zhu, F., Liu, L. and Shao, L., 2023. Normalization techniques in training dnns: Methodology, analysis and application. </w:t>
      </w:r>
      <w:r w:rsidRPr="007832C5">
        <w:rPr>
          <w:rFonts w:ascii="Times New Roman" w:hAnsi="Times New Roman" w:cs="Times New Roman"/>
          <w:i/>
          <w:iCs/>
          <w:sz w:val="24"/>
          <w:szCs w:val="24"/>
        </w:rPr>
        <w:t>IEEE transactions on pattern analysis and machine intelligence</w:t>
      </w:r>
      <w:r w:rsidRPr="007832C5">
        <w:rPr>
          <w:rFonts w:ascii="Times New Roman" w:hAnsi="Times New Roman" w:cs="Times New Roman"/>
          <w:sz w:val="24"/>
          <w:szCs w:val="24"/>
        </w:rPr>
        <w:t>, </w:t>
      </w:r>
      <w:r w:rsidRPr="007832C5">
        <w:rPr>
          <w:rFonts w:ascii="Times New Roman" w:hAnsi="Times New Roman" w:cs="Times New Roman"/>
          <w:i/>
          <w:iCs/>
          <w:sz w:val="24"/>
          <w:szCs w:val="24"/>
        </w:rPr>
        <w:t>45</w:t>
      </w:r>
      <w:r w:rsidRPr="007832C5">
        <w:rPr>
          <w:rFonts w:ascii="Times New Roman" w:hAnsi="Times New Roman" w:cs="Times New Roman"/>
          <w:sz w:val="24"/>
          <w:szCs w:val="24"/>
        </w:rPr>
        <w:t>(8), pp.10173-10196.</w:t>
      </w:r>
    </w:p>
    <w:p w14:paraId="7D22D513"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Kravariti, F., Jooss, S., Tom Dieck, M.C., Fountoulaki, P. and Hossain, F., 2025. Talent management in the hospitality and tourism industry: the role of societal and organisational culture. </w:t>
      </w:r>
      <w:r w:rsidRPr="007832C5">
        <w:rPr>
          <w:rFonts w:ascii="Times New Roman" w:hAnsi="Times New Roman" w:cs="Times New Roman"/>
          <w:i/>
          <w:sz w:val="24"/>
          <w:szCs w:val="24"/>
        </w:rPr>
        <w:t>International Journal of Contemporary Hospitality Management</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37</w:t>
      </w:r>
      <w:r w:rsidRPr="007832C5">
        <w:rPr>
          <w:rFonts w:ascii="Times New Roman" w:hAnsi="Times New Roman" w:cs="Times New Roman"/>
          <w:sz w:val="24"/>
          <w:szCs w:val="24"/>
        </w:rPr>
        <w:t>(1), pp.260-278.</w:t>
      </w:r>
      <w:hyperlink r:id="rId13">
        <w:r w:rsidRPr="007832C5">
          <w:rPr>
            <w:rFonts w:ascii="Times New Roman" w:hAnsi="Times New Roman" w:cs="Times New Roman"/>
            <w:color w:val="1155CC"/>
            <w:sz w:val="24"/>
            <w:szCs w:val="24"/>
            <w:u w:val="single"/>
          </w:rPr>
          <w:t xml:space="preserve"> </w:t>
        </w:r>
      </w:hyperlink>
    </w:p>
    <w:p w14:paraId="3C553C5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Kumar, S. and Samtani, J., 2021. The Influence of Customer Service Quality towards Customer Satisfaction and its implication on Loyalty: A Survey on MICE Customers in Hotels. </w:t>
      </w:r>
      <w:r w:rsidRPr="007832C5">
        <w:rPr>
          <w:rFonts w:ascii="Times New Roman" w:hAnsi="Times New Roman" w:cs="Times New Roman"/>
          <w:i/>
          <w:sz w:val="24"/>
          <w:szCs w:val="24"/>
        </w:rPr>
        <w:t>FIRM Journal of Management Studies</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6</w:t>
      </w:r>
      <w:r w:rsidRPr="007832C5">
        <w:rPr>
          <w:rFonts w:ascii="Times New Roman" w:hAnsi="Times New Roman" w:cs="Times New Roman"/>
          <w:sz w:val="24"/>
          <w:szCs w:val="24"/>
        </w:rPr>
        <w:t>(2), p.143.</w:t>
      </w:r>
    </w:p>
    <w:p w14:paraId="2CF92BAD" w14:textId="77777777" w:rsidR="007832C5" w:rsidRPr="007832C5" w:rsidRDefault="007832C5" w:rsidP="007832C5">
      <w:pPr>
        <w:spacing w:line="360" w:lineRule="auto"/>
        <w:jc w:val="both"/>
        <w:rPr>
          <w:rFonts w:ascii="Times New Roman" w:hAnsi="Times New Roman" w:cs="Times New Roman"/>
          <w:color w:val="1155CC"/>
          <w:sz w:val="24"/>
          <w:szCs w:val="24"/>
          <w:u w:val="single"/>
        </w:rPr>
      </w:pPr>
      <w:r w:rsidRPr="007832C5">
        <w:rPr>
          <w:rFonts w:ascii="Times New Roman" w:hAnsi="Times New Roman" w:cs="Times New Roman"/>
          <w:sz w:val="24"/>
          <w:szCs w:val="24"/>
        </w:rPr>
        <w:t xml:space="preserve">Kumar, V. and Garg, M.L., 2018. Predictive analytics: a review of trends and techniques. </w:t>
      </w:r>
      <w:r w:rsidRPr="007832C5">
        <w:rPr>
          <w:rFonts w:ascii="Times New Roman" w:hAnsi="Times New Roman" w:cs="Times New Roman"/>
          <w:i/>
          <w:sz w:val="24"/>
          <w:szCs w:val="24"/>
        </w:rPr>
        <w:t>International Journal of Computer Applications</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182</w:t>
      </w:r>
      <w:r w:rsidRPr="007832C5">
        <w:rPr>
          <w:rFonts w:ascii="Times New Roman" w:hAnsi="Times New Roman" w:cs="Times New Roman"/>
          <w:sz w:val="24"/>
          <w:szCs w:val="24"/>
        </w:rPr>
        <w:t>(1), pp.31-37.</w:t>
      </w:r>
      <w:r w:rsidRPr="007832C5">
        <w:rPr>
          <w:rFonts w:ascii="Times New Roman" w:hAnsi="Times New Roman" w:cs="Times New Roman"/>
          <w:color w:val="1155CC"/>
          <w:sz w:val="24"/>
          <w:szCs w:val="24"/>
          <w:u w:val="single"/>
        </w:rPr>
        <w:t xml:space="preserve"> </w:t>
      </w:r>
    </w:p>
    <w:p w14:paraId="6E0D63A9"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Li, H., Liu, Y., Tan, C.W. and Hu, F., 2020. Comprehending customer satisfaction with hotels: Data analysis of consumer-generated reviews. </w:t>
      </w:r>
      <w:r w:rsidRPr="007832C5">
        <w:rPr>
          <w:rFonts w:ascii="Times New Roman" w:hAnsi="Times New Roman" w:cs="Times New Roman"/>
          <w:i/>
          <w:sz w:val="24"/>
          <w:szCs w:val="24"/>
        </w:rPr>
        <w:t>International Journal of Contemporary Hospitality Management</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32</w:t>
      </w:r>
      <w:r w:rsidRPr="007832C5">
        <w:rPr>
          <w:rFonts w:ascii="Times New Roman" w:hAnsi="Times New Roman" w:cs="Times New Roman"/>
          <w:sz w:val="24"/>
          <w:szCs w:val="24"/>
        </w:rPr>
        <w:t>(5), pp.1713-1735.</w:t>
      </w:r>
      <w:hyperlink r:id="rId14">
        <w:r w:rsidRPr="007832C5">
          <w:rPr>
            <w:rFonts w:ascii="Times New Roman" w:hAnsi="Times New Roman" w:cs="Times New Roman"/>
            <w:color w:val="1155CC"/>
            <w:sz w:val="24"/>
            <w:szCs w:val="24"/>
            <w:u w:val="single"/>
          </w:rPr>
          <w:t xml:space="preserve"> </w:t>
        </w:r>
      </w:hyperlink>
    </w:p>
    <w:p w14:paraId="12B5461B"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Lo, A.S. and Yao, S.S., 2019. What makes hotel online reviews credible? An investigation of the roles of reviewer expertise, review rating consistency and review valence. </w:t>
      </w:r>
      <w:r w:rsidRPr="007832C5">
        <w:rPr>
          <w:rFonts w:ascii="Times New Roman" w:hAnsi="Times New Roman" w:cs="Times New Roman"/>
          <w:i/>
          <w:sz w:val="24"/>
          <w:szCs w:val="24"/>
        </w:rPr>
        <w:t>International Journal of Contemporary Hospitality Management</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31</w:t>
      </w:r>
      <w:r w:rsidRPr="007832C5">
        <w:rPr>
          <w:rFonts w:ascii="Times New Roman" w:hAnsi="Times New Roman" w:cs="Times New Roman"/>
          <w:sz w:val="24"/>
          <w:szCs w:val="24"/>
        </w:rPr>
        <w:t>(1), pp.41-60.</w:t>
      </w:r>
      <w:hyperlink r:id="rId15">
        <w:r w:rsidRPr="007832C5">
          <w:rPr>
            <w:rFonts w:ascii="Times New Roman" w:hAnsi="Times New Roman" w:cs="Times New Roman"/>
            <w:color w:val="1155CC"/>
            <w:sz w:val="24"/>
            <w:szCs w:val="24"/>
            <w:u w:val="single"/>
          </w:rPr>
          <w:t xml:space="preserve"> </w:t>
        </w:r>
      </w:hyperlink>
    </w:p>
    <w:p w14:paraId="4F4F2916"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Mishra, S.B. and Alok, S., 2022. </w:t>
      </w:r>
      <w:r w:rsidRPr="007832C5">
        <w:rPr>
          <w:rFonts w:ascii="Times New Roman" w:hAnsi="Times New Roman" w:cs="Times New Roman"/>
          <w:i/>
          <w:iCs/>
          <w:sz w:val="24"/>
          <w:szCs w:val="24"/>
        </w:rPr>
        <w:t>Handbook of research methodology</w:t>
      </w:r>
      <w:r w:rsidRPr="007832C5">
        <w:rPr>
          <w:rFonts w:ascii="Times New Roman" w:hAnsi="Times New Roman" w:cs="Times New Roman"/>
          <w:sz w:val="24"/>
          <w:szCs w:val="24"/>
        </w:rPr>
        <w:t>. Educreation publishing.</w:t>
      </w:r>
    </w:p>
    <w:p w14:paraId="2AE8226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Morrison, A. and Barry O’Mahony, G., 2003. The liberation of hospitality management education. </w:t>
      </w:r>
      <w:r w:rsidRPr="007832C5">
        <w:rPr>
          <w:rFonts w:ascii="Times New Roman" w:hAnsi="Times New Roman" w:cs="Times New Roman"/>
          <w:i/>
          <w:iCs/>
          <w:sz w:val="24"/>
          <w:szCs w:val="24"/>
        </w:rPr>
        <w:t>International Journal of Contemporary Hospitality Management</w:t>
      </w:r>
      <w:r w:rsidRPr="007832C5">
        <w:rPr>
          <w:rFonts w:ascii="Times New Roman" w:hAnsi="Times New Roman" w:cs="Times New Roman"/>
          <w:sz w:val="24"/>
          <w:szCs w:val="24"/>
        </w:rPr>
        <w:t>, </w:t>
      </w:r>
      <w:r w:rsidRPr="007832C5">
        <w:rPr>
          <w:rFonts w:ascii="Times New Roman" w:hAnsi="Times New Roman" w:cs="Times New Roman"/>
          <w:i/>
          <w:iCs/>
          <w:sz w:val="24"/>
          <w:szCs w:val="24"/>
        </w:rPr>
        <w:t>15</w:t>
      </w:r>
      <w:r w:rsidRPr="007832C5">
        <w:rPr>
          <w:rFonts w:ascii="Times New Roman" w:hAnsi="Times New Roman" w:cs="Times New Roman"/>
          <w:sz w:val="24"/>
          <w:szCs w:val="24"/>
        </w:rPr>
        <w:t>(1), pp.38-44.</w:t>
      </w:r>
    </w:p>
    <w:p w14:paraId="267DD651"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Mun, S.G., Park, E.O. and Woo, L., 2022. Strategic target customers of food and beverage offerings in full-service hotels: Outside-hotel customers. </w:t>
      </w:r>
      <w:r w:rsidRPr="007832C5">
        <w:rPr>
          <w:rFonts w:ascii="Times New Roman" w:hAnsi="Times New Roman" w:cs="Times New Roman"/>
          <w:i/>
          <w:iCs/>
          <w:sz w:val="24"/>
          <w:szCs w:val="24"/>
        </w:rPr>
        <w:t>International Journal of Hospitality Management</w:t>
      </w:r>
      <w:r w:rsidRPr="007832C5">
        <w:rPr>
          <w:rFonts w:ascii="Times New Roman" w:hAnsi="Times New Roman" w:cs="Times New Roman"/>
          <w:sz w:val="24"/>
          <w:szCs w:val="24"/>
        </w:rPr>
        <w:t>, </w:t>
      </w:r>
      <w:r w:rsidRPr="007832C5">
        <w:rPr>
          <w:rFonts w:ascii="Times New Roman" w:hAnsi="Times New Roman" w:cs="Times New Roman"/>
          <w:i/>
          <w:iCs/>
          <w:sz w:val="24"/>
          <w:szCs w:val="24"/>
        </w:rPr>
        <w:t>102</w:t>
      </w:r>
      <w:r w:rsidRPr="007832C5">
        <w:rPr>
          <w:rFonts w:ascii="Times New Roman" w:hAnsi="Times New Roman" w:cs="Times New Roman"/>
          <w:sz w:val="24"/>
          <w:szCs w:val="24"/>
        </w:rPr>
        <w:t>, p.103159.</w:t>
      </w:r>
    </w:p>
    <w:p w14:paraId="44939AAC"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lastRenderedPageBreak/>
        <w:t>Mun, S.G., Woo, L. and Seo, K., 2021. Importance of F&amp;B operation in luxury hotels: the case of Asia versus the US. </w:t>
      </w:r>
      <w:r w:rsidRPr="007832C5">
        <w:rPr>
          <w:rFonts w:ascii="Times New Roman" w:hAnsi="Times New Roman" w:cs="Times New Roman"/>
          <w:i/>
          <w:iCs/>
          <w:sz w:val="24"/>
          <w:szCs w:val="24"/>
        </w:rPr>
        <w:t>International Journal of Contemporary Hospitality Management</w:t>
      </w:r>
      <w:r w:rsidRPr="007832C5">
        <w:rPr>
          <w:rFonts w:ascii="Times New Roman" w:hAnsi="Times New Roman" w:cs="Times New Roman"/>
          <w:sz w:val="24"/>
          <w:szCs w:val="24"/>
        </w:rPr>
        <w:t>, </w:t>
      </w:r>
      <w:r w:rsidRPr="007832C5">
        <w:rPr>
          <w:rFonts w:ascii="Times New Roman" w:hAnsi="Times New Roman" w:cs="Times New Roman"/>
          <w:i/>
          <w:iCs/>
          <w:sz w:val="24"/>
          <w:szCs w:val="24"/>
        </w:rPr>
        <w:t>33</w:t>
      </w:r>
      <w:r w:rsidRPr="007832C5">
        <w:rPr>
          <w:rFonts w:ascii="Times New Roman" w:hAnsi="Times New Roman" w:cs="Times New Roman"/>
          <w:sz w:val="24"/>
          <w:szCs w:val="24"/>
        </w:rPr>
        <w:t>(1), pp.125-144.</w:t>
      </w:r>
    </w:p>
    <w:p w14:paraId="6DA189A1"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Muzwardi, A. and Simbolon, G., 2024. SWOT and PEST analysis in tourism management in Bintan Regency. </w:t>
      </w:r>
      <w:r w:rsidRPr="007832C5">
        <w:rPr>
          <w:rFonts w:ascii="Times New Roman" w:hAnsi="Times New Roman" w:cs="Times New Roman"/>
          <w:i/>
          <w:iCs/>
          <w:sz w:val="24"/>
          <w:szCs w:val="24"/>
        </w:rPr>
        <w:t>Indonesian Tourism Journal</w:t>
      </w:r>
      <w:r w:rsidRPr="007832C5">
        <w:rPr>
          <w:rFonts w:ascii="Times New Roman" w:hAnsi="Times New Roman" w:cs="Times New Roman"/>
          <w:sz w:val="24"/>
          <w:szCs w:val="24"/>
        </w:rPr>
        <w:t>, </w:t>
      </w:r>
      <w:r w:rsidRPr="007832C5">
        <w:rPr>
          <w:rFonts w:ascii="Times New Roman" w:hAnsi="Times New Roman" w:cs="Times New Roman"/>
          <w:i/>
          <w:iCs/>
          <w:sz w:val="24"/>
          <w:szCs w:val="24"/>
        </w:rPr>
        <w:t>1</w:t>
      </w:r>
      <w:r w:rsidRPr="007832C5">
        <w:rPr>
          <w:rFonts w:ascii="Times New Roman" w:hAnsi="Times New Roman" w:cs="Times New Roman"/>
          <w:sz w:val="24"/>
          <w:szCs w:val="24"/>
        </w:rPr>
        <w:t>(1), pp.82-92.</w:t>
      </w:r>
    </w:p>
    <w:p w14:paraId="6929DAD3"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Ocaña-Fernández, Y. and Fuster-Guillén, D., 2021. The bibliographical review as a research methodology. </w:t>
      </w:r>
      <w:r w:rsidRPr="007832C5">
        <w:rPr>
          <w:rFonts w:ascii="Times New Roman" w:hAnsi="Times New Roman" w:cs="Times New Roman"/>
          <w:i/>
          <w:iCs/>
          <w:sz w:val="24"/>
          <w:szCs w:val="24"/>
        </w:rPr>
        <w:t>Revista Tempos e Espaços em Educação</w:t>
      </w:r>
      <w:r w:rsidRPr="007832C5">
        <w:rPr>
          <w:rFonts w:ascii="Times New Roman" w:hAnsi="Times New Roman" w:cs="Times New Roman"/>
          <w:sz w:val="24"/>
          <w:szCs w:val="24"/>
        </w:rPr>
        <w:t>, </w:t>
      </w:r>
      <w:r w:rsidRPr="007832C5">
        <w:rPr>
          <w:rFonts w:ascii="Times New Roman" w:hAnsi="Times New Roman" w:cs="Times New Roman"/>
          <w:i/>
          <w:iCs/>
          <w:sz w:val="24"/>
          <w:szCs w:val="24"/>
        </w:rPr>
        <w:t>14</w:t>
      </w:r>
      <w:r w:rsidRPr="007832C5">
        <w:rPr>
          <w:rFonts w:ascii="Times New Roman" w:hAnsi="Times New Roman" w:cs="Times New Roman"/>
          <w:sz w:val="24"/>
          <w:szCs w:val="24"/>
        </w:rPr>
        <w:t>(33), pp.e15614-e15614.</w:t>
      </w:r>
    </w:p>
    <w:p w14:paraId="05BCBBE1"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Orús, C., Ibáñez-Sánchez, S. and Flavián, C., 2021. Enhancing the customer experience with virtual and augmented reality: The impact of content and device type. </w:t>
      </w:r>
      <w:r w:rsidRPr="007832C5">
        <w:rPr>
          <w:rFonts w:ascii="Times New Roman" w:hAnsi="Times New Roman" w:cs="Times New Roman"/>
          <w:i/>
          <w:sz w:val="24"/>
          <w:szCs w:val="24"/>
        </w:rPr>
        <w:t>International Journal of Hospitality Management</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98</w:t>
      </w:r>
      <w:r w:rsidRPr="007832C5">
        <w:rPr>
          <w:rFonts w:ascii="Times New Roman" w:hAnsi="Times New Roman" w:cs="Times New Roman"/>
          <w:sz w:val="24"/>
          <w:szCs w:val="24"/>
        </w:rPr>
        <w:t>, p.103019.</w:t>
      </w:r>
      <w:hyperlink r:id="rId16">
        <w:r w:rsidRPr="007832C5">
          <w:rPr>
            <w:rFonts w:ascii="Times New Roman" w:hAnsi="Times New Roman" w:cs="Times New Roman"/>
            <w:color w:val="1155CC"/>
            <w:sz w:val="24"/>
            <w:szCs w:val="24"/>
            <w:u w:val="single"/>
          </w:rPr>
          <w:t xml:space="preserve"> </w:t>
        </w:r>
      </w:hyperlink>
    </w:p>
    <w:p w14:paraId="34805771"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Pham, N.T., Tučková, Z. and Jabbour, C.J.C., 2019. Greening the hospitality industry: How do green human resource management practices influence organizational citizenship behavior in hotels? A mixed-methods study. </w:t>
      </w:r>
      <w:r w:rsidRPr="007832C5">
        <w:rPr>
          <w:rFonts w:ascii="Times New Roman" w:hAnsi="Times New Roman" w:cs="Times New Roman"/>
          <w:i/>
          <w:iCs/>
          <w:sz w:val="24"/>
          <w:szCs w:val="24"/>
        </w:rPr>
        <w:t>Tourism management</w:t>
      </w:r>
      <w:r w:rsidRPr="007832C5">
        <w:rPr>
          <w:rFonts w:ascii="Times New Roman" w:hAnsi="Times New Roman" w:cs="Times New Roman"/>
          <w:sz w:val="24"/>
          <w:szCs w:val="24"/>
        </w:rPr>
        <w:t>, </w:t>
      </w:r>
      <w:r w:rsidRPr="007832C5">
        <w:rPr>
          <w:rFonts w:ascii="Times New Roman" w:hAnsi="Times New Roman" w:cs="Times New Roman"/>
          <w:i/>
          <w:iCs/>
          <w:sz w:val="24"/>
          <w:szCs w:val="24"/>
        </w:rPr>
        <w:t>72</w:t>
      </w:r>
      <w:r w:rsidRPr="007832C5">
        <w:rPr>
          <w:rFonts w:ascii="Times New Roman" w:hAnsi="Times New Roman" w:cs="Times New Roman"/>
          <w:sz w:val="24"/>
          <w:szCs w:val="24"/>
        </w:rPr>
        <w:t>, pp.386-399.</w:t>
      </w:r>
    </w:p>
    <w:p w14:paraId="3AA76670"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Rahman, M., 2021. PESTEL analysis of the tourism industry. </w:t>
      </w:r>
      <w:r w:rsidRPr="007832C5">
        <w:rPr>
          <w:rFonts w:ascii="Times New Roman" w:hAnsi="Times New Roman" w:cs="Times New Roman"/>
          <w:i/>
          <w:iCs/>
          <w:sz w:val="24"/>
          <w:szCs w:val="24"/>
        </w:rPr>
        <w:t>URL: https://howandwhat. net/pestel-analysis-tourism-industry</w:t>
      </w:r>
      <w:r w:rsidRPr="007832C5">
        <w:rPr>
          <w:rFonts w:ascii="Times New Roman" w:hAnsi="Times New Roman" w:cs="Times New Roman"/>
          <w:sz w:val="24"/>
          <w:szCs w:val="24"/>
        </w:rPr>
        <w:t>.</w:t>
      </w:r>
    </w:p>
    <w:p w14:paraId="4311AF1A"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Riva, F., Magrizos, S. and Rubel, M.R.B., 2021. Investigating the link between managers' green knowledge and leadership style, and their firms' environmental performance: The mediation role of green creativity. </w:t>
      </w:r>
      <w:r w:rsidRPr="007832C5">
        <w:rPr>
          <w:rFonts w:ascii="Times New Roman" w:hAnsi="Times New Roman" w:cs="Times New Roman"/>
          <w:i/>
          <w:iCs/>
          <w:sz w:val="24"/>
          <w:szCs w:val="24"/>
        </w:rPr>
        <w:t>Business Strategy and the Environment</w:t>
      </w:r>
      <w:r w:rsidRPr="007832C5">
        <w:rPr>
          <w:rFonts w:ascii="Times New Roman" w:hAnsi="Times New Roman" w:cs="Times New Roman"/>
          <w:sz w:val="24"/>
          <w:szCs w:val="24"/>
        </w:rPr>
        <w:t>, </w:t>
      </w:r>
      <w:r w:rsidRPr="007832C5">
        <w:rPr>
          <w:rFonts w:ascii="Times New Roman" w:hAnsi="Times New Roman" w:cs="Times New Roman"/>
          <w:i/>
          <w:iCs/>
          <w:sz w:val="24"/>
          <w:szCs w:val="24"/>
        </w:rPr>
        <w:t>30</w:t>
      </w:r>
      <w:r w:rsidRPr="007832C5">
        <w:rPr>
          <w:rFonts w:ascii="Times New Roman" w:hAnsi="Times New Roman" w:cs="Times New Roman"/>
          <w:sz w:val="24"/>
          <w:szCs w:val="24"/>
        </w:rPr>
        <w:t>(7), pp.3228-3240.</w:t>
      </w:r>
    </w:p>
    <w:p w14:paraId="18775F2D"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Rossington Hall, 2024. </w:t>
      </w:r>
      <w:r w:rsidRPr="007832C5">
        <w:rPr>
          <w:rFonts w:ascii="Times New Roman" w:hAnsi="Times New Roman" w:cs="Times New Roman"/>
          <w:i/>
          <w:sz w:val="24"/>
          <w:szCs w:val="24"/>
        </w:rPr>
        <w:t>About Us</w:t>
      </w:r>
      <w:r w:rsidRPr="007832C5">
        <w:rPr>
          <w:rFonts w:ascii="Times New Roman" w:hAnsi="Times New Roman" w:cs="Times New Roman"/>
          <w:sz w:val="24"/>
          <w:szCs w:val="24"/>
        </w:rPr>
        <w:t xml:space="preserve">. [online] Rossington Hall. Available at: </w:t>
      </w:r>
      <w:hyperlink r:id="rId17" w:history="1">
        <w:r w:rsidRPr="007832C5">
          <w:rPr>
            <w:rFonts w:ascii="Times New Roman" w:hAnsi="Times New Roman" w:cs="Times New Roman"/>
            <w:color w:val="0563C1" w:themeColor="hyperlink"/>
            <w:sz w:val="24"/>
            <w:szCs w:val="24"/>
            <w:u w:val="single"/>
          </w:rPr>
          <w:t>https://rossingtonhall.co.uk/about-us/</w:t>
        </w:r>
      </w:hyperlink>
      <w:r w:rsidRPr="007832C5">
        <w:rPr>
          <w:rFonts w:ascii="Times New Roman" w:hAnsi="Times New Roman" w:cs="Times New Roman"/>
          <w:sz w:val="24"/>
          <w:szCs w:val="24"/>
        </w:rPr>
        <w:t xml:space="preserve"> [Accessed 20 Feb. 2025].</w:t>
      </w:r>
    </w:p>
    <w:p w14:paraId="368AF5F3"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Rossington Hall, 2025. </w:t>
      </w:r>
      <w:r w:rsidRPr="007832C5">
        <w:rPr>
          <w:rFonts w:ascii="Times New Roman" w:hAnsi="Times New Roman" w:cs="Times New Roman"/>
          <w:i/>
          <w:sz w:val="24"/>
          <w:szCs w:val="24"/>
        </w:rPr>
        <w:t>Rossington Hall - Luxury Wedding Venue, Dining &amp; Accommodation Doncaster</w:t>
      </w:r>
      <w:r w:rsidRPr="007832C5">
        <w:rPr>
          <w:rFonts w:ascii="Times New Roman" w:hAnsi="Times New Roman" w:cs="Times New Roman"/>
          <w:sz w:val="24"/>
          <w:szCs w:val="24"/>
        </w:rPr>
        <w:t>. [online] Rossington Hall. Available at:</w:t>
      </w:r>
      <w:hyperlink r:id="rId18">
        <w:r w:rsidRPr="007832C5">
          <w:rPr>
            <w:rFonts w:ascii="Times New Roman" w:hAnsi="Times New Roman" w:cs="Times New Roman"/>
            <w:color w:val="1155CC"/>
            <w:sz w:val="24"/>
            <w:szCs w:val="24"/>
            <w:u w:val="single"/>
          </w:rPr>
          <w:t xml:space="preserve"> https://rossingtonhall.co.uk/</w:t>
        </w:r>
      </w:hyperlink>
      <w:r w:rsidRPr="007832C5">
        <w:rPr>
          <w:rFonts w:ascii="Times New Roman" w:hAnsi="Times New Roman" w:cs="Times New Roman"/>
          <w:sz w:val="24"/>
          <w:szCs w:val="24"/>
        </w:rPr>
        <w:t>. [Accessed 20 Feb 2025]</w:t>
      </w:r>
    </w:p>
    <w:p w14:paraId="0C0A3263"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Rossington Hall, 2025. </w:t>
      </w:r>
      <w:r w:rsidRPr="007832C5">
        <w:rPr>
          <w:rFonts w:ascii="Times New Roman" w:hAnsi="Times New Roman" w:cs="Times New Roman"/>
          <w:i/>
          <w:iCs/>
          <w:sz w:val="24"/>
          <w:szCs w:val="24"/>
        </w:rPr>
        <w:t>Welcome to Rossington Hall</w:t>
      </w:r>
      <w:r w:rsidRPr="007832C5">
        <w:rPr>
          <w:rFonts w:ascii="Times New Roman" w:hAnsi="Times New Roman" w:cs="Times New Roman"/>
          <w:sz w:val="24"/>
          <w:szCs w:val="24"/>
        </w:rPr>
        <w:t xml:space="preserve">. Available at: </w:t>
      </w:r>
      <w:hyperlink r:id="rId19" w:history="1">
        <w:r w:rsidRPr="007832C5">
          <w:rPr>
            <w:rFonts w:ascii="Times New Roman" w:hAnsi="Times New Roman" w:cs="Times New Roman"/>
            <w:color w:val="0563C1" w:themeColor="hyperlink"/>
            <w:sz w:val="24"/>
            <w:szCs w:val="24"/>
            <w:u w:val="single"/>
          </w:rPr>
          <w:t>https://rossingtonhall.co.uk/</w:t>
        </w:r>
      </w:hyperlink>
      <w:r w:rsidRPr="007832C5">
        <w:rPr>
          <w:rFonts w:ascii="Times New Roman" w:hAnsi="Times New Roman" w:cs="Times New Roman"/>
          <w:sz w:val="24"/>
          <w:szCs w:val="24"/>
        </w:rPr>
        <w:t xml:space="preserve"> [Accessed on 26</w:t>
      </w:r>
      <w:r w:rsidRPr="007832C5">
        <w:rPr>
          <w:rFonts w:ascii="Times New Roman" w:hAnsi="Times New Roman" w:cs="Times New Roman"/>
          <w:sz w:val="24"/>
          <w:szCs w:val="24"/>
          <w:vertAlign w:val="superscript"/>
        </w:rPr>
        <w:t>th</w:t>
      </w:r>
      <w:r w:rsidRPr="007832C5">
        <w:rPr>
          <w:rFonts w:ascii="Times New Roman" w:hAnsi="Times New Roman" w:cs="Times New Roman"/>
          <w:sz w:val="24"/>
          <w:szCs w:val="24"/>
        </w:rPr>
        <w:t xml:space="preserve"> Feb 2025]</w:t>
      </w:r>
    </w:p>
    <w:p w14:paraId="7E3BC1E6" w14:textId="77777777" w:rsidR="007832C5" w:rsidRPr="007832C5" w:rsidRDefault="007832C5" w:rsidP="007832C5">
      <w:pPr>
        <w:spacing w:line="360" w:lineRule="auto"/>
        <w:rPr>
          <w:rFonts w:ascii="Times New Roman" w:hAnsi="Times New Roman" w:cs="Times New Roman"/>
          <w:sz w:val="24"/>
          <w:szCs w:val="24"/>
        </w:rPr>
      </w:pPr>
      <w:r w:rsidRPr="007832C5">
        <w:rPr>
          <w:rFonts w:ascii="Times New Roman" w:hAnsi="Times New Roman" w:cs="Times New Roman"/>
          <w:sz w:val="24"/>
          <w:szCs w:val="24"/>
        </w:rPr>
        <w:t>Ruiz Molina, M.E., Belda-Miquel, S., Hytti, A. and Gil-Saura, I., 2022. Addressing sustainable food management in hotels: proposing a framework and examining hotel groups. </w:t>
      </w:r>
      <w:r w:rsidRPr="007832C5">
        <w:rPr>
          <w:rFonts w:ascii="Times New Roman" w:hAnsi="Times New Roman" w:cs="Times New Roman"/>
          <w:i/>
          <w:iCs/>
          <w:sz w:val="24"/>
          <w:szCs w:val="24"/>
        </w:rPr>
        <w:t>British Food Journal</w:t>
      </w:r>
      <w:r w:rsidRPr="007832C5">
        <w:rPr>
          <w:rFonts w:ascii="Times New Roman" w:hAnsi="Times New Roman" w:cs="Times New Roman"/>
          <w:sz w:val="24"/>
          <w:szCs w:val="24"/>
        </w:rPr>
        <w:t>, </w:t>
      </w:r>
      <w:r w:rsidRPr="007832C5">
        <w:rPr>
          <w:rFonts w:ascii="Times New Roman" w:hAnsi="Times New Roman" w:cs="Times New Roman"/>
          <w:i/>
          <w:iCs/>
          <w:sz w:val="24"/>
          <w:szCs w:val="24"/>
        </w:rPr>
        <w:t>124</w:t>
      </w:r>
      <w:r w:rsidRPr="007832C5">
        <w:rPr>
          <w:rFonts w:ascii="Times New Roman" w:hAnsi="Times New Roman" w:cs="Times New Roman"/>
          <w:sz w:val="24"/>
          <w:szCs w:val="24"/>
        </w:rPr>
        <w:t>(2), pp.462-492.</w:t>
      </w:r>
    </w:p>
    <w:p w14:paraId="558A8EC3" w14:textId="77777777" w:rsidR="007832C5" w:rsidRPr="007832C5" w:rsidRDefault="007832C5" w:rsidP="007832C5">
      <w:pPr>
        <w:spacing w:line="360" w:lineRule="auto"/>
        <w:jc w:val="both"/>
        <w:rPr>
          <w:rFonts w:ascii="Times New Roman" w:hAnsi="Times New Roman" w:cs="Times New Roman"/>
          <w:color w:val="1155CC"/>
          <w:sz w:val="24"/>
          <w:szCs w:val="24"/>
          <w:u w:val="single"/>
        </w:rPr>
      </w:pPr>
      <w:r w:rsidRPr="007832C5">
        <w:rPr>
          <w:rFonts w:ascii="Times New Roman" w:hAnsi="Times New Roman" w:cs="Times New Roman"/>
          <w:sz w:val="24"/>
          <w:szCs w:val="24"/>
        </w:rPr>
        <w:lastRenderedPageBreak/>
        <w:t xml:space="preserve">Sanchez-Casado, N., Artal-Tur, A. and Tomaseti-Solano, E., 2019. Social media, customers' experience, and hotel loyalty programs. </w:t>
      </w:r>
      <w:r w:rsidRPr="007832C5">
        <w:rPr>
          <w:rFonts w:ascii="Times New Roman" w:hAnsi="Times New Roman" w:cs="Times New Roman"/>
          <w:i/>
          <w:sz w:val="24"/>
          <w:szCs w:val="24"/>
        </w:rPr>
        <w:t>Tourism Analysis</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24</w:t>
      </w:r>
      <w:r w:rsidRPr="007832C5">
        <w:rPr>
          <w:rFonts w:ascii="Times New Roman" w:hAnsi="Times New Roman" w:cs="Times New Roman"/>
          <w:sz w:val="24"/>
          <w:szCs w:val="24"/>
        </w:rPr>
        <w:t>(1), pp.27-41.</w:t>
      </w:r>
      <w:r w:rsidRPr="007832C5">
        <w:rPr>
          <w:rFonts w:ascii="Times New Roman" w:hAnsi="Times New Roman" w:cs="Times New Roman"/>
          <w:color w:val="1155CC"/>
          <w:sz w:val="24"/>
          <w:szCs w:val="24"/>
          <w:u w:val="single"/>
        </w:rPr>
        <w:t xml:space="preserve"> </w:t>
      </w:r>
    </w:p>
    <w:p w14:paraId="3F93B292"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Smela, B., Toumi, M., Świerk, K., Francois, C., Biernikiewicz, M., Clay, E. and Boyer, L., 2023. Rapid literature review: definition and methodology. </w:t>
      </w:r>
      <w:r w:rsidRPr="007832C5">
        <w:rPr>
          <w:rFonts w:ascii="Times New Roman" w:hAnsi="Times New Roman" w:cs="Times New Roman"/>
          <w:i/>
          <w:iCs/>
          <w:sz w:val="24"/>
          <w:szCs w:val="24"/>
        </w:rPr>
        <w:t>Journal of market access &amp; health policy</w:t>
      </w:r>
      <w:r w:rsidRPr="007832C5">
        <w:rPr>
          <w:rFonts w:ascii="Times New Roman" w:hAnsi="Times New Roman" w:cs="Times New Roman"/>
          <w:sz w:val="24"/>
          <w:szCs w:val="24"/>
        </w:rPr>
        <w:t>, </w:t>
      </w:r>
      <w:r w:rsidRPr="007832C5">
        <w:rPr>
          <w:rFonts w:ascii="Times New Roman" w:hAnsi="Times New Roman" w:cs="Times New Roman"/>
          <w:i/>
          <w:iCs/>
          <w:sz w:val="24"/>
          <w:szCs w:val="24"/>
        </w:rPr>
        <w:t>11</w:t>
      </w:r>
      <w:r w:rsidRPr="007832C5">
        <w:rPr>
          <w:rFonts w:ascii="Times New Roman" w:hAnsi="Times New Roman" w:cs="Times New Roman"/>
          <w:sz w:val="24"/>
          <w:szCs w:val="24"/>
        </w:rPr>
        <w:t>(1), p.2241234.</w:t>
      </w:r>
    </w:p>
    <w:p w14:paraId="20365BD0"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So, K.K.F., Kim, H., He, Y. and Li, X., 2023. Mapping service innovation research in hospitality and tourism: An integrative bibliometric analysis and research agenda. </w:t>
      </w:r>
      <w:r w:rsidRPr="007832C5">
        <w:rPr>
          <w:rFonts w:ascii="Times New Roman" w:hAnsi="Times New Roman" w:cs="Times New Roman"/>
          <w:i/>
          <w:iCs/>
          <w:sz w:val="24"/>
          <w:szCs w:val="24"/>
        </w:rPr>
        <w:t>Cornell Hospitality Quarterly</w:t>
      </w:r>
      <w:r w:rsidRPr="007832C5">
        <w:rPr>
          <w:rFonts w:ascii="Times New Roman" w:hAnsi="Times New Roman" w:cs="Times New Roman"/>
          <w:sz w:val="24"/>
          <w:szCs w:val="24"/>
        </w:rPr>
        <w:t>, </w:t>
      </w:r>
      <w:r w:rsidRPr="007832C5">
        <w:rPr>
          <w:rFonts w:ascii="Times New Roman" w:hAnsi="Times New Roman" w:cs="Times New Roman"/>
          <w:i/>
          <w:iCs/>
          <w:sz w:val="24"/>
          <w:szCs w:val="24"/>
        </w:rPr>
        <w:t>64</w:t>
      </w:r>
      <w:r w:rsidRPr="007832C5">
        <w:rPr>
          <w:rFonts w:ascii="Times New Roman" w:hAnsi="Times New Roman" w:cs="Times New Roman"/>
          <w:sz w:val="24"/>
          <w:szCs w:val="24"/>
        </w:rPr>
        <w:t>(2), pp.143-160.</w:t>
      </w:r>
    </w:p>
    <w:p w14:paraId="606D0D0F" w14:textId="77777777" w:rsidR="007832C5" w:rsidRPr="007832C5" w:rsidRDefault="007832C5" w:rsidP="007832C5">
      <w:pPr>
        <w:spacing w:line="360" w:lineRule="auto"/>
        <w:jc w:val="both"/>
        <w:rPr>
          <w:rFonts w:ascii="Times New Roman" w:hAnsi="Times New Roman" w:cs="Times New Roman"/>
          <w:sz w:val="24"/>
          <w:szCs w:val="24"/>
        </w:rPr>
      </w:pPr>
      <w:r w:rsidRPr="007832C5">
        <w:rPr>
          <w:rFonts w:ascii="Times New Roman" w:hAnsi="Times New Roman" w:cs="Times New Roman"/>
          <w:sz w:val="24"/>
          <w:szCs w:val="24"/>
        </w:rPr>
        <w:t xml:space="preserve">Wu, S.H. and Gao, Y., 2019. Understanding emotional customer experience and co-creation behaviours in luxury hotels. </w:t>
      </w:r>
      <w:r w:rsidRPr="007832C5">
        <w:rPr>
          <w:rFonts w:ascii="Times New Roman" w:hAnsi="Times New Roman" w:cs="Times New Roman"/>
          <w:i/>
          <w:sz w:val="24"/>
          <w:szCs w:val="24"/>
        </w:rPr>
        <w:t>International Journal of Contemporary Hospitality Management</w:t>
      </w:r>
      <w:r w:rsidRPr="007832C5">
        <w:rPr>
          <w:rFonts w:ascii="Times New Roman" w:hAnsi="Times New Roman" w:cs="Times New Roman"/>
          <w:sz w:val="24"/>
          <w:szCs w:val="24"/>
        </w:rPr>
        <w:t xml:space="preserve">, </w:t>
      </w:r>
      <w:r w:rsidRPr="007832C5">
        <w:rPr>
          <w:rFonts w:ascii="Times New Roman" w:hAnsi="Times New Roman" w:cs="Times New Roman"/>
          <w:i/>
          <w:sz w:val="24"/>
          <w:szCs w:val="24"/>
        </w:rPr>
        <w:t>31</w:t>
      </w:r>
      <w:r w:rsidRPr="007832C5">
        <w:rPr>
          <w:rFonts w:ascii="Times New Roman" w:hAnsi="Times New Roman" w:cs="Times New Roman"/>
          <w:sz w:val="24"/>
          <w:szCs w:val="24"/>
        </w:rPr>
        <w:t>(11), pp.4247-4275.</w:t>
      </w:r>
      <w:hyperlink r:id="rId20">
        <w:r w:rsidRPr="007832C5">
          <w:rPr>
            <w:rFonts w:ascii="Times New Roman" w:hAnsi="Times New Roman" w:cs="Times New Roman"/>
            <w:color w:val="1155CC"/>
            <w:sz w:val="24"/>
            <w:szCs w:val="24"/>
            <w:u w:val="single"/>
          </w:rPr>
          <w:t xml:space="preserve"> </w:t>
        </w:r>
      </w:hyperlink>
    </w:p>
    <w:p w14:paraId="529AD1C3" w14:textId="77777777" w:rsidR="007832C5" w:rsidRPr="007832C5" w:rsidRDefault="007832C5" w:rsidP="007832C5">
      <w:pPr>
        <w:spacing w:line="360" w:lineRule="auto"/>
        <w:rPr>
          <w:color w:val="1155CC"/>
          <w:u w:val="single"/>
        </w:rPr>
      </w:pPr>
    </w:p>
    <w:p w14:paraId="186E1376" w14:textId="77777777" w:rsidR="007832C5" w:rsidRPr="007832C5" w:rsidRDefault="007832C5" w:rsidP="007832C5">
      <w:pPr>
        <w:spacing w:line="360" w:lineRule="auto"/>
        <w:jc w:val="both"/>
      </w:pPr>
    </w:p>
    <w:p w14:paraId="51ED65BD" w14:textId="77777777" w:rsidR="007832C5" w:rsidRPr="007832C5" w:rsidRDefault="007832C5" w:rsidP="007832C5">
      <w:pPr>
        <w:spacing w:line="360" w:lineRule="auto"/>
        <w:rPr>
          <w:color w:val="1155CC"/>
          <w:u w:val="single"/>
        </w:rPr>
      </w:pPr>
    </w:p>
    <w:p w14:paraId="1B64F5A1" w14:textId="77777777" w:rsidR="007832C5" w:rsidRPr="007832C5" w:rsidRDefault="007832C5" w:rsidP="007832C5">
      <w:pPr>
        <w:spacing w:line="360" w:lineRule="auto"/>
        <w:jc w:val="both"/>
        <w:rPr>
          <w:rFonts w:ascii="Times New Roman" w:hAnsi="Times New Roman" w:cs="Times New Roman"/>
          <w:color w:val="1155CC"/>
          <w:sz w:val="24"/>
          <w:szCs w:val="24"/>
          <w:u w:val="single"/>
        </w:rPr>
      </w:pPr>
    </w:p>
    <w:p w14:paraId="0B2FDF88" w14:textId="77777777" w:rsidR="007832C5" w:rsidRPr="007832C5" w:rsidRDefault="007832C5" w:rsidP="007832C5">
      <w:pPr>
        <w:spacing w:line="360" w:lineRule="auto"/>
        <w:jc w:val="both"/>
        <w:rPr>
          <w:rFonts w:ascii="Times New Roman" w:hAnsi="Times New Roman" w:cs="Times New Roman"/>
          <w:sz w:val="24"/>
          <w:szCs w:val="24"/>
        </w:rPr>
      </w:pPr>
    </w:p>
    <w:p w14:paraId="469F272B" w14:textId="77777777" w:rsidR="007832C5" w:rsidRPr="007832C5" w:rsidRDefault="007832C5" w:rsidP="007832C5">
      <w:pPr>
        <w:spacing w:line="360" w:lineRule="auto"/>
        <w:jc w:val="both"/>
        <w:rPr>
          <w:rFonts w:ascii="Times New Roman" w:hAnsi="Times New Roman" w:cs="Times New Roman"/>
          <w:sz w:val="24"/>
          <w:szCs w:val="24"/>
        </w:rPr>
      </w:pPr>
    </w:p>
    <w:p w14:paraId="62AE7064" w14:textId="77777777" w:rsidR="007832C5" w:rsidRPr="007832C5" w:rsidRDefault="007832C5" w:rsidP="007832C5">
      <w:pPr>
        <w:spacing w:line="360" w:lineRule="auto"/>
        <w:jc w:val="both"/>
        <w:rPr>
          <w:rFonts w:ascii="Times New Roman" w:hAnsi="Times New Roman" w:cs="Times New Roman"/>
          <w:b/>
          <w:bCs/>
          <w:sz w:val="24"/>
          <w:szCs w:val="24"/>
        </w:rPr>
      </w:pPr>
    </w:p>
    <w:p w14:paraId="591A8903" w14:textId="77777777" w:rsidR="007832C5" w:rsidRPr="007832C5" w:rsidRDefault="007832C5" w:rsidP="007832C5">
      <w:pPr>
        <w:spacing w:line="360" w:lineRule="auto"/>
        <w:jc w:val="both"/>
        <w:rPr>
          <w:rFonts w:ascii="Times New Roman" w:hAnsi="Times New Roman" w:cs="Times New Roman"/>
          <w:b/>
          <w:bCs/>
          <w:sz w:val="24"/>
          <w:szCs w:val="24"/>
        </w:rPr>
      </w:pPr>
    </w:p>
    <w:p w14:paraId="6A072C60" w14:textId="77777777" w:rsidR="007832C5" w:rsidRPr="007832C5" w:rsidRDefault="007832C5" w:rsidP="007832C5">
      <w:pPr>
        <w:rPr>
          <w:sz w:val="24"/>
          <w:szCs w:val="24"/>
        </w:rPr>
      </w:pPr>
    </w:p>
    <w:p w14:paraId="185317FE" w14:textId="77777777" w:rsidR="007832C5" w:rsidRDefault="007832C5" w:rsidP="007832C5">
      <w:pPr>
        <w:rPr>
          <w:kern w:val="0"/>
          <w:sz w:val="24"/>
          <w:szCs w:val="24"/>
          <w14:ligatures w14:val="none"/>
        </w:rPr>
      </w:pPr>
    </w:p>
    <w:p w14:paraId="2F83A417" w14:textId="77777777" w:rsidR="007832C5" w:rsidRDefault="007832C5" w:rsidP="007832C5">
      <w:pPr>
        <w:rPr>
          <w:kern w:val="0"/>
          <w:sz w:val="24"/>
          <w:szCs w:val="24"/>
          <w14:ligatures w14:val="none"/>
        </w:rPr>
      </w:pPr>
    </w:p>
    <w:p w14:paraId="683AE630" w14:textId="77777777" w:rsidR="007832C5" w:rsidRDefault="007832C5" w:rsidP="007832C5">
      <w:pPr>
        <w:rPr>
          <w:kern w:val="0"/>
          <w:sz w:val="24"/>
          <w:szCs w:val="24"/>
          <w14:ligatures w14:val="none"/>
        </w:rPr>
      </w:pPr>
    </w:p>
    <w:p w14:paraId="369DA57E" w14:textId="77777777" w:rsidR="007832C5" w:rsidRDefault="007832C5" w:rsidP="007832C5">
      <w:pPr>
        <w:rPr>
          <w:kern w:val="0"/>
          <w:sz w:val="24"/>
          <w:szCs w:val="24"/>
          <w14:ligatures w14:val="none"/>
        </w:rPr>
      </w:pPr>
    </w:p>
    <w:p w14:paraId="58E29562" w14:textId="77777777" w:rsidR="007832C5" w:rsidRDefault="007832C5" w:rsidP="007832C5">
      <w:pPr>
        <w:rPr>
          <w:kern w:val="0"/>
          <w:sz w:val="24"/>
          <w:szCs w:val="24"/>
          <w14:ligatures w14:val="none"/>
        </w:rPr>
      </w:pPr>
    </w:p>
    <w:p w14:paraId="366C72B3" w14:textId="77777777" w:rsidR="00E051D6" w:rsidRDefault="00E051D6"/>
    <w:sectPr w:rsidR="00E051D6">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C0B26" w14:textId="77777777" w:rsidR="00E615B6" w:rsidRDefault="00E615B6" w:rsidP="001C35F4">
      <w:pPr>
        <w:spacing w:after="0" w:line="240" w:lineRule="auto"/>
      </w:pPr>
      <w:r>
        <w:separator/>
      </w:r>
    </w:p>
  </w:endnote>
  <w:endnote w:type="continuationSeparator" w:id="0">
    <w:p w14:paraId="2210A880" w14:textId="77777777" w:rsidR="00E615B6" w:rsidRDefault="00E615B6" w:rsidP="001C3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9A2F49" w14:textId="77777777" w:rsidR="001C35F4" w:rsidRDefault="001C35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887658"/>
      <w:docPartObj>
        <w:docPartGallery w:val="Page Numbers (Bottom of Page)"/>
        <w:docPartUnique/>
      </w:docPartObj>
    </w:sdtPr>
    <w:sdtEndPr>
      <w:rPr>
        <w:noProof/>
      </w:rPr>
    </w:sdtEndPr>
    <w:sdtContent>
      <w:p w14:paraId="2A85F91A" w14:textId="47A5D235" w:rsidR="001C35F4" w:rsidRDefault="001C35F4">
        <w:pPr>
          <w:pStyle w:val="Footer"/>
        </w:pPr>
        <w:r>
          <w:fldChar w:fldCharType="begin"/>
        </w:r>
        <w:r>
          <w:instrText xml:space="preserve"> PAGE   \* MERGEFORMAT </w:instrText>
        </w:r>
        <w:r>
          <w:fldChar w:fldCharType="separate"/>
        </w:r>
        <w:r>
          <w:rPr>
            <w:noProof/>
          </w:rPr>
          <w:t>2</w:t>
        </w:r>
        <w:r>
          <w:rPr>
            <w:noProof/>
          </w:rPr>
          <w:fldChar w:fldCharType="end"/>
        </w:r>
      </w:p>
    </w:sdtContent>
  </w:sdt>
  <w:p w14:paraId="28B2D3C0" w14:textId="77777777" w:rsidR="001C35F4" w:rsidRDefault="001C35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433C6" w14:textId="77777777" w:rsidR="001C35F4" w:rsidRDefault="001C3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383DD" w14:textId="77777777" w:rsidR="00E615B6" w:rsidRDefault="00E615B6" w:rsidP="001C35F4">
      <w:pPr>
        <w:spacing w:after="0" w:line="240" w:lineRule="auto"/>
      </w:pPr>
      <w:r>
        <w:separator/>
      </w:r>
    </w:p>
  </w:footnote>
  <w:footnote w:type="continuationSeparator" w:id="0">
    <w:p w14:paraId="0461753B" w14:textId="77777777" w:rsidR="00E615B6" w:rsidRDefault="00E615B6" w:rsidP="001C35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D1384" w14:textId="77777777" w:rsidR="001C35F4" w:rsidRDefault="001C35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76E6A" w14:textId="77777777" w:rsidR="001C35F4" w:rsidRDefault="001C35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B29E17" w14:textId="77777777" w:rsidR="001C35F4" w:rsidRDefault="001C35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82072C"/>
    <w:multiLevelType w:val="multilevel"/>
    <w:tmpl w:val="A7DE8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8165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1D6"/>
    <w:rsid w:val="001C35F4"/>
    <w:rsid w:val="004C0D2B"/>
    <w:rsid w:val="007832C5"/>
    <w:rsid w:val="00BF6D59"/>
    <w:rsid w:val="00E051D6"/>
    <w:rsid w:val="00E61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CC30A"/>
  <w15:chartTrackingRefBased/>
  <w15:docId w15:val="{33BDFAD5-8579-4AF5-A59A-3BF82A3AE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2C5"/>
    <w:pPr>
      <w:spacing w:line="259" w:lineRule="auto"/>
    </w:pPr>
    <w:rPr>
      <w:sz w:val="22"/>
      <w:szCs w:val="22"/>
    </w:rPr>
  </w:style>
  <w:style w:type="paragraph" w:styleId="Heading1">
    <w:name w:val="heading 1"/>
    <w:basedOn w:val="Normal"/>
    <w:next w:val="Normal"/>
    <w:link w:val="Heading1Char"/>
    <w:uiPriority w:val="9"/>
    <w:qFormat/>
    <w:rsid w:val="00E051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051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51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51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51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5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1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51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51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51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51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5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1D6"/>
    <w:rPr>
      <w:rFonts w:eastAsiaTheme="majorEastAsia" w:cstheme="majorBidi"/>
      <w:color w:val="272727" w:themeColor="text1" w:themeTint="D8"/>
    </w:rPr>
  </w:style>
  <w:style w:type="paragraph" w:styleId="Title">
    <w:name w:val="Title"/>
    <w:basedOn w:val="Normal"/>
    <w:next w:val="Normal"/>
    <w:link w:val="TitleChar"/>
    <w:uiPriority w:val="10"/>
    <w:qFormat/>
    <w:rsid w:val="00E05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1D6"/>
    <w:pPr>
      <w:spacing w:before="160"/>
      <w:jc w:val="center"/>
    </w:pPr>
    <w:rPr>
      <w:i/>
      <w:iCs/>
      <w:color w:val="404040" w:themeColor="text1" w:themeTint="BF"/>
    </w:rPr>
  </w:style>
  <w:style w:type="character" w:customStyle="1" w:styleId="QuoteChar">
    <w:name w:val="Quote Char"/>
    <w:basedOn w:val="DefaultParagraphFont"/>
    <w:link w:val="Quote"/>
    <w:uiPriority w:val="29"/>
    <w:rsid w:val="00E051D6"/>
    <w:rPr>
      <w:i/>
      <w:iCs/>
      <w:color w:val="404040" w:themeColor="text1" w:themeTint="BF"/>
    </w:rPr>
  </w:style>
  <w:style w:type="paragraph" w:styleId="ListParagraph">
    <w:name w:val="List Paragraph"/>
    <w:basedOn w:val="Normal"/>
    <w:uiPriority w:val="34"/>
    <w:qFormat/>
    <w:rsid w:val="00E051D6"/>
    <w:pPr>
      <w:ind w:left="720"/>
      <w:contextualSpacing/>
    </w:pPr>
  </w:style>
  <w:style w:type="character" w:styleId="IntenseEmphasis">
    <w:name w:val="Intense Emphasis"/>
    <w:basedOn w:val="DefaultParagraphFont"/>
    <w:uiPriority w:val="21"/>
    <w:qFormat/>
    <w:rsid w:val="00E051D6"/>
    <w:rPr>
      <w:i/>
      <w:iCs/>
      <w:color w:val="2F5496" w:themeColor="accent1" w:themeShade="BF"/>
    </w:rPr>
  </w:style>
  <w:style w:type="paragraph" w:styleId="IntenseQuote">
    <w:name w:val="Intense Quote"/>
    <w:basedOn w:val="Normal"/>
    <w:next w:val="Normal"/>
    <w:link w:val="IntenseQuoteChar"/>
    <w:uiPriority w:val="30"/>
    <w:qFormat/>
    <w:rsid w:val="00E051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51D6"/>
    <w:rPr>
      <w:i/>
      <w:iCs/>
      <w:color w:val="2F5496" w:themeColor="accent1" w:themeShade="BF"/>
    </w:rPr>
  </w:style>
  <w:style w:type="character" w:styleId="IntenseReference">
    <w:name w:val="Intense Reference"/>
    <w:basedOn w:val="DefaultParagraphFont"/>
    <w:uiPriority w:val="32"/>
    <w:qFormat/>
    <w:rsid w:val="00E051D6"/>
    <w:rPr>
      <w:b/>
      <w:bCs/>
      <w:smallCaps/>
      <w:color w:val="2F5496" w:themeColor="accent1" w:themeShade="BF"/>
      <w:spacing w:val="5"/>
    </w:rPr>
  </w:style>
  <w:style w:type="table" w:styleId="TableGrid">
    <w:name w:val="Table Grid"/>
    <w:basedOn w:val="TableNormal"/>
    <w:uiPriority w:val="39"/>
    <w:rsid w:val="007832C5"/>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7832C5"/>
    <w:pPr>
      <w:spacing w:after="0" w:line="240" w:lineRule="auto"/>
    </w:pPr>
    <w:rPr>
      <w:sz w:val="22"/>
      <w:szCs w:val="22"/>
      <w:lang w:val="en-IN"/>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1C3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5F4"/>
    <w:rPr>
      <w:sz w:val="22"/>
      <w:szCs w:val="22"/>
    </w:rPr>
  </w:style>
  <w:style w:type="paragraph" w:styleId="Footer">
    <w:name w:val="footer"/>
    <w:basedOn w:val="Normal"/>
    <w:link w:val="FooterChar"/>
    <w:uiPriority w:val="99"/>
    <w:unhideWhenUsed/>
    <w:rsid w:val="001C3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5F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erald.com/insight/content/doi/10.1108/ijchm-04-2024-0522/full/html" TargetMode="External"/><Relationship Id="rId18" Type="http://schemas.openxmlformats.org/officeDocument/2006/relationships/hyperlink" Target="https://rossingtonhall.co.uk/"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rossingtonhall.co.uk/about-us/"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sciencedirect.com/science/article/pii/S0278431921001626" TargetMode="External"/><Relationship Id="rId20" Type="http://schemas.openxmlformats.org/officeDocument/2006/relationships/hyperlink" Target="https://www.emerald.com/insight/content/doi/10.1108/IJCHM-04-2018-0302/full/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emerald.com/insight/content/doi/10.1108/ijchm-10-2017-0671/full/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rossingtonhall.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merald.com/insight/content/doi/10.1108/ijchm-06-2019-0581/full/htm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38</Pages>
  <Words>11039</Words>
  <Characters>62928</Characters>
  <Application>Microsoft Office Word</Application>
  <DocSecurity>0</DocSecurity>
  <Lines>524</Lines>
  <Paragraphs>147</Paragraphs>
  <ScaleCrop>false</ScaleCrop>
  <Company/>
  <LinksUpToDate>false</LinksUpToDate>
  <CharactersWithSpaces>73820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3</cp:revision>
  <dcterms:created xsi:type="dcterms:W3CDTF">2025-03-03T23:34:00Z</dcterms:created>
  <dcterms:modified xsi:type="dcterms:W3CDTF">2025-03-03T23:37:00Z</dcterms:modified>
</cp:coreProperties>
</file>