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F1A82B" w14:textId="77777777" w:rsidR="00F02453" w:rsidRPr="009851CB" w:rsidRDefault="00F02453" w:rsidP="00F02453">
      <w:pPr>
        <w:spacing w:after="160" w:line="259" w:lineRule="auto"/>
        <w:jc w:val="left"/>
        <w:rPr>
          <w:b/>
          <w:bCs/>
        </w:rPr>
      </w:pPr>
      <w:r w:rsidRPr="009851CB">
        <w:rPr>
          <w:b/>
          <w:bCs/>
          <w:noProof/>
        </w:rPr>
        <w:drawing>
          <wp:anchor distT="0" distB="0" distL="114300" distR="114300" simplePos="0" relativeHeight="251661312" behindDoc="0" locked="0" layoutInCell="1" allowOverlap="1" wp14:anchorId="617DB848" wp14:editId="53919C6B">
            <wp:simplePos x="0" y="0"/>
            <wp:positionH relativeFrom="column">
              <wp:posOffset>1729740</wp:posOffset>
            </wp:positionH>
            <wp:positionV relativeFrom="paragraph">
              <wp:posOffset>146050</wp:posOffset>
            </wp:positionV>
            <wp:extent cx="2457450" cy="1181100"/>
            <wp:effectExtent l="0" t="0" r="0" b="0"/>
            <wp:wrapSquare wrapText="bothSides"/>
            <wp:docPr id="280755584"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55584" name="Picture 1" descr="A logo with text on i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457450" cy="1181100"/>
                    </a:xfrm>
                    <a:prstGeom prst="rect">
                      <a:avLst/>
                    </a:prstGeom>
                  </pic:spPr>
                </pic:pic>
              </a:graphicData>
            </a:graphic>
            <wp14:sizeRelH relativeFrom="margin">
              <wp14:pctWidth>0</wp14:pctWidth>
            </wp14:sizeRelH>
            <wp14:sizeRelV relativeFrom="margin">
              <wp14:pctHeight>0</wp14:pctHeight>
            </wp14:sizeRelV>
          </wp:anchor>
        </w:drawing>
      </w:r>
    </w:p>
    <w:p w14:paraId="7BCD4BF7" w14:textId="77777777" w:rsidR="00F02453" w:rsidRPr="009851CB" w:rsidRDefault="00F02453" w:rsidP="00F02453">
      <w:pPr>
        <w:spacing w:after="160" w:line="259" w:lineRule="auto"/>
        <w:jc w:val="left"/>
        <w:rPr>
          <w:b/>
          <w:bCs/>
        </w:rPr>
      </w:pPr>
    </w:p>
    <w:p w14:paraId="0DE8347A" w14:textId="77777777" w:rsidR="00F02453" w:rsidRPr="009851CB" w:rsidRDefault="00F02453" w:rsidP="00F02453">
      <w:pPr>
        <w:spacing w:after="160" w:line="259" w:lineRule="auto"/>
        <w:jc w:val="left"/>
        <w:rPr>
          <w:b/>
          <w:bCs/>
        </w:rPr>
      </w:pPr>
    </w:p>
    <w:p w14:paraId="2031D59C" w14:textId="77777777" w:rsidR="00F02453" w:rsidRPr="009851CB" w:rsidRDefault="00F02453" w:rsidP="00F02453">
      <w:pPr>
        <w:spacing w:after="160" w:line="259" w:lineRule="auto"/>
        <w:jc w:val="left"/>
        <w:rPr>
          <w:b/>
          <w:bCs/>
        </w:rPr>
      </w:pPr>
    </w:p>
    <w:p w14:paraId="32DC785F" w14:textId="77777777" w:rsidR="00F02453" w:rsidRPr="009851CB" w:rsidRDefault="00F02453" w:rsidP="00F02453">
      <w:pPr>
        <w:spacing w:after="160" w:line="259" w:lineRule="auto"/>
        <w:jc w:val="left"/>
        <w:rPr>
          <w:b/>
          <w:bCs/>
        </w:rPr>
      </w:pPr>
    </w:p>
    <w:p w14:paraId="4F029EEA" w14:textId="77777777" w:rsidR="00F02453" w:rsidRPr="009851CB" w:rsidRDefault="00F02453" w:rsidP="00F02453">
      <w:pPr>
        <w:spacing w:after="160" w:line="259" w:lineRule="auto"/>
        <w:jc w:val="left"/>
        <w:rPr>
          <w:b/>
          <w:bCs/>
        </w:rPr>
      </w:pPr>
    </w:p>
    <w:p w14:paraId="32975F02" w14:textId="77777777" w:rsidR="00F02453" w:rsidRPr="009851CB" w:rsidRDefault="00F02453" w:rsidP="00F02453">
      <w:pPr>
        <w:spacing w:after="160" w:line="259" w:lineRule="auto"/>
        <w:jc w:val="center"/>
        <w:rPr>
          <w:b/>
          <w:bCs/>
        </w:rPr>
      </w:pPr>
      <w:r w:rsidRPr="009851CB">
        <w:rPr>
          <w:b/>
          <w:bCs/>
        </w:rPr>
        <w:t>Program: BA International Hotel Management</w:t>
      </w:r>
    </w:p>
    <w:p w14:paraId="7424AE0F" w14:textId="77777777" w:rsidR="00F02453" w:rsidRDefault="00F02453" w:rsidP="00F02453">
      <w:pPr>
        <w:spacing w:after="160" w:line="259" w:lineRule="auto"/>
        <w:jc w:val="center"/>
        <w:rPr>
          <w:b/>
          <w:bCs/>
        </w:rPr>
      </w:pPr>
      <w:r w:rsidRPr="009851CB">
        <w:rPr>
          <w:b/>
          <w:bCs/>
        </w:rPr>
        <w:t>Module</w:t>
      </w:r>
      <w:r>
        <w:rPr>
          <w:b/>
          <w:bCs/>
        </w:rPr>
        <w:t xml:space="preserve"> Name</w:t>
      </w:r>
      <w:r w:rsidRPr="009851CB">
        <w:rPr>
          <w:b/>
          <w:bCs/>
        </w:rPr>
        <w:t>: Financial Management for the Hotel Industry</w:t>
      </w:r>
    </w:p>
    <w:p w14:paraId="3E366997" w14:textId="77777777" w:rsidR="00F02453" w:rsidRPr="009851CB" w:rsidRDefault="00F02453" w:rsidP="00F02453">
      <w:pPr>
        <w:spacing w:after="160" w:line="259" w:lineRule="auto"/>
        <w:jc w:val="center"/>
        <w:rPr>
          <w:b/>
          <w:bCs/>
        </w:rPr>
      </w:pPr>
      <w:r>
        <w:rPr>
          <w:b/>
          <w:bCs/>
        </w:rPr>
        <w:t xml:space="preserve">Module Code: </w:t>
      </w:r>
      <w:r w:rsidRPr="00A10882">
        <w:rPr>
          <w:b/>
          <w:bCs/>
        </w:rPr>
        <w:t xml:space="preserve">BMIH5007 </w:t>
      </w:r>
    </w:p>
    <w:p w14:paraId="487D8E50" w14:textId="77777777" w:rsidR="00F02453" w:rsidRPr="009851CB" w:rsidRDefault="00F02453" w:rsidP="00F02453">
      <w:pPr>
        <w:spacing w:after="160" w:line="259" w:lineRule="auto"/>
        <w:jc w:val="center"/>
        <w:rPr>
          <w:b/>
          <w:bCs/>
        </w:rPr>
      </w:pPr>
      <w:r w:rsidRPr="009851CB">
        <w:rPr>
          <w:b/>
          <w:bCs/>
        </w:rPr>
        <w:t>Assignment Title: Business Report - Comparison of Two Hospitality Organisations</w:t>
      </w:r>
    </w:p>
    <w:p w14:paraId="13C95F58" w14:textId="77777777" w:rsidR="00F02453" w:rsidRPr="009851CB" w:rsidRDefault="00F02453" w:rsidP="00F02453">
      <w:pPr>
        <w:spacing w:after="160" w:line="259" w:lineRule="auto"/>
        <w:jc w:val="left"/>
      </w:pPr>
    </w:p>
    <w:p w14:paraId="2F5B6300" w14:textId="77777777" w:rsidR="00F02453" w:rsidRPr="009851CB" w:rsidRDefault="00F02453" w:rsidP="00F02453">
      <w:pPr>
        <w:spacing w:after="160" w:line="259" w:lineRule="auto"/>
        <w:jc w:val="left"/>
      </w:pPr>
    </w:p>
    <w:p w14:paraId="5FF1BB09" w14:textId="77777777" w:rsidR="00F02453" w:rsidRPr="009851CB" w:rsidRDefault="00F02453" w:rsidP="00F02453">
      <w:pPr>
        <w:spacing w:after="160" w:line="259" w:lineRule="auto"/>
        <w:jc w:val="left"/>
      </w:pPr>
    </w:p>
    <w:p w14:paraId="57A11F69" w14:textId="77777777" w:rsidR="00F02453" w:rsidRPr="009851CB" w:rsidRDefault="00F02453" w:rsidP="00F02453">
      <w:pPr>
        <w:spacing w:after="160" w:line="259" w:lineRule="auto"/>
        <w:jc w:val="left"/>
      </w:pPr>
    </w:p>
    <w:p w14:paraId="5B3EE280" w14:textId="77777777" w:rsidR="00F02453" w:rsidRPr="009851CB" w:rsidRDefault="00F02453" w:rsidP="00F02453">
      <w:pPr>
        <w:spacing w:after="160" w:line="259" w:lineRule="auto"/>
        <w:jc w:val="left"/>
      </w:pPr>
    </w:p>
    <w:p w14:paraId="16841CCC" w14:textId="77777777" w:rsidR="00F02453" w:rsidRDefault="00F02453" w:rsidP="00F02453">
      <w:pPr>
        <w:spacing w:after="160" w:line="259" w:lineRule="auto"/>
        <w:jc w:val="left"/>
      </w:pPr>
    </w:p>
    <w:p w14:paraId="65517ED8" w14:textId="77777777" w:rsidR="00F02453" w:rsidRDefault="00F02453" w:rsidP="00F02453">
      <w:pPr>
        <w:spacing w:after="160" w:line="259" w:lineRule="auto"/>
        <w:jc w:val="left"/>
      </w:pPr>
    </w:p>
    <w:p w14:paraId="027C2247" w14:textId="77777777" w:rsidR="00F02453" w:rsidRDefault="00F02453" w:rsidP="00F02453">
      <w:pPr>
        <w:spacing w:after="160" w:line="259" w:lineRule="auto"/>
        <w:jc w:val="left"/>
      </w:pPr>
    </w:p>
    <w:p w14:paraId="6F3BB04B" w14:textId="77777777" w:rsidR="00F02453" w:rsidRPr="009851CB" w:rsidRDefault="00F02453" w:rsidP="00F02453">
      <w:pPr>
        <w:spacing w:after="160" w:line="259" w:lineRule="auto"/>
        <w:jc w:val="left"/>
      </w:pPr>
      <w:r w:rsidRPr="009851CB">
        <w:t>Student ID:</w:t>
      </w:r>
      <w:r>
        <w:t>2244870</w:t>
      </w:r>
      <w:r>
        <w:tab/>
      </w:r>
    </w:p>
    <w:p w14:paraId="5FE7176C" w14:textId="77777777" w:rsidR="00F02453" w:rsidRDefault="00F02453" w:rsidP="00F02453">
      <w:pPr>
        <w:spacing w:after="160" w:line="259" w:lineRule="auto"/>
        <w:jc w:val="left"/>
      </w:pPr>
      <w:r>
        <w:t>Student Name</w:t>
      </w:r>
      <w:r w:rsidRPr="009851CB">
        <w:t>:</w:t>
      </w:r>
      <w:r>
        <w:t xml:space="preserve"> Mihai Daniel Mihalcea</w:t>
      </w:r>
    </w:p>
    <w:p w14:paraId="3F7A6379" w14:textId="77777777" w:rsidR="00F02453" w:rsidRDefault="00F02453" w:rsidP="00F02453">
      <w:pPr>
        <w:spacing w:after="160" w:line="259" w:lineRule="auto"/>
        <w:jc w:val="left"/>
      </w:pPr>
      <w:r>
        <w:t>Tutor: Tristan Hawkins</w:t>
      </w:r>
    </w:p>
    <w:p w14:paraId="5546FF9C" w14:textId="77777777" w:rsidR="00F02453" w:rsidRDefault="00F02453" w:rsidP="00F02453">
      <w:pPr>
        <w:spacing w:after="160" w:line="259" w:lineRule="auto"/>
        <w:jc w:val="left"/>
      </w:pPr>
      <w:r>
        <w:br w:type="page"/>
      </w:r>
    </w:p>
    <w:p w14:paraId="1FC8D7AB" w14:textId="77777777" w:rsidR="00F02453" w:rsidRPr="00EA00CF" w:rsidRDefault="00F02453" w:rsidP="00F02453">
      <w:pPr>
        <w:spacing w:after="160" w:line="259" w:lineRule="auto"/>
        <w:jc w:val="left"/>
        <w:rPr>
          <w:b/>
          <w:bCs/>
          <w:color w:val="0F4761" w:themeColor="accent1" w:themeShade="BF"/>
          <w:sz w:val="32"/>
          <w:szCs w:val="30"/>
        </w:rPr>
      </w:pPr>
      <w:r w:rsidRPr="00EA00CF">
        <w:rPr>
          <w:b/>
          <w:bCs/>
          <w:color w:val="0F4761" w:themeColor="accent1" w:themeShade="BF"/>
          <w:sz w:val="32"/>
          <w:szCs w:val="30"/>
        </w:rPr>
        <w:lastRenderedPageBreak/>
        <w:t xml:space="preserve">AI Acknowledgement </w:t>
      </w:r>
    </w:p>
    <w:p w14:paraId="77068659" w14:textId="77777777" w:rsidR="00F02453" w:rsidRPr="007B57C0" w:rsidRDefault="00F02453" w:rsidP="00F02453">
      <w:r w:rsidRPr="007B57C0">
        <w:t xml:space="preserve">I acknowledge the use of Grammarly (https://www.grammarly.com/) on </w:t>
      </w:r>
      <w:r>
        <w:t>17</w:t>
      </w:r>
      <w:r w:rsidRPr="007B57C0">
        <w:t xml:space="preserve"> October 2024 to check my work using the prompt(s): </w:t>
      </w:r>
    </w:p>
    <w:p w14:paraId="505CEC42" w14:textId="77777777" w:rsidR="00F02453" w:rsidRPr="007B57C0" w:rsidRDefault="00F02453" w:rsidP="00F02453">
      <w:pPr>
        <w:ind w:firstLine="720"/>
      </w:pPr>
      <w:r w:rsidRPr="007B57C0">
        <w:t xml:space="preserve">1. Please check the following text for </w:t>
      </w:r>
      <w:r>
        <w:t>spelling correction</w:t>
      </w:r>
      <w:r w:rsidRPr="007B57C0">
        <w:t xml:space="preserve">, </w:t>
      </w:r>
      <w:r>
        <w:t>clarity, and conciseness</w:t>
      </w:r>
      <w:r w:rsidRPr="007B57C0">
        <w:t xml:space="preserve">. </w:t>
      </w:r>
    </w:p>
    <w:p w14:paraId="17E0776C" w14:textId="77777777" w:rsidR="00F02453" w:rsidRPr="007B57C0" w:rsidRDefault="00F02453" w:rsidP="00F02453">
      <w:pPr>
        <w:rPr>
          <w:b/>
          <w:bCs/>
        </w:rPr>
      </w:pPr>
      <w:r w:rsidRPr="007B57C0">
        <w:t xml:space="preserve">I confirm that I have not presented any AI-generated text as my work. I confirm I have copies of my drafts, notes, and other resources I used before, and after the use of AI tools which I may be asked to provide in evidence. </w:t>
      </w:r>
    </w:p>
    <w:p w14:paraId="19521CBD" w14:textId="77777777" w:rsidR="00F02453" w:rsidRPr="009851CB" w:rsidRDefault="00F02453" w:rsidP="00F02453">
      <w:pPr>
        <w:spacing w:after="160" w:line="259" w:lineRule="auto"/>
        <w:jc w:val="left"/>
        <w:rPr>
          <w:b/>
          <w:bCs/>
        </w:rPr>
      </w:pPr>
    </w:p>
    <w:p w14:paraId="7E254277" w14:textId="77777777" w:rsidR="00F02453" w:rsidRDefault="00F02453" w:rsidP="00F02453">
      <w:pPr>
        <w:spacing w:after="160" w:line="259" w:lineRule="auto"/>
        <w:jc w:val="left"/>
        <w:rPr>
          <w:rFonts w:eastAsia="SimSun" w:cs="Times New Roman"/>
          <w:b/>
          <w:bCs/>
          <w:color w:val="0F4761" w:themeColor="accent1" w:themeShade="BF"/>
          <w:kern w:val="32"/>
          <w:sz w:val="32"/>
          <w:szCs w:val="32"/>
          <w:lang w:val="en-US" w:eastAsia="zh-CN"/>
        </w:rPr>
      </w:pPr>
      <w:r>
        <w:br w:type="page"/>
      </w:r>
    </w:p>
    <w:sdt>
      <w:sdtPr>
        <w:rPr>
          <w:rFonts w:ascii="Times New Roman" w:eastAsiaTheme="minorHAnsi" w:hAnsi="Times New Roman" w:cstheme="minorBidi"/>
          <w:color w:val="000000" w:themeColor="text1"/>
          <w:sz w:val="24"/>
          <w:szCs w:val="22"/>
          <w:lang w:val="en-GB"/>
          <w14:ligatures w14:val="standardContextual"/>
        </w:rPr>
        <w:id w:val="210241658"/>
        <w:docPartObj>
          <w:docPartGallery w:val="Table of Contents"/>
          <w:docPartUnique/>
        </w:docPartObj>
      </w:sdtPr>
      <w:sdtEndPr>
        <w:rPr>
          <w:b/>
          <w:bCs/>
          <w:noProof/>
        </w:rPr>
      </w:sdtEndPr>
      <w:sdtContent>
        <w:p w14:paraId="7673DE31" w14:textId="77777777" w:rsidR="00F02453" w:rsidRDefault="00F02453" w:rsidP="00F02453">
          <w:pPr>
            <w:pStyle w:val="TOCHeading"/>
          </w:pPr>
          <w:r>
            <w:t>Contents</w:t>
          </w:r>
        </w:p>
        <w:p w14:paraId="561FED85"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r>
            <w:fldChar w:fldCharType="begin"/>
          </w:r>
          <w:r>
            <w:instrText xml:space="preserve"> TOC \o "1-3" \h \z \u </w:instrText>
          </w:r>
          <w:r>
            <w:fldChar w:fldCharType="separate"/>
          </w:r>
          <w:hyperlink w:anchor="_Toc179925845" w:history="1">
            <w:r w:rsidRPr="004B48DA">
              <w:rPr>
                <w:rStyle w:val="Hyperlink"/>
                <w:noProof/>
              </w:rPr>
              <w:t>Introduction</w:t>
            </w:r>
            <w:r>
              <w:rPr>
                <w:noProof/>
                <w:webHidden/>
              </w:rPr>
              <w:tab/>
            </w:r>
            <w:r>
              <w:rPr>
                <w:noProof/>
                <w:webHidden/>
              </w:rPr>
              <w:fldChar w:fldCharType="begin"/>
            </w:r>
            <w:r>
              <w:rPr>
                <w:noProof/>
                <w:webHidden/>
              </w:rPr>
              <w:instrText xml:space="preserve"> PAGEREF _Toc179925845 \h </w:instrText>
            </w:r>
            <w:r>
              <w:rPr>
                <w:noProof/>
                <w:webHidden/>
              </w:rPr>
            </w:r>
            <w:r>
              <w:rPr>
                <w:noProof/>
                <w:webHidden/>
              </w:rPr>
              <w:fldChar w:fldCharType="separate"/>
            </w:r>
            <w:r>
              <w:rPr>
                <w:noProof/>
                <w:webHidden/>
              </w:rPr>
              <w:t>1</w:t>
            </w:r>
            <w:r>
              <w:rPr>
                <w:noProof/>
                <w:webHidden/>
              </w:rPr>
              <w:fldChar w:fldCharType="end"/>
            </w:r>
          </w:hyperlink>
        </w:p>
        <w:p w14:paraId="21E7DA90"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46" w:history="1">
            <w:r w:rsidRPr="004B48DA">
              <w:rPr>
                <w:rStyle w:val="Hyperlink"/>
                <w:noProof/>
              </w:rPr>
              <w:t>Task One: Total Revenue</w:t>
            </w:r>
            <w:r>
              <w:rPr>
                <w:noProof/>
                <w:webHidden/>
              </w:rPr>
              <w:tab/>
            </w:r>
            <w:r>
              <w:rPr>
                <w:noProof/>
                <w:webHidden/>
              </w:rPr>
              <w:fldChar w:fldCharType="begin"/>
            </w:r>
            <w:r>
              <w:rPr>
                <w:noProof/>
                <w:webHidden/>
              </w:rPr>
              <w:instrText xml:space="preserve"> PAGEREF _Toc179925846 \h </w:instrText>
            </w:r>
            <w:r>
              <w:rPr>
                <w:noProof/>
                <w:webHidden/>
              </w:rPr>
            </w:r>
            <w:r>
              <w:rPr>
                <w:noProof/>
                <w:webHidden/>
              </w:rPr>
              <w:fldChar w:fldCharType="separate"/>
            </w:r>
            <w:r>
              <w:rPr>
                <w:noProof/>
                <w:webHidden/>
              </w:rPr>
              <w:t>2</w:t>
            </w:r>
            <w:r>
              <w:rPr>
                <w:noProof/>
                <w:webHidden/>
              </w:rPr>
              <w:fldChar w:fldCharType="end"/>
            </w:r>
          </w:hyperlink>
        </w:p>
        <w:p w14:paraId="56B89895"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47" w:history="1">
            <w:r w:rsidRPr="004B48DA">
              <w:rPr>
                <w:rStyle w:val="Hyperlink"/>
                <w:noProof/>
              </w:rPr>
              <w:t>Task Two: Market Position</w:t>
            </w:r>
            <w:r>
              <w:rPr>
                <w:noProof/>
                <w:webHidden/>
              </w:rPr>
              <w:tab/>
            </w:r>
            <w:r>
              <w:rPr>
                <w:noProof/>
                <w:webHidden/>
              </w:rPr>
              <w:fldChar w:fldCharType="begin"/>
            </w:r>
            <w:r>
              <w:rPr>
                <w:noProof/>
                <w:webHidden/>
              </w:rPr>
              <w:instrText xml:space="preserve"> PAGEREF _Toc179925847 \h </w:instrText>
            </w:r>
            <w:r>
              <w:rPr>
                <w:noProof/>
                <w:webHidden/>
              </w:rPr>
            </w:r>
            <w:r>
              <w:rPr>
                <w:noProof/>
                <w:webHidden/>
              </w:rPr>
              <w:fldChar w:fldCharType="separate"/>
            </w:r>
            <w:r>
              <w:rPr>
                <w:noProof/>
                <w:webHidden/>
              </w:rPr>
              <w:t>5</w:t>
            </w:r>
            <w:r>
              <w:rPr>
                <w:noProof/>
                <w:webHidden/>
              </w:rPr>
              <w:fldChar w:fldCharType="end"/>
            </w:r>
          </w:hyperlink>
        </w:p>
        <w:p w14:paraId="02C276E8"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48" w:history="1">
            <w:r w:rsidRPr="004B48DA">
              <w:rPr>
                <w:rStyle w:val="Hyperlink"/>
                <w:noProof/>
              </w:rPr>
              <w:t>Task Three: Growth Potential</w:t>
            </w:r>
            <w:r>
              <w:rPr>
                <w:noProof/>
                <w:webHidden/>
              </w:rPr>
              <w:tab/>
            </w:r>
            <w:r>
              <w:rPr>
                <w:noProof/>
                <w:webHidden/>
              </w:rPr>
              <w:fldChar w:fldCharType="begin"/>
            </w:r>
            <w:r>
              <w:rPr>
                <w:noProof/>
                <w:webHidden/>
              </w:rPr>
              <w:instrText xml:space="preserve"> PAGEREF _Toc179925848 \h </w:instrText>
            </w:r>
            <w:r>
              <w:rPr>
                <w:noProof/>
                <w:webHidden/>
              </w:rPr>
            </w:r>
            <w:r>
              <w:rPr>
                <w:noProof/>
                <w:webHidden/>
              </w:rPr>
              <w:fldChar w:fldCharType="separate"/>
            </w:r>
            <w:r>
              <w:rPr>
                <w:noProof/>
                <w:webHidden/>
              </w:rPr>
              <w:t>8</w:t>
            </w:r>
            <w:r>
              <w:rPr>
                <w:noProof/>
                <w:webHidden/>
              </w:rPr>
              <w:fldChar w:fldCharType="end"/>
            </w:r>
          </w:hyperlink>
        </w:p>
        <w:p w14:paraId="79584F89"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49" w:history="1">
            <w:r w:rsidRPr="004B48DA">
              <w:rPr>
                <w:rStyle w:val="Hyperlink"/>
                <w:noProof/>
              </w:rPr>
              <w:t>Task Four: Financial Commitment to CSR (Corporate Social Responsibility)</w:t>
            </w:r>
            <w:r>
              <w:rPr>
                <w:noProof/>
                <w:webHidden/>
              </w:rPr>
              <w:tab/>
            </w:r>
            <w:r>
              <w:rPr>
                <w:noProof/>
                <w:webHidden/>
              </w:rPr>
              <w:fldChar w:fldCharType="begin"/>
            </w:r>
            <w:r>
              <w:rPr>
                <w:noProof/>
                <w:webHidden/>
              </w:rPr>
              <w:instrText xml:space="preserve"> PAGEREF _Toc179925849 \h </w:instrText>
            </w:r>
            <w:r>
              <w:rPr>
                <w:noProof/>
                <w:webHidden/>
              </w:rPr>
            </w:r>
            <w:r>
              <w:rPr>
                <w:noProof/>
                <w:webHidden/>
              </w:rPr>
              <w:fldChar w:fldCharType="separate"/>
            </w:r>
            <w:r>
              <w:rPr>
                <w:noProof/>
                <w:webHidden/>
              </w:rPr>
              <w:t>9</w:t>
            </w:r>
            <w:r>
              <w:rPr>
                <w:noProof/>
                <w:webHidden/>
              </w:rPr>
              <w:fldChar w:fldCharType="end"/>
            </w:r>
          </w:hyperlink>
        </w:p>
        <w:p w14:paraId="4BF02FE2"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50" w:history="1">
            <w:r w:rsidRPr="004B48DA">
              <w:rPr>
                <w:rStyle w:val="Hyperlink"/>
                <w:noProof/>
              </w:rPr>
              <w:t>Recommendation</w:t>
            </w:r>
            <w:r>
              <w:rPr>
                <w:noProof/>
                <w:webHidden/>
              </w:rPr>
              <w:tab/>
            </w:r>
            <w:r>
              <w:rPr>
                <w:noProof/>
                <w:webHidden/>
              </w:rPr>
              <w:fldChar w:fldCharType="begin"/>
            </w:r>
            <w:r>
              <w:rPr>
                <w:noProof/>
                <w:webHidden/>
              </w:rPr>
              <w:instrText xml:space="preserve"> PAGEREF _Toc179925850 \h </w:instrText>
            </w:r>
            <w:r>
              <w:rPr>
                <w:noProof/>
                <w:webHidden/>
              </w:rPr>
            </w:r>
            <w:r>
              <w:rPr>
                <w:noProof/>
                <w:webHidden/>
              </w:rPr>
              <w:fldChar w:fldCharType="separate"/>
            </w:r>
            <w:r>
              <w:rPr>
                <w:noProof/>
                <w:webHidden/>
              </w:rPr>
              <w:t>10</w:t>
            </w:r>
            <w:r>
              <w:rPr>
                <w:noProof/>
                <w:webHidden/>
              </w:rPr>
              <w:fldChar w:fldCharType="end"/>
            </w:r>
          </w:hyperlink>
        </w:p>
        <w:p w14:paraId="5869DE45"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51" w:history="1">
            <w:r w:rsidRPr="004B48DA">
              <w:rPr>
                <w:rStyle w:val="Hyperlink"/>
                <w:noProof/>
              </w:rPr>
              <w:t>Conclusion</w:t>
            </w:r>
            <w:r>
              <w:rPr>
                <w:noProof/>
                <w:webHidden/>
              </w:rPr>
              <w:tab/>
            </w:r>
            <w:r>
              <w:rPr>
                <w:noProof/>
                <w:webHidden/>
              </w:rPr>
              <w:fldChar w:fldCharType="begin"/>
            </w:r>
            <w:r>
              <w:rPr>
                <w:noProof/>
                <w:webHidden/>
              </w:rPr>
              <w:instrText xml:space="preserve"> PAGEREF _Toc179925851 \h </w:instrText>
            </w:r>
            <w:r>
              <w:rPr>
                <w:noProof/>
                <w:webHidden/>
              </w:rPr>
            </w:r>
            <w:r>
              <w:rPr>
                <w:noProof/>
                <w:webHidden/>
              </w:rPr>
              <w:fldChar w:fldCharType="separate"/>
            </w:r>
            <w:r>
              <w:rPr>
                <w:noProof/>
                <w:webHidden/>
              </w:rPr>
              <w:t>11</w:t>
            </w:r>
            <w:r>
              <w:rPr>
                <w:noProof/>
                <w:webHidden/>
              </w:rPr>
              <w:fldChar w:fldCharType="end"/>
            </w:r>
          </w:hyperlink>
        </w:p>
        <w:p w14:paraId="7080EFDB"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52" w:history="1">
            <w:r w:rsidRPr="004B48DA">
              <w:rPr>
                <w:rStyle w:val="Hyperlink"/>
                <w:noProof/>
              </w:rPr>
              <w:t>References</w:t>
            </w:r>
            <w:r>
              <w:rPr>
                <w:noProof/>
                <w:webHidden/>
              </w:rPr>
              <w:tab/>
            </w:r>
            <w:r>
              <w:rPr>
                <w:noProof/>
                <w:webHidden/>
              </w:rPr>
              <w:fldChar w:fldCharType="begin"/>
            </w:r>
            <w:r>
              <w:rPr>
                <w:noProof/>
                <w:webHidden/>
              </w:rPr>
              <w:instrText xml:space="preserve"> PAGEREF _Toc179925852 \h </w:instrText>
            </w:r>
            <w:r>
              <w:rPr>
                <w:noProof/>
                <w:webHidden/>
              </w:rPr>
            </w:r>
            <w:r>
              <w:rPr>
                <w:noProof/>
                <w:webHidden/>
              </w:rPr>
              <w:fldChar w:fldCharType="separate"/>
            </w:r>
            <w:r>
              <w:rPr>
                <w:noProof/>
                <w:webHidden/>
              </w:rPr>
              <w:t>12</w:t>
            </w:r>
            <w:r>
              <w:rPr>
                <w:noProof/>
                <w:webHidden/>
              </w:rPr>
              <w:fldChar w:fldCharType="end"/>
            </w:r>
          </w:hyperlink>
        </w:p>
        <w:p w14:paraId="1D7E88E4" w14:textId="77777777" w:rsidR="00F02453" w:rsidRDefault="00F02453" w:rsidP="00F02453">
          <w:pPr>
            <w:pStyle w:val="TOC1"/>
            <w:tabs>
              <w:tab w:val="right" w:leader="dot" w:pos="9350"/>
            </w:tabs>
            <w:rPr>
              <w:rFonts w:asciiTheme="minorHAnsi" w:eastAsiaTheme="minorEastAsia" w:hAnsiTheme="minorHAnsi"/>
              <w:noProof/>
              <w:color w:val="auto"/>
              <w:sz w:val="22"/>
              <w:lang w:val="en-US"/>
              <w14:ligatures w14:val="none"/>
            </w:rPr>
          </w:pPr>
          <w:hyperlink w:anchor="_Toc179925853" w:history="1">
            <w:r w:rsidRPr="004B48DA">
              <w:rPr>
                <w:rStyle w:val="Hyperlink"/>
                <w:noProof/>
              </w:rPr>
              <w:t>Appendices</w:t>
            </w:r>
            <w:r>
              <w:rPr>
                <w:noProof/>
                <w:webHidden/>
              </w:rPr>
              <w:tab/>
            </w:r>
            <w:r>
              <w:rPr>
                <w:noProof/>
                <w:webHidden/>
              </w:rPr>
              <w:fldChar w:fldCharType="begin"/>
            </w:r>
            <w:r>
              <w:rPr>
                <w:noProof/>
                <w:webHidden/>
              </w:rPr>
              <w:instrText xml:space="preserve"> PAGEREF _Toc179925853 \h </w:instrText>
            </w:r>
            <w:r>
              <w:rPr>
                <w:noProof/>
                <w:webHidden/>
              </w:rPr>
            </w:r>
            <w:r>
              <w:rPr>
                <w:noProof/>
                <w:webHidden/>
              </w:rPr>
              <w:fldChar w:fldCharType="separate"/>
            </w:r>
            <w:r>
              <w:rPr>
                <w:noProof/>
                <w:webHidden/>
              </w:rPr>
              <w:t>15</w:t>
            </w:r>
            <w:r>
              <w:rPr>
                <w:noProof/>
                <w:webHidden/>
              </w:rPr>
              <w:fldChar w:fldCharType="end"/>
            </w:r>
          </w:hyperlink>
        </w:p>
        <w:p w14:paraId="1A564EB3" w14:textId="77777777" w:rsidR="00F02453" w:rsidRDefault="00F02453" w:rsidP="00F02453">
          <w:r>
            <w:rPr>
              <w:b/>
              <w:bCs/>
              <w:noProof/>
            </w:rPr>
            <w:fldChar w:fldCharType="end"/>
          </w:r>
        </w:p>
      </w:sdtContent>
    </w:sdt>
    <w:p w14:paraId="7C15E185" w14:textId="77777777" w:rsidR="00F02453" w:rsidRDefault="00F02453" w:rsidP="00F02453">
      <w:pPr>
        <w:spacing w:after="160" w:line="259" w:lineRule="auto"/>
        <w:jc w:val="left"/>
        <w:rPr>
          <w:rFonts w:eastAsia="SimSun" w:cs="Times New Roman"/>
          <w:b/>
          <w:bCs/>
          <w:color w:val="0F4761" w:themeColor="accent1" w:themeShade="BF"/>
          <w:kern w:val="32"/>
          <w:sz w:val="32"/>
          <w:szCs w:val="32"/>
          <w:lang w:val="en-US" w:eastAsia="zh-CN"/>
        </w:rPr>
      </w:pPr>
      <w:r>
        <w:br w:type="page"/>
      </w:r>
    </w:p>
    <w:p w14:paraId="6E79A9DE" w14:textId="77777777" w:rsidR="00F02453" w:rsidRDefault="00F02453" w:rsidP="00F02453">
      <w:pPr>
        <w:pStyle w:val="Heading1"/>
        <w:sectPr w:rsidR="00F02453" w:rsidSect="00F02453">
          <w:footerReference w:type="default" r:id="rId6"/>
          <w:pgSz w:w="12240" w:h="15840"/>
          <w:pgMar w:top="1440" w:right="1440" w:bottom="1440" w:left="1440" w:header="720" w:footer="720" w:gutter="0"/>
          <w:cols w:space="720"/>
          <w:docGrid w:linePitch="360"/>
        </w:sectPr>
      </w:pPr>
    </w:p>
    <w:p w14:paraId="4C76A1E8" w14:textId="77777777" w:rsidR="00F02453" w:rsidRDefault="00F02453" w:rsidP="00F02453">
      <w:pPr>
        <w:pStyle w:val="Heading1"/>
      </w:pPr>
      <w:bookmarkStart w:id="0" w:name="_Toc179925845"/>
      <w:r>
        <w:lastRenderedPageBreak/>
        <w:t>Introduction</w:t>
      </w:r>
      <w:bookmarkEnd w:id="0"/>
    </w:p>
    <w:p w14:paraId="7E2E2FA6" w14:textId="01435C52" w:rsidR="00F02453" w:rsidRDefault="00F02453" w:rsidP="00F02453">
      <w:r w:rsidRPr="006A1296">
        <w:t xml:space="preserve">This report presents a comprehensive comparison of the financial management strategies employed by Shangri-La Hotels and Premier Inn Hotels over the period from 2018 to 2023. It focuses on key areas such as total revenue, market position, growth potential, and Corporate Social Responsibility (CSR). Using financial data from pre- and post-COVID-19, the report </w:t>
      </w:r>
      <w:r w:rsidRPr="006A1296">
        <w:t>anal</w:t>
      </w:r>
      <w:r>
        <w:t>y</w:t>
      </w:r>
      <w:r w:rsidRPr="006A1296">
        <w:t>ses</w:t>
      </w:r>
      <w:r w:rsidRPr="006A1296">
        <w:t xml:space="preserve"> how both hotel groups navigated the challenges of the pandemic, identifying trends and performance variations. The aim is to critically evaluate their financial approaches, highlighting opportunities for improvement and long-term sustainability, with recommendations based on the findings.</w:t>
      </w:r>
    </w:p>
    <w:p w14:paraId="4CE6E27F" w14:textId="77777777" w:rsidR="00F02453" w:rsidRDefault="00F02453" w:rsidP="00F02453">
      <w:pPr>
        <w:spacing w:after="160" w:line="259" w:lineRule="auto"/>
        <w:jc w:val="left"/>
      </w:pPr>
      <w:r>
        <w:br w:type="page"/>
      </w:r>
    </w:p>
    <w:p w14:paraId="508C1141" w14:textId="77777777" w:rsidR="00F02453" w:rsidRDefault="00F02453" w:rsidP="00F02453">
      <w:pPr>
        <w:pStyle w:val="Heading1"/>
      </w:pPr>
      <w:bookmarkStart w:id="1" w:name="_Toc179925846"/>
      <w:r>
        <w:lastRenderedPageBreak/>
        <w:t>Task One: Total Revenue</w:t>
      </w:r>
      <w:bookmarkEnd w:id="1"/>
    </w:p>
    <w:p w14:paraId="287ED2C4" w14:textId="77777777" w:rsidR="00F02453" w:rsidRDefault="00F02453" w:rsidP="00F02453">
      <w:pPr>
        <w:rPr>
          <w:b/>
          <w:bCs/>
        </w:rPr>
      </w:pPr>
      <w:r w:rsidRPr="00DF5814">
        <w:rPr>
          <w:b/>
          <w:bCs/>
        </w:rPr>
        <w:t>Revenue Trend of Shangri-La Hotels and Premier Inn</w:t>
      </w:r>
    </w:p>
    <w:p w14:paraId="24686F1D" w14:textId="77777777" w:rsidR="00F02453" w:rsidRDefault="00F02453" w:rsidP="00F02453">
      <w:r>
        <w:rPr>
          <w:noProof/>
        </w:rPr>
        <w:drawing>
          <wp:inline distT="0" distB="0" distL="0" distR="0" wp14:anchorId="1E0C4352" wp14:editId="577F7322">
            <wp:extent cx="5930900" cy="2711450"/>
            <wp:effectExtent l="0" t="0" r="12700" b="12700"/>
            <wp:docPr id="269037113" name="Chart 1">
              <a:extLst xmlns:a="http://schemas.openxmlformats.org/drawingml/2006/main">
                <a:ext uri="{FF2B5EF4-FFF2-40B4-BE49-F238E27FC236}">
                  <a16:creationId xmlns:a16="http://schemas.microsoft.com/office/drawing/2014/main" id="{A12AE545-D47F-EFB5-FD5E-878D322596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57B7111" w14:textId="77777777" w:rsidR="00F02453" w:rsidRDefault="00F02453" w:rsidP="00F02453">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Revenue of </w:t>
      </w:r>
      <w:r w:rsidRPr="00CB050A">
        <w:t>Shangri-La Hotels and Premier Inn</w:t>
      </w:r>
      <w:r>
        <w:t xml:space="preserve"> (Shangri-La Group, 2023; Whitebread PLC, 2024)</w:t>
      </w:r>
    </w:p>
    <w:p w14:paraId="7BAD8897" w14:textId="0C6C14E5" w:rsidR="00F02453" w:rsidRPr="00BD27F0" w:rsidRDefault="00F02453" w:rsidP="00F02453">
      <w:r w:rsidRPr="00BD27F0">
        <w:t>The revenue trends for Shangri-La Hotels and Premier Inn Hotels from 2018 to 2023 clearly highlight the impact of the COVID-19 pandemic and the factors driving revenue changes. In 2020, both companies experienced declines due to global travel restrictions, reduced tourism, and widespread lockdowns</w:t>
      </w:r>
      <w:r>
        <w:t xml:space="preserve"> (</w:t>
      </w:r>
      <w:r w:rsidRPr="00D75386">
        <w:t>Nakai,</w:t>
      </w:r>
      <w:r>
        <w:t xml:space="preserve"> 2021; </w:t>
      </w:r>
      <w:r w:rsidRPr="00D75386">
        <w:t xml:space="preserve">Bas and </w:t>
      </w:r>
      <w:proofErr w:type="spellStart"/>
      <w:r w:rsidRPr="00D75386">
        <w:t>Sivaprasad</w:t>
      </w:r>
      <w:proofErr w:type="spellEnd"/>
      <w:r>
        <w:t>, 2022)</w:t>
      </w:r>
      <w:r w:rsidRPr="00BD27F0">
        <w:t xml:space="preserve">. Shangri-La, with its focus on international luxury </w:t>
      </w:r>
      <w:r w:rsidRPr="00BD27F0">
        <w:t>travellers</w:t>
      </w:r>
      <w:r w:rsidRPr="00BD27F0">
        <w:t>, was hit harder, seeing a revenue drop from USD 2,517.90 million in 2018 to USD 1,033.40 million in 2020. This sharp decline was largely driven by the collapse of international travel and luxury services demand</w:t>
      </w:r>
      <w:r>
        <w:t xml:space="preserve"> (Shangri-La Group, 2023)</w:t>
      </w:r>
      <w:r w:rsidRPr="00BD27F0">
        <w:t xml:space="preserve">. Premier Inn, catering to domestic budget </w:t>
      </w:r>
      <w:r w:rsidRPr="00BD27F0">
        <w:t>travellers</w:t>
      </w:r>
      <w:r w:rsidRPr="00BD27F0">
        <w:t>, showed more resilience, with a smaller drop from GBP 2,049 million in 2019 to GBP 2,072 million in 2020. However, in 2021, domestic travel restrictions led to a further revenue decrease for Premier Inn, reaching GBP 590 million. Recovery for both began in 2022 as travel restrictions eased</w:t>
      </w:r>
      <w:r>
        <w:t xml:space="preserve"> (Whitebread PLC, 2024)</w:t>
      </w:r>
      <w:r w:rsidRPr="00BD27F0">
        <w:t xml:space="preserve">. Key factors behind the recovery include the resurgence of both international and domestic travel. By 2023, Shangri-La's revenue rebounded to USD 2,141.80 million, driven by the gradual return of high-end </w:t>
      </w:r>
      <w:r w:rsidRPr="00BD27F0">
        <w:t>travellers</w:t>
      </w:r>
      <w:r w:rsidRPr="00BD27F0">
        <w:t>, while Premier Inn reached GBP 2,625 million, benefiting from a strong demand for domestic staycations</w:t>
      </w:r>
      <w:r>
        <w:t xml:space="preserve"> (Shangri-La Group, 2023; Whitebread PLC, 2024)</w:t>
      </w:r>
      <w:r w:rsidRPr="00BD27F0">
        <w:t>. Overall, the speed of recovery reflects each hotel's customer base and market positioning.</w:t>
      </w:r>
    </w:p>
    <w:p w14:paraId="4B5E0CE1" w14:textId="77777777" w:rsidR="00F02453" w:rsidRDefault="00F02453" w:rsidP="00F02453">
      <w:pPr>
        <w:rPr>
          <w:b/>
          <w:bCs/>
        </w:rPr>
      </w:pPr>
    </w:p>
    <w:p w14:paraId="7220EFAC" w14:textId="77777777" w:rsidR="00F02453" w:rsidRDefault="00F02453" w:rsidP="00F02453">
      <w:pPr>
        <w:rPr>
          <w:b/>
          <w:bCs/>
        </w:rPr>
      </w:pPr>
      <w:r w:rsidRPr="00BD27F0">
        <w:rPr>
          <w:b/>
          <w:bCs/>
        </w:rPr>
        <w:t>Costs of Shangri-La Hotels and Premier Inn</w:t>
      </w:r>
    </w:p>
    <w:p w14:paraId="749794D0" w14:textId="77777777" w:rsidR="00F02453" w:rsidRDefault="00F02453" w:rsidP="00F02453">
      <w:r>
        <w:rPr>
          <w:noProof/>
        </w:rPr>
        <w:drawing>
          <wp:inline distT="0" distB="0" distL="0" distR="0" wp14:anchorId="4F70D118" wp14:editId="36125538">
            <wp:extent cx="5943600" cy="3251835"/>
            <wp:effectExtent l="0" t="0" r="0" b="5715"/>
            <wp:docPr id="290498444" name="Chart 1">
              <a:extLst xmlns:a="http://schemas.openxmlformats.org/drawingml/2006/main">
                <a:ext uri="{FF2B5EF4-FFF2-40B4-BE49-F238E27FC236}">
                  <a16:creationId xmlns:a16="http://schemas.microsoft.com/office/drawing/2014/main" id="{78F300C2-10CF-C6CD-A117-E211F3E964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34EF2A" w14:textId="77777777" w:rsidR="00F02453" w:rsidRDefault="00F02453" w:rsidP="00F02453">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Costs of </w:t>
      </w:r>
      <w:r w:rsidRPr="00A76414">
        <w:t>Shangri-La Hotels and Premier Inn</w:t>
      </w:r>
      <w:r>
        <w:t xml:space="preserve"> (</w:t>
      </w:r>
      <w:r w:rsidRPr="00A76414">
        <w:t>Shangri-La Group, 2023; Whitebread PLC, 2024</w:t>
      </w:r>
      <w:r>
        <w:t>)</w:t>
      </w:r>
    </w:p>
    <w:p w14:paraId="67C804FB" w14:textId="77777777" w:rsidR="00F02453" w:rsidRDefault="00F02453" w:rsidP="00F02453">
      <w:r w:rsidRPr="00BD27F0">
        <w:t>The operational costs and cost of goods sold (COGS) for both Shangri-La and Premier Inn played a significant role in shaping their total revenue from 2018 to 2023. For Shangri-La, operational costs remained relatively high, especially post-pandemic, rising sharply from USD 529.9 million in 2020 to USD 1,191.6 million in 2023, which reflects the return of high-end services and increased staffing expenses</w:t>
      </w:r>
      <w:r>
        <w:t xml:space="preserve"> (Shangri-La Group, 2023)</w:t>
      </w:r>
      <w:r w:rsidRPr="00BD27F0">
        <w:t>. Similarly, Premier Inn saw a steady rise in operational costs post-COVID, from GBP 1,176 million in 2020 to GBP 1,758 million in 2023, primarily driven by the resumption of domestic travel</w:t>
      </w:r>
      <w:r>
        <w:t xml:space="preserve"> (Whitebread PLC, 2024)</w:t>
      </w:r>
      <w:r w:rsidRPr="00BD27F0">
        <w:t>. Both companies effectively managed their COGS during the pandemic; Shangri-La saw a decline to USD 156.2 million in 2020, while Premier Inn dropped to GBP 654 million, reflecting reduced demand and lower operational activities during the height of COVID-19</w:t>
      </w:r>
      <w:r>
        <w:t xml:space="preserve"> (Shangri-La Group, 2023; Whitebread PLC, 2024)</w:t>
      </w:r>
      <w:r w:rsidRPr="00BD27F0">
        <w:t>. As travel resumed, their COGS increased moderately, aligning with their revenue recovery. Premier Inn's budget-conscious approach helped it control costs better, which contributed to faster revenue recovery compared to Shangri-La’s more complex luxury offerings.</w:t>
      </w:r>
    </w:p>
    <w:p w14:paraId="7F741295" w14:textId="77777777" w:rsidR="00F02453" w:rsidRDefault="00F02453" w:rsidP="00F02453">
      <w:pPr>
        <w:pStyle w:val="Caption"/>
        <w:ind w:firstLine="720"/>
      </w:pPr>
      <w:r>
        <w:lastRenderedPageBreak/>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FE0855">
        <w:t>Occupancy Rates and RevPAR (2018–2023)</w:t>
      </w:r>
      <w:r>
        <w:t xml:space="preserve"> (</w:t>
      </w:r>
      <w:r w:rsidRPr="00FE0855">
        <w:t>Shangri-La Group, 2023; Whitebread PLC, 2024</w:t>
      </w:r>
      <w:r w:rsidRPr="00FE0855">
        <w:rPr>
          <w:noProof/>
        </w:rPr>
        <mc:AlternateContent>
          <mc:Choice Requires="wpg">
            <w:drawing>
              <wp:anchor distT="0" distB="0" distL="114300" distR="114300" simplePos="0" relativeHeight="251662336" behindDoc="0" locked="0" layoutInCell="1" allowOverlap="1" wp14:anchorId="785C1477" wp14:editId="7F8A123C">
                <wp:simplePos x="0" y="0"/>
                <wp:positionH relativeFrom="column">
                  <wp:posOffset>6350</wp:posOffset>
                </wp:positionH>
                <wp:positionV relativeFrom="paragraph">
                  <wp:posOffset>97790</wp:posOffset>
                </wp:positionV>
                <wp:extent cx="5911850" cy="2425700"/>
                <wp:effectExtent l="0" t="0" r="12700" b="12700"/>
                <wp:wrapSquare wrapText="bothSides"/>
                <wp:docPr id="32158603" name="Group 3"/>
                <wp:cNvGraphicFramePr/>
                <a:graphic xmlns:a="http://schemas.openxmlformats.org/drawingml/2006/main">
                  <a:graphicData uri="http://schemas.microsoft.com/office/word/2010/wordprocessingGroup">
                    <wpg:wgp>
                      <wpg:cNvGrpSpPr/>
                      <wpg:grpSpPr>
                        <a:xfrm>
                          <a:off x="0" y="0"/>
                          <a:ext cx="5911850" cy="2425700"/>
                          <a:chOff x="0" y="0"/>
                          <a:chExt cx="6235700" cy="2228850"/>
                        </a:xfrm>
                      </wpg:grpSpPr>
                      <wpg:graphicFrame>
                        <wpg:cNvPr id="151875813" name="Chart 1">
                          <a:extLst>
                            <a:ext uri="{FF2B5EF4-FFF2-40B4-BE49-F238E27FC236}">
                              <a16:creationId xmlns:a16="http://schemas.microsoft.com/office/drawing/2014/main" id="{3D10EB39-5FB0-CC09-12BF-0719AFD37805}"/>
                            </a:ext>
                          </a:extLst>
                        </wpg:cNvPr>
                        <wpg:cNvFrPr/>
                        <wpg:xfrm>
                          <a:off x="3028950" y="0"/>
                          <a:ext cx="3206750" cy="2228850"/>
                        </wpg:xfrm>
                        <a:graphic>
                          <a:graphicData uri="http://schemas.openxmlformats.org/drawingml/2006/chart">
                            <c:chart xmlns:c="http://schemas.openxmlformats.org/drawingml/2006/chart" xmlns:r="http://schemas.openxmlformats.org/officeDocument/2006/relationships" r:id="rId9"/>
                          </a:graphicData>
                        </a:graphic>
                      </wpg:graphicFrame>
                      <wpg:graphicFrame>
                        <wpg:cNvPr id="1975116725" name="Chart 1">
                          <a:extLst>
                            <a:ext uri="{FF2B5EF4-FFF2-40B4-BE49-F238E27FC236}">
                              <a16:creationId xmlns:a16="http://schemas.microsoft.com/office/drawing/2014/main" id="{7E95A98C-9416-550C-7789-2F59888E3671}"/>
                            </a:ext>
                          </a:extLst>
                        </wpg:cNvPr>
                        <wpg:cNvFrPr/>
                        <wpg:xfrm>
                          <a:off x="0" y="0"/>
                          <a:ext cx="3028950" cy="2228850"/>
                        </wpg:xfrm>
                        <a:graphic>
                          <a:graphicData uri="http://schemas.openxmlformats.org/drawingml/2006/chart">
                            <c:chart xmlns:c="http://schemas.openxmlformats.org/drawingml/2006/chart" xmlns:r="http://schemas.openxmlformats.org/officeDocument/2006/relationships" r:id="rId10"/>
                          </a:graphicData>
                        </a:graphic>
                      </wpg:graphicFrame>
                    </wpg:wgp>
                  </a:graphicData>
                </a:graphic>
                <wp14:sizeRelH relativeFrom="margin">
                  <wp14:pctWidth>0</wp14:pctWidth>
                </wp14:sizeRelH>
                <wp14:sizeRelV relativeFrom="margin">
                  <wp14:pctHeight>0</wp14:pctHeight>
                </wp14:sizeRelV>
              </wp:anchor>
            </w:drawing>
          </mc:Choice>
          <mc:Fallback>
            <w:pict>
              <v:group w14:anchorId="429B1E10" id="Group 3" o:spid="_x0000_s1026" style="position:absolute;margin-left:.5pt;margin-top:7.7pt;width:465.5pt;height:191pt;z-index:251662336;mso-width-relative:margin;mso-height-relative:margin" coordsize="62357,22288" o:gfxdata="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left:30220;top:-56;width:32214;height:2240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">
                  <v:imagedata r:id="rId11" o:title=""/>
                  <o:lock v:ext="edit" aspectratio="f"/>
                </v:shape>
                <v:shape id="Chart 1" o:spid="_x0000_s1028" type="#_x0000_t75" style="position:absolute;left:-64;top:-56;width:30413;height:2240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">
                  <v:imagedata r:id="rId12" o:title=""/>
                  <o:lock v:ext="edit" aspectratio="f"/>
                </v:shape>
                <w10:wrap type="square"/>
              </v:group>
            </w:pict>
          </mc:Fallback>
        </mc:AlternateContent>
      </w:r>
      <w:r>
        <w:t>)</w:t>
      </w:r>
    </w:p>
    <w:p w14:paraId="22F9D292" w14:textId="77777777" w:rsidR="00F02453" w:rsidRPr="001A1830" w:rsidRDefault="00F02453" w:rsidP="00F02453">
      <w:r w:rsidRPr="001A1830">
        <w:t>The charts compare the Occupancy Rates and Revenue per Available Room (RevPAR) for Shangri-La and Premier Inn hotels from 2018 to 2023. In the Occupancy Rates chart, Shangri-La consistently maintains higher percentages compared to Premier Inn, with both showing fluctuations over time. The RevPAR chart indicates that Shangri-La’s revenues in USD are generally higher than Premier Inn’s in GBP, across most years, reflecting stronger performance in generating revenue per room. Premier Inn, while lower in both metrics, demonstrates moderate growth over the same period.</w:t>
      </w:r>
    </w:p>
    <w:p w14:paraId="650FE901" w14:textId="77777777" w:rsidR="00F02453" w:rsidRDefault="00F02453" w:rsidP="00F02453">
      <w:pPr>
        <w:rPr>
          <w:b/>
          <w:bCs/>
        </w:rPr>
      </w:pPr>
      <w:r w:rsidRPr="00BD27F0">
        <w:rPr>
          <w:b/>
          <w:bCs/>
        </w:rPr>
        <w:t>Comparative Analysis of Shangri-La Hotels and Premier Inn</w:t>
      </w:r>
    </w:p>
    <w:p w14:paraId="2E6AAD85" w14:textId="3292CBA1" w:rsidR="00F02453" w:rsidRPr="00BD27F0" w:rsidRDefault="00F02453" w:rsidP="00F02453">
      <w:r w:rsidRPr="00BD27F0">
        <w:t xml:space="preserve">In comparing the financial performance of Shangri-La Hotels and Premier Inn from 2018 to 2023, it becomes evident that Premier Inn managed its recovery more effectively than Shangri-La due to its focus on budget-conscious domestic </w:t>
      </w:r>
      <w:r w:rsidRPr="00BD27F0">
        <w:t>travellers</w:t>
      </w:r>
      <w:r w:rsidRPr="00BD27F0">
        <w:t xml:space="preserve">. Shangri-La’s reliance on international luxury </w:t>
      </w:r>
      <w:r w:rsidRPr="00BD27F0">
        <w:t>travellers</w:t>
      </w:r>
      <w:r w:rsidRPr="00BD27F0">
        <w:t xml:space="preserve"> resulted in a sharper revenue decline and slower recovery post-COVID, driven by higher operational costs and complexity in services</w:t>
      </w:r>
      <w:r>
        <w:t xml:space="preserve"> (Shangri-La Group, 2023)</w:t>
      </w:r>
      <w:r w:rsidRPr="00BD27F0">
        <w:t>. Premier Inn, with its more streamlined operations and control over costs, saw a quicker rebound as domestic travel resumed, benefiting from a steady rise in demand for affordable accommodations</w:t>
      </w:r>
      <w:r>
        <w:t xml:space="preserve"> (Whitebread PLC, 2024)</w:t>
      </w:r>
      <w:r w:rsidRPr="00BD27F0">
        <w:t>. This highlights Premier Inn’s stronger cost management and market positioning in recovering faster than Shangri-La.</w:t>
      </w:r>
    </w:p>
    <w:p w14:paraId="4D8F9F35" w14:textId="77777777" w:rsidR="00F02453" w:rsidRPr="00DF5CB7" w:rsidRDefault="00F02453" w:rsidP="00F02453">
      <w:pPr>
        <w:pStyle w:val="Heading1"/>
      </w:pPr>
      <w:bookmarkStart w:id="2" w:name="_Toc179925847"/>
      <w:r w:rsidRPr="00DF5CB7">
        <w:lastRenderedPageBreak/>
        <w:t>Task Two: Market Position</w:t>
      </w:r>
      <w:bookmarkEnd w:id="2"/>
    </w:p>
    <w:p w14:paraId="19DB9091" w14:textId="1366252F" w:rsidR="00F02453" w:rsidRPr="00DF5CB7" w:rsidRDefault="00F02453" w:rsidP="00F02453">
      <w:r w:rsidRPr="00DF5CB7">
        <w:t xml:space="preserve">Shangri-La operates in the luxury hotel segment, targeting high-net-worth individuals, business </w:t>
      </w:r>
      <w:r w:rsidRPr="00DF5CB7">
        <w:t>travellers</w:t>
      </w:r>
      <w:r w:rsidRPr="00DF5CB7">
        <w:t>, and affluent vacationers</w:t>
      </w:r>
      <w:r>
        <w:t xml:space="preserve"> (</w:t>
      </w:r>
      <w:r w:rsidRPr="00D75386">
        <w:t>Yang,</w:t>
      </w:r>
      <w:r>
        <w:t xml:space="preserve"> 2013)</w:t>
      </w:r>
      <w:r w:rsidRPr="00DF5CB7">
        <w:t xml:space="preserve">. The hotel group has a strong presence in key regions such as Asia, Europe, and the Middle East. Premier Inn, on the other hand, caters to budget-conscious domestic </w:t>
      </w:r>
      <w:r w:rsidRPr="00DF5CB7">
        <w:t>travellers</w:t>
      </w:r>
      <w:r w:rsidRPr="00DF5CB7">
        <w:t>, with a dominant focus on the UK market</w:t>
      </w:r>
      <w:r>
        <w:t xml:space="preserve"> (</w:t>
      </w:r>
      <w:r w:rsidRPr="0075266A">
        <w:t>Page</w:t>
      </w:r>
      <w:r>
        <w:t xml:space="preserve"> </w:t>
      </w:r>
      <w:r w:rsidRPr="0075266A">
        <w:t>and Connell</w:t>
      </w:r>
      <w:r>
        <w:t>, 2020)</w:t>
      </w:r>
      <w:r w:rsidRPr="00DF5CB7">
        <w:t xml:space="preserve">. </w:t>
      </w:r>
    </w:p>
    <w:p w14:paraId="1745DC20" w14:textId="77777777" w:rsidR="00F02453" w:rsidRPr="00DF5CB7" w:rsidRDefault="00F02453" w:rsidP="00F02453">
      <w:pPr>
        <w:rPr>
          <w:b/>
          <w:bCs/>
        </w:rPr>
      </w:pPr>
      <w:r w:rsidRPr="00DF5CB7">
        <w:rPr>
          <w:b/>
          <w:bCs/>
        </w:rPr>
        <w:t>Market Share</w:t>
      </w:r>
    </w:p>
    <w:p w14:paraId="6E1A7C1B" w14:textId="3A3DCE5C" w:rsidR="00F02453" w:rsidRPr="00DF5CB7" w:rsidRDefault="00F02453" w:rsidP="00F02453">
      <w:r w:rsidRPr="00DF5CB7">
        <w:t>Shangri-La holds a considerable share of the luxury hotel market, particularly in Asia, where it has established a dominant presence</w:t>
      </w:r>
      <w:r>
        <w:t xml:space="preserve"> (</w:t>
      </w:r>
      <w:r w:rsidRPr="0075266A">
        <w:t>de Beer</w:t>
      </w:r>
      <w:r>
        <w:t>, 2006)</w:t>
      </w:r>
      <w:r w:rsidRPr="00DF5CB7">
        <w:t xml:space="preserve">. Despite the challenges posed by the COVID-19 pandemic, Shangri-La maintained its market share through its established reputation and brand loyalty among high-end </w:t>
      </w:r>
      <w:r w:rsidRPr="00DF5CB7">
        <w:t>travellers</w:t>
      </w:r>
      <w:r>
        <w:t xml:space="preserve"> (</w:t>
      </w:r>
      <w:r w:rsidRPr="0075266A">
        <w:t>Wilson-Mah and Bernardes</w:t>
      </w:r>
      <w:r>
        <w:t>, 2023)</w:t>
      </w:r>
      <w:r w:rsidRPr="00DF5CB7">
        <w:t xml:space="preserve">. However, its market share was temporarily affected by the sharp drop in international travel, which is a major revenue driver for luxury hotels. </w:t>
      </w:r>
      <w:r w:rsidRPr="006E076C">
        <w:t>Premier Inn, conversely, held a strong position in the UK hotel industry, accounting for 10% of the market by revenue as of 2021, slightly down from 11% in 2020</w:t>
      </w:r>
      <w:r>
        <w:t xml:space="preserve"> (Whitebread PLC, 2024)</w:t>
      </w:r>
      <w:r w:rsidRPr="006E076C">
        <w:t>.</w:t>
      </w:r>
      <w:r w:rsidRPr="000A17D2">
        <w:t xml:space="preserve"> This decrease was largely due to the COVID-19 pandemic, which significantly impacted the hospitality industry. Despite the challenges, Premier Inn remains the largest player in the UK budget hotel segment, benefiting from domestic travel recovery post-pandemic</w:t>
      </w:r>
      <w:r>
        <w:t xml:space="preserve"> (</w:t>
      </w:r>
      <w:r w:rsidRPr="0075266A">
        <w:t>Gursoy,</w:t>
      </w:r>
      <w:r>
        <w:t xml:space="preserve"> et al. 2022)</w:t>
      </w:r>
      <w:r w:rsidRPr="000A17D2">
        <w:t>.</w:t>
      </w:r>
    </w:p>
    <w:p w14:paraId="091818C4" w14:textId="77777777" w:rsidR="00F02453" w:rsidRPr="00DF5CB7" w:rsidRDefault="00F02453" w:rsidP="00F02453">
      <w:pPr>
        <w:rPr>
          <w:b/>
          <w:bCs/>
        </w:rPr>
      </w:pPr>
      <w:r w:rsidRPr="00DF5CB7">
        <w:rPr>
          <w:b/>
          <w:bCs/>
        </w:rPr>
        <w:t>Customer Demographics</w:t>
      </w:r>
    </w:p>
    <w:p w14:paraId="7C7ABB8A" w14:textId="37DD4D07" w:rsidR="00F02453" w:rsidRPr="00DF5CB7" w:rsidRDefault="00F02453" w:rsidP="00F02453">
      <w:r w:rsidRPr="00DF5CB7">
        <w:t>Shangri-La’s customer base primarily consists of high-income individuals, corporate executives, and luxury vacationers, particularly those traveling from Asia and Europe. The brand’s appeal lies in its premium services, luxurious amenities, and exclusivity, which cater to the upper end of the market</w:t>
      </w:r>
      <w:r>
        <w:t xml:space="preserve"> (Shangri-La Group, 2023)</w:t>
      </w:r>
      <w:r w:rsidRPr="00DF5CB7">
        <w:t xml:space="preserve">. In contrast, Premier Inn’s customer demographic is broader, attracting budget-conscious </w:t>
      </w:r>
      <w:r w:rsidRPr="00DF5CB7">
        <w:t>travellers</w:t>
      </w:r>
      <w:r w:rsidRPr="00DF5CB7">
        <w:t xml:space="preserve">, including families, business professionals, and solo </w:t>
      </w:r>
      <w:r w:rsidRPr="00DF5CB7">
        <w:t>travellers</w:t>
      </w:r>
      <w:r w:rsidRPr="00DF5CB7">
        <w:t xml:space="preserve">. Its focus on providing affordable and reliable accommodations makes it an appealing choice for domestic </w:t>
      </w:r>
      <w:r w:rsidRPr="00DF5CB7">
        <w:t>travellers</w:t>
      </w:r>
      <w:r w:rsidRPr="00DF5CB7">
        <w:t xml:space="preserve"> seeking value for money, especially during economic uncertainty or travel restrictions</w:t>
      </w:r>
      <w:r>
        <w:t xml:space="preserve"> (Whitebread PLC, 2024)</w:t>
      </w:r>
      <w:r w:rsidRPr="00DF5CB7">
        <w:t>.</w:t>
      </w:r>
    </w:p>
    <w:p w14:paraId="0B79A103" w14:textId="77777777" w:rsidR="00F02453" w:rsidRPr="00DF5CB7" w:rsidRDefault="00F02453" w:rsidP="00F02453">
      <w:pPr>
        <w:rPr>
          <w:b/>
          <w:bCs/>
        </w:rPr>
      </w:pPr>
      <w:r w:rsidRPr="00DF5CB7">
        <w:rPr>
          <w:b/>
          <w:bCs/>
        </w:rPr>
        <w:t>Brand Perception</w:t>
      </w:r>
    </w:p>
    <w:p w14:paraId="54229793" w14:textId="00187646" w:rsidR="00F02453" w:rsidRPr="00DF5CB7" w:rsidRDefault="00F02453" w:rsidP="00F02453">
      <w:r w:rsidRPr="00DF5CB7">
        <w:t>Shangri-La is perceived as a premier luxury hotel brand, renowned for offering high-end services, opulent surroundings, and personalized experiences. Its reputation as a leader in luxury hospitality has allowed it to maintain a strong brand perception despite the challenges of the pandemic</w:t>
      </w:r>
      <w:r>
        <w:t xml:space="preserve"> (</w:t>
      </w:r>
      <w:r w:rsidRPr="0075266A">
        <w:t xml:space="preserve">Zhang, </w:t>
      </w:r>
      <w:r>
        <w:lastRenderedPageBreak/>
        <w:t>et al. 2019)</w:t>
      </w:r>
      <w:r w:rsidRPr="00DF5CB7">
        <w:t xml:space="preserve">. Premier Inn, in contrast, is known for its affordability, convenience, and consistent quality. The brand is widely perceived as a reliable budget option that delivers value for money, particularly for families and business </w:t>
      </w:r>
      <w:r w:rsidRPr="00DF5CB7">
        <w:t>travellers</w:t>
      </w:r>
      <w:r w:rsidRPr="00DF5CB7">
        <w:t xml:space="preserve"> seeking comfortable accommodations without the premium price tag</w:t>
      </w:r>
      <w:r>
        <w:t xml:space="preserve"> (</w:t>
      </w:r>
      <w:r w:rsidRPr="0075266A">
        <w:t>Lo and Yeung</w:t>
      </w:r>
      <w:r>
        <w:t>, 2020)</w:t>
      </w:r>
      <w:r w:rsidRPr="00DF5CB7">
        <w:t xml:space="preserve">. </w:t>
      </w:r>
    </w:p>
    <w:p w14:paraId="4E1DD80A" w14:textId="77777777" w:rsidR="00F02453" w:rsidRDefault="00F02453" w:rsidP="00F02453">
      <w:pPr>
        <w:rPr>
          <w:b/>
          <w:bCs/>
        </w:rPr>
      </w:pPr>
      <w:r w:rsidRPr="00DF5CB7">
        <w:rPr>
          <w:b/>
          <w:bCs/>
        </w:rPr>
        <w:t>Competitive Positioning of Two Companies by Using Strategy Clock and Supply And Demand Theory Graph</w:t>
      </w:r>
    </w:p>
    <w:p w14:paraId="69F5D837" w14:textId="77777777" w:rsidR="00F02453" w:rsidRPr="00F02A8D" w:rsidRDefault="00F02453" w:rsidP="00F02453">
      <w:pPr>
        <w:rPr>
          <w:b/>
          <w:bCs/>
          <w:u w:val="single"/>
        </w:rPr>
      </w:pPr>
      <w:r w:rsidRPr="00DF5CB7">
        <w:rPr>
          <w:b/>
          <w:bCs/>
          <w:noProof/>
        </w:rPr>
        <w:drawing>
          <wp:anchor distT="0" distB="0" distL="114300" distR="114300" simplePos="0" relativeHeight="251660288" behindDoc="0" locked="0" layoutInCell="1" allowOverlap="1" wp14:anchorId="6EEA957C" wp14:editId="142A9EED">
            <wp:simplePos x="0" y="0"/>
            <wp:positionH relativeFrom="column">
              <wp:posOffset>1073150</wp:posOffset>
            </wp:positionH>
            <wp:positionV relativeFrom="paragraph">
              <wp:posOffset>223520</wp:posOffset>
            </wp:positionV>
            <wp:extent cx="3839845" cy="2373630"/>
            <wp:effectExtent l="0" t="0" r="8255" b="7620"/>
            <wp:wrapSquare wrapText="bothSides"/>
            <wp:docPr id="269660969" name="Picture 13" descr="A diagram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660969" name="Picture 13" descr="A diagram of a market shar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39845" cy="2373630"/>
                    </a:xfrm>
                    <a:prstGeom prst="rect">
                      <a:avLst/>
                    </a:prstGeom>
                    <a:noFill/>
                  </pic:spPr>
                </pic:pic>
              </a:graphicData>
            </a:graphic>
            <wp14:sizeRelH relativeFrom="margin">
              <wp14:pctWidth>0</wp14:pctWidth>
            </wp14:sizeRelH>
            <wp14:sizeRelV relativeFrom="margin">
              <wp14:pctHeight>0</wp14:pctHeight>
            </wp14:sizeRelV>
          </wp:anchor>
        </w:drawing>
      </w:r>
      <w:r w:rsidRPr="00F02A8D">
        <w:rPr>
          <w:b/>
          <w:bCs/>
          <w:u w:val="single"/>
        </w:rPr>
        <w:t>Strategy Clock</w:t>
      </w:r>
    </w:p>
    <w:p w14:paraId="177494FE" w14:textId="77777777" w:rsidR="00F02453" w:rsidRDefault="00F02453" w:rsidP="00F02453">
      <w:pPr>
        <w:rPr>
          <w:b/>
          <w:bCs/>
        </w:rPr>
      </w:pPr>
    </w:p>
    <w:p w14:paraId="6E849409" w14:textId="77777777" w:rsidR="00F02453" w:rsidRDefault="00F02453" w:rsidP="00F02453">
      <w:pPr>
        <w:rPr>
          <w:b/>
          <w:bCs/>
        </w:rPr>
      </w:pPr>
    </w:p>
    <w:p w14:paraId="6F300D36" w14:textId="77777777" w:rsidR="00F02453" w:rsidRDefault="00F02453" w:rsidP="00F02453">
      <w:pPr>
        <w:rPr>
          <w:b/>
          <w:bCs/>
        </w:rPr>
      </w:pPr>
    </w:p>
    <w:p w14:paraId="2177B8D8" w14:textId="77777777" w:rsidR="00F02453" w:rsidRDefault="00F02453" w:rsidP="00F02453">
      <w:pPr>
        <w:rPr>
          <w:b/>
          <w:bCs/>
        </w:rPr>
      </w:pPr>
    </w:p>
    <w:p w14:paraId="08FB036C" w14:textId="77777777" w:rsidR="00F02453" w:rsidRDefault="00F02453" w:rsidP="00F02453">
      <w:pPr>
        <w:rPr>
          <w:b/>
          <w:bCs/>
        </w:rPr>
      </w:pPr>
    </w:p>
    <w:p w14:paraId="20BF0E9E" w14:textId="77777777" w:rsidR="00F02453" w:rsidRDefault="00F02453" w:rsidP="00F02453">
      <w:pPr>
        <w:rPr>
          <w:b/>
          <w:bCs/>
        </w:rPr>
      </w:pPr>
    </w:p>
    <w:p w14:paraId="5CA088B5" w14:textId="77777777" w:rsidR="00F02453" w:rsidRDefault="00F02453" w:rsidP="00F02453">
      <w:pPr>
        <w:rPr>
          <w:b/>
          <w:bCs/>
        </w:rPr>
      </w:pPr>
    </w:p>
    <w:p w14:paraId="15A96245" w14:textId="77777777" w:rsidR="00F02453" w:rsidRDefault="00F02453" w:rsidP="00F02453">
      <w:pPr>
        <w:rPr>
          <w:b/>
          <w:bCs/>
        </w:rPr>
      </w:pPr>
    </w:p>
    <w:p w14:paraId="1E2BB4BB" w14:textId="77777777" w:rsidR="00F02453" w:rsidRDefault="00F02453" w:rsidP="00F02453">
      <w:pPr>
        <w:pStyle w:val="Caption"/>
        <w:jc w:val="center"/>
      </w:pPr>
    </w:p>
    <w:p w14:paraId="0DC11E3D" w14:textId="77777777" w:rsidR="00F02453" w:rsidRPr="00CF1406" w:rsidRDefault="00F02453" w:rsidP="00F02453">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Bowman’s Strategic Clock (Bennett, 2023)</w:t>
      </w:r>
    </w:p>
    <w:p w14:paraId="44B1B565" w14:textId="5220A443" w:rsidR="00F02453" w:rsidRDefault="00F02453" w:rsidP="00F02453">
      <w:r w:rsidRPr="00DF5CB7">
        <w:t xml:space="preserve">Using the strategy clock, Shangri-La Hotels falls </w:t>
      </w:r>
      <w:r w:rsidRPr="002C5708">
        <w:t>into the Differentiation quadrant</w:t>
      </w:r>
      <w:r w:rsidRPr="00DF5CB7">
        <w:t xml:space="preserve"> (position 4) as it offers high-value services at a premium price. This positioning emphasizes luxury and exclusivity, catering to high-net-worth individuals and international </w:t>
      </w:r>
      <w:r w:rsidRPr="00DF5CB7">
        <w:t>travellers</w:t>
      </w:r>
      <w:r w:rsidRPr="00DF5CB7">
        <w:t xml:space="preserve"> seeking a premium experience</w:t>
      </w:r>
      <w:r>
        <w:t xml:space="preserve"> (</w:t>
      </w:r>
      <w:r w:rsidRPr="0075266A">
        <w:t>Drury</w:t>
      </w:r>
      <w:r>
        <w:t>, 2021)</w:t>
      </w:r>
      <w:r w:rsidRPr="00DF5CB7">
        <w:t>. Shangri-La’s strategy is built on providing unique, high-end services and experiences that justify its higher pricing, which is a key factor in maintaining its strong market share in the luxury segment</w:t>
      </w:r>
      <w:r>
        <w:t xml:space="preserve"> (Shangri-La Group, 2023)</w:t>
      </w:r>
      <w:r w:rsidRPr="00DF5CB7">
        <w:t xml:space="preserve">. Conversely, Premier Inn positions itself within the </w:t>
      </w:r>
      <w:r w:rsidRPr="00F02A8D">
        <w:t>Hybrid zone</w:t>
      </w:r>
      <w:r w:rsidRPr="00DF5CB7">
        <w:t xml:space="preserve"> (position 3), balancing low prices with moderate differentiation. It focuses on delivering good quality accommodations at affordable prices, appealing to budget-conscious domestic </w:t>
      </w:r>
      <w:r w:rsidRPr="00DF5CB7">
        <w:t>travellers</w:t>
      </w:r>
      <w:r>
        <w:t xml:space="preserve"> (Whitebread PLC, 2024)</w:t>
      </w:r>
      <w:r w:rsidRPr="00DF5CB7">
        <w:t>. This strategy allows Premier Inn to offer value for money while maintaining operational efficiency, helping it recover faster post-COVID-19, particularly as domestic travel demand increase</w:t>
      </w:r>
      <w:r>
        <w:t>s</w:t>
      </w:r>
      <w:r w:rsidRPr="00DF5CB7">
        <w:t xml:space="preserve">. </w:t>
      </w:r>
    </w:p>
    <w:p w14:paraId="7088B61C" w14:textId="77777777" w:rsidR="00F02453" w:rsidRDefault="00F02453" w:rsidP="00F02453">
      <w:pPr>
        <w:rPr>
          <w:b/>
          <w:bCs/>
        </w:rPr>
      </w:pPr>
      <w:r>
        <w:rPr>
          <w:noProof/>
        </w:rPr>
        <w:lastRenderedPageBreak/>
        <w:drawing>
          <wp:anchor distT="0" distB="0" distL="114300" distR="114300" simplePos="0" relativeHeight="251659264" behindDoc="0" locked="0" layoutInCell="1" allowOverlap="1" wp14:anchorId="13E6A924" wp14:editId="421FA5D1">
            <wp:simplePos x="0" y="0"/>
            <wp:positionH relativeFrom="column">
              <wp:posOffset>1219200</wp:posOffset>
            </wp:positionH>
            <wp:positionV relativeFrom="paragraph">
              <wp:posOffset>265430</wp:posOffset>
            </wp:positionV>
            <wp:extent cx="3562350" cy="3295650"/>
            <wp:effectExtent l="0" t="0" r="0" b="0"/>
            <wp:wrapSquare wrapText="bothSides"/>
            <wp:docPr id="1291370944" name="Picture 16"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70944" name="Picture 16" descr="A diagram of a price&#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3835"/>
                    <a:stretch/>
                  </pic:blipFill>
                  <pic:spPr bwMode="auto">
                    <a:xfrm>
                      <a:off x="0" y="0"/>
                      <a:ext cx="3562350" cy="3295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F5CB7">
        <w:rPr>
          <w:b/>
          <w:bCs/>
        </w:rPr>
        <w:t>Supply and Demand Theory Graph</w:t>
      </w:r>
    </w:p>
    <w:p w14:paraId="47BF48E2" w14:textId="77777777" w:rsidR="00F02453" w:rsidRPr="00DF5CB7" w:rsidRDefault="00F02453" w:rsidP="00F02453"/>
    <w:p w14:paraId="105BD18F" w14:textId="77777777" w:rsidR="00F02453" w:rsidRDefault="00F02453" w:rsidP="00F02453"/>
    <w:p w14:paraId="2D830B0E" w14:textId="77777777" w:rsidR="00F02453" w:rsidRDefault="00F02453" w:rsidP="00F02453"/>
    <w:p w14:paraId="174BE318" w14:textId="77777777" w:rsidR="00F02453" w:rsidRDefault="00F02453" w:rsidP="00F02453"/>
    <w:p w14:paraId="5553BC60" w14:textId="77777777" w:rsidR="00F02453" w:rsidRDefault="00F02453" w:rsidP="00F02453"/>
    <w:p w14:paraId="086E929C" w14:textId="77777777" w:rsidR="00F02453" w:rsidRDefault="00F02453" w:rsidP="00F02453"/>
    <w:p w14:paraId="14FB1516" w14:textId="77777777" w:rsidR="00F02453" w:rsidRDefault="00F02453" w:rsidP="00F02453"/>
    <w:p w14:paraId="7F64991F" w14:textId="77777777" w:rsidR="00F02453" w:rsidRDefault="00F02453" w:rsidP="00F02453"/>
    <w:p w14:paraId="515339F0" w14:textId="77777777" w:rsidR="00F02453" w:rsidRDefault="00F02453" w:rsidP="00F02453"/>
    <w:p w14:paraId="00E299D0" w14:textId="77777777" w:rsidR="00F02453" w:rsidRDefault="00F02453" w:rsidP="00F02453"/>
    <w:p w14:paraId="10336A13" w14:textId="77777777" w:rsidR="00F02453" w:rsidRDefault="00F02453" w:rsidP="00F02453"/>
    <w:p w14:paraId="1F792682" w14:textId="77777777" w:rsidR="00F02453" w:rsidRDefault="00F02453" w:rsidP="00F02453"/>
    <w:p w14:paraId="05C712C6" w14:textId="77777777" w:rsidR="00F02453" w:rsidRDefault="00F02453" w:rsidP="00F02453"/>
    <w:p w14:paraId="4127E0FA" w14:textId="77777777" w:rsidR="00F02453" w:rsidRDefault="00F02453" w:rsidP="00F02453">
      <w:pPr>
        <w:pStyle w:val="Caption"/>
        <w:jc w:val="center"/>
      </w:pPr>
      <w:r>
        <w:t xml:space="preserve">Figure </w:t>
      </w:r>
      <w:r>
        <w:fldChar w:fldCharType="begin"/>
      </w:r>
      <w:r>
        <w:instrText xml:space="preserve"> SEQ Figure \* ARABIC </w:instrText>
      </w:r>
      <w:r>
        <w:fldChar w:fldCharType="separate"/>
      </w:r>
      <w:r>
        <w:rPr>
          <w:noProof/>
        </w:rPr>
        <w:t>5</w:t>
      </w:r>
      <w:r>
        <w:rPr>
          <w:noProof/>
        </w:rPr>
        <w:fldChar w:fldCharType="end"/>
      </w:r>
      <w:r>
        <w:t xml:space="preserve">: Supply and Demand Theory Graph </w:t>
      </w:r>
      <w:r w:rsidRPr="00AF1289">
        <w:t>(Ansari, 2023)</w:t>
      </w:r>
    </w:p>
    <w:p w14:paraId="31EEAB01" w14:textId="4EC40797" w:rsidR="00F02453" w:rsidRDefault="00F02453" w:rsidP="00F02453">
      <w:r w:rsidRPr="00DF5CB7">
        <w:t>In terms of the supply and demand theory graph, both hotels faced significant demand shocks due to the pandemic. For Shangri-La, the demand (D₀) for luxury accommodations dropped sharply during COVID-19 as international travel halted, shifting the equilibrium price (P₀) downwards. As demand recovered post-pandemic, the equilibrium moved upward again, though at a slower pace due to the slower recovery of international travel</w:t>
      </w:r>
      <w:r>
        <w:t xml:space="preserve"> (</w:t>
      </w:r>
      <w:r w:rsidRPr="00BD758C">
        <w:t>Seal</w:t>
      </w:r>
      <w:r>
        <w:t>, 2019)</w:t>
      </w:r>
      <w:r w:rsidRPr="00DF5CB7">
        <w:t xml:space="preserve">. </w:t>
      </w:r>
      <w:r w:rsidRPr="000906BE">
        <w:t xml:space="preserve">Among all brands, Premier Inn solely focused on domestic customers and experienced a faster revival, especially due to the staycation trend. The initial demand curve (D₀) of the low-cost hotels suggested that prices (P₀) stayed more affordable as well. Since the chain was able to meet this steady demand at a cheaper rate, Premier Inn was able to strongly defend its market share and bounce back faster than Shangri-La </w:t>
      </w:r>
      <w:r>
        <w:t>whic</w:t>
      </w:r>
      <w:r w:rsidRPr="000906BE">
        <w:t xml:space="preserve">h depended its recovery on the return of international luxury </w:t>
      </w:r>
      <w:r w:rsidRPr="000906BE">
        <w:t>travellers</w:t>
      </w:r>
      <w:r w:rsidRPr="000906BE">
        <w:t>.</w:t>
      </w:r>
    </w:p>
    <w:p w14:paraId="2C230ECB" w14:textId="77777777" w:rsidR="00F02453" w:rsidRDefault="00F02453" w:rsidP="00F02453">
      <w:pPr>
        <w:spacing w:after="160" w:line="259" w:lineRule="auto"/>
        <w:jc w:val="left"/>
        <w:rPr>
          <w:rFonts w:eastAsia="SimSun" w:cs="Times New Roman"/>
          <w:b/>
          <w:bCs/>
          <w:color w:val="0F4761" w:themeColor="accent1" w:themeShade="BF"/>
          <w:kern w:val="32"/>
          <w:sz w:val="32"/>
          <w:szCs w:val="32"/>
          <w:lang w:val="en-US" w:eastAsia="zh-CN"/>
        </w:rPr>
      </w:pPr>
      <w:r>
        <w:br w:type="page"/>
      </w:r>
    </w:p>
    <w:p w14:paraId="57FB5BE2" w14:textId="77777777" w:rsidR="00F02453" w:rsidRPr="00821A92" w:rsidRDefault="00F02453" w:rsidP="00F02453">
      <w:pPr>
        <w:pStyle w:val="Heading1"/>
      </w:pPr>
      <w:bookmarkStart w:id="3" w:name="_Toc179925848"/>
      <w:r w:rsidRPr="00821A92">
        <w:lastRenderedPageBreak/>
        <w:t>Task Three: Growth Potential</w:t>
      </w:r>
      <w:bookmarkEnd w:id="3"/>
    </w:p>
    <w:p w14:paraId="6100DAA5" w14:textId="77777777" w:rsidR="00F02453" w:rsidRDefault="00F02453" w:rsidP="00F02453">
      <w:r w:rsidRPr="00A27A5D">
        <w:t xml:space="preserve">It is found that </w:t>
      </w:r>
      <w:r>
        <w:t xml:space="preserve">growth potential </w:t>
      </w:r>
      <w:r w:rsidRPr="00A27A5D">
        <w:t>for the Shangri-La Hotels and the Premier Inn (Whitbread)’ revolves around the strategic position and the future development of both entities due to the market’s response to post-MV COVID</w:t>
      </w:r>
      <w:r>
        <w:t>-19</w:t>
      </w:r>
      <w:r w:rsidRPr="00A27A5D">
        <w:t xml:space="preserve"> developing trends.</w:t>
      </w:r>
    </w:p>
    <w:p w14:paraId="78D0DB35" w14:textId="77777777" w:rsidR="00F02453" w:rsidRPr="00821A92" w:rsidRDefault="00F02453" w:rsidP="00F02453">
      <w:pPr>
        <w:rPr>
          <w:b/>
          <w:bCs/>
        </w:rPr>
      </w:pPr>
      <w:r w:rsidRPr="00821A92">
        <w:rPr>
          <w:b/>
          <w:bCs/>
        </w:rPr>
        <w:t>Shangri-La Hotels Growth Potential</w:t>
      </w:r>
    </w:p>
    <w:p w14:paraId="7F767656" w14:textId="77777777" w:rsidR="00F02453" w:rsidRPr="00821A92" w:rsidRDefault="00F02453" w:rsidP="00F02453">
      <w:r w:rsidRPr="00C54523">
        <w:t xml:space="preserve">The </w:t>
      </w:r>
      <w:r>
        <w:t>potential</w:t>
      </w:r>
      <w:r w:rsidRPr="00C54523">
        <w:t xml:space="preserve"> for Shangri-La to grow </w:t>
      </w:r>
      <w:r>
        <w:t xml:space="preserve">depends </w:t>
      </w:r>
      <w:r w:rsidRPr="00C54523">
        <w:t>on international tourists, particularly in the luxury segment. Shangri-La has a good exposure in Asia, Europe</w:t>
      </w:r>
      <w:r>
        <w:t>,</w:t>
      </w:r>
      <w:r w:rsidRPr="00C54523">
        <w:t xml:space="preserve"> and </w:t>
      </w:r>
      <w:r>
        <w:t xml:space="preserve">the </w:t>
      </w:r>
      <w:r w:rsidRPr="00C54523">
        <w:t xml:space="preserve">Middle East where it can still grow deeper in luxury segment markets which are still relatively unexplored (Shi, et al. 2015). Its growth plan comprises of development of new accommodations in emerging markets and </w:t>
      </w:r>
      <w:r>
        <w:t>the </w:t>
      </w:r>
      <w:r w:rsidRPr="00C54523">
        <w:t xml:space="preserve">provision of sustainable luxury products to meet the increasing market for responsible tourism (Abdullah, 2015). </w:t>
      </w:r>
      <w:r w:rsidRPr="00821A92">
        <w:t>However, the company faces potential barriers such as global economic uncertainty and the slow recovery of international tourism due to ongoing travel restrictions and geopolitical tensions</w:t>
      </w:r>
      <w:r>
        <w:t xml:space="preserve"> (</w:t>
      </w:r>
      <w:r w:rsidRPr="00BD758C">
        <w:t>Yu,</w:t>
      </w:r>
      <w:r>
        <w:t xml:space="preserve"> 2008)</w:t>
      </w:r>
      <w:r w:rsidRPr="00821A92">
        <w:t>. Despite these barriers, Shangri-La's commitment to innovation, personalized luxury experiences, and sustainability positions it well to capture future growth opportunities as global travel demand picks up.</w:t>
      </w:r>
    </w:p>
    <w:p w14:paraId="7EA6CBA2" w14:textId="77777777" w:rsidR="00F02453" w:rsidRPr="00821A92" w:rsidRDefault="00F02453" w:rsidP="00F02453">
      <w:pPr>
        <w:rPr>
          <w:b/>
          <w:bCs/>
        </w:rPr>
      </w:pPr>
      <w:r w:rsidRPr="00821A92">
        <w:rPr>
          <w:b/>
          <w:bCs/>
        </w:rPr>
        <w:t>Premier Inn (Whitbread) Growth Potential</w:t>
      </w:r>
    </w:p>
    <w:p w14:paraId="5FDEF292" w14:textId="77777777" w:rsidR="00F02453" w:rsidRPr="00821A92" w:rsidRDefault="00F02453" w:rsidP="00F02453">
      <w:r w:rsidRPr="00821A92">
        <w:t>Premier Inn’s growth potential lies largely in its ability to expand its successful budget hotel model across the UK and Germany</w:t>
      </w:r>
      <w:r>
        <w:t xml:space="preserve"> (</w:t>
      </w:r>
      <w:r w:rsidRPr="00BD758C">
        <w:t>George,</w:t>
      </w:r>
      <w:r>
        <w:t xml:space="preserve"> 2021)</w:t>
      </w:r>
      <w:r w:rsidRPr="00821A92">
        <w:t>. In the UK, Premier Inn continues to benefit from increasing demand for budget accommodations, especially in a post-pandemic environment where domestic travel has significant</w:t>
      </w:r>
      <w:r>
        <w:t>ly</w:t>
      </w:r>
      <w:r w:rsidRPr="00821A92">
        <w:t xml:space="preserve"> recover</w:t>
      </w:r>
      <w:r>
        <w:t>ed</w:t>
      </w:r>
      <w:r w:rsidRPr="00821A92">
        <w:t>. The company’s vertically integrated operating model, which focuses on cost efficiency and operational control, provides a strong foundation for scalable growth. With over 83,500 rooms across the UK, Premier Inn is well-positioned to further consolidate its market-leading position</w:t>
      </w:r>
      <w:r>
        <w:t xml:space="preserve"> (Whitebread PLC, 2024)</w:t>
      </w:r>
      <w:r w:rsidRPr="00821A92">
        <w:t>. Additionally, Premier Inn has identified Germany as a significant growth opportunity, with a pipeline of 37 hotels and a goal to become the number one budget hotel brand in the German market</w:t>
      </w:r>
      <w:r>
        <w:t xml:space="preserve"> (</w:t>
      </w:r>
      <w:r w:rsidRPr="00BD758C">
        <w:t>O’Neill,</w:t>
      </w:r>
      <w:r>
        <w:t xml:space="preserve"> 2023)</w:t>
      </w:r>
      <w:r w:rsidRPr="00821A92">
        <w:t xml:space="preserve">. However, challenges such as rising construction costs, competition from other budget hotel chains, and the slower-than-expected recovery of international business travel may </w:t>
      </w:r>
      <w:r>
        <w:t>be</w:t>
      </w:r>
      <w:r w:rsidRPr="00821A92">
        <w:t xml:space="preserve"> potential barriers to growth. </w:t>
      </w:r>
    </w:p>
    <w:p w14:paraId="070CBA76" w14:textId="77777777" w:rsidR="00F02453" w:rsidRPr="002013FD" w:rsidRDefault="00F02453" w:rsidP="00F02453">
      <w:pPr>
        <w:pStyle w:val="Heading1"/>
      </w:pPr>
      <w:bookmarkStart w:id="4" w:name="_Toc179925849"/>
      <w:r w:rsidRPr="002013FD">
        <w:lastRenderedPageBreak/>
        <w:t>Task Four: Financial Commitment to CSR (Corporate Social Responsibility)</w:t>
      </w:r>
      <w:bookmarkEnd w:id="4"/>
    </w:p>
    <w:p w14:paraId="0E59F82B" w14:textId="77777777" w:rsidR="00F02453" w:rsidRPr="002013FD" w:rsidRDefault="00F02453" w:rsidP="00F02453">
      <w:pPr>
        <w:rPr>
          <w:b/>
          <w:bCs/>
        </w:rPr>
      </w:pPr>
      <w:r w:rsidRPr="002013FD">
        <w:rPr>
          <w:b/>
          <w:bCs/>
        </w:rPr>
        <w:t>Shangri-La Hotels CSR Financial Commitment</w:t>
      </w:r>
    </w:p>
    <w:p w14:paraId="2C923F0C" w14:textId="77777777" w:rsidR="00F02453" w:rsidRPr="002013FD" w:rsidRDefault="00F02453" w:rsidP="00F02453">
      <w:r w:rsidRPr="002013FD">
        <w:t xml:space="preserve">Shangri-La integrates CSR into its core business model through its </w:t>
      </w:r>
      <w:r w:rsidRPr="00FC1547">
        <w:t xml:space="preserve">Sustainability and Corporate Responsibility program. </w:t>
      </w:r>
      <w:r w:rsidRPr="002013FD">
        <w:t>The company invests in five areas: environmental protection, sustainable sourcing, community development, cultural heritage preservation, and workforce development</w:t>
      </w:r>
      <w:r>
        <w:t xml:space="preserve"> (</w:t>
      </w:r>
      <w:proofErr w:type="spellStart"/>
      <w:r w:rsidRPr="00BD758C">
        <w:t>Roblek</w:t>
      </w:r>
      <w:proofErr w:type="spellEnd"/>
      <w:r w:rsidRPr="00BD758C">
        <w:t>,</w:t>
      </w:r>
      <w:r>
        <w:t xml:space="preserve"> et al. 2016)</w:t>
      </w:r>
      <w:r w:rsidRPr="002013FD">
        <w:t>. Shangri-La also supports community-based initiatives through its "Embrace" and "Sanctuary" projects, focusing on social development and environmental preservation</w:t>
      </w:r>
      <w:r>
        <w:t xml:space="preserve"> (Shangri-La Group, 2023)</w:t>
      </w:r>
      <w:r w:rsidRPr="002013FD">
        <w:t xml:space="preserve">. </w:t>
      </w:r>
      <w:r w:rsidRPr="00FC1547">
        <w:t xml:space="preserve">Another example of their </w:t>
      </w:r>
      <w:r>
        <w:t>CSR</w:t>
      </w:r>
      <w:r w:rsidRPr="00FC1547">
        <w:t xml:space="preserve"> practices is their “Shangri-La Cares” program implemented during the pandemic which confirmed their concern with health and safety, which is a part of CSR </w:t>
      </w:r>
    </w:p>
    <w:p w14:paraId="01897665" w14:textId="77777777" w:rsidR="00F02453" w:rsidRPr="002013FD" w:rsidRDefault="00F02453" w:rsidP="00F02453">
      <w:pPr>
        <w:rPr>
          <w:b/>
          <w:bCs/>
        </w:rPr>
      </w:pPr>
      <w:r w:rsidRPr="002013FD">
        <w:rPr>
          <w:b/>
          <w:bCs/>
        </w:rPr>
        <w:t>Premier Inn (Whitbread) CSR Financial Commitment</w:t>
      </w:r>
    </w:p>
    <w:p w14:paraId="118FBBAA" w14:textId="77777777" w:rsidR="00F02453" w:rsidRDefault="00F02453" w:rsidP="00F02453">
      <w:r w:rsidRPr="002013FD">
        <w:t xml:space="preserve">Premier Inn, through the Whitbread </w:t>
      </w:r>
      <w:r w:rsidRPr="00FC1547">
        <w:t>Group’s Force for Good</w:t>
      </w:r>
      <w:r w:rsidRPr="002013FD">
        <w:t xml:space="preserve"> program, focuses its CSR efforts on opportunity, community, and environmental responsibility</w:t>
      </w:r>
      <w:r>
        <w:t xml:space="preserve"> (</w:t>
      </w:r>
      <w:r w:rsidRPr="00BD758C">
        <w:t>George,</w:t>
      </w:r>
      <w:r>
        <w:t xml:space="preserve"> 2021)</w:t>
      </w:r>
      <w:r w:rsidRPr="002013FD">
        <w:t>. The company has made substantial financial commitments toward achieving net-zero carbon emissions by 2040, implementing energy-saving technologies such as LED lighting and smart metering</w:t>
      </w:r>
      <w:r>
        <w:t xml:space="preserve"> (</w:t>
      </w:r>
      <w:r w:rsidRPr="002013FD">
        <w:t>Whitbread</w:t>
      </w:r>
      <w:r>
        <w:t xml:space="preserve"> PLC, 2024)</w:t>
      </w:r>
      <w:r w:rsidRPr="002013FD">
        <w:t xml:space="preserve">. In addition, it invests in community initiatives, notably through partnerships with charitable organizations like Great Ormond Street Hospital Charity. </w:t>
      </w:r>
    </w:p>
    <w:p w14:paraId="521F1A5C" w14:textId="77777777" w:rsidR="00F02453" w:rsidRDefault="00F02453" w:rsidP="00F02453">
      <w:pPr>
        <w:rPr>
          <w:b/>
          <w:bCs/>
        </w:rPr>
      </w:pPr>
      <w:r w:rsidRPr="004303E6">
        <w:rPr>
          <w:b/>
          <w:bCs/>
        </w:rPr>
        <w:t>Comparative Analysis: Luxury vs. Cost-Effective Sustainability</w:t>
      </w:r>
    </w:p>
    <w:p w14:paraId="0E432A35" w14:textId="77777777" w:rsidR="00F02453" w:rsidRPr="00C86C3A" w:rsidRDefault="00F02453" w:rsidP="00F02453">
      <w:pPr>
        <w:rPr>
          <w:color w:val="FF0000"/>
        </w:rPr>
      </w:pPr>
      <w:r w:rsidRPr="00C86C3A">
        <w:rPr>
          <w:color w:val="FF0000"/>
        </w:rPr>
        <w:t xml:space="preserve">Shangri-La focuses on luxury sustainable tourism, targeting high-net-worth individuals with eco-friendly, carbon-neutral accommodations, emphasizing exclusivity through responsible luxury travel (Shangri-La Group, 2023). In contrast, Premier Inn targets budget-conscious </w:t>
      </w:r>
      <w:proofErr w:type="spellStart"/>
      <w:r w:rsidRPr="00C86C3A">
        <w:rPr>
          <w:color w:val="FF0000"/>
        </w:rPr>
        <w:t>travelers</w:t>
      </w:r>
      <w:proofErr w:type="spellEnd"/>
      <w:r w:rsidRPr="00C86C3A">
        <w:rPr>
          <w:color w:val="FF0000"/>
        </w:rPr>
        <w:t>, prioritizing cost-effective sustainability through energy-saving technologies and sustainable sourcing for affordable, environmentally responsible accommodations (Whitebread PLC, 2024).</w:t>
      </w:r>
    </w:p>
    <w:p w14:paraId="41B6E8E7" w14:textId="77777777" w:rsidR="00F02453" w:rsidRDefault="00F02453" w:rsidP="00F02453">
      <w:pPr>
        <w:rPr>
          <w:b/>
          <w:bCs/>
        </w:rPr>
      </w:pPr>
      <w:r w:rsidRPr="00982960">
        <w:rPr>
          <w:b/>
          <w:bCs/>
        </w:rPr>
        <w:t>Employee Training and Sustainability Integration</w:t>
      </w:r>
    </w:p>
    <w:p w14:paraId="2111C1DB" w14:textId="77777777" w:rsidR="00F02453" w:rsidRPr="00982960" w:rsidRDefault="00F02453" w:rsidP="00F02453">
      <w:pPr>
        <w:rPr>
          <w:color w:val="FF0000"/>
        </w:rPr>
      </w:pPr>
      <w:r w:rsidRPr="00982960">
        <w:rPr>
          <w:color w:val="FF0000"/>
        </w:rPr>
        <w:t xml:space="preserve">Sustainability is integrated into the core operations at Shangri-La through its staff training and hygiene strategies developed in partnership with Diversey, where it has established the notion of sustainability as an annex to luxury. The “Force for Good” policy of Premier Inn focuses on the </w:t>
      </w:r>
      <w:r w:rsidRPr="00982960">
        <w:rPr>
          <w:color w:val="FF0000"/>
        </w:rPr>
        <w:lastRenderedPageBreak/>
        <w:t>well-being of employees and entails environmental concerns, making sustainability intrinsic to its policy of low-cost and low-carbon (Shangri-La Group, 2023; Whitbread PLC, 2024).</w:t>
      </w:r>
    </w:p>
    <w:p w14:paraId="4146C387" w14:textId="0202EAA7" w:rsidR="00F02453" w:rsidRDefault="00F02453" w:rsidP="00F02453">
      <w:pPr>
        <w:spacing w:after="160" w:line="259" w:lineRule="auto"/>
        <w:jc w:val="left"/>
        <w:rPr>
          <w:b/>
          <w:bCs/>
        </w:rPr>
      </w:pPr>
      <w:r w:rsidRPr="00BC0DDA">
        <w:rPr>
          <w:b/>
          <w:bCs/>
        </w:rPr>
        <w:t xml:space="preserve">Critically </w:t>
      </w:r>
      <w:r w:rsidRPr="00BC0DDA">
        <w:rPr>
          <w:b/>
          <w:bCs/>
        </w:rPr>
        <w:t>Analysing</w:t>
      </w:r>
      <w:r w:rsidRPr="00BC0DDA">
        <w:rPr>
          <w:b/>
          <w:bCs/>
        </w:rPr>
        <w:t xml:space="preserve"> the Financial Commitments of Both Hotels</w:t>
      </w:r>
    </w:p>
    <w:p w14:paraId="52C7EB22" w14:textId="77777777" w:rsidR="00F02453" w:rsidRPr="00BC0DDA" w:rsidRDefault="00F02453" w:rsidP="00F02453">
      <w:pPr>
        <w:rPr>
          <w:rFonts w:eastAsia="SimSun" w:cs="Times New Roman"/>
          <w:color w:val="0F4761" w:themeColor="accent1" w:themeShade="BF"/>
          <w:kern w:val="32"/>
          <w:sz w:val="32"/>
          <w:szCs w:val="32"/>
          <w:lang w:val="en-US" w:eastAsia="zh-CN"/>
        </w:rPr>
      </w:pPr>
      <w:r w:rsidRPr="00072C52">
        <w:rPr>
          <w:color w:val="FF0000"/>
        </w:rPr>
        <w:t xml:space="preserve">The authenticity of the CSR efforts by Shangri-La and Premier Inn warrants critical examination. Shangri-La’s initiatives, such as the "Embrace" and "Sanctuary" projects, might be more about reinforcing its luxury image rather than reflecting a true commitment to sustainability. </w:t>
      </w:r>
      <w:r>
        <w:rPr>
          <w:color w:val="FF0000"/>
        </w:rPr>
        <w:t>Because S</w:t>
      </w:r>
      <w:r w:rsidRPr="00072C52">
        <w:rPr>
          <w:color w:val="FF0000"/>
        </w:rPr>
        <w:t>hangri-La’s high-profile sustainability efforts, like the "Race for Hope," appear designed to enhance its luxury brand image</w:t>
      </w:r>
      <w:r>
        <w:rPr>
          <w:color w:val="FF0000"/>
        </w:rPr>
        <w:t xml:space="preserve"> </w:t>
      </w:r>
      <w:r w:rsidRPr="00072C52">
        <w:rPr>
          <w:color w:val="FF0000"/>
        </w:rPr>
        <w:t>(</w:t>
      </w:r>
      <w:r w:rsidRPr="009F151F">
        <w:rPr>
          <w:color w:val="FF0000"/>
        </w:rPr>
        <w:t>Hospitality Net</w:t>
      </w:r>
      <w:r w:rsidRPr="00072C52">
        <w:rPr>
          <w:color w:val="FF0000"/>
        </w:rPr>
        <w:t xml:space="preserve">, 2019). Similarly, Premier Inn’s "Force for Good" program, while emphasizing sustainability, might prioritize cost-saving actions like energy efficiency over genuine environmental </w:t>
      </w:r>
      <w:r w:rsidRPr="00982960">
        <w:rPr>
          <w:color w:val="FF0000"/>
        </w:rPr>
        <w:t>responsibility (</w:t>
      </w:r>
      <w:r w:rsidRPr="009F151F">
        <w:rPr>
          <w:color w:val="FF0000"/>
        </w:rPr>
        <w:t>Mansuri,</w:t>
      </w:r>
      <w:r w:rsidRPr="00982960">
        <w:rPr>
          <w:color w:val="FF0000"/>
        </w:rPr>
        <w:t xml:space="preserve"> 2023). </w:t>
      </w:r>
      <w:r w:rsidRPr="00072C52">
        <w:rPr>
          <w:color w:val="FF0000"/>
        </w:rPr>
        <w:t>Both brands seem to shape their CSR strategies around market demands, raising concerns about their true dedication to social and environmental causes.</w:t>
      </w:r>
    </w:p>
    <w:p w14:paraId="5A945011" w14:textId="77777777" w:rsidR="00F02453" w:rsidRPr="003F1D4F" w:rsidRDefault="00F02453" w:rsidP="00F02453">
      <w:pPr>
        <w:pStyle w:val="Heading1"/>
      </w:pPr>
      <w:bookmarkStart w:id="5" w:name="_Toc179925850"/>
      <w:r w:rsidRPr="003F1D4F">
        <w:t>Recommendation</w:t>
      </w:r>
      <w:bookmarkEnd w:id="5"/>
    </w:p>
    <w:p w14:paraId="06D0786B" w14:textId="77777777" w:rsidR="00F02453" w:rsidRPr="00E652C8" w:rsidRDefault="00F02453" w:rsidP="00F02453">
      <w:pPr>
        <w:rPr>
          <w:b/>
          <w:bCs/>
        </w:rPr>
      </w:pPr>
      <w:r w:rsidRPr="00E652C8">
        <w:rPr>
          <w:b/>
          <w:bCs/>
        </w:rPr>
        <w:t>Shangri-La Hotels:</w:t>
      </w:r>
      <w:r>
        <w:rPr>
          <w:b/>
          <w:bCs/>
        </w:rPr>
        <w:t xml:space="preserve"> </w:t>
      </w:r>
      <w:r w:rsidRPr="00E652C8">
        <w:t xml:space="preserve">Shangri-La should focus on expanding its sustainable luxury offerings by investing further in eco-friendly technologies and experiences, particularly in untapped high-demand regions. With global demand for sustainable travel on the rise, Shangri-La can differentiate itself by enhancing its sustainability initiatives, such as carbon-neutral accommodations and eco-tourism programs, which align with its high-end clientele’s preferences. </w:t>
      </w:r>
    </w:p>
    <w:p w14:paraId="06A844FE" w14:textId="7408D174" w:rsidR="00F02453" w:rsidRDefault="00F02453" w:rsidP="00F02453">
      <w:r w:rsidRPr="00E652C8">
        <w:rPr>
          <w:b/>
          <w:bCs/>
        </w:rPr>
        <w:t>Premier Inn (Whitbread):</w:t>
      </w:r>
      <w:r>
        <w:rPr>
          <w:b/>
          <w:bCs/>
        </w:rPr>
        <w:t xml:space="preserve"> </w:t>
      </w:r>
      <w:r w:rsidRPr="00E652C8">
        <w:t xml:space="preserve">Premier Inn should accelerate its expansion in the German market, leveraging its scalable budget model. </w:t>
      </w:r>
      <w:r w:rsidRPr="00E715C5">
        <w:t xml:space="preserve">As Germany has a vast growth opportunity in the budget hotel market, </w:t>
      </w:r>
      <w:r w:rsidRPr="00E715C5">
        <w:t>opening</w:t>
      </w:r>
      <w:r w:rsidRPr="00E715C5">
        <w:t xml:space="preserve"> new premises can let Premier Inn acquire a market share. </w:t>
      </w:r>
    </w:p>
    <w:p w14:paraId="006B6685" w14:textId="77777777" w:rsidR="00F02453" w:rsidRDefault="00F02453" w:rsidP="00F02453"/>
    <w:p w14:paraId="3348B02B" w14:textId="77777777" w:rsidR="00F02453" w:rsidRDefault="00F02453" w:rsidP="00F02453"/>
    <w:p w14:paraId="069B2FC7" w14:textId="77777777" w:rsidR="00F02453" w:rsidRDefault="00F02453" w:rsidP="00F02453"/>
    <w:p w14:paraId="0A848F38" w14:textId="77777777" w:rsidR="00F02453" w:rsidRDefault="00F02453" w:rsidP="00F02453"/>
    <w:p w14:paraId="1A770FBB" w14:textId="77777777" w:rsidR="00F02453" w:rsidRDefault="00F02453" w:rsidP="00F02453"/>
    <w:p w14:paraId="64A3337D" w14:textId="77777777" w:rsidR="00F02453" w:rsidRDefault="00F02453" w:rsidP="00F02453"/>
    <w:p w14:paraId="63FB2D98" w14:textId="77777777" w:rsidR="00F02453" w:rsidRDefault="00F02453" w:rsidP="00F02453"/>
    <w:p w14:paraId="36110705" w14:textId="77777777" w:rsidR="00F02453" w:rsidRDefault="00F02453" w:rsidP="00F02453"/>
    <w:p w14:paraId="46472CBF" w14:textId="77777777" w:rsidR="00F02453" w:rsidRDefault="00F02453" w:rsidP="00F02453"/>
    <w:p w14:paraId="338C84BD" w14:textId="77777777" w:rsidR="00F02453" w:rsidRDefault="00F02453" w:rsidP="00F02453"/>
    <w:p w14:paraId="30CD08F9" w14:textId="77777777" w:rsidR="00F02453" w:rsidRDefault="00F02453" w:rsidP="00F02453"/>
    <w:p w14:paraId="44DE08C8" w14:textId="77777777" w:rsidR="00F02453" w:rsidRDefault="00F02453" w:rsidP="00F02453">
      <w:pPr>
        <w:pStyle w:val="Heading1"/>
      </w:pPr>
      <w:bookmarkStart w:id="6" w:name="_Toc179925851"/>
      <w:r>
        <w:t>Conclusion</w:t>
      </w:r>
      <w:bookmarkEnd w:id="6"/>
    </w:p>
    <w:p w14:paraId="1503AFB5" w14:textId="6A9E09F5" w:rsidR="00F02453" w:rsidRPr="00E652C8" w:rsidRDefault="00F02453" w:rsidP="00F02453">
      <w:r w:rsidRPr="00E715C5">
        <w:t xml:space="preserve">The emergence and establishment of both Shangri-La Hotels and Premier Inn seem to have shown flexibility in their financial </w:t>
      </w:r>
      <w:r>
        <w:t>position</w:t>
      </w:r>
      <w:r w:rsidRPr="00E715C5">
        <w:t xml:space="preserve"> and expansion post</w:t>
      </w:r>
      <w:r>
        <w:t>-</w:t>
      </w:r>
      <w:r w:rsidRPr="00E715C5">
        <w:t>C</w:t>
      </w:r>
      <w:r>
        <w:t>OVID</w:t>
      </w:r>
      <w:r w:rsidRPr="00E715C5">
        <w:t>-19. While the Shangri-La aims t</w:t>
      </w:r>
      <w:r>
        <w:t>o</w:t>
      </w:r>
      <w:r w:rsidRPr="00E715C5">
        <w:t xml:space="preserve"> be a sustainable luxury hotelier and expand internationally, Premier Inn aims t</w:t>
      </w:r>
      <w:r>
        <w:t>o</w:t>
      </w:r>
      <w:r w:rsidRPr="00E715C5">
        <w:t xml:space="preserve"> be more of an accessible brand and expand its market in </w:t>
      </w:r>
      <w:r w:rsidRPr="00E715C5">
        <w:t>Europe,</w:t>
      </w:r>
      <w:r w:rsidRPr="00E715C5">
        <w:t xml:space="preserve"> especially Germany. Companies’ CSR practices contribute and also help to increase the sustainability of both firms in the long</w:t>
      </w:r>
      <w:r>
        <w:t xml:space="preserve"> </w:t>
      </w:r>
      <w:r w:rsidRPr="00E715C5">
        <w:t>run.</w:t>
      </w:r>
    </w:p>
    <w:p w14:paraId="49787E6E" w14:textId="77777777" w:rsidR="00F02453" w:rsidRDefault="00F02453" w:rsidP="00F02453"/>
    <w:p w14:paraId="2E972D56" w14:textId="77777777" w:rsidR="00F02453" w:rsidRDefault="00F02453" w:rsidP="00F02453">
      <w:r>
        <w:br w:type="page"/>
      </w:r>
    </w:p>
    <w:p w14:paraId="78B2FAE1" w14:textId="77777777" w:rsidR="00F02453" w:rsidRDefault="00F02453" w:rsidP="00F02453">
      <w:pPr>
        <w:pStyle w:val="Heading1"/>
      </w:pPr>
      <w:bookmarkStart w:id="7" w:name="_Toc179925852"/>
      <w:r w:rsidRPr="006A3BAA">
        <w:lastRenderedPageBreak/>
        <w:t>References</w:t>
      </w:r>
      <w:bookmarkEnd w:id="7"/>
    </w:p>
    <w:p w14:paraId="054F8440" w14:textId="77777777" w:rsidR="00F02453" w:rsidRPr="005B1432" w:rsidRDefault="00F02453" w:rsidP="00F02453">
      <w:pPr>
        <w:pStyle w:val="ListParagraph"/>
        <w:numPr>
          <w:ilvl w:val="0"/>
          <w:numId w:val="2"/>
        </w:numPr>
      </w:pPr>
      <w:r w:rsidRPr="005B1432">
        <w:t xml:space="preserve">Abdullah, H.H. (2015). Strategy Building and Sustaining Competitive Advantage: A Case Study of Shangri-La Hotels (Malaysia) </w:t>
      </w:r>
      <w:proofErr w:type="spellStart"/>
      <w:r w:rsidRPr="005B1432">
        <w:t>Berhad</w:t>
      </w:r>
      <w:proofErr w:type="spellEnd"/>
      <w:r w:rsidRPr="005B1432">
        <w:t>.</w:t>
      </w:r>
    </w:p>
    <w:p w14:paraId="56913E20" w14:textId="77777777" w:rsidR="00F02453" w:rsidRDefault="00F02453" w:rsidP="00F02453">
      <w:pPr>
        <w:pStyle w:val="NormalWeb"/>
        <w:numPr>
          <w:ilvl w:val="0"/>
          <w:numId w:val="2"/>
        </w:numPr>
        <w:spacing w:before="0" w:beforeAutospacing="0" w:after="240" w:afterAutospacing="0" w:line="360" w:lineRule="auto"/>
        <w:jc w:val="both"/>
      </w:pPr>
      <w:r>
        <w:t xml:space="preserve">Ansari, S. (2023). </w:t>
      </w:r>
      <w:r w:rsidRPr="00341ED9">
        <w:rPr>
          <w:i/>
          <w:iCs/>
        </w:rPr>
        <w:t>Supply and Demand Curves Explained</w:t>
      </w:r>
      <w:r>
        <w:t>. [online] Economics Online. Available at: https://www.economicsonline.co.uk/competitive_markets/supply-and-demand-curves-explained.html/ [Accessed 14 Oct. 2024].</w:t>
      </w:r>
    </w:p>
    <w:p w14:paraId="1D093847" w14:textId="77777777" w:rsidR="00F02453" w:rsidRPr="00233E99" w:rsidRDefault="00F02453" w:rsidP="00F02453">
      <w:pPr>
        <w:pStyle w:val="NormalWeb"/>
        <w:numPr>
          <w:ilvl w:val="0"/>
          <w:numId w:val="2"/>
        </w:numPr>
        <w:spacing w:before="0" w:beforeAutospacing="0" w:after="240" w:afterAutospacing="0" w:line="360" w:lineRule="auto"/>
        <w:jc w:val="both"/>
      </w:pPr>
      <w:r w:rsidRPr="005B1432">
        <w:t xml:space="preserve">Bas, T. and </w:t>
      </w:r>
      <w:proofErr w:type="spellStart"/>
      <w:r w:rsidRPr="005B1432">
        <w:t>Sivaprasad</w:t>
      </w:r>
      <w:proofErr w:type="spellEnd"/>
      <w:r w:rsidRPr="005B1432">
        <w:t>, S. (2022). An Exploratory Insight into the Impact of COVID-19 on the Travel and Tourism Sector: UK Evidence. </w:t>
      </w:r>
      <w:r w:rsidRPr="00233E99">
        <w:rPr>
          <w:i/>
          <w:iCs/>
        </w:rPr>
        <w:t xml:space="preserve">Bas, T. &amp; </w:t>
      </w:r>
      <w:proofErr w:type="spellStart"/>
      <w:r w:rsidRPr="00233E99">
        <w:rPr>
          <w:i/>
          <w:iCs/>
        </w:rPr>
        <w:t>Sivaprasad</w:t>
      </w:r>
      <w:proofErr w:type="spellEnd"/>
      <w:r w:rsidRPr="00233E99">
        <w:rPr>
          <w:i/>
          <w:iCs/>
        </w:rPr>
        <w:t>, S.(2022). An exploratory insight into the impact of COVID-19 on the travel and tourism sector: UK evidence. In S. Karabulut (Ed.), Economic and Financial Analysis of Global and National Developments</w:t>
      </w:r>
      <w:r w:rsidRPr="005B1432">
        <w:t>, pp.355-369.</w:t>
      </w:r>
    </w:p>
    <w:p w14:paraId="05C0CFCB" w14:textId="77777777" w:rsidR="00F02453" w:rsidRDefault="00F02453" w:rsidP="00F02453">
      <w:pPr>
        <w:pStyle w:val="NormalWeb"/>
        <w:numPr>
          <w:ilvl w:val="0"/>
          <w:numId w:val="2"/>
        </w:numPr>
        <w:spacing w:before="0" w:beforeAutospacing="0" w:after="240" w:afterAutospacing="0" w:line="360" w:lineRule="auto"/>
        <w:jc w:val="both"/>
      </w:pPr>
      <w:r>
        <w:t xml:space="preserve">Bennett, T. (2023). </w:t>
      </w:r>
      <w:r>
        <w:rPr>
          <w:i/>
          <w:iCs/>
        </w:rPr>
        <w:t>Understanding Bowman’s Strategic Clock: A Model for Choosing a Price Strategy</w:t>
      </w:r>
      <w:r>
        <w:t xml:space="preserve">. [online] priceva.com. Available at: </w:t>
      </w:r>
      <w:hyperlink r:id="rId15" w:history="1">
        <w:r w:rsidRPr="00A125FE">
          <w:rPr>
            <w:rStyle w:val="Hyperlink"/>
            <w:rFonts w:eastAsiaTheme="majorEastAsia"/>
          </w:rPr>
          <w:t>https://priceva.com/blog/bowmans-strategic-clock-model-choosing-price-strategy</w:t>
        </w:r>
      </w:hyperlink>
      <w:r>
        <w:t xml:space="preserve"> [Accessed 14 Oct. 2024].</w:t>
      </w:r>
    </w:p>
    <w:p w14:paraId="50F0439C" w14:textId="77777777" w:rsidR="00F02453" w:rsidRPr="005B1432" w:rsidRDefault="00F02453" w:rsidP="00F02453">
      <w:pPr>
        <w:pStyle w:val="NormalWeb"/>
        <w:numPr>
          <w:ilvl w:val="0"/>
          <w:numId w:val="2"/>
        </w:numPr>
        <w:spacing w:before="0" w:beforeAutospacing="0" w:after="240" w:afterAutospacing="0" w:line="360" w:lineRule="auto"/>
        <w:jc w:val="both"/>
      </w:pPr>
      <w:r w:rsidRPr="005B1432">
        <w:t>Camilleri, M.A. and Camilleri, M.A. (2018). </w:t>
      </w:r>
      <w:r w:rsidRPr="00233E99">
        <w:rPr>
          <w:i/>
          <w:iCs/>
        </w:rPr>
        <w:t>Tourism supply and demand</w:t>
      </w:r>
      <w:r w:rsidRPr="005B1432">
        <w:t> (pp. 139-154). Springer International Publishing.</w:t>
      </w:r>
    </w:p>
    <w:p w14:paraId="2C5E9F99" w14:textId="77777777" w:rsidR="00F02453" w:rsidRDefault="00F02453" w:rsidP="00F02453">
      <w:pPr>
        <w:pStyle w:val="ListParagraph"/>
        <w:numPr>
          <w:ilvl w:val="0"/>
          <w:numId w:val="2"/>
        </w:numPr>
      </w:pPr>
      <w:r w:rsidRPr="005B1432">
        <w:t>de Beer, M. (2006). </w:t>
      </w:r>
      <w:r w:rsidRPr="00E06E18">
        <w:rPr>
          <w:i/>
          <w:iCs/>
        </w:rPr>
        <w:t>Service Quality of Luxury Hotels in China</w:t>
      </w:r>
      <w:r w:rsidRPr="005B1432">
        <w:t>. NHTV Breda University of Applied Sciences.</w:t>
      </w:r>
    </w:p>
    <w:p w14:paraId="451D87F3" w14:textId="77777777" w:rsidR="00F02453" w:rsidRPr="005B1432" w:rsidRDefault="00F02453" w:rsidP="00F02453">
      <w:pPr>
        <w:pStyle w:val="ListParagraph"/>
        <w:numPr>
          <w:ilvl w:val="0"/>
          <w:numId w:val="2"/>
        </w:numPr>
      </w:pPr>
      <w:r w:rsidRPr="005B1432">
        <w:t xml:space="preserve">Drury, C., (2021). </w:t>
      </w:r>
      <w:r w:rsidRPr="00E06E18">
        <w:rPr>
          <w:i/>
          <w:iCs/>
        </w:rPr>
        <w:t>Management and Cost Accounting (11th Ed)</w:t>
      </w:r>
      <w:r w:rsidRPr="005B1432">
        <w:t>, London, Prentice Hall.</w:t>
      </w:r>
    </w:p>
    <w:p w14:paraId="18F5472D" w14:textId="77777777" w:rsidR="00F02453" w:rsidRPr="00E06E18" w:rsidRDefault="00F02453" w:rsidP="00F02453">
      <w:pPr>
        <w:pStyle w:val="ListParagraph"/>
        <w:numPr>
          <w:ilvl w:val="0"/>
          <w:numId w:val="2"/>
        </w:numPr>
        <w:rPr>
          <w:i/>
          <w:iCs/>
        </w:rPr>
      </w:pPr>
      <w:r w:rsidRPr="005B1432">
        <w:t>George, R. (2021). Tourism and Hospitality Marketing Principles. In </w:t>
      </w:r>
      <w:r w:rsidRPr="00E06E18">
        <w:rPr>
          <w:i/>
          <w:iCs/>
        </w:rPr>
        <w:t>Marketing Tourism and Hospitality: Concepts and Cases</w:t>
      </w:r>
      <w:r w:rsidRPr="005B1432">
        <w:t> (pp. 3-31). Cham: Springer International Publishing.</w:t>
      </w:r>
    </w:p>
    <w:p w14:paraId="14B85148" w14:textId="77777777" w:rsidR="00F02453" w:rsidRPr="005B1432" w:rsidRDefault="00F02453" w:rsidP="00F02453">
      <w:pPr>
        <w:pStyle w:val="ListParagraph"/>
        <w:numPr>
          <w:ilvl w:val="0"/>
          <w:numId w:val="2"/>
        </w:numPr>
      </w:pPr>
      <w:r w:rsidRPr="005B1432">
        <w:t>Gursoy, D., Buttle, F. and Bowie, D. (2022). </w:t>
      </w:r>
      <w:r w:rsidRPr="00E06E18">
        <w:rPr>
          <w:i/>
          <w:iCs/>
        </w:rPr>
        <w:t>Hospitality marketing: Principles and practices</w:t>
      </w:r>
      <w:r w:rsidRPr="005B1432">
        <w:t>. Routledge.</w:t>
      </w:r>
    </w:p>
    <w:p w14:paraId="7E12F904" w14:textId="77777777" w:rsidR="00F02453" w:rsidRPr="009F151F" w:rsidRDefault="00F02453" w:rsidP="00F02453">
      <w:pPr>
        <w:pStyle w:val="ListParagraph"/>
        <w:numPr>
          <w:ilvl w:val="0"/>
          <w:numId w:val="2"/>
        </w:numPr>
      </w:pPr>
      <w:r w:rsidRPr="009F151F">
        <w:t xml:space="preserve">Hospitality Net (2019). </w:t>
      </w:r>
      <w:r w:rsidRPr="00CA40DF">
        <w:rPr>
          <w:i/>
          <w:iCs/>
        </w:rPr>
        <w:t>Shangri-La Races Towards a Greener Future</w:t>
      </w:r>
      <w:r w:rsidRPr="009F151F">
        <w:t xml:space="preserve">. [online] Hospitality Net. Available at: </w:t>
      </w:r>
      <w:hyperlink r:id="rId16" w:history="1">
        <w:r w:rsidRPr="009F151F">
          <w:rPr>
            <w:rStyle w:val="Hyperlink"/>
          </w:rPr>
          <w:t>https://www.hospitalitynet.org/news/4096058.html</w:t>
        </w:r>
      </w:hyperlink>
      <w:r>
        <w:t xml:space="preserve"> </w:t>
      </w:r>
      <w:r w:rsidRPr="009F151F">
        <w:t>[Accessed 15 Oct. 2024].</w:t>
      </w:r>
    </w:p>
    <w:p w14:paraId="38E801B2" w14:textId="77777777" w:rsidR="00F02453" w:rsidRPr="005B1432" w:rsidRDefault="00F02453" w:rsidP="00F02453">
      <w:pPr>
        <w:pStyle w:val="ListParagraph"/>
        <w:numPr>
          <w:ilvl w:val="0"/>
          <w:numId w:val="2"/>
        </w:numPr>
      </w:pPr>
      <w:r w:rsidRPr="005B1432">
        <w:t>Lo, A. and Yeung, M.A. (2020). Brand prestige and affordable luxury: The role of hotel guest experiences. </w:t>
      </w:r>
      <w:r w:rsidRPr="00E06E18">
        <w:rPr>
          <w:i/>
          <w:iCs/>
        </w:rPr>
        <w:t>Journal of Vacation Marketing</w:t>
      </w:r>
      <w:r w:rsidRPr="005B1432">
        <w:t>, </w:t>
      </w:r>
      <w:r w:rsidRPr="00E06E18">
        <w:rPr>
          <w:i/>
          <w:iCs/>
        </w:rPr>
        <w:t>26</w:t>
      </w:r>
      <w:r w:rsidRPr="005B1432">
        <w:t>(2), pp.247-267.</w:t>
      </w:r>
    </w:p>
    <w:p w14:paraId="3795CB3A" w14:textId="77777777" w:rsidR="00F02453" w:rsidRPr="009F151F" w:rsidRDefault="00F02453" w:rsidP="00F02453">
      <w:pPr>
        <w:pStyle w:val="ListParagraph"/>
        <w:numPr>
          <w:ilvl w:val="0"/>
          <w:numId w:val="2"/>
        </w:numPr>
      </w:pPr>
      <w:r w:rsidRPr="009F151F">
        <w:lastRenderedPageBreak/>
        <w:t xml:space="preserve">Mansuri, M. (2023). Premier Inn launches Force For Good programme in the Middle East - Hotelier Middle East. </w:t>
      </w:r>
      <w:r w:rsidRPr="00CA40DF">
        <w:rPr>
          <w:i/>
          <w:iCs/>
        </w:rPr>
        <w:t>Hotelier Middle East</w:t>
      </w:r>
      <w:r w:rsidRPr="009F151F">
        <w:t xml:space="preserve">. [online] 23 Oct. Available at: </w:t>
      </w:r>
      <w:hyperlink r:id="rId17" w:history="1">
        <w:r w:rsidRPr="009F151F">
          <w:rPr>
            <w:rStyle w:val="Hyperlink"/>
          </w:rPr>
          <w:t>https://www.hoteliermiddleeast.com/business/premier-inn-launches-force-for-good-programme-in-the-middle-east</w:t>
        </w:r>
      </w:hyperlink>
      <w:r>
        <w:t xml:space="preserve"> </w:t>
      </w:r>
      <w:r w:rsidRPr="009F151F">
        <w:t>[Accessed 15 Oct. 2024].</w:t>
      </w:r>
    </w:p>
    <w:p w14:paraId="08A24771" w14:textId="77777777" w:rsidR="00F02453" w:rsidRPr="005B1432" w:rsidRDefault="00F02453" w:rsidP="00F02453">
      <w:pPr>
        <w:pStyle w:val="ListParagraph"/>
        <w:numPr>
          <w:ilvl w:val="0"/>
          <w:numId w:val="2"/>
        </w:numPr>
      </w:pPr>
      <w:r w:rsidRPr="005B1432">
        <w:t>Nakai, A. (2021). Strategies of Forbes five-star hotels for attracting guests in Japan amid the COVID-19 pandemic.</w:t>
      </w:r>
    </w:p>
    <w:p w14:paraId="549B6595" w14:textId="77777777" w:rsidR="00F02453" w:rsidRPr="005B1432" w:rsidRDefault="00F02453" w:rsidP="00F02453">
      <w:pPr>
        <w:pStyle w:val="ListParagraph"/>
        <w:numPr>
          <w:ilvl w:val="0"/>
          <w:numId w:val="2"/>
        </w:numPr>
      </w:pPr>
      <w:r w:rsidRPr="005B1432">
        <w:t xml:space="preserve">O’Neill, S. (2023). </w:t>
      </w:r>
      <w:r w:rsidRPr="00E06E18">
        <w:rPr>
          <w:i/>
          <w:iCs/>
        </w:rPr>
        <w:t>Premier Inn to Expand Budget Hotel Empire in Germany Through Acquisitions</w:t>
      </w:r>
      <w:r w:rsidRPr="005B1432">
        <w:t xml:space="preserve">. [online] Skift. Available at: </w:t>
      </w:r>
      <w:hyperlink r:id="rId18" w:history="1">
        <w:r w:rsidRPr="005B1432">
          <w:rPr>
            <w:rStyle w:val="Hyperlink"/>
          </w:rPr>
          <w:t>https://skift.com/2023/04/25/premier-inn-to-expand-budget-hotel-empire-in-germany-through-acquisitions/</w:t>
        </w:r>
      </w:hyperlink>
      <w:r w:rsidRPr="005B1432">
        <w:t xml:space="preserve"> [Accessed 14 Oct. 2024].</w:t>
      </w:r>
    </w:p>
    <w:p w14:paraId="6894F36C" w14:textId="77777777" w:rsidR="00F02453" w:rsidRPr="005B1432" w:rsidRDefault="00F02453" w:rsidP="00F02453">
      <w:pPr>
        <w:pStyle w:val="ListParagraph"/>
        <w:numPr>
          <w:ilvl w:val="0"/>
          <w:numId w:val="2"/>
        </w:numPr>
      </w:pPr>
      <w:r w:rsidRPr="005B1432">
        <w:t>Page, S.J. and Connell, J. (2020). Tourism accommodation and hospitality services. In </w:t>
      </w:r>
      <w:r w:rsidRPr="00E06E18">
        <w:rPr>
          <w:i/>
          <w:iCs/>
        </w:rPr>
        <w:t>Tourism</w:t>
      </w:r>
      <w:r w:rsidRPr="005B1432">
        <w:t> (pp. 216-241). Routledge.</w:t>
      </w:r>
    </w:p>
    <w:p w14:paraId="354B5E76" w14:textId="77777777" w:rsidR="00F02453" w:rsidRPr="005B1432" w:rsidRDefault="00F02453" w:rsidP="00F02453">
      <w:pPr>
        <w:pStyle w:val="ListParagraph"/>
        <w:numPr>
          <w:ilvl w:val="0"/>
          <w:numId w:val="2"/>
        </w:numPr>
      </w:pPr>
      <w:proofErr w:type="spellStart"/>
      <w:r w:rsidRPr="005B1432">
        <w:t>Roblek</w:t>
      </w:r>
      <w:proofErr w:type="spellEnd"/>
      <w:r w:rsidRPr="005B1432">
        <w:t xml:space="preserve">, V., </w:t>
      </w:r>
      <w:proofErr w:type="spellStart"/>
      <w:r w:rsidRPr="005B1432">
        <w:t>Milenkovska</w:t>
      </w:r>
      <w:proofErr w:type="spellEnd"/>
      <w:r w:rsidRPr="005B1432">
        <w:t>, V. and Milojica, V. (2016). The impact of corporate sustainability in achieving business goals in hotel industry. In </w:t>
      </w:r>
      <w:r w:rsidRPr="00E06E18">
        <w:rPr>
          <w:i/>
          <w:iCs/>
        </w:rPr>
        <w:t xml:space="preserve">Faculty of Tourism and Hospitality Management in </w:t>
      </w:r>
      <w:proofErr w:type="spellStart"/>
      <w:r w:rsidRPr="00E06E18">
        <w:rPr>
          <w:i/>
          <w:iCs/>
        </w:rPr>
        <w:t>Opatija</w:t>
      </w:r>
      <w:proofErr w:type="spellEnd"/>
      <w:r w:rsidRPr="00E06E18">
        <w:rPr>
          <w:i/>
          <w:iCs/>
        </w:rPr>
        <w:t>. Biennial International Congress. Tourism &amp; Hospitality Industry</w:t>
      </w:r>
      <w:r w:rsidRPr="005B1432">
        <w:t> (p. 388). University of Rijeka, Faculty of Tourism &amp; Hospitality Management.</w:t>
      </w:r>
    </w:p>
    <w:p w14:paraId="2773A1BF" w14:textId="77777777" w:rsidR="00F02453" w:rsidRPr="005B1432" w:rsidRDefault="00F02453" w:rsidP="00F02453">
      <w:pPr>
        <w:pStyle w:val="ListParagraph"/>
        <w:numPr>
          <w:ilvl w:val="0"/>
          <w:numId w:val="2"/>
        </w:numPr>
      </w:pPr>
      <w:r w:rsidRPr="005B1432">
        <w:t xml:space="preserve">Seal, W., (2019). </w:t>
      </w:r>
      <w:r w:rsidRPr="00E06E18">
        <w:rPr>
          <w:i/>
          <w:iCs/>
        </w:rPr>
        <w:t>Management Accounting (6th Ed),</w:t>
      </w:r>
      <w:r w:rsidRPr="005B1432">
        <w:t xml:space="preserve"> London, McGraw Hill.</w:t>
      </w:r>
    </w:p>
    <w:p w14:paraId="1A10DDCD" w14:textId="77777777" w:rsidR="00F02453" w:rsidRPr="005B1432" w:rsidRDefault="00F02453" w:rsidP="00F02453">
      <w:pPr>
        <w:pStyle w:val="ListParagraph"/>
        <w:numPr>
          <w:ilvl w:val="0"/>
          <w:numId w:val="2"/>
        </w:numPr>
      </w:pPr>
      <w:r w:rsidRPr="005B1432">
        <w:t xml:space="preserve">Shangri-La Group (2023). [online] Shangri-la.com. Available at: </w:t>
      </w:r>
      <w:hyperlink r:id="rId19" w:history="1">
        <w:r w:rsidRPr="005B1432">
          <w:rPr>
            <w:rStyle w:val="Hyperlink"/>
          </w:rPr>
          <w:t>https://www.shangri-la.com/group/investors/public-disclosures#</w:t>
        </w:r>
      </w:hyperlink>
      <w:r w:rsidRPr="005B1432">
        <w:t xml:space="preserve"> [Accessed 9 Oct. 2024].</w:t>
      </w:r>
    </w:p>
    <w:p w14:paraId="1419CAE8" w14:textId="77777777" w:rsidR="00F02453" w:rsidRPr="005B1432" w:rsidRDefault="00F02453" w:rsidP="00F02453">
      <w:pPr>
        <w:pStyle w:val="ListParagraph"/>
        <w:numPr>
          <w:ilvl w:val="0"/>
          <w:numId w:val="2"/>
        </w:numPr>
      </w:pPr>
      <w:r w:rsidRPr="005B1432">
        <w:t>Shi, L., Zhao, H., Li, Y., Ma, H., Yang, S. and Wang, H. (2015). Evaluation of Shangri-La County’s tourism resources and ecotourism carrying capacity. </w:t>
      </w:r>
      <w:r w:rsidRPr="00E06E18">
        <w:rPr>
          <w:i/>
          <w:iCs/>
        </w:rPr>
        <w:t>International Journal of Sustainable Development &amp; World Ecology</w:t>
      </w:r>
      <w:r w:rsidRPr="005B1432">
        <w:t>, </w:t>
      </w:r>
      <w:r w:rsidRPr="00E06E18">
        <w:rPr>
          <w:i/>
          <w:iCs/>
        </w:rPr>
        <w:t>22</w:t>
      </w:r>
      <w:r w:rsidRPr="005B1432">
        <w:t>(2), pp.103-109.</w:t>
      </w:r>
    </w:p>
    <w:p w14:paraId="3C89DA0F" w14:textId="77777777" w:rsidR="00F02453" w:rsidRPr="005B1432" w:rsidRDefault="00F02453" w:rsidP="00F02453">
      <w:pPr>
        <w:pStyle w:val="ListParagraph"/>
        <w:numPr>
          <w:ilvl w:val="0"/>
          <w:numId w:val="2"/>
        </w:numPr>
      </w:pPr>
      <w:r w:rsidRPr="005B1432">
        <w:t>Walker, J.R. (2021). </w:t>
      </w:r>
      <w:r w:rsidRPr="00E06E18">
        <w:rPr>
          <w:i/>
          <w:iCs/>
        </w:rPr>
        <w:t>Introduction to hospitality</w:t>
      </w:r>
      <w:r w:rsidRPr="005B1432">
        <w:t>. Pearson.</w:t>
      </w:r>
    </w:p>
    <w:p w14:paraId="0F7F38A2" w14:textId="77777777" w:rsidR="00F02453" w:rsidRPr="005B1432" w:rsidRDefault="00F02453" w:rsidP="00F02453">
      <w:pPr>
        <w:pStyle w:val="ListParagraph"/>
        <w:numPr>
          <w:ilvl w:val="0"/>
          <w:numId w:val="2"/>
        </w:numPr>
      </w:pPr>
      <w:r w:rsidRPr="005B1432">
        <w:t xml:space="preserve">Whitebread PLC (2024). </w:t>
      </w:r>
      <w:r w:rsidRPr="00E06E18">
        <w:rPr>
          <w:i/>
          <w:iCs/>
        </w:rPr>
        <w:t>Results, reports and presentations</w:t>
      </w:r>
      <w:r w:rsidRPr="005B1432">
        <w:t xml:space="preserve">. [online] Whitbread PLC. Available at: </w:t>
      </w:r>
      <w:hyperlink r:id="rId20" w:history="1">
        <w:r w:rsidRPr="005B1432">
          <w:rPr>
            <w:rStyle w:val="Hyperlink"/>
          </w:rPr>
          <w:t>https://www.whitbread.co.uk/investors/results-reports-and-presentations/</w:t>
        </w:r>
      </w:hyperlink>
      <w:r w:rsidRPr="005B1432">
        <w:t xml:space="preserve"> [Accessed 9 Oct. 2024].</w:t>
      </w:r>
    </w:p>
    <w:p w14:paraId="1EAC67C2" w14:textId="77777777" w:rsidR="00F02453" w:rsidRPr="005B1432" w:rsidRDefault="00F02453" w:rsidP="00F02453">
      <w:pPr>
        <w:pStyle w:val="ListParagraph"/>
        <w:numPr>
          <w:ilvl w:val="0"/>
          <w:numId w:val="2"/>
        </w:numPr>
      </w:pPr>
      <w:r w:rsidRPr="005B1432">
        <w:t>Wilson-Mah, R. and Bernardes, D. (2023). A Sudden Inhospitable Situation: The Everglade Hotel. In </w:t>
      </w:r>
      <w:r w:rsidRPr="00E06E18">
        <w:rPr>
          <w:i/>
          <w:iCs/>
        </w:rPr>
        <w:t>Tourism and Hospitality Management in Practice</w:t>
      </w:r>
      <w:r w:rsidRPr="005B1432">
        <w:t> (pp. 42-51). Routledge.</w:t>
      </w:r>
    </w:p>
    <w:p w14:paraId="57154D33" w14:textId="77777777" w:rsidR="00F02453" w:rsidRPr="00E06E18" w:rsidRDefault="00F02453" w:rsidP="00F02453">
      <w:pPr>
        <w:pStyle w:val="ListParagraph"/>
        <w:numPr>
          <w:ilvl w:val="0"/>
          <w:numId w:val="2"/>
        </w:numPr>
        <w:rPr>
          <w:i/>
          <w:iCs/>
        </w:rPr>
      </w:pPr>
      <w:r w:rsidRPr="005B1432">
        <w:t xml:space="preserve">Yang, H.P. (2013). Case study 12: Shangri-La hotels expanding to </w:t>
      </w:r>
      <w:proofErr w:type="spellStart"/>
      <w:r w:rsidRPr="005B1432">
        <w:t>non-Asian</w:t>
      </w:r>
      <w:proofErr w:type="spellEnd"/>
      <w:r w:rsidRPr="005B1432">
        <w:t xml:space="preserve"> markets. In </w:t>
      </w:r>
      <w:r w:rsidRPr="00E06E18">
        <w:rPr>
          <w:i/>
          <w:iCs/>
        </w:rPr>
        <w:t>Marketing Cases from Emerging Markets</w:t>
      </w:r>
      <w:r w:rsidRPr="005B1432">
        <w:t> (pp. 113-116). Berlin, Heidelberg: Springer Berlin Heidelberg.</w:t>
      </w:r>
    </w:p>
    <w:p w14:paraId="673F818E" w14:textId="77777777" w:rsidR="00F02453" w:rsidRPr="00E06E18" w:rsidRDefault="00F02453" w:rsidP="00F02453">
      <w:pPr>
        <w:pStyle w:val="ListParagraph"/>
        <w:numPr>
          <w:ilvl w:val="0"/>
          <w:numId w:val="2"/>
        </w:numPr>
        <w:rPr>
          <w:i/>
          <w:iCs/>
        </w:rPr>
      </w:pPr>
      <w:r w:rsidRPr="005B1432">
        <w:lastRenderedPageBreak/>
        <w:t>Yu, L. (2008). The structure and nature of the international hospitality industry. </w:t>
      </w:r>
      <w:r w:rsidRPr="00E06E18">
        <w:rPr>
          <w:i/>
          <w:iCs/>
        </w:rPr>
        <w:t>The Sage handbook of hospitality management</w:t>
      </w:r>
      <w:r w:rsidRPr="005B1432">
        <w:t>, pp.62-89.</w:t>
      </w:r>
    </w:p>
    <w:p w14:paraId="0A5A113C" w14:textId="77777777" w:rsidR="00F02453" w:rsidRDefault="00F02453" w:rsidP="00F02453">
      <w:pPr>
        <w:pStyle w:val="ListParagraph"/>
        <w:numPr>
          <w:ilvl w:val="0"/>
          <w:numId w:val="2"/>
        </w:numPr>
      </w:pPr>
      <w:r w:rsidRPr="005B1432">
        <w:t>Zhang, Y., Lee, T.J. and Xiong, Y. (2019). Residents’ perception of the influence of luxury chain hotels on ethnic tourism communities. </w:t>
      </w:r>
      <w:r w:rsidRPr="00E06E18">
        <w:rPr>
          <w:i/>
          <w:iCs/>
        </w:rPr>
        <w:t>Journal of Tourism and Cultural Change</w:t>
      </w:r>
      <w:r w:rsidRPr="005B1432">
        <w:t>, </w:t>
      </w:r>
      <w:r w:rsidRPr="00E06E18">
        <w:rPr>
          <w:i/>
          <w:iCs/>
        </w:rPr>
        <w:t>17</w:t>
      </w:r>
      <w:r w:rsidRPr="005B1432">
        <w:t>(4), pp.432-448.</w:t>
      </w:r>
    </w:p>
    <w:p w14:paraId="3C53ECCF" w14:textId="77777777" w:rsidR="00F02453" w:rsidRDefault="00F02453" w:rsidP="00F02453"/>
    <w:p w14:paraId="7AB09C02" w14:textId="77777777" w:rsidR="00F02453" w:rsidRPr="005B1432" w:rsidRDefault="00F02453" w:rsidP="00F02453"/>
    <w:p w14:paraId="645DFE9F" w14:textId="77777777" w:rsidR="00F02453" w:rsidRPr="006A3BAA" w:rsidRDefault="00F02453" w:rsidP="00F02453"/>
    <w:p w14:paraId="04FE0A62" w14:textId="77777777" w:rsidR="00F02453" w:rsidRDefault="00F02453" w:rsidP="00F02453">
      <w:pPr>
        <w:spacing w:after="160" w:line="259" w:lineRule="auto"/>
        <w:jc w:val="left"/>
        <w:rPr>
          <w:rFonts w:eastAsia="SimSun" w:cs="Times New Roman"/>
          <w:b/>
          <w:bCs/>
          <w:color w:val="0F4761" w:themeColor="accent1" w:themeShade="BF"/>
          <w:kern w:val="32"/>
          <w:sz w:val="32"/>
          <w:szCs w:val="32"/>
          <w:lang w:val="en-US" w:eastAsia="zh-CN"/>
        </w:rPr>
      </w:pPr>
      <w:r>
        <w:br w:type="page"/>
      </w:r>
    </w:p>
    <w:p w14:paraId="20E1054E" w14:textId="77777777" w:rsidR="00F02453" w:rsidRDefault="00F02453" w:rsidP="00F02453">
      <w:pPr>
        <w:pStyle w:val="Heading1"/>
      </w:pPr>
      <w:bookmarkStart w:id="8" w:name="_Toc179925853"/>
      <w:r>
        <w:lastRenderedPageBreak/>
        <w:t>Appendices</w:t>
      </w:r>
      <w:bookmarkEnd w:id="8"/>
    </w:p>
    <w:p w14:paraId="7395418C" w14:textId="77777777" w:rsidR="00F02453" w:rsidRPr="003B58E8" w:rsidRDefault="00F02453" w:rsidP="00F02453">
      <w:pPr>
        <w:rPr>
          <w:b/>
          <w:bCs/>
        </w:rPr>
      </w:pPr>
      <w:r w:rsidRPr="003B58E8">
        <w:rPr>
          <w:b/>
          <w:bCs/>
        </w:rPr>
        <w:t>Appendix 1: Total Revenue from 2018 to 2023</w:t>
      </w:r>
    </w:p>
    <w:tbl>
      <w:tblPr>
        <w:tblStyle w:val="TableGrid"/>
        <w:tblW w:w="7500" w:type="dxa"/>
        <w:tblLook w:val="04A0" w:firstRow="1" w:lastRow="0" w:firstColumn="1" w:lastColumn="0" w:noHBand="0" w:noVBand="1"/>
      </w:tblPr>
      <w:tblGrid>
        <w:gridCol w:w="723"/>
        <w:gridCol w:w="4060"/>
        <w:gridCol w:w="2900"/>
      </w:tblGrid>
      <w:tr w:rsidR="00F02453" w:rsidRPr="00ED035F" w14:paraId="6FEAE599" w14:textId="77777777" w:rsidTr="00465A31">
        <w:trPr>
          <w:trHeight w:val="290"/>
        </w:trPr>
        <w:tc>
          <w:tcPr>
            <w:tcW w:w="7500" w:type="dxa"/>
            <w:gridSpan w:val="3"/>
            <w:shd w:val="clear" w:color="auto" w:fill="F6C5AC" w:themeFill="accent2" w:themeFillTint="66"/>
            <w:noWrap/>
            <w:hideMark/>
          </w:tcPr>
          <w:p w14:paraId="40008B40" w14:textId="77777777" w:rsidR="00F02453" w:rsidRPr="00ED035F" w:rsidRDefault="00F02453" w:rsidP="00465A31">
            <w:pPr>
              <w:jc w:val="center"/>
              <w:rPr>
                <w:lang w:eastAsia="en-GB"/>
              </w:rPr>
            </w:pPr>
            <w:r w:rsidRPr="00ED035F">
              <w:rPr>
                <w:lang w:eastAsia="en-GB"/>
              </w:rPr>
              <w:t>Total Revenue</w:t>
            </w:r>
          </w:p>
        </w:tc>
      </w:tr>
      <w:tr w:rsidR="00F02453" w:rsidRPr="00ED035F" w14:paraId="78B29EBE" w14:textId="77777777" w:rsidTr="00465A31">
        <w:trPr>
          <w:trHeight w:val="290"/>
        </w:trPr>
        <w:tc>
          <w:tcPr>
            <w:tcW w:w="540" w:type="dxa"/>
            <w:noWrap/>
            <w:hideMark/>
          </w:tcPr>
          <w:p w14:paraId="21770623" w14:textId="77777777" w:rsidR="00F02453" w:rsidRPr="00ED035F" w:rsidRDefault="00F02453" w:rsidP="00465A31">
            <w:pPr>
              <w:rPr>
                <w:b/>
                <w:bCs/>
                <w:lang w:eastAsia="en-GB"/>
              </w:rPr>
            </w:pPr>
            <w:r w:rsidRPr="00ED035F">
              <w:rPr>
                <w:b/>
                <w:bCs/>
                <w:lang w:eastAsia="en-GB"/>
              </w:rPr>
              <w:t>Year</w:t>
            </w:r>
          </w:p>
        </w:tc>
        <w:tc>
          <w:tcPr>
            <w:tcW w:w="4060" w:type="dxa"/>
            <w:noWrap/>
            <w:hideMark/>
          </w:tcPr>
          <w:p w14:paraId="6E332163" w14:textId="77777777" w:rsidR="00F02453" w:rsidRPr="00ED035F" w:rsidRDefault="00F02453" w:rsidP="00465A31">
            <w:pPr>
              <w:rPr>
                <w:b/>
                <w:bCs/>
                <w:lang w:eastAsia="en-GB"/>
              </w:rPr>
            </w:pPr>
            <w:r w:rsidRPr="00ED035F">
              <w:rPr>
                <w:b/>
                <w:bCs/>
                <w:lang w:eastAsia="en-GB"/>
              </w:rPr>
              <w:t>Shangri-La Total Revenue (USD Million)</w:t>
            </w:r>
          </w:p>
        </w:tc>
        <w:tc>
          <w:tcPr>
            <w:tcW w:w="2900" w:type="dxa"/>
            <w:noWrap/>
            <w:hideMark/>
          </w:tcPr>
          <w:p w14:paraId="3A94C767" w14:textId="77777777" w:rsidR="00F02453" w:rsidRPr="00ED035F" w:rsidRDefault="00F02453" w:rsidP="00465A31">
            <w:pPr>
              <w:rPr>
                <w:b/>
                <w:bCs/>
                <w:lang w:eastAsia="en-GB"/>
              </w:rPr>
            </w:pPr>
            <w:r w:rsidRPr="00ED035F">
              <w:rPr>
                <w:b/>
                <w:bCs/>
                <w:lang w:eastAsia="en-GB"/>
              </w:rPr>
              <w:t>Premier Inn (GBP Million)</w:t>
            </w:r>
          </w:p>
        </w:tc>
      </w:tr>
      <w:tr w:rsidR="00F02453" w:rsidRPr="00ED035F" w14:paraId="598B61E4" w14:textId="77777777" w:rsidTr="00465A31">
        <w:trPr>
          <w:trHeight w:val="290"/>
        </w:trPr>
        <w:tc>
          <w:tcPr>
            <w:tcW w:w="540" w:type="dxa"/>
            <w:hideMark/>
          </w:tcPr>
          <w:p w14:paraId="7780E78A" w14:textId="77777777" w:rsidR="00F02453" w:rsidRPr="00ED035F" w:rsidRDefault="00F02453" w:rsidP="00465A31">
            <w:pPr>
              <w:rPr>
                <w:lang w:eastAsia="en-GB"/>
              </w:rPr>
            </w:pPr>
            <w:r w:rsidRPr="00ED035F">
              <w:rPr>
                <w:lang w:eastAsia="en-GB"/>
              </w:rPr>
              <w:t>2018</w:t>
            </w:r>
          </w:p>
        </w:tc>
        <w:tc>
          <w:tcPr>
            <w:tcW w:w="4060" w:type="dxa"/>
            <w:hideMark/>
          </w:tcPr>
          <w:p w14:paraId="273F978A" w14:textId="77777777" w:rsidR="00F02453" w:rsidRPr="00ED035F" w:rsidRDefault="00F02453" w:rsidP="00465A31">
            <w:pPr>
              <w:rPr>
                <w:lang w:eastAsia="en-GB"/>
              </w:rPr>
            </w:pPr>
            <w:r w:rsidRPr="00ED035F">
              <w:rPr>
                <w:lang w:eastAsia="en-GB"/>
              </w:rPr>
              <w:t>2,517.90</w:t>
            </w:r>
          </w:p>
        </w:tc>
        <w:tc>
          <w:tcPr>
            <w:tcW w:w="2900" w:type="dxa"/>
            <w:hideMark/>
          </w:tcPr>
          <w:p w14:paraId="4DA54D18" w14:textId="77777777" w:rsidR="00F02453" w:rsidRPr="00ED035F" w:rsidRDefault="00F02453" w:rsidP="00465A31">
            <w:pPr>
              <w:rPr>
                <w:lang w:eastAsia="en-GB"/>
              </w:rPr>
            </w:pPr>
            <w:r w:rsidRPr="00ED035F">
              <w:rPr>
                <w:lang w:eastAsia="en-GB"/>
              </w:rPr>
              <w:t>3,295</w:t>
            </w:r>
          </w:p>
        </w:tc>
      </w:tr>
      <w:tr w:rsidR="00F02453" w:rsidRPr="00ED035F" w14:paraId="1DC120D9" w14:textId="77777777" w:rsidTr="00465A31">
        <w:trPr>
          <w:trHeight w:val="290"/>
        </w:trPr>
        <w:tc>
          <w:tcPr>
            <w:tcW w:w="540" w:type="dxa"/>
            <w:hideMark/>
          </w:tcPr>
          <w:p w14:paraId="53374F4E" w14:textId="77777777" w:rsidR="00F02453" w:rsidRPr="00ED035F" w:rsidRDefault="00F02453" w:rsidP="00465A31">
            <w:pPr>
              <w:rPr>
                <w:lang w:eastAsia="en-GB"/>
              </w:rPr>
            </w:pPr>
            <w:r w:rsidRPr="00ED035F">
              <w:rPr>
                <w:lang w:eastAsia="en-GB"/>
              </w:rPr>
              <w:t>2019</w:t>
            </w:r>
          </w:p>
        </w:tc>
        <w:tc>
          <w:tcPr>
            <w:tcW w:w="4060" w:type="dxa"/>
            <w:hideMark/>
          </w:tcPr>
          <w:p w14:paraId="0BEA3742" w14:textId="77777777" w:rsidR="00F02453" w:rsidRPr="00ED035F" w:rsidRDefault="00F02453" w:rsidP="00465A31">
            <w:pPr>
              <w:rPr>
                <w:lang w:eastAsia="en-GB"/>
              </w:rPr>
            </w:pPr>
            <w:r w:rsidRPr="00ED035F">
              <w:rPr>
                <w:lang w:eastAsia="en-GB"/>
              </w:rPr>
              <w:t>2,431.20</w:t>
            </w:r>
          </w:p>
        </w:tc>
        <w:tc>
          <w:tcPr>
            <w:tcW w:w="2900" w:type="dxa"/>
            <w:hideMark/>
          </w:tcPr>
          <w:p w14:paraId="3356A33D" w14:textId="77777777" w:rsidR="00F02453" w:rsidRPr="00ED035F" w:rsidRDefault="00F02453" w:rsidP="00465A31">
            <w:pPr>
              <w:rPr>
                <w:lang w:eastAsia="en-GB"/>
              </w:rPr>
            </w:pPr>
            <w:r w:rsidRPr="00ED035F">
              <w:rPr>
                <w:lang w:eastAsia="en-GB"/>
              </w:rPr>
              <w:t>2,049</w:t>
            </w:r>
          </w:p>
        </w:tc>
      </w:tr>
      <w:tr w:rsidR="00F02453" w:rsidRPr="00ED035F" w14:paraId="50614571" w14:textId="77777777" w:rsidTr="00465A31">
        <w:trPr>
          <w:trHeight w:val="290"/>
        </w:trPr>
        <w:tc>
          <w:tcPr>
            <w:tcW w:w="540" w:type="dxa"/>
            <w:hideMark/>
          </w:tcPr>
          <w:p w14:paraId="1515D577" w14:textId="77777777" w:rsidR="00F02453" w:rsidRPr="00ED035F" w:rsidRDefault="00F02453" w:rsidP="00465A31">
            <w:pPr>
              <w:rPr>
                <w:lang w:eastAsia="en-GB"/>
              </w:rPr>
            </w:pPr>
            <w:r w:rsidRPr="00ED035F">
              <w:rPr>
                <w:lang w:eastAsia="en-GB"/>
              </w:rPr>
              <w:t>2020</w:t>
            </w:r>
          </w:p>
        </w:tc>
        <w:tc>
          <w:tcPr>
            <w:tcW w:w="4060" w:type="dxa"/>
            <w:hideMark/>
          </w:tcPr>
          <w:p w14:paraId="01AAE54A" w14:textId="77777777" w:rsidR="00F02453" w:rsidRPr="00ED035F" w:rsidRDefault="00F02453" w:rsidP="00465A31">
            <w:pPr>
              <w:rPr>
                <w:lang w:eastAsia="en-GB"/>
              </w:rPr>
            </w:pPr>
            <w:r w:rsidRPr="00ED035F">
              <w:rPr>
                <w:lang w:eastAsia="en-GB"/>
              </w:rPr>
              <w:t>1,033.40</w:t>
            </w:r>
          </w:p>
        </w:tc>
        <w:tc>
          <w:tcPr>
            <w:tcW w:w="2900" w:type="dxa"/>
            <w:hideMark/>
          </w:tcPr>
          <w:p w14:paraId="142AFE0F" w14:textId="77777777" w:rsidR="00F02453" w:rsidRPr="00ED035F" w:rsidRDefault="00F02453" w:rsidP="00465A31">
            <w:pPr>
              <w:rPr>
                <w:lang w:eastAsia="en-GB"/>
              </w:rPr>
            </w:pPr>
            <w:r w:rsidRPr="00ED035F">
              <w:rPr>
                <w:lang w:eastAsia="en-GB"/>
              </w:rPr>
              <w:t>2,072</w:t>
            </w:r>
          </w:p>
        </w:tc>
      </w:tr>
      <w:tr w:rsidR="00F02453" w:rsidRPr="00ED035F" w14:paraId="712BD00E" w14:textId="77777777" w:rsidTr="00465A31">
        <w:trPr>
          <w:trHeight w:val="290"/>
        </w:trPr>
        <w:tc>
          <w:tcPr>
            <w:tcW w:w="540" w:type="dxa"/>
            <w:hideMark/>
          </w:tcPr>
          <w:p w14:paraId="3EB1CF2D" w14:textId="77777777" w:rsidR="00F02453" w:rsidRPr="00ED035F" w:rsidRDefault="00F02453" w:rsidP="00465A31">
            <w:pPr>
              <w:rPr>
                <w:lang w:eastAsia="en-GB"/>
              </w:rPr>
            </w:pPr>
            <w:r w:rsidRPr="00ED035F">
              <w:rPr>
                <w:lang w:eastAsia="en-GB"/>
              </w:rPr>
              <w:t>2021</w:t>
            </w:r>
          </w:p>
        </w:tc>
        <w:tc>
          <w:tcPr>
            <w:tcW w:w="4060" w:type="dxa"/>
            <w:hideMark/>
          </w:tcPr>
          <w:p w14:paraId="4665C3FE" w14:textId="77777777" w:rsidR="00F02453" w:rsidRPr="00ED035F" w:rsidRDefault="00F02453" w:rsidP="00465A31">
            <w:pPr>
              <w:rPr>
                <w:lang w:eastAsia="en-GB"/>
              </w:rPr>
            </w:pPr>
            <w:r w:rsidRPr="00ED035F">
              <w:rPr>
                <w:lang w:eastAsia="en-GB"/>
              </w:rPr>
              <w:t>1,241.00</w:t>
            </w:r>
          </w:p>
        </w:tc>
        <w:tc>
          <w:tcPr>
            <w:tcW w:w="2900" w:type="dxa"/>
            <w:hideMark/>
          </w:tcPr>
          <w:p w14:paraId="491CCE86" w14:textId="77777777" w:rsidR="00F02453" w:rsidRPr="00ED035F" w:rsidRDefault="00F02453" w:rsidP="00465A31">
            <w:pPr>
              <w:rPr>
                <w:lang w:eastAsia="en-GB"/>
              </w:rPr>
            </w:pPr>
            <w:r w:rsidRPr="00ED035F">
              <w:rPr>
                <w:lang w:eastAsia="en-GB"/>
              </w:rPr>
              <w:t>590</w:t>
            </w:r>
          </w:p>
        </w:tc>
      </w:tr>
      <w:tr w:rsidR="00F02453" w:rsidRPr="00ED035F" w14:paraId="6902D11A" w14:textId="77777777" w:rsidTr="00465A31">
        <w:trPr>
          <w:trHeight w:val="290"/>
        </w:trPr>
        <w:tc>
          <w:tcPr>
            <w:tcW w:w="540" w:type="dxa"/>
            <w:hideMark/>
          </w:tcPr>
          <w:p w14:paraId="38D9A013" w14:textId="77777777" w:rsidR="00F02453" w:rsidRPr="00ED035F" w:rsidRDefault="00F02453" w:rsidP="00465A31">
            <w:pPr>
              <w:rPr>
                <w:lang w:eastAsia="en-GB"/>
              </w:rPr>
            </w:pPr>
            <w:r w:rsidRPr="00ED035F">
              <w:rPr>
                <w:lang w:eastAsia="en-GB"/>
              </w:rPr>
              <w:t>2022</w:t>
            </w:r>
          </w:p>
        </w:tc>
        <w:tc>
          <w:tcPr>
            <w:tcW w:w="4060" w:type="dxa"/>
            <w:hideMark/>
          </w:tcPr>
          <w:p w14:paraId="0FDEBD77" w14:textId="77777777" w:rsidR="00F02453" w:rsidRPr="00ED035F" w:rsidRDefault="00F02453" w:rsidP="00465A31">
            <w:pPr>
              <w:rPr>
                <w:lang w:eastAsia="en-GB"/>
              </w:rPr>
            </w:pPr>
            <w:r w:rsidRPr="00ED035F">
              <w:rPr>
                <w:lang w:eastAsia="en-GB"/>
              </w:rPr>
              <w:t>1,462.10</w:t>
            </w:r>
          </w:p>
        </w:tc>
        <w:tc>
          <w:tcPr>
            <w:tcW w:w="2900" w:type="dxa"/>
            <w:hideMark/>
          </w:tcPr>
          <w:p w14:paraId="6F17396C" w14:textId="77777777" w:rsidR="00F02453" w:rsidRPr="00ED035F" w:rsidRDefault="00F02453" w:rsidP="00465A31">
            <w:pPr>
              <w:rPr>
                <w:lang w:eastAsia="en-GB"/>
              </w:rPr>
            </w:pPr>
            <w:r w:rsidRPr="00ED035F">
              <w:rPr>
                <w:lang w:eastAsia="en-GB"/>
              </w:rPr>
              <w:t>1,703</w:t>
            </w:r>
          </w:p>
        </w:tc>
      </w:tr>
      <w:tr w:rsidR="00F02453" w:rsidRPr="00ED035F" w14:paraId="20CD2124" w14:textId="77777777" w:rsidTr="00465A31">
        <w:trPr>
          <w:trHeight w:val="290"/>
        </w:trPr>
        <w:tc>
          <w:tcPr>
            <w:tcW w:w="540" w:type="dxa"/>
            <w:hideMark/>
          </w:tcPr>
          <w:p w14:paraId="2C1CCFCD" w14:textId="77777777" w:rsidR="00F02453" w:rsidRPr="00ED035F" w:rsidRDefault="00F02453" w:rsidP="00465A31">
            <w:pPr>
              <w:rPr>
                <w:lang w:eastAsia="en-GB"/>
              </w:rPr>
            </w:pPr>
            <w:r w:rsidRPr="00ED035F">
              <w:rPr>
                <w:lang w:eastAsia="en-GB"/>
              </w:rPr>
              <w:t>2023</w:t>
            </w:r>
          </w:p>
        </w:tc>
        <w:tc>
          <w:tcPr>
            <w:tcW w:w="4060" w:type="dxa"/>
            <w:hideMark/>
          </w:tcPr>
          <w:p w14:paraId="685CC0E4" w14:textId="77777777" w:rsidR="00F02453" w:rsidRPr="00ED035F" w:rsidRDefault="00F02453" w:rsidP="00465A31">
            <w:pPr>
              <w:rPr>
                <w:lang w:eastAsia="en-GB"/>
              </w:rPr>
            </w:pPr>
            <w:r w:rsidRPr="00ED035F">
              <w:rPr>
                <w:lang w:eastAsia="en-GB"/>
              </w:rPr>
              <w:t>2,141.80</w:t>
            </w:r>
          </w:p>
        </w:tc>
        <w:tc>
          <w:tcPr>
            <w:tcW w:w="2900" w:type="dxa"/>
            <w:hideMark/>
          </w:tcPr>
          <w:p w14:paraId="4960C75D" w14:textId="77777777" w:rsidR="00F02453" w:rsidRPr="00ED035F" w:rsidRDefault="00F02453" w:rsidP="00465A31">
            <w:pPr>
              <w:rPr>
                <w:lang w:eastAsia="en-GB"/>
              </w:rPr>
            </w:pPr>
            <w:r w:rsidRPr="00ED035F">
              <w:rPr>
                <w:lang w:eastAsia="en-GB"/>
              </w:rPr>
              <w:t>2,625</w:t>
            </w:r>
          </w:p>
        </w:tc>
      </w:tr>
    </w:tbl>
    <w:p w14:paraId="787D1A32" w14:textId="77777777" w:rsidR="00F02453" w:rsidRDefault="00F02453" w:rsidP="00F02453">
      <w:r>
        <w:t>Source: (Shangri-La Group, 2023; Whitebread PLC, 2024)</w:t>
      </w:r>
    </w:p>
    <w:p w14:paraId="7262F23D" w14:textId="77777777" w:rsidR="00F02453" w:rsidRPr="003B58E8" w:rsidRDefault="00F02453" w:rsidP="00F02453">
      <w:pPr>
        <w:rPr>
          <w:b/>
          <w:bCs/>
        </w:rPr>
      </w:pPr>
      <w:r w:rsidRPr="003B58E8">
        <w:rPr>
          <w:b/>
          <w:bCs/>
        </w:rPr>
        <w:t>Appendix 2: Costs from 2018 to 2023</w:t>
      </w:r>
    </w:p>
    <w:tbl>
      <w:tblPr>
        <w:tblStyle w:val="TableGrid"/>
        <w:tblW w:w="0" w:type="auto"/>
        <w:tblLook w:val="04A0" w:firstRow="1" w:lastRow="0" w:firstColumn="1" w:lastColumn="0" w:noHBand="0" w:noVBand="1"/>
      </w:tblPr>
      <w:tblGrid>
        <w:gridCol w:w="988"/>
        <w:gridCol w:w="1659"/>
        <w:gridCol w:w="2168"/>
        <w:gridCol w:w="2270"/>
        <w:gridCol w:w="2265"/>
      </w:tblGrid>
      <w:tr w:rsidR="00F02453" w:rsidRPr="00ED035F" w14:paraId="21FB0406" w14:textId="77777777" w:rsidTr="00465A31">
        <w:trPr>
          <w:trHeight w:val="350"/>
        </w:trPr>
        <w:tc>
          <w:tcPr>
            <w:tcW w:w="9350" w:type="dxa"/>
            <w:gridSpan w:val="5"/>
            <w:shd w:val="clear" w:color="auto" w:fill="F6C5AC" w:themeFill="accent2" w:themeFillTint="66"/>
            <w:noWrap/>
            <w:hideMark/>
          </w:tcPr>
          <w:p w14:paraId="58F3F496" w14:textId="77777777" w:rsidR="00F02453" w:rsidRPr="00ED035F" w:rsidRDefault="00F02453" w:rsidP="00465A31">
            <w:pPr>
              <w:jc w:val="center"/>
              <w:rPr>
                <w:b/>
                <w:bCs/>
              </w:rPr>
            </w:pPr>
            <w:r w:rsidRPr="00ED035F">
              <w:rPr>
                <w:b/>
                <w:bCs/>
              </w:rPr>
              <w:t>Operational Costs and COGS (2018-2023)</w:t>
            </w:r>
          </w:p>
        </w:tc>
      </w:tr>
      <w:tr w:rsidR="00F02453" w:rsidRPr="00ED035F" w14:paraId="27E870A5" w14:textId="77777777" w:rsidTr="00465A31">
        <w:trPr>
          <w:trHeight w:val="290"/>
        </w:trPr>
        <w:tc>
          <w:tcPr>
            <w:tcW w:w="988" w:type="dxa"/>
            <w:noWrap/>
            <w:hideMark/>
          </w:tcPr>
          <w:p w14:paraId="35D61260" w14:textId="77777777" w:rsidR="00F02453" w:rsidRPr="00ED035F" w:rsidRDefault="00F02453" w:rsidP="00465A31">
            <w:pPr>
              <w:rPr>
                <w:b/>
                <w:bCs/>
              </w:rPr>
            </w:pPr>
            <w:r w:rsidRPr="00ED035F">
              <w:rPr>
                <w:b/>
                <w:bCs/>
              </w:rPr>
              <w:t>Year</w:t>
            </w:r>
          </w:p>
        </w:tc>
        <w:tc>
          <w:tcPr>
            <w:tcW w:w="1659" w:type="dxa"/>
            <w:noWrap/>
            <w:hideMark/>
          </w:tcPr>
          <w:p w14:paraId="708BCF8E" w14:textId="77777777" w:rsidR="00F02453" w:rsidRPr="00ED035F" w:rsidRDefault="00F02453" w:rsidP="00465A31">
            <w:pPr>
              <w:rPr>
                <w:b/>
                <w:bCs/>
              </w:rPr>
            </w:pPr>
            <w:r w:rsidRPr="00ED035F">
              <w:rPr>
                <w:b/>
                <w:bCs/>
              </w:rPr>
              <w:t>Shangri-La Operational Costs (USD Million)</w:t>
            </w:r>
          </w:p>
        </w:tc>
        <w:tc>
          <w:tcPr>
            <w:tcW w:w="2168" w:type="dxa"/>
            <w:noWrap/>
            <w:hideMark/>
          </w:tcPr>
          <w:p w14:paraId="3EA65CE4" w14:textId="77777777" w:rsidR="00F02453" w:rsidRPr="00ED035F" w:rsidRDefault="00F02453" w:rsidP="00465A31">
            <w:pPr>
              <w:rPr>
                <w:b/>
                <w:bCs/>
              </w:rPr>
            </w:pPr>
            <w:r w:rsidRPr="00ED035F">
              <w:rPr>
                <w:b/>
                <w:bCs/>
              </w:rPr>
              <w:t>Shangri-La COGS (USD Million)</w:t>
            </w:r>
          </w:p>
        </w:tc>
        <w:tc>
          <w:tcPr>
            <w:tcW w:w="2270" w:type="dxa"/>
            <w:noWrap/>
            <w:hideMark/>
          </w:tcPr>
          <w:p w14:paraId="0F467CA9" w14:textId="77777777" w:rsidR="00F02453" w:rsidRPr="00ED035F" w:rsidRDefault="00F02453" w:rsidP="00465A31">
            <w:pPr>
              <w:rPr>
                <w:b/>
                <w:bCs/>
              </w:rPr>
            </w:pPr>
            <w:r w:rsidRPr="00ED035F">
              <w:rPr>
                <w:b/>
                <w:bCs/>
              </w:rPr>
              <w:t>Premier Inn (Whitbread) Operational Costs (GBP Million)</w:t>
            </w:r>
          </w:p>
        </w:tc>
        <w:tc>
          <w:tcPr>
            <w:tcW w:w="2265" w:type="dxa"/>
            <w:noWrap/>
            <w:hideMark/>
          </w:tcPr>
          <w:p w14:paraId="1E290D1A" w14:textId="77777777" w:rsidR="00F02453" w:rsidRPr="00ED035F" w:rsidRDefault="00F02453" w:rsidP="00465A31">
            <w:pPr>
              <w:rPr>
                <w:b/>
                <w:bCs/>
              </w:rPr>
            </w:pPr>
            <w:r w:rsidRPr="00ED035F">
              <w:rPr>
                <w:b/>
                <w:bCs/>
              </w:rPr>
              <w:t>Premier Inn (Whitbread) COGS (GBP Million)</w:t>
            </w:r>
          </w:p>
        </w:tc>
      </w:tr>
      <w:tr w:rsidR="00F02453" w:rsidRPr="00ED035F" w14:paraId="12ED677E" w14:textId="77777777" w:rsidTr="00465A31">
        <w:trPr>
          <w:trHeight w:val="290"/>
        </w:trPr>
        <w:tc>
          <w:tcPr>
            <w:tcW w:w="988" w:type="dxa"/>
            <w:hideMark/>
          </w:tcPr>
          <w:p w14:paraId="1B362763" w14:textId="77777777" w:rsidR="00F02453" w:rsidRPr="00ED035F" w:rsidRDefault="00F02453" w:rsidP="00465A31">
            <w:r w:rsidRPr="00ED035F">
              <w:t>2018</w:t>
            </w:r>
          </w:p>
        </w:tc>
        <w:tc>
          <w:tcPr>
            <w:tcW w:w="1659" w:type="dxa"/>
            <w:hideMark/>
          </w:tcPr>
          <w:p w14:paraId="0791B259" w14:textId="77777777" w:rsidR="00F02453" w:rsidRPr="00ED035F" w:rsidRDefault="00F02453" w:rsidP="00465A31">
            <w:r w:rsidRPr="00ED035F">
              <w:t>650.4</w:t>
            </w:r>
          </w:p>
        </w:tc>
        <w:tc>
          <w:tcPr>
            <w:tcW w:w="2168" w:type="dxa"/>
            <w:hideMark/>
          </w:tcPr>
          <w:p w14:paraId="7B73A857" w14:textId="77777777" w:rsidR="00F02453" w:rsidRPr="00ED035F" w:rsidRDefault="00F02453" w:rsidP="00465A31">
            <w:r w:rsidRPr="00ED035F">
              <w:t>318.4</w:t>
            </w:r>
          </w:p>
        </w:tc>
        <w:tc>
          <w:tcPr>
            <w:tcW w:w="2270" w:type="dxa"/>
            <w:hideMark/>
          </w:tcPr>
          <w:p w14:paraId="1F0E11A9" w14:textId="77777777" w:rsidR="00F02453" w:rsidRPr="00ED035F" w:rsidRDefault="00F02453" w:rsidP="00465A31">
            <w:r w:rsidRPr="00ED035F">
              <w:t>1,642</w:t>
            </w:r>
          </w:p>
        </w:tc>
        <w:tc>
          <w:tcPr>
            <w:tcW w:w="2265" w:type="dxa"/>
            <w:hideMark/>
          </w:tcPr>
          <w:p w14:paraId="79C84434" w14:textId="77777777" w:rsidR="00F02453" w:rsidRPr="00ED035F" w:rsidRDefault="00F02453" w:rsidP="00465A31">
            <w:r w:rsidRPr="00ED035F">
              <w:t>871</w:t>
            </w:r>
          </w:p>
        </w:tc>
      </w:tr>
      <w:tr w:rsidR="00F02453" w:rsidRPr="00ED035F" w14:paraId="313780F0" w14:textId="77777777" w:rsidTr="00465A31">
        <w:trPr>
          <w:trHeight w:val="290"/>
        </w:trPr>
        <w:tc>
          <w:tcPr>
            <w:tcW w:w="988" w:type="dxa"/>
            <w:hideMark/>
          </w:tcPr>
          <w:p w14:paraId="38A81621" w14:textId="77777777" w:rsidR="00F02453" w:rsidRPr="00ED035F" w:rsidRDefault="00F02453" w:rsidP="00465A31">
            <w:r w:rsidRPr="00ED035F">
              <w:t>2019</w:t>
            </w:r>
          </w:p>
        </w:tc>
        <w:tc>
          <w:tcPr>
            <w:tcW w:w="1659" w:type="dxa"/>
            <w:hideMark/>
          </w:tcPr>
          <w:p w14:paraId="2365C329" w14:textId="77777777" w:rsidR="00F02453" w:rsidRPr="00ED035F" w:rsidRDefault="00F02453" w:rsidP="00465A31">
            <w:r w:rsidRPr="00ED035F">
              <w:t>707.4</w:t>
            </w:r>
          </w:p>
        </w:tc>
        <w:tc>
          <w:tcPr>
            <w:tcW w:w="2168" w:type="dxa"/>
            <w:hideMark/>
          </w:tcPr>
          <w:p w14:paraId="11FCC733" w14:textId="77777777" w:rsidR="00F02453" w:rsidRPr="00ED035F" w:rsidRDefault="00F02453" w:rsidP="00465A31">
            <w:r w:rsidRPr="00ED035F">
              <w:t>299.5</w:t>
            </w:r>
          </w:p>
        </w:tc>
        <w:tc>
          <w:tcPr>
            <w:tcW w:w="2270" w:type="dxa"/>
            <w:hideMark/>
          </w:tcPr>
          <w:p w14:paraId="2972B80F" w14:textId="77777777" w:rsidR="00F02453" w:rsidRPr="00ED035F" w:rsidRDefault="00F02453" w:rsidP="00465A31">
            <w:r w:rsidRPr="00ED035F">
              <w:t>1,837</w:t>
            </w:r>
          </w:p>
        </w:tc>
        <w:tc>
          <w:tcPr>
            <w:tcW w:w="2265" w:type="dxa"/>
            <w:hideMark/>
          </w:tcPr>
          <w:p w14:paraId="310BEAB2" w14:textId="77777777" w:rsidR="00F02453" w:rsidRPr="00ED035F" w:rsidRDefault="00F02453" w:rsidP="00465A31">
            <w:r w:rsidRPr="00ED035F">
              <w:t>892</w:t>
            </w:r>
          </w:p>
        </w:tc>
      </w:tr>
      <w:tr w:rsidR="00F02453" w:rsidRPr="00ED035F" w14:paraId="41031D0F" w14:textId="77777777" w:rsidTr="00465A31">
        <w:trPr>
          <w:trHeight w:val="290"/>
        </w:trPr>
        <w:tc>
          <w:tcPr>
            <w:tcW w:w="988" w:type="dxa"/>
            <w:hideMark/>
          </w:tcPr>
          <w:p w14:paraId="395A3B99" w14:textId="77777777" w:rsidR="00F02453" w:rsidRPr="00ED035F" w:rsidRDefault="00F02453" w:rsidP="00465A31">
            <w:r w:rsidRPr="00ED035F">
              <w:t>2020</w:t>
            </w:r>
          </w:p>
        </w:tc>
        <w:tc>
          <w:tcPr>
            <w:tcW w:w="1659" w:type="dxa"/>
            <w:hideMark/>
          </w:tcPr>
          <w:p w14:paraId="55AD3033" w14:textId="77777777" w:rsidR="00F02453" w:rsidRPr="00ED035F" w:rsidRDefault="00F02453" w:rsidP="00465A31">
            <w:r w:rsidRPr="00ED035F">
              <w:t>529.9</w:t>
            </w:r>
          </w:p>
        </w:tc>
        <w:tc>
          <w:tcPr>
            <w:tcW w:w="2168" w:type="dxa"/>
            <w:hideMark/>
          </w:tcPr>
          <w:p w14:paraId="701F09A3" w14:textId="77777777" w:rsidR="00F02453" w:rsidRPr="00ED035F" w:rsidRDefault="00F02453" w:rsidP="00465A31">
            <w:r w:rsidRPr="00ED035F">
              <w:t>156.2</w:t>
            </w:r>
          </w:p>
        </w:tc>
        <w:tc>
          <w:tcPr>
            <w:tcW w:w="2270" w:type="dxa"/>
            <w:hideMark/>
          </w:tcPr>
          <w:p w14:paraId="71C1AEBE" w14:textId="77777777" w:rsidR="00F02453" w:rsidRPr="00ED035F" w:rsidRDefault="00F02453" w:rsidP="00465A31">
            <w:r w:rsidRPr="00ED035F">
              <w:t>1,176</w:t>
            </w:r>
          </w:p>
        </w:tc>
        <w:tc>
          <w:tcPr>
            <w:tcW w:w="2265" w:type="dxa"/>
            <w:hideMark/>
          </w:tcPr>
          <w:p w14:paraId="2E59AB08" w14:textId="77777777" w:rsidR="00F02453" w:rsidRPr="00ED035F" w:rsidRDefault="00F02453" w:rsidP="00465A31">
            <w:r w:rsidRPr="00ED035F">
              <w:t>654</w:t>
            </w:r>
          </w:p>
        </w:tc>
      </w:tr>
      <w:tr w:rsidR="00F02453" w:rsidRPr="00ED035F" w14:paraId="4B055FA0" w14:textId="77777777" w:rsidTr="00465A31">
        <w:trPr>
          <w:trHeight w:val="290"/>
        </w:trPr>
        <w:tc>
          <w:tcPr>
            <w:tcW w:w="988" w:type="dxa"/>
            <w:hideMark/>
          </w:tcPr>
          <w:p w14:paraId="2F7EA968" w14:textId="77777777" w:rsidR="00F02453" w:rsidRPr="00ED035F" w:rsidRDefault="00F02453" w:rsidP="00465A31">
            <w:r w:rsidRPr="00ED035F">
              <w:t>2021</w:t>
            </w:r>
          </w:p>
        </w:tc>
        <w:tc>
          <w:tcPr>
            <w:tcW w:w="1659" w:type="dxa"/>
            <w:hideMark/>
          </w:tcPr>
          <w:p w14:paraId="2935D645" w14:textId="77777777" w:rsidR="00F02453" w:rsidRPr="00ED035F" w:rsidRDefault="00F02453" w:rsidP="00465A31">
            <w:r w:rsidRPr="00ED035F">
              <w:t>561.1</w:t>
            </w:r>
          </w:p>
        </w:tc>
        <w:tc>
          <w:tcPr>
            <w:tcW w:w="2168" w:type="dxa"/>
            <w:hideMark/>
          </w:tcPr>
          <w:p w14:paraId="1169E697" w14:textId="77777777" w:rsidR="00F02453" w:rsidRPr="00ED035F" w:rsidRDefault="00F02453" w:rsidP="00465A31">
            <w:r w:rsidRPr="00ED035F">
              <w:t>210.8</w:t>
            </w:r>
          </w:p>
        </w:tc>
        <w:tc>
          <w:tcPr>
            <w:tcW w:w="2270" w:type="dxa"/>
            <w:hideMark/>
          </w:tcPr>
          <w:p w14:paraId="26BFFA4F" w14:textId="77777777" w:rsidR="00F02453" w:rsidRPr="00ED035F" w:rsidRDefault="00F02453" w:rsidP="00465A31">
            <w:r w:rsidRPr="00ED035F">
              <w:t>1,410</w:t>
            </w:r>
          </w:p>
        </w:tc>
        <w:tc>
          <w:tcPr>
            <w:tcW w:w="2265" w:type="dxa"/>
            <w:hideMark/>
          </w:tcPr>
          <w:p w14:paraId="2DF27F2B" w14:textId="77777777" w:rsidR="00F02453" w:rsidRPr="00ED035F" w:rsidRDefault="00F02453" w:rsidP="00465A31">
            <w:r w:rsidRPr="00ED035F">
              <w:t>744</w:t>
            </w:r>
          </w:p>
        </w:tc>
      </w:tr>
      <w:tr w:rsidR="00F02453" w:rsidRPr="00ED035F" w14:paraId="225C1330" w14:textId="77777777" w:rsidTr="00465A31">
        <w:trPr>
          <w:trHeight w:val="290"/>
        </w:trPr>
        <w:tc>
          <w:tcPr>
            <w:tcW w:w="988" w:type="dxa"/>
            <w:hideMark/>
          </w:tcPr>
          <w:p w14:paraId="28325026" w14:textId="77777777" w:rsidR="00F02453" w:rsidRPr="00ED035F" w:rsidRDefault="00F02453" w:rsidP="00465A31">
            <w:r w:rsidRPr="00ED035F">
              <w:t>2022</w:t>
            </w:r>
          </w:p>
        </w:tc>
        <w:tc>
          <w:tcPr>
            <w:tcW w:w="1659" w:type="dxa"/>
            <w:hideMark/>
          </w:tcPr>
          <w:p w14:paraId="2D397F2C" w14:textId="77777777" w:rsidR="00F02453" w:rsidRPr="00ED035F" w:rsidRDefault="00F02453" w:rsidP="00465A31">
            <w:r w:rsidRPr="00ED035F">
              <w:t>975.1</w:t>
            </w:r>
          </w:p>
        </w:tc>
        <w:tc>
          <w:tcPr>
            <w:tcW w:w="2168" w:type="dxa"/>
            <w:hideMark/>
          </w:tcPr>
          <w:p w14:paraId="11D08BC3" w14:textId="77777777" w:rsidR="00F02453" w:rsidRPr="00ED035F" w:rsidRDefault="00F02453" w:rsidP="00465A31">
            <w:r w:rsidRPr="00ED035F">
              <w:t>279.2</w:t>
            </w:r>
          </w:p>
        </w:tc>
        <w:tc>
          <w:tcPr>
            <w:tcW w:w="2270" w:type="dxa"/>
            <w:hideMark/>
          </w:tcPr>
          <w:p w14:paraId="088E63FA" w14:textId="77777777" w:rsidR="00F02453" w:rsidRPr="00ED035F" w:rsidRDefault="00F02453" w:rsidP="00465A31">
            <w:r w:rsidRPr="00ED035F">
              <w:t>1,523</w:t>
            </w:r>
          </w:p>
        </w:tc>
        <w:tc>
          <w:tcPr>
            <w:tcW w:w="2265" w:type="dxa"/>
            <w:hideMark/>
          </w:tcPr>
          <w:p w14:paraId="599E20C5" w14:textId="77777777" w:rsidR="00F02453" w:rsidRPr="00ED035F" w:rsidRDefault="00F02453" w:rsidP="00465A31">
            <w:r w:rsidRPr="00ED035F">
              <w:t>803</w:t>
            </w:r>
          </w:p>
        </w:tc>
      </w:tr>
      <w:tr w:rsidR="00F02453" w:rsidRPr="00ED035F" w14:paraId="44C1A22E" w14:textId="77777777" w:rsidTr="00465A31">
        <w:trPr>
          <w:trHeight w:val="290"/>
        </w:trPr>
        <w:tc>
          <w:tcPr>
            <w:tcW w:w="988" w:type="dxa"/>
            <w:hideMark/>
          </w:tcPr>
          <w:p w14:paraId="4158E850" w14:textId="77777777" w:rsidR="00F02453" w:rsidRPr="00ED035F" w:rsidRDefault="00F02453" w:rsidP="00465A31">
            <w:r w:rsidRPr="00ED035F">
              <w:t>2023</w:t>
            </w:r>
          </w:p>
        </w:tc>
        <w:tc>
          <w:tcPr>
            <w:tcW w:w="1659" w:type="dxa"/>
            <w:hideMark/>
          </w:tcPr>
          <w:p w14:paraId="0AD510AB" w14:textId="77777777" w:rsidR="00F02453" w:rsidRPr="00ED035F" w:rsidRDefault="00F02453" w:rsidP="00465A31">
            <w:r w:rsidRPr="00ED035F">
              <w:t>1,191.60</w:t>
            </w:r>
          </w:p>
        </w:tc>
        <w:tc>
          <w:tcPr>
            <w:tcW w:w="2168" w:type="dxa"/>
            <w:hideMark/>
          </w:tcPr>
          <w:p w14:paraId="2AED2E2A" w14:textId="77777777" w:rsidR="00F02453" w:rsidRPr="00ED035F" w:rsidRDefault="00F02453" w:rsidP="00465A31">
            <w:r w:rsidRPr="00ED035F">
              <w:t>299.5</w:t>
            </w:r>
          </w:p>
        </w:tc>
        <w:tc>
          <w:tcPr>
            <w:tcW w:w="2270" w:type="dxa"/>
            <w:hideMark/>
          </w:tcPr>
          <w:p w14:paraId="6810C404" w14:textId="77777777" w:rsidR="00F02453" w:rsidRPr="00ED035F" w:rsidRDefault="00F02453" w:rsidP="00465A31">
            <w:r w:rsidRPr="00ED035F">
              <w:t>1,758</w:t>
            </w:r>
          </w:p>
        </w:tc>
        <w:tc>
          <w:tcPr>
            <w:tcW w:w="2265" w:type="dxa"/>
            <w:hideMark/>
          </w:tcPr>
          <w:p w14:paraId="663CC796" w14:textId="77777777" w:rsidR="00F02453" w:rsidRPr="00ED035F" w:rsidRDefault="00F02453" w:rsidP="00465A31">
            <w:r w:rsidRPr="00ED035F">
              <w:t>854</w:t>
            </w:r>
          </w:p>
        </w:tc>
      </w:tr>
    </w:tbl>
    <w:p w14:paraId="53778CA3" w14:textId="77777777" w:rsidR="00F02453" w:rsidRDefault="00F02453" w:rsidP="00F02453">
      <w:r>
        <w:t>Source: (Shangri-La Group, 2023; Whitebread PLC, 2024)</w:t>
      </w:r>
    </w:p>
    <w:p w14:paraId="2C5B1F75" w14:textId="77777777" w:rsidR="00F02453" w:rsidRDefault="00F02453" w:rsidP="00F02453">
      <w:pPr>
        <w:pStyle w:val="Heading2"/>
      </w:pPr>
    </w:p>
    <w:p w14:paraId="3ED2A7F7" w14:textId="77777777" w:rsidR="00F02453" w:rsidRDefault="00F02453" w:rsidP="00F02453">
      <w:pPr>
        <w:pStyle w:val="Heading2"/>
      </w:pPr>
    </w:p>
    <w:p w14:paraId="32828E1E" w14:textId="77777777" w:rsidR="00F02453" w:rsidRDefault="00F02453" w:rsidP="00F02453">
      <w:pPr>
        <w:spacing w:after="160" w:line="259" w:lineRule="auto"/>
        <w:jc w:val="left"/>
        <w:rPr>
          <w:rFonts w:eastAsiaTheme="majorEastAsia" w:cstheme="majorBidi"/>
          <w:b/>
          <w:sz w:val="28"/>
          <w:szCs w:val="26"/>
          <w:lang w:val="en-US" w:eastAsia="zh-CN"/>
        </w:rPr>
      </w:pPr>
      <w:r>
        <w:br w:type="page"/>
      </w:r>
    </w:p>
    <w:p w14:paraId="5592D124" w14:textId="77777777" w:rsidR="00F02453" w:rsidRPr="003B58E8" w:rsidRDefault="00F02453" w:rsidP="00F02453">
      <w:pPr>
        <w:rPr>
          <w:rFonts w:ascii="Calibri" w:eastAsia="Times New Roman" w:hAnsi="Calibri" w:cs="Calibri"/>
          <w:b/>
          <w:bCs/>
          <w:color w:val="000000"/>
          <w:sz w:val="22"/>
          <w14:ligatures w14:val="none"/>
        </w:rPr>
      </w:pPr>
      <w:r w:rsidRPr="003B58E8">
        <w:rPr>
          <w:b/>
          <w:bCs/>
        </w:rPr>
        <w:lastRenderedPageBreak/>
        <w:t>Appendix 3: Occupancy Rates and RevPAR (2018–2023)</w:t>
      </w:r>
    </w:p>
    <w:tbl>
      <w:tblPr>
        <w:tblStyle w:val="TableGrid"/>
        <w:tblW w:w="0" w:type="auto"/>
        <w:tblLook w:val="04A0" w:firstRow="1" w:lastRow="0" w:firstColumn="1" w:lastColumn="0" w:noHBand="0" w:noVBand="1"/>
      </w:tblPr>
      <w:tblGrid>
        <w:gridCol w:w="723"/>
        <w:gridCol w:w="2501"/>
        <w:gridCol w:w="1406"/>
        <w:gridCol w:w="2802"/>
        <w:gridCol w:w="1918"/>
      </w:tblGrid>
      <w:tr w:rsidR="00F02453" w:rsidRPr="00CF7903" w14:paraId="29D12575" w14:textId="77777777" w:rsidTr="00465A31">
        <w:trPr>
          <w:trHeight w:val="420"/>
        </w:trPr>
        <w:tc>
          <w:tcPr>
            <w:tcW w:w="9350" w:type="dxa"/>
            <w:gridSpan w:val="5"/>
            <w:shd w:val="clear" w:color="auto" w:fill="F1A983" w:themeFill="accent2" w:themeFillTint="99"/>
            <w:noWrap/>
            <w:hideMark/>
          </w:tcPr>
          <w:p w14:paraId="7C6E2D6A" w14:textId="77777777" w:rsidR="00F02453" w:rsidRPr="00CF7903" w:rsidRDefault="00F02453" w:rsidP="00465A31">
            <w:pPr>
              <w:jc w:val="center"/>
              <w:rPr>
                <w:b/>
                <w:bCs/>
              </w:rPr>
            </w:pPr>
            <w:r w:rsidRPr="00CF7903">
              <w:rPr>
                <w:b/>
                <w:bCs/>
              </w:rPr>
              <w:t>Occupancy Rates and RevPAR (2018–2023)</w:t>
            </w:r>
          </w:p>
        </w:tc>
      </w:tr>
      <w:tr w:rsidR="00F02453" w:rsidRPr="00CF7903" w14:paraId="150D54F6" w14:textId="77777777" w:rsidTr="00465A31">
        <w:trPr>
          <w:trHeight w:val="580"/>
        </w:trPr>
        <w:tc>
          <w:tcPr>
            <w:tcW w:w="723" w:type="dxa"/>
            <w:hideMark/>
          </w:tcPr>
          <w:p w14:paraId="5796CD59" w14:textId="77777777" w:rsidR="00F02453" w:rsidRPr="00CF7903" w:rsidRDefault="00F02453" w:rsidP="00465A31">
            <w:pPr>
              <w:rPr>
                <w:b/>
                <w:bCs/>
              </w:rPr>
            </w:pPr>
            <w:r w:rsidRPr="00CF7903">
              <w:rPr>
                <w:b/>
                <w:bCs/>
              </w:rPr>
              <w:t>Year</w:t>
            </w:r>
          </w:p>
        </w:tc>
        <w:tc>
          <w:tcPr>
            <w:tcW w:w="2501" w:type="dxa"/>
            <w:hideMark/>
          </w:tcPr>
          <w:p w14:paraId="4F50B2FC" w14:textId="77777777" w:rsidR="00F02453" w:rsidRPr="00CF7903" w:rsidRDefault="00F02453" w:rsidP="00465A31">
            <w:r w:rsidRPr="00CF7903">
              <w:t>Shangri-La Occupancy Rate (%)</w:t>
            </w:r>
          </w:p>
        </w:tc>
        <w:tc>
          <w:tcPr>
            <w:tcW w:w="1406" w:type="dxa"/>
            <w:hideMark/>
          </w:tcPr>
          <w:p w14:paraId="65EF5DB6" w14:textId="77777777" w:rsidR="00F02453" w:rsidRPr="00CF7903" w:rsidRDefault="00F02453" w:rsidP="00465A31">
            <w:r w:rsidRPr="00CF7903">
              <w:t>Premier Inn Occupancy Rate (%)</w:t>
            </w:r>
          </w:p>
        </w:tc>
        <w:tc>
          <w:tcPr>
            <w:tcW w:w="2802" w:type="dxa"/>
            <w:hideMark/>
          </w:tcPr>
          <w:p w14:paraId="2AEB0C19" w14:textId="77777777" w:rsidR="00F02453" w:rsidRPr="00CF7903" w:rsidRDefault="00F02453" w:rsidP="00465A31">
            <w:r w:rsidRPr="00CF7903">
              <w:t>Shangri-La RevPAR (USD)</w:t>
            </w:r>
          </w:p>
        </w:tc>
        <w:tc>
          <w:tcPr>
            <w:tcW w:w="1918" w:type="dxa"/>
            <w:hideMark/>
          </w:tcPr>
          <w:p w14:paraId="163BF406" w14:textId="77777777" w:rsidR="00F02453" w:rsidRPr="00CF7903" w:rsidRDefault="00F02453" w:rsidP="00465A31">
            <w:r w:rsidRPr="00CF7903">
              <w:t>Premier Inn RevPAR (GBP)</w:t>
            </w:r>
          </w:p>
        </w:tc>
      </w:tr>
      <w:tr w:rsidR="00F02453" w:rsidRPr="00CF7903" w14:paraId="6AB3FDC3" w14:textId="77777777" w:rsidTr="00465A31">
        <w:trPr>
          <w:trHeight w:val="290"/>
        </w:trPr>
        <w:tc>
          <w:tcPr>
            <w:tcW w:w="723" w:type="dxa"/>
            <w:hideMark/>
          </w:tcPr>
          <w:p w14:paraId="3B811F7C" w14:textId="77777777" w:rsidR="00F02453" w:rsidRPr="00CF7903" w:rsidRDefault="00F02453" w:rsidP="00465A31">
            <w:pPr>
              <w:rPr>
                <w:b/>
                <w:bCs/>
              </w:rPr>
            </w:pPr>
            <w:r w:rsidRPr="00CF7903">
              <w:rPr>
                <w:b/>
                <w:bCs/>
              </w:rPr>
              <w:t>2018</w:t>
            </w:r>
          </w:p>
        </w:tc>
        <w:tc>
          <w:tcPr>
            <w:tcW w:w="2501" w:type="dxa"/>
            <w:hideMark/>
          </w:tcPr>
          <w:p w14:paraId="63A1A1C6" w14:textId="77777777" w:rsidR="00F02453" w:rsidRPr="00CF7903" w:rsidRDefault="00F02453" w:rsidP="00465A31">
            <w:r w:rsidRPr="00CF7903">
              <w:t>68%</w:t>
            </w:r>
          </w:p>
        </w:tc>
        <w:tc>
          <w:tcPr>
            <w:tcW w:w="1406" w:type="dxa"/>
            <w:hideMark/>
          </w:tcPr>
          <w:p w14:paraId="4AC81EF1" w14:textId="77777777" w:rsidR="00F02453" w:rsidRPr="00CF7903" w:rsidRDefault="00F02453" w:rsidP="00465A31">
            <w:r w:rsidRPr="00CF7903">
              <w:t>79%</w:t>
            </w:r>
          </w:p>
        </w:tc>
        <w:tc>
          <w:tcPr>
            <w:tcW w:w="2802" w:type="dxa"/>
            <w:hideMark/>
          </w:tcPr>
          <w:p w14:paraId="7A57E09C" w14:textId="77777777" w:rsidR="00F02453" w:rsidRPr="00CF7903" w:rsidRDefault="00F02453" w:rsidP="00465A31">
            <w:r w:rsidRPr="00CF7903">
              <w:t>115</w:t>
            </w:r>
          </w:p>
        </w:tc>
        <w:tc>
          <w:tcPr>
            <w:tcW w:w="1918" w:type="dxa"/>
            <w:hideMark/>
          </w:tcPr>
          <w:p w14:paraId="1850B171" w14:textId="77777777" w:rsidR="00F02453" w:rsidRPr="00CF7903" w:rsidRDefault="00F02453" w:rsidP="00465A31">
            <w:r w:rsidRPr="00CF7903">
              <w:t>47</w:t>
            </w:r>
          </w:p>
        </w:tc>
      </w:tr>
      <w:tr w:rsidR="00F02453" w:rsidRPr="00CF7903" w14:paraId="288CB9C7" w14:textId="77777777" w:rsidTr="00465A31">
        <w:trPr>
          <w:trHeight w:val="290"/>
        </w:trPr>
        <w:tc>
          <w:tcPr>
            <w:tcW w:w="723" w:type="dxa"/>
            <w:hideMark/>
          </w:tcPr>
          <w:p w14:paraId="161B0725" w14:textId="77777777" w:rsidR="00F02453" w:rsidRPr="00CF7903" w:rsidRDefault="00F02453" w:rsidP="00465A31">
            <w:pPr>
              <w:rPr>
                <w:b/>
                <w:bCs/>
              </w:rPr>
            </w:pPr>
            <w:r w:rsidRPr="00CF7903">
              <w:rPr>
                <w:b/>
                <w:bCs/>
              </w:rPr>
              <w:t>2019</w:t>
            </w:r>
          </w:p>
        </w:tc>
        <w:tc>
          <w:tcPr>
            <w:tcW w:w="2501" w:type="dxa"/>
            <w:hideMark/>
          </w:tcPr>
          <w:p w14:paraId="25EDE019" w14:textId="77777777" w:rsidR="00F02453" w:rsidRPr="00CF7903" w:rsidRDefault="00F02453" w:rsidP="00465A31">
            <w:r w:rsidRPr="00CF7903">
              <w:t>67%</w:t>
            </w:r>
          </w:p>
        </w:tc>
        <w:tc>
          <w:tcPr>
            <w:tcW w:w="1406" w:type="dxa"/>
            <w:hideMark/>
          </w:tcPr>
          <w:p w14:paraId="31BAE7C4" w14:textId="77777777" w:rsidR="00F02453" w:rsidRPr="00CF7903" w:rsidRDefault="00F02453" w:rsidP="00465A31">
            <w:r w:rsidRPr="00CF7903">
              <w:t>81%</w:t>
            </w:r>
          </w:p>
        </w:tc>
        <w:tc>
          <w:tcPr>
            <w:tcW w:w="2802" w:type="dxa"/>
            <w:hideMark/>
          </w:tcPr>
          <w:p w14:paraId="6A5A0505" w14:textId="77777777" w:rsidR="00F02453" w:rsidRPr="00CF7903" w:rsidRDefault="00F02453" w:rsidP="00465A31">
            <w:r w:rsidRPr="00CF7903">
              <w:t>85</w:t>
            </w:r>
          </w:p>
        </w:tc>
        <w:tc>
          <w:tcPr>
            <w:tcW w:w="1918" w:type="dxa"/>
            <w:hideMark/>
          </w:tcPr>
          <w:p w14:paraId="1A7F8136" w14:textId="77777777" w:rsidR="00F02453" w:rsidRPr="00CF7903" w:rsidRDefault="00F02453" w:rsidP="00465A31">
            <w:r w:rsidRPr="00CF7903">
              <w:t>51</w:t>
            </w:r>
          </w:p>
        </w:tc>
      </w:tr>
      <w:tr w:rsidR="00F02453" w:rsidRPr="00CF7903" w14:paraId="55BC170A" w14:textId="77777777" w:rsidTr="00465A31">
        <w:trPr>
          <w:trHeight w:val="290"/>
        </w:trPr>
        <w:tc>
          <w:tcPr>
            <w:tcW w:w="723" w:type="dxa"/>
            <w:hideMark/>
          </w:tcPr>
          <w:p w14:paraId="39BFD3DF" w14:textId="77777777" w:rsidR="00F02453" w:rsidRPr="00CF7903" w:rsidRDefault="00F02453" w:rsidP="00465A31">
            <w:pPr>
              <w:rPr>
                <w:b/>
                <w:bCs/>
              </w:rPr>
            </w:pPr>
            <w:r w:rsidRPr="00CF7903">
              <w:rPr>
                <w:b/>
                <w:bCs/>
              </w:rPr>
              <w:t>2020</w:t>
            </w:r>
          </w:p>
        </w:tc>
        <w:tc>
          <w:tcPr>
            <w:tcW w:w="2501" w:type="dxa"/>
            <w:hideMark/>
          </w:tcPr>
          <w:p w14:paraId="0F2FDDEB" w14:textId="77777777" w:rsidR="00F02453" w:rsidRPr="00CF7903" w:rsidRDefault="00F02453" w:rsidP="00465A31">
            <w:r w:rsidRPr="00CF7903">
              <w:t>39%</w:t>
            </w:r>
          </w:p>
        </w:tc>
        <w:tc>
          <w:tcPr>
            <w:tcW w:w="1406" w:type="dxa"/>
            <w:hideMark/>
          </w:tcPr>
          <w:p w14:paraId="3A6133EC" w14:textId="77777777" w:rsidR="00F02453" w:rsidRPr="00CF7903" w:rsidRDefault="00F02453" w:rsidP="00465A31">
            <w:r w:rsidRPr="00CF7903">
              <w:t>34%</w:t>
            </w:r>
          </w:p>
        </w:tc>
        <w:tc>
          <w:tcPr>
            <w:tcW w:w="2802" w:type="dxa"/>
            <w:hideMark/>
          </w:tcPr>
          <w:p w14:paraId="3E11BD60" w14:textId="77777777" w:rsidR="00F02453" w:rsidRPr="00CF7903" w:rsidRDefault="00F02453" w:rsidP="00465A31">
            <w:r w:rsidRPr="00CF7903">
              <w:t>51</w:t>
            </w:r>
          </w:p>
        </w:tc>
        <w:tc>
          <w:tcPr>
            <w:tcW w:w="1918" w:type="dxa"/>
            <w:hideMark/>
          </w:tcPr>
          <w:p w14:paraId="499AE125" w14:textId="77777777" w:rsidR="00F02453" w:rsidRPr="00CF7903" w:rsidRDefault="00F02453" w:rsidP="00465A31">
            <w:r w:rsidRPr="00CF7903">
              <w:t>25</w:t>
            </w:r>
          </w:p>
        </w:tc>
      </w:tr>
      <w:tr w:rsidR="00F02453" w:rsidRPr="00CF7903" w14:paraId="784C4A1B" w14:textId="77777777" w:rsidTr="00465A31">
        <w:trPr>
          <w:trHeight w:val="290"/>
        </w:trPr>
        <w:tc>
          <w:tcPr>
            <w:tcW w:w="723" w:type="dxa"/>
            <w:hideMark/>
          </w:tcPr>
          <w:p w14:paraId="2BCCC93B" w14:textId="77777777" w:rsidR="00F02453" w:rsidRPr="00CF7903" w:rsidRDefault="00F02453" w:rsidP="00465A31">
            <w:pPr>
              <w:rPr>
                <w:b/>
                <w:bCs/>
              </w:rPr>
            </w:pPr>
            <w:r w:rsidRPr="00CF7903">
              <w:rPr>
                <w:b/>
                <w:bCs/>
              </w:rPr>
              <w:t>2021</w:t>
            </w:r>
          </w:p>
        </w:tc>
        <w:tc>
          <w:tcPr>
            <w:tcW w:w="2501" w:type="dxa"/>
            <w:hideMark/>
          </w:tcPr>
          <w:p w14:paraId="6A5093CE" w14:textId="77777777" w:rsidR="00F02453" w:rsidRPr="00CF7903" w:rsidRDefault="00F02453" w:rsidP="00465A31">
            <w:r w:rsidRPr="00CF7903">
              <w:t>42%</w:t>
            </w:r>
          </w:p>
        </w:tc>
        <w:tc>
          <w:tcPr>
            <w:tcW w:w="1406" w:type="dxa"/>
            <w:hideMark/>
          </w:tcPr>
          <w:p w14:paraId="30432898" w14:textId="77777777" w:rsidR="00F02453" w:rsidRPr="00CF7903" w:rsidRDefault="00F02453" w:rsidP="00465A31">
            <w:r w:rsidRPr="00CF7903">
              <w:t>45%</w:t>
            </w:r>
          </w:p>
        </w:tc>
        <w:tc>
          <w:tcPr>
            <w:tcW w:w="2802" w:type="dxa"/>
            <w:hideMark/>
          </w:tcPr>
          <w:p w14:paraId="1B791222" w14:textId="77777777" w:rsidR="00F02453" w:rsidRPr="00CF7903" w:rsidRDefault="00F02453" w:rsidP="00465A31">
            <w:r w:rsidRPr="00CF7903">
              <w:t>64</w:t>
            </w:r>
          </w:p>
        </w:tc>
        <w:tc>
          <w:tcPr>
            <w:tcW w:w="1918" w:type="dxa"/>
            <w:hideMark/>
          </w:tcPr>
          <w:p w14:paraId="0EB95DB3" w14:textId="77777777" w:rsidR="00F02453" w:rsidRPr="00CF7903" w:rsidRDefault="00F02453" w:rsidP="00465A31">
            <w:r w:rsidRPr="00CF7903">
              <w:t>29</w:t>
            </w:r>
          </w:p>
        </w:tc>
      </w:tr>
      <w:tr w:rsidR="00F02453" w:rsidRPr="00CF7903" w14:paraId="51DFF31D" w14:textId="77777777" w:rsidTr="00465A31">
        <w:trPr>
          <w:trHeight w:val="290"/>
        </w:trPr>
        <w:tc>
          <w:tcPr>
            <w:tcW w:w="723" w:type="dxa"/>
            <w:hideMark/>
          </w:tcPr>
          <w:p w14:paraId="21C3E2D9" w14:textId="77777777" w:rsidR="00F02453" w:rsidRPr="00CF7903" w:rsidRDefault="00F02453" w:rsidP="00465A31">
            <w:pPr>
              <w:rPr>
                <w:b/>
                <w:bCs/>
              </w:rPr>
            </w:pPr>
            <w:r w:rsidRPr="00CF7903">
              <w:rPr>
                <w:b/>
                <w:bCs/>
              </w:rPr>
              <w:t>2022</w:t>
            </w:r>
          </w:p>
        </w:tc>
        <w:tc>
          <w:tcPr>
            <w:tcW w:w="2501" w:type="dxa"/>
            <w:hideMark/>
          </w:tcPr>
          <w:p w14:paraId="72E26E2E" w14:textId="77777777" w:rsidR="00F02453" w:rsidRPr="00CF7903" w:rsidRDefault="00F02453" w:rsidP="00465A31">
            <w:r w:rsidRPr="00CF7903">
              <w:t>46%</w:t>
            </w:r>
          </w:p>
        </w:tc>
        <w:tc>
          <w:tcPr>
            <w:tcW w:w="1406" w:type="dxa"/>
            <w:hideMark/>
          </w:tcPr>
          <w:p w14:paraId="73A9C242" w14:textId="77777777" w:rsidR="00F02453" w:rsidRPr="00CF7903" w:rsidRDefault="00F02453" w:rsidP="00465A31">
            <w:r w:rsidRPr="00CF7903">
              <w:t>50%</w:t>
            </w:r>
          </w:p>
        </w:tc>
        <w:tc>
          <w:tcPr>
            <w:tcW w:w="2802" w:type="dxa"/>
            <w:hideMark/>
          </w:tcPr>
          <w:p w14:paraId="528E5F60" w14:textId="77777777" w:rsidR="00F02453" w:rsidRPr="00CF7903" w:rsidRDefault="00F02453" w:rsidP="00465A31">
            <w:r w:rsidRPr="00CF7903">
              <w:t>100</w:t>
            </w:r>
          </w:p>
        </w:tc>
        <w:tc>
          <w:tcPr>
            <w:tcW w:w="1918" w:type="dxa"/>
            <w:hideMark/>
          </w:tcPr>
          <w:p w14:paraId="3AEDDA64" w14:textId="77777777" w:rsidR="00F02453" w:rsidRPr="00CF7903" w:rsidRDefault="00F02453" w:rsidP="00465A31">
            <w:r w:rsidRPr="00CF7903">
              <w:t>38</w:t>
            </w:r>
          </w:p>
        </w:tc>
      </w:tr>
      <w:tr w:rsidR="00F02453" w:rsidRPr="00CF7903" w14:paraId="19E6D91F" w14:textId="77777777" w:rsidTr="00465A31">
        <w:trPr>
          <w:trHeight w:val="290"/>
        </w:trPr>
        <w:tc>
          <w:tcPr>
            <w:tcW w:w="723" w:type="dxa"/>
            <w:hideMark/>
          </w:tcPr>
          <w:p w14:paraId="177E6FA3" w14:textId="77777777" w:rsidR="00F02453" w:rsidRPr="00CF7903" w:rsidRDefault="00F02453" w:rsidP="00465A31">
            <w:pPr>
              <w:rPr>
                <w:b/>
                <w:bCs/>
              </w:rPr>
            </w:pPr>
            <w:r w:rsidRPr="00CF7903">
              <w:rPr>
                <w:b/>
                <w:bCs/>
              </w:rPr>
              <w:t>2023</w:t>
            </w:r>
          </w:p>
        </w:tc>
        <w:tc>
          <w:tcPr>
            <w:tcW w:w="2501" w:type="dxa"/>
            <w:noWrap/>
            <w:hideMark/>
          </w:tcPr>
          <w:p w14:paraId="688D7A5B" w14:textId="77777777" w:rsidR="00F02453" w:rsidRPr="00CF7903" w:rsidRDefault="00F02453" w:rsidP="00465A31">
            <w:r w:rsidRPr="00CF7903">
              <w:t>62%</w:t>
            </w:r>
          </w:p>
        </w:tc>
        <w:tc>
          <w:tcPr>
            <w:tcW w:w="1406" w:type="dxa"/>
            <w:noWrap/>
            <w:hideMark/>
          </w:tcPr>
          <w:p w14:paraId="169BF377" w14:textId="77777777" w:rsidR="00F02453" w:rsidRPr="00CF7903" w:rsidRDefault="00F02453" w:rsidP="00465A31">
            <w:r w:rsidRPr="00CF7903">
              <w:t>66%</w:t>
            </w:r>
          </w:p>
        </w:tc>
        <w:tc>
          <w:tcPr>
            <w:tcW w:w="2802" w:type="dxa"/>
            <w:hideMark/>
          </w:tcPr>
          <w:p w14:paraId="77D7E01D" w14:textId="77777777" w:rsidR="00F02453" w:rsidRPr="00CF7903" w:rsidRDefault="00F02453" w:rsidP="00465A31">
            <w:r w:rsidRPr="00CF7903">
              <w:t>108</w:t>
            </w:r>
          </w:p>
        </w:tc>
        <w:tc>
          <w:tcPr>
            <w:tcW w:w="1918" w:type="dxa"/>
            <w:hideMark/>
          </w:tcPr>
          <w:p w14:paraId="2FBDA81B" w14:textId="77777777" w:rsidR="00F02453" w:rsidRPr="00CF7903" w:rsidRDefault="00F02453" w:rsidP="00465A31">
            <w:r w:rsidRPr="00CF7903">
              <w:t>52</w:t>
            </w:r>
          </w:p>
        </w:tc>
      </w:tr>
    </w:tbl>
    <w:p w14:paraId="48242E69" w14:textId="77777777" w:rsidR="00F02453" w:rsidRDefault="00F02453" w:rsidP="00F02453">
      <w:r>
        <w:t>Source: (Shangri-La Group, 2023; Whitebread PLC, 2024)</w:t>
      </w:r>
    </w:p>
    <w:p w14:paraId="2F155C2B" w14:textId="77777777" w:rsidR="00F02453" w:rsidRDefault="00F02453" w:rsidP="00F02453"/>
    <w:p w14:paraId="3533098B" w14:textId="77777777" w:rsidR="00EB008A" w:rsidRDefault="00EB008A"/>
    <w:sectPr w:rsidR="00EB008A" w:rsidSect="00F02453">
      <w:footerReference w:type="default" r:id="rId21"/>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F7F36" w14:textId="77777777" w:rsidR="00000000" w:rsidRDefault="00000000">
    <w:pPr>
      <w:pStyle w:val="Footer"/>
      <w:jc w:val="center"/>
    </w:pPr>
  </w:p>
  <w:p w14:paraId="2A300FBD"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7872944"/>
      <w:docPartObj>
        <w:docPartGallery w:val="Page Numbers (Bottom of Page)"/>
        <w:docPartUnique/>
      </w:docPartObj>
    </w:sdtPr>
    <w:sdtEndPr>
      <w:rPr>
        <w:noProof/>
      </w:rPr>
    </w:sdtEndPr>
    <w:sdtContent>
      <w:p w14:paraId="5DA5EEA0"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C04D1C"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9A6878"/>
    <w:multiLevelType w:val="hybridMultilevel"/>
    <w:tmpl w:val="FCD891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3217B5C"/>
    <w:multiLevelType w:val="multilevel"/>
    <w:tmpl w:val="9B4C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5088171">
    <w:abstractNumId w:val="1"/>
  </w:num>
  <w:num w:numId="2" w16cid:durableId="1757431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1D"/>
    <w:rsid w:val="00011E1D"/>
    <w:rsid w:val="002C4AB3"/>
    <w:rsid w:val="006A732A"/>
    <w:rsid w:val="009B01A2"/>
    <w:rsid w:val="00AC1FB2"/>
    <w:rsid w:val="00E02255"/>
    <w:rsid w:val="00EB008A"/>
    <w:rsid w:val="00F02453"/>
    <w:rsid w:val="00FD7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DE9E6"/>
  <w15:chartTrackingRefBased/>
  <w15:docId w15:val="{387CDF4A-F98A-449A-98C5-DB299B8DB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453"/>
    <w:pPr>
      <w:spacing w:after="0" w:line="360" w:lineRule="auto"/>
      <w:jc w:val="both"/>
    </w:pPr>
    <w:rPr>
      <w:rFonts w:ascii="Times New Roman" w:hAnsi="Times New Roman"/>
      <w:color w:val="000000" w:themeColor="text1"/>
      <w:kern w:val="0"/>
      <w:sz w:val="24"/>
    </w:rPr>
  </w:style>
  <w:style w:type="paragraph" w:styleId="Heading1">
    <w:name w:val="heading 1"/>
    <w:basedOn w:val="Normal"/>
    <w:next w:val="Normal"/>
    <w:link w:val="Heading1Char"/>
    <w:uiPriority w:val="9"/>
    <w:qFormat/>
    <w:rsid w:val="00011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1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E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E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E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E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1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E1D"/>
    <w:rPr>
      <w:rFonts w:eastAsiaTheme="majorEastAsia" w:cstheme="majorBidi"/>
      <w:color w:val="272727" w:themeColor="text1" w:themeTint="D8"/>
    </w:rPr>
  </w:style>
  <w:style w:type="paragraph" w:styleId="Title">
    <w:name w:val="Title"/>
    <w:basedOn w:val="Normal"/>
    <w:next w:val="Normal"/>
    <w:link w:val="TitleChar"/>
    <w:uiPriority w:val="10"/>
    <w:qFormat/>
    <w:rsid w:val="00011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E1D"/>
    <w:pPr>
      <w:spacing w:before="160"/>
      <w:jc w:val="center"/>
    </w:pPr>
    <w:rPr>
      <w:i/>
      <w:iCs/>
      <w:color w:val="404040" w:themeColor="text1" w:themeTint="BF"/>
    </w:rPr>
  </w:style>
  <w:style w:type="character" w:customStyle="1" w:styleId="QuoteChar">
    <w:name w:val="Quote Char"/>
    <w:basedOn w:val="DefaultParagraphFont"/>
    <w:link w:val="Quote"/>
    <w:uiPriority w:val="29"/>
    <w:rsid w:val="00011E1D"/>
    <w:rPr>
      <w:i/>
      <w:iCs/>
      <w:color w:val="404040" w:themeColor="text1" w:themeTint="BF"/>
    </w:rPr>
  </w:style>
  <w:style w:type="paragraph" w:styleId="ListParagraph">
    <w:name w:val="List Paragraph"/>
    <w:basedOn w:val="Normal"/>
    <w:uiPriority w:val="34"/>
    <w:qFormat/>
    <w:rsid w:val="00011E1D"/>
    <w:pPr>
      <w:ind w:left="720"/>
      <w:contextualSpacing/>
    </w:pPr>
  </w:style>
  <w:style w:type="character" w:styleId="IntenseEmphasis">
    <w:name w:val="Intense Emphasis"/>
    <w:basedOn w:val="DefaultParagraphFont"/>
    <w:uiPriority w:val="21"/>
    <w:qFormat/>
    <w:rsid w:val="00011E1D"/>
    <w:rPr>
      <w:i/>
      <w:iCs/>
      <w:color w:val="0F4761" w:themeColor="accent1" w:themeShade="BF"/>
    </w:rPr>
  </w:style>
  <w:style w:type="paragraph" w:styleId="IntenseQuote">
    <w:name w:val="Intense Quote"/>
    <w:basedOn w:val="Normal"/>
    <w:next w:val="Normal"/>
    <w:link w:val="IntenseQuoteChar"/>
    <w:uiPriority w:val="30"/>
    <w:qFormat/>
    <w:rsid w:val="00011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E1D"/>
    <w:rPr>
      <w:i/>
      <w:iCs/>
      <w:color w:val="0F4761" w:themeColor="accent1" w:themeShade="BF"/>
    </w:rPr>
  </w:style>
  <w:style w:type="character" w:styleId="IntenseReference">
    <w:name w:val="Intense Reference"/>
    <w:basedOn w:val="DefaultParagraphFont"/>
    <w:uiPriority w:val="32"/>
    <w:qFormat/>
    <w:rsid w:val="00011E1D"/>
    <w:rPr>
      <w:b/>
      <w:bCs/>
      <w:smallCaps/>
      <w:color w:val="0F4761" w:themeColor="accent1" w:themeShade="BF"/>
      <w:spacing w:val="5"/>
    </w:rPr>
  </w:style>
  <w:style w:type="character" w:styleId="Hyperlink">
    <w:name w:val="Hyperlink"/>
    <w:basedOn w:val="DefaultParagraphFont"/>
    <w:uiPriority w:val="99"/>
    <w:unhideWhenUsed/>
    <w:rsid w:val="00F02453"/>
    <w:rPr>
      <w:color w:val="467886" w:themeColor="hyperlink"/>
      <w:u w:val="single"/>
    </w:rPr>
  </w:style>
  <w:style w:type="table" w:styleId="TableGrid">
    <w:name w:val="Table Grid"/>
    <w:basedOn w:val="TableNormal"/>
    <w:uiPriority w:val="39"/>
    <w:rsid w:val="00F02453"/>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02453"/>
    <w:pPr>
      <w:spacing w:after="200" w:line="240" w:lineRule="auto"/>
    </w:pPr>
    <w:rPr>
      <w:i/>
      <w:iCs/>
      <w:color w:val="0E2841" w:themeColor="text2"/>
      <w:sz w:val="18"/>
      <w:szCs w:val="18"/>
    </w:rPr>
  </w:style>
  <w:style w:type="paragraph" w:styleId="NormalWeb">
    <w:name w:val="Normal (Web)"/>
    <w:basedOn w:val="Normal"/>
    <w:uiPriority w:val="99"/>
    <w:unhideWhenUsed/>
    <w:rsid w:val="00F02453"/>
    <w:pPr>
      <w:spacing w:before="100" w:beforeAutospacing="1" w:after="100" w:afterAutospacing="1" w:line="240" w:lineRule="auto"/>
      <w:jc w:val="left"/>
    </w:pPr>
    <w:rPr>
      <w:rFonts w:eastAsia="Times New Roman" w:cs="Times New Roman"/>
      <w:color w:val="auto"/>
      <w:szCs w:val="24"/>
      <w:lang w:eastAsia="en-GB"/>
      <w14:ligatures w14:val="none"/>
    </w:rPr>
  </w:style>
  <w:style w:type="paragraph" w:styleId="Footer">
    <w:name w:val="footer"/>
    <w:basedOn w:val="Normal"/>
    <w:link w:val="FooterChar"/>
    <w:uiPriority w:val="99"/>
    <w:unhideWhenUsed/>
    <w:rsid w:val="00F02453"/>
    <w:pPr>
      <w:tabs>
        <w:tab w:val="center" w:pos="4513"/>
        <w:tab w:val="right" w:pos="9026"/>
      </w:tabs>
      <w:spacing w:line="240" w:lineRule="auto"/>
    </w:pPr>
  </w:style>
  <w:style w:type="character" w:customStyle="1" w:styleId="FooterChar">
    <w:name w:val="Footer Char"/>
    <w:basedOn w:val="DefaultParagraphFont"/>
    <w:link w:val="Footer"/>
    <w:uiPriority w:val="99"/>
    <w:rsid w:val="00F02453"/>
    <w:rPr>
      <w:rFonts w:ascii="Times New Roman" w:hAnsi="Times New Roman"/>
      <w:color w:val="000000" w:themeColor="text1"/>
      <w:kern w:val="0"/>
      <w:sz w:val="24"/>
    </w:rPr>
  </w:style>
  <w:style w:type="paragraph" w:styleId="TOCHeading">
    <w:name w:val="TOC Heading"/>
    <w:basedOn w:val="Heading1"/>
    <w:next w:val="Normal"/>
    <w:uiPriority w:val="39"/>
    <w:unhideWhenUsed/>
    <w:qFormat/>
    <w:rsid w:val="00F02453"/>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F024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9753872">
      <w:bodyDiv w:val="1"/>
      <w:marLeft w:val="0"/>
      <w:marRight w:val="0"/>
      <w:marTop w:val="0"/>
      <w:marBottom w:val="0"/>
      <w:divBdr>
        <w:top w:val="none" w:sz="0" w:space="0" w:color="auto"/>
        <w:left w:val="none" w:sz="0" w:space="0" w:color="auto"/>
        <w:bottom w:val="none" w:sz="0" w:space="0" w:color="auto"/>
        <w:right w:val="none" w:sz="0" w:space="0" w:color="auto"/>
      </w:divBdr>
    </w:div>
    <w:div w:id="57613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4.png"/><Relationship Id="rId18" Type="http://schemas.openxmlformats.org/officeDocument/2006/relationships/hyperlink" Target="https://skift.com/2023/04/25/premier-inn-to-expand-budget-hotel-empire-in-germany-through-acquisitions/"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hart" Target="charts/chart1.xml"/><Relationship Id="rId12" Type="http://schemas.openxmlformats.org/officeDocument/2006/relationships/image" Target="media/image3.png"/><Relationship Id="rId17" Type="http://schemas.openxmlformats.org/officeDocument/2006/relationships/hyperlink" Target="https://www.hoteliermiddleeast.com/business/premier-inn-launches-force-for-good-programme-in-the-middle-east" TargetMode="External"/><Relationship Id="rId2" Type="http://schemas.openxmlformats.org/officeDocument/2006/relationships/styles" Target="styles.xml"/><Relationship Id="rId16" Type="http://schemas.openxmlformats.org/officeDocument/2006/relationships/hyperlink" Target="https://www.hospitalitynet.org/news/4096058.html" TargetMode="External"/><Relationship Id="rId20" Type="http://schemas.openxmlformats.org/officeDocument/2006/relationships/hyperlink" Target="https://www.whitbread.co.uk/investors/results-reports-and-presentations/" TargetMode="Externa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hyperlink" Target="https://priceva.com/blog/bowmans-strategic-clock-model-choosing-price-strategy" TargetMode="Externa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www.shangri-la.com/group/investors/public-disclosures"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For%20assignment%20writing\Shakil%20Ahmed%20Himel%20Bhai\Assignment%203\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For%20assignment%20writing\Shakil%20Ahmed%20Himel%20Bhai\Assignment%203\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For%20assignment%20writing\Shakil%20Ahmed%20Himel%20Bhai\Assignment%203\Excel%20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Revenue Trend of Companies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Shangri-La Total Revenue (USD Million)</c:v>
                </c:pt>
              </c:strCache>
            </c:strRef>
          </c:tx>
          <c:spPr>
            <a:solidFill>
              <a:schemeClr val="accent1">
                <a:shade val="76000"/>
              </a:schemeClr>
            </a:solidFill>
            <a:ln>
              <a:noFill/>
            </a:ln>
            <a:effectLst/>
          </c:spPr>
          <c:invertIfNegative val="0"/>
          <c:val>
            <c:numRef>
              <c:f>Sheet1!$B$3:$B$8</c:f>
              <c:numCache>
                <c:formatCode>#,##0.00</c:formatCode>
                <c:ptCount val="6"/>
                <c:pt idx="0">
                  <c:v>2517.9</c:v>
                </c:pt>
                <c:pt idx="1">
                  <c:v>2431.1999999999998</c:v>
                </c:pt>
                <c:pt idx="2">
                  <c:v>1033.4000000000001</c:v>
                </c:pt>
                <c:pt idx="3">
                  <c:v>1241</c:v>
                </c:pt>
                <c:pt idx="4">
                  <c:v>1462.1</c:v>
                </c:pt>
                <c:pt idx="5">
                  <c:v>2141.8000000000002</c:v>
                </c:pt>
              </c:numCache>
            </c:numRef>
          </c:val>
          <c:extLst>
            <c:ext xmlns:c16="http://schemas.microsoft.com/office/drawing/2014/chart" uri="{C3380CC4-5D6E-409C-BE32-E72D297353CC}">
              <c16:uniqueId val="{00000000-F030-4457-8627-D966DCBCFB09}"/>
            </c:ext>
          </c:extLst>
        </c:ser>
        <c:ser>
          <c:idx val="1"/>
          <c:order val="1"/>
          <c:tx>
            <c:strRef>
              <c:f>Sheet1!$C$2</c:f>
              <c:strCache>
                <c:ptCount val="1"/>
                <c:pt idx="0">
                  <c:v>Premier Inn (GBP Million)</c:v>
                </c:pt>
              </c:strCache>
            </c:strRef>
          </c:tx>
          <c:spPr>
            <a:solidFill>
              <a:schemeClr val="accent1">
                <a:tint val="77000"/>
              </a:schemeClr>
            </a:solidFill>
            <a:ln>
              <a:noFill/>
            </a:ln>
            <a:effectLst/>
          </c:spPr>
          <c:invertIfNegative val="0"/>
          <c:val>
            <c:numRef>
              <c:f>Sheet1!$C$3:$C$8</c:f>
              <c:numCache>
                <c:formatCode>#,##0</c:formatCode>
                <c:ptCount val="6"/>
                <c:pt idx="0">
                  <c:v>3295</c:v>
                </c:pt>
                <c:pt idx="1">
                  <c:v>2049</c:v>
                </c:pt>
                <c:pt idx="2">
                  <c:v>2072</c:v>
                </c:pt>
                <c:pt idx="3" formatCode="General">
                  <c:v>590</c:v>
                </c:pt>
                <c:pt idx="4">
                  <c:v>1703</c:v>
                </c:pt>
                <c:pt idx="5">
                  <c:v>2625</c:v>
                </c:pt>
              </c:numCache>
            </c:numRef>
          </c:val>
          <c:extLst>
            <c:ext xmlns:c16="http://schemas.microsoft.com/office/drawing/2014/chart" uri="{C3380CC4-5D6E-409C-BE32-E72D297353CC}">
              <c16:uniqueId val="{00000001-F030-4457-8627-D966DCBCFB09}"/>
            </c:ext>
          </c:extLst>
        </c:ser>
        <c:dLbls>
          <c:showLegendKey val="0"/>
          <c:showVal val="0"/>
          <c:showCatName val="0"/>
          <c:showSerName val="0"/>
          <c:showPercent val="0"/>
          <c:showBubbleSize val="0"/>
        </c:dLbls>
        <c:gapWidth val="219"/>
        <c:overlap val="-27"/>
        <c:axId val="1002043151"/>
        <c:axId val="1002042671"/>
      </c:barChart>
      <c:catAx>
        <c:axId val="100204315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042671"/>
        <c:crosses val="autoZero"/>
        <c:auto val="1"/>
        <c:lblAlgn val="ctr"/>
        <c:lblOffset val="100"/>
        <c:noMultiLvlLbl val="0"/>
      </c:catAx>
      <c:valAx>
        <c:axId val="1002042671"/>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20431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Costs</a:t>
            </a:r>
            <a:r>
              <a:rPr lang="en-GB" baseline="0"/>
              <a:t> of Two Companies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Sheet1!$B$11</c:f>
              <c:strCache>
                <c:ptCount val="1"/>
                <c:pt idx="0">
                  <c:v>Shangri-La Operational Costs (USD Million)</c:v>
                </c:pt>
              </c:strCache>
            </c:strRef>
          </c:tx>
          <c:spPr>
            <a:solidFill>
              <a:schemeClr val="accent6"/>
            </a:solidFill>
            <a:ln>
              <a:noFill/>
            </a:ln>
            <a:effectLst/>
          </c:spPr>
          <c:invertIfNegative val="0"/>
          <c:val>
            <c:numRef>
              <c:f>Sheet1!$B$12:$B$17</c:f>
              <c:numCache>
                <c:formatCode>General</c:formatCode>
                <c:ptCount val="6"/>
                <c:pt idx="0">
                  <c:v>650.4</c:v>
                </c:pt>
                <c:pt idx="1">
                  <c:v>707.4</c:v>
                </c:pt>
                <c:pt idx="2">
                  <c:v>529.9</c:v>
                </c:pt>
                <c:pt idx="3">
                  <c:v>561.1</c:v>
                </c:pt>
                <c:pt idx="4">
                  <c:v>975.1</c:v>
                </c:pt>
                <c:pt idx="5" formatCode="#,##0.00">
                  <c:v>1191.5999999999999</c:v>
                </c:pt>
              </c:numCache>
            </c:numRef>
          </c:val>
          <c:extLst>
            <c:ext xmlns:c16="http://schemas.microsoft.com/office/drawing/2014/chart" uri="{C3380CC4-5D6E-409C-BE32-E72D297353CC}">
              <c16:uniqueId val="{00000000-D297-42E2-90A8-16B62A40C247}"/>
            </c:ext>
          </c:extLst>
        </c:ser>
        <c:ser>
          <c:idx val="1"/>
          <c:order val="1"/>
          <c:tx>
            <c:strRef>
              <c:f>Sheet1!$C$11</c:f>
              <c:strCache>
                <c:ptCount val="1"/>
                <c:pt idx="0">
                  <c:v>Shangri-La COGS (USD Million)</c:v>
                </c:pt>
              </c:strCache>
            </c:strRef>
          </c:tx>
          <c:spPr>
            <a:solidFill>
              <a:schemeClr val="accent5"/>
            </a:solidFill>
            <a:ln>
              <a:noFill/>
            </a:ln>
            <a:effectLst/>
          </c:spPr>
          <c:invertIfNegative val="0"/>
          <c:val>
            <c:numRef>
              <c:f>Sheet1!$C$12:$C$17</c:f>
              <c:numCache>
                <c:formatCode>General</c:formatCode>
                <c:ptCount val="6"/>
                <c:pt idx="0">
                  <c:v>318.39999999999998</c:v>
                </c:pt>
                <c:pt idx="1">
                  <c:v>299.5</c:v>
                </c:pt>
                <c:pt idx="2">
                  <c:v>156.19999999999999</c:v>
                </c:pt>
                <c:pt idx="3">
                  <c:v>210.8</c:v>
                </c:pt>
                <c:pt idx="4">
                  <c:v>279.2</c:v>
                </c:pt>
                <c:pt idx="5">
                  <c:v>299.5</c:v>
                </c:pt>
              </c:numCache>
            </c:numRef>
          </c:val>
          <c:extLst>
            <c:ext xmlns:c16="http://schemas.microsoft.com/office/drawing/2014/chart" uri="{C3380CC4-5D6E-409C-BE32-E72D297353CC}">
              <c16:uniqueId val="{00000001-D297-42E2-90A8-16B62A40C247}"/>
            </c:ext>
          </c:extLst>
        </c:ser>
        <c:ser>
          <c:idx val="2"/>
          <c:order val="2"/>
          <c:tx>
            <c:strRef>
              <c:f>Sheet1!$D$11</c:f>
              <c:strCache>
                <c:ptCount val="1"/>
                <c:pt idx="0">
                  <c:v>Premier Inn (Whitbread) Operational Costs (GBP Million)</c:v>
                </c:pt>
              </c:strCache>
            </c:strRef>
          </c:tx>
          <c:spPr>
            <a:solidFill>
              <a:schemeClr val="accent4"/>
            </a:solidFill>
            <a:ln>
              <a:noFill/>
            </a:ln>
            <a:effectLst/>
          </c:spPr>
          <c:invertIfNegative val="0"/>
          <c:val>
            <c:numRef>
              <c:f>Sheet1!$D$12:$D$17</c:f>
              <c:numCache>
                <c:formatCode>#,##0</c:formatCode>
                <c:ptCount val="6"/>
                <c:pt idx="0">
                  <c:v>1642</c:v>
                </c:pt>
                <c:pt idx="1">
                  <c:v>1837</c:v>
                </c:pt>
                <c:pt idx="2">
                  <c:v>1176</c:v>
                </c:pt>
                <c:pt idx="3">
                  <c:v>1410</c:v>
                </c:pt>
                <c:pt idx="4">
                  <c:v>1523</c:v>
                </c:pt>
                <c:pt idx="5">
                  <c:v>1758</c:v>
                </c:pt>
              </c:numCache>
            </c:numRef>
          </c:val>
          <c:extLst>
            <c:ext xmlns:c16="http://schemas.microsoft.com/office/drawing/2014/chart" uri="{C3380CC4-5D6E-409C-BE32-E72D297353CC}">
              <c16:uniqueId val="{00000002-D297-42E2-90A8-16B62A40C247}"/>
            </c:ext>
          </c:extLst>
        </c:ser>
        <c:ser>
          <c:idx val="3"/>
          <c:order val="3"/>
          <c:tx>
            <c:strRef>
              <c:f>Sheet1!$E$11</c:f>
              <c:strCache>
                <c:ptCount val="1"/>
                <c:pt idx="0">
                  <c:v>Premier Inn (Whitbread) COGS (GBP Million)</c:v>
                </c:pt>
              </c:strCache>
            </c:strRef>
          </c:tx>
          <c:spPr>
            <a:solidFill>
              <a:schemeClr val="accent6">
                <a:lumMod val="60000"/>
              </a:schemeClr>
            </a:solidFill>
            <a:ln>
              <a:noFill/>
            </a:ln>
            <a:effectLst/>
          </c:spPr>
          <c:invertIfNegative val="0"/>
          <c:val>
            <c:numRef>
              <c:f>Sheet1!$E$12:$E$17</c:f>
              <c:numCache>
                <c:formatCode>General</c:formatCode>
                <c:ptCount val="6"/>
                <c:pt idx="0">
                  <c:v>871</c:v>
                </c:pt>
                <c:pt idx="1">
                  <c:v>892</c:v>
                </c:pt>
                <c:pt idx="2">
                  <c:v>654</c:v>
                </c:pt>
                <c:pt idx="3">
                  <c:v>744</c:v>
                </c:pt>
                <c:pt idx="4">
                  <c:v>803</c:v>
                </c:pt>
                <c:pt idx="5">
                  <c:v>854</c:v>
                </c:pt>
              </c:numCache>
            </c:numRef>
          </c:val>
          <c:extLst>
            <c:ext xmlns:c16="http://schemas.microsoft.com/office/drawing/2014/chart" uri="{C3380CC4-5D6E-409C-BE32-E72D297353CC}">
              <c16:uniqueId val="{00000003-D297-42E2-90A8-16B62A40C247}"/>
            </c:ext>
          </c:extLst>
        </c:ser>
        <c:dLbls>
          <c:showLegendKey val="0"/>
          <c:showVal val="0"/>
          <c:showCatName val="0"/>
          <c:showSerName val="0"/>
          <c:showPercent val="0"/>
          <c:showBubbleSize val="0"/>
        </c:dLbls>
        <c:gapWidth val="182"/>
        <c:axId val="1003497775"/>
        <c:axId val="1003498255"/>
      </c:barChart>
      <c:catAx>
        <c:axId val="1003497775"/>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98255"/>
        <c:crosses val="autoZero"/>
        <c:auto val="1"/>
        <c:lblAlgn val="ctr"/>
        <c:lblOffset val="100"/>
        <c:noMultiLvlLbl val="0"/>
      </c:catAx>
      <c:valAx>
        <c:axId val="10034982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97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RevPAR</a:t>
            </a:r>
            <a:r>
              <a:rPr lang="en-GB" baseline="0"/>
              <a:t> (2018-2023)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Sheet1!$D$21</c:f>
              <c:strCache>
                <c:ptCount val="1"/>
                <c:pt idx="0">
                  <c:v>Shangri-La RevPAR (USD)</c:v>
                </c:pt>
              </c:strCache>
            </c:strRef>
          </c:tx>
          <c:spPr>
            <a:solidFill>
              <a:schemeClr val="accent1"/>
            </a:solidFill>
            <a:ln>
              <a:noFill/>
            </a:ln>
            <a:effectLst/>
          </c:spPr>
          <c:invertIfNegative val="0"/>
          <c:val>
            <c:numRef>
              <c:f>Sheet1!$D$22:$D$27</c:f>
              <c:numCache>
                <c:formatCode>General</c:formatCode>
                <c:ptCount val="6"/>
                <c:pt idx="0">
                  <c:v>115</c:v>
                </c:pt>
                <c:pt idx="1">
                  <c:v>85</c:v>
                </c:pt>
                <c:pt idx="2">
                  <c:v>51</c:v>
                </c:pt>
                <c:pt idx="3">
                  <c:v>64</c:v>
                </c:pt>
                <c:pt idx="4">
                  <c:v>100</c:v>
                </c:pt>
                <c:pt idx="5">
                  <c:v>108</c:v>
                </c:pt>
              </c:numCache>
            </c:numRef>
          </c:val>
          <c:extLst>
            <c:ext xmlns:c16="http://schemas.microsoft.com/office/drawing/2014/chart" uri="{C3380CC4-5D6E-409C-BE32-E72D297353CC}">
              <c16:uniqueId val="{00000000-A66F-4469-B6D7-BD8EFCFFA4E2}"/>
            </c:ext>
          </c:extLst>
        </c:ser>
        <c:ser>
          <c:idx val="1"/>
          <c:order val="1"/>
          <c:tx>
            <c:strRef>
              <c:f>Sheet1!$E$21</c:f>
              <c:strCache>
                <c:ptCount val="1"/>
                <c:pt idx="0">
                  <c:v>Premier Inn RevPAR (GBP)</c:v>
                </c:pt>
              </c:strCache>
            </c:strRef>
          </c:tx>
          <c:spPr>
            <a:solidFill>
              <a:schemeClr val="accent2"/>
            </a:solidFill>
            <a:ln>
              <a:noFill/>
            </a:ln>
            <a:effectLst/>
          </c:spPr>
          <c:invertIfNegative val="0"/>
          <c:val>
            <c:numRef>
              <c:f>Sheet1!$E$22:$E$27</c:f>
              <c:numCache>
                <c:formatCode>General</c:formatCode>
                <c:ptCount val="6"/>
                <c:pt idx="0">
                  <c:v>47</c:v>
                </c:pt>
                <c:pt idx="1">
                  <c:v>51</c:v>
                </c:pt>
                <c:pt idx="2">
                  <c:v>25</c:v>
                </c:pt>
                <c:pt idx="3">
                  <c:v>29</c:v>
                </c:pt>
                <c:pt idx="4">
                  <c:v>38</c:v>
                </c:pt>
                <c:pt idx="5">
                  <c:v>52</c:v>
                </c:pt>
              </c:numCache>
            </c:numRef>
          </c:val>
          <c:extLst>
            <c:ext xmlns:c16="http://schemas.microsoft.com/office/drawing/2014/chart" uri="{C3380CC4-5D6E-409C-BE32-E72D297353CC}">
              <c16:uniqueId val="{00000001-A66F-4469-B6D7-BD8EFCFFA4E2}"/>
            </c:ext>
          </c:extLst>
        </c:ser>
        <c:dLbls>
          <c:showLegendKey val="0"/>
          <c:showVal val="0"/>
          <c:showCatName val="0"/>
          <c:showSerName val="0"/>
          <c:showPercent val="0"/>
          <c:showBubbleSize val="0"/>
        </c:dLbls>
        <c:gapWidth val="219"/>
        <c:overlap val="-27"/>
        <c:axId val="2050018656"/>
        <c:axId val="2050025376"/>
      </c:barChart>
      <c:catAx>
        <c:axId val="2050018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25376"/>
        <c:crosses val="autoZero"/>
        <c:auto val="1"/>
        <c:lblAlgn val="ctr"/>
        <c:lblOffset val="100"/>
        <c:noMultiLvlLbl val="0"/>
      </c:catAx>
      <c:valAx>
        <c:axId val="2050025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1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Occupancy</a:t>
            </a:r>
            <a:r>
              <a:rPr lang="en-GB" baseline="0"/>
              <a:t> Rates (2018-2023)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Sheet1!$B$21</c:f>
              <c:strCache>
                <c:ptCount val="1"/>
                <c:pt idx="0">
                  <c:v>Shangri-La Occupancy Rate (%)</c:v>
                </c:pt>
              </c:strCache>
            </c:strRef>
          </c:tx>
          <c:spPr>
            <a:solidFill>
              <a:schemeClr val="accent1"/>
            </a:solidFill>
            <a:ln>
              <a:noFill/>
            </a:ln>
            <a:effectLst/>
          </c:spPr>
          <c:invertIfNegative val="0"/>
          <c:val>
            <c:numRef>
              <c:f>Sheet1!$B$22:$B$27</c:f>
              <c:numCache>
                <c:formatCode>0%</c:formatCode>
                <c:ptCount val="6"/>
                <c:pt idx="0">
                  <c:v>0.68</c:v>
                </c:pt>
                <c:pt idx="1">
                  <c:v>0.67</c:v>
                </c:pt>
                <c:pt idx="2">
                  <c:v>0.39</c:v>
                </c:pt>
                <c:pt idx="3">
                  <c:v>0.42</c:v>
                </c:pt>
                <c:pt idx="4">
                  <c:v>0.46</c:v>
                </c:pt>
                <c:pt idx="5">
                  <c:v>0.62</c:v>
                </c:pt>
              </c:numCache>
            </c:numRef>
          </c:val>
          <c:extLst>
            <c:ext xmlns:c16="http://schemas.microsoft.com/office/drawing/2014/chart" uri="{C3380CC4-5D6E-409C-BE32-E72D297353CC}">
              <c16:uniqueId val="{00000000-76A2-48EB-9A0D-5AA39111BD7F}"/>
            </c:ext>
          </c:extLst>
        </c:ser>
        <c:ser>
          <c:idx val="1"/>
          <c:order val="1"/>
          <c:tx>
            <c:strRef>
              <c:f>Sheet1!$C$21</c:f>
              <c:strCache>
                <c:ptCount val="1"/>
                <c:pt idx="0">
                  <c:v>Premier Inn Occupancy Rate (%)</c:v>
                </c:pt>
              </c:strCache>
            </c:strRef>
          </c:tx>
          <c:spPr>
            <a:solidFill>
              <a:schemeClr val="accent2"/>
            </a:solidFill>
            <a:ln>
              <a:noFill/>
            </a:ln>
            <a:effectLst/>
          </c:spPr>
          <c:invertIfNegative val="0"/>
          <c:val>
            <c:numRef>
              <c:f>Sheet1!$C$22:$C$27</c:f>
              <c:numCache>
                <c:formatCode>0%</c:formatCode>
                <c:ptCount val="6"/>
                <c:pt idx="0">
                  <c:v>0.79</c:v>
                </c:pt>
                <c:pt idx="1">
                  <c:v>0.81</c:v>
                </c:pt>
                <c:pt idx="2">
                  <c:v>0.34</c:v>
                </c:pt>
                <c:pt idx="3">
                  <c:v>0.45</c:v>
                </c:pt>
                <c:pt idx="4">
                  <c:v>0.5</c:v>
                </c:pt>
                <c:pt idx="5">
                  <c:v>0.66</c:v>
                </c:pt>
              </c:numCache>
            </c:numRef>
          </c:val>
          <c:extLst>
            <c:ext xmlns:c16="http://schemas.microsoft.com/office/drawing/2014/chart" uri="{C3380CC4-5D6E-409C-BE32-E72D297353CC}">
              <c16:uniqueId val="{00000001-76A2-48EB-9A0D-5AA39111BD7F}"/>
            </c:ext>
          </c:extLst>
        </c:ser>
        <c:dLbls>
          <c:showLegendKey val="0"/>
          <c:showVal val="0"/>
          <c:showCatName val="0"/>
          <c:showSerName val="0"/>
          <c:showPercent val="0"/>
          <c:showBubbleSize val="0"/>
        </c:dLbls>
        <c:gapWidth val="219"/>
        <c:overlap val="-27"/>
        <c:axId val="2050006176"/>
        <c:axId val="2050022976"/>
      </c:barChart>
      <c:catAx>
        <c:axId val="2050006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22976"/>
        <c:crosses val="autoZero"/>
        <c:auto val="1"/>
        <c:lblAlgn val="ctr"/>
        <c:lblOffset val="100"/>
        <c:noMultiLvlLbl val="0"/>
      </c:catAx>
      <c:valAx>
        <c:axId val="20500229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0006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19</Pages>
  <Words>3721</Words>
  <Characters>21214</Characters>
  <Application>Microsoft Office Word</Application>
  <DocSecurity>0</DocSecurity>
  <Lines>176</Lines>
  <Paragraphs>49</Paragraphs>
  <ScaleCrop>false</ScaleCrop>
  <Company/>
  <LinksUpToDate>false</LinksUpToDate>
  <CharactersWithSpaces>24886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 (2244870)</dc:creator>
  <cp:keywords/>
  <dc:description/>
  <cp:lastModifiedBy>Mihai Daniel Mihalcea (2244870)</cp:lastModifiedBy>
  <cp:revision>3</cp:revision>
  <dcterms:created xsi:type="dcterms:W3CDTF">2024-10-09T11:12:00Z</dcterms:created>
  <dcterms:modified xsi:type="dcterms:W3CDTF">2024-10-17T08:19:00Z</dcterms:modified>
</cp:coreProperties>
</file>