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eastAsia"/>
          <w:lang w:val="en-US" w:eastAsia="zh-CN"/>
        </w:rPr>
      </w:pPr>
    </w:p>
    <w:p>
      <w:pPr>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Corporate Governance&amp; Social Responsibility Report</w:t>
      </w:r>
    </w:p>
    <w:p>
      <w:pPr>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sz w:val="28"/>
          <w:szCs w:val="28"/>
          <w:lang w:val="en-US" w:eastAsia="zh-CN"/>
        </w:rPr>
      </w:pPr>
    </w:p>
    <w:p>
      <w:pPr>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sz w:val="28"/>
          <w:szCs w:val="28"/>
          <w:lang w:val="en-US" w:eastAsia="zh-CN"/>
        </w:rPr>
      </w:pPr>
    </w:p>
    <w:p>
      <w:pPr>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Assignment 2-Philanthropy</w:t>
      </w:r>
      <w:bookmarkStart w:id="13" w:name="_GoBack"/>
      <w:bookmarkEnd w:id="13"/>
    </w:p>
    <w:p>
      <w:pPr>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sz w:val="24"/>
          <w:szCs w:val="24"/>
          <w:lang w:val="en-US" w:eastAsia="zh-CN"/>
        </w:rPr>
      </w:pPr>
    </w:p>
    <w:p>
      <w:pPr>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sz w:val="24"/>
          <w:szCs w:val="24"/>
          <w:lang w:val="en-US" w:eastAsia="zh-CN"/>
        </w:rPr>
      </w:pPr>
    </w:p>
    <w:p>
      <w:pPr>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sz w:val="24"/>
          <w:szCs w:val="24"/>
          <w:lang w:val="en-US" w:eastAsia="zh-CN"/>
        </w:rPr>
      </w:pPr>
    </w:p>
    <w:p>
      <w:pPr>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sz w:val="24"/>
          <w:szCs w:val="24"/>
          <w:lang w:val="en-US" w:eastAsia="zh-CN"/>
        </w:rPr>
      </w:pPr>
    </w:p>
    <w:p>
      <w:pPr>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Student Name:</w:t>
      </w:r>
      <w:r>
        <w:rPr>
          <w:rFonts w:hint="eastAsia" w:ascii="Times New Roman" w:hAnsi="Times New Roman" w:cs="Times New Roman"/>
          <w:b w:val="0"/>
          <w:bCs w:val="0"/>
          <w:sz w:val="24"/>
          <w:szCs w:val="24"/>
          <w:lang w:val="en-US" w:eastAsia="zh-CN"/>
        </w:rPr>
        <w:t xml:space="preserve"> SONGSONG</w:t>
      </w:r>
    </w:p>
    <w:p>
      <w:pPr>
        <w:pageBreakBefore w:val="0"/>
        <w:widowControl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val="0"/>
          <w:bCs w:val="0"/>
          <w:sz w:val="24"/>
          <w:szCs w:val="24"/>
          <w:lang w:val="en-US" w:eastAsia="zh-CN"/>
        </w:rPr>
        <w:sectPr>
          <w:headerReference r:id="rId3" w:type="default"/>
          <w:footerReference r:id="rId4" w:type="default"/>
          <w:pgSz w:w="11906" w:h="16838"/>
          <w:pgMar w:top="1440" w:right="1800" w:bottom="1440" w:left="1800" w:header="851" w:footer="992" w:gutter="0"/>
          <w:cols w:space="425" w:num="1"/>
          <w:docGrid w:type="lines" w:linePitch="312" w:charSpace="0"/>
        </w:sectPr>
      </w:pPr>
      <w:r>
        <w:rPr>
          <w:lang w:eastAsia="en-GB"/>
        </w:rPr>
        <w:drawing>
          <wp:anchor distT="0" distB="0" distL="0" distR="0" simplePos="0" relativeHeight="251665408" behindDoc="0" locked="0" layoutInCell="1" allowOverlap="1">
            <wp:simplePos x="0" y="0"/>
            <wp:positionH relativeFrom="column">
              <wp:posOffset>1120140</wp:posOffset>
            </wp:positionH>
            <wp:positionV relativeFrom="paragraph">
              <wp:posOffset>1174750</wp:posOffset>
            </wp:positionV>
            <wp:extent cx="2915920" cy="3234055"/>
            <wp:effectExtent l="0" t="0" r="10160" b="12065"/>
            <wp:wrapNone/>
            <wp:docPr id="9"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7" descr="Crest of TSD.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2915920" cy="3234055"/>
                    </a:xfrm>
                    <a:prstGeom prst="rect">
                      <a:avLst/>
                    </a:prstGeom>
                    <a:noFill/>
                    <a:ln>
                      <a:noFill/>
                    </a:ln>
                  </pic:spPr>
                </pic:pic>
              </a:graphicData>
            </a:graphic>
          </wp:anchor>
        </w:drawing>
      </w:r>
      <w:r>
        <w:rPr>
          <w:rFonts w:hint="default" w:ascii="Times New Roman" w:hAnsi="Times New Roman" w:cs="Times New Roman"/>
          <w:b w:val="0"/>
          <w:bCs w:val="0"/>
          <w:sz w:val="24"/>
          <w:szCs w:val="24"/>
          <w:lang w:val="en-US" w:eastAsia="zh-CN"/>
        </w:rPr>
        <w:t>Student ID:</w:t>
      </w:r>
      <w:r>
        <w:rPr>
          <w:rFonts w:hint="eastAsia" w:ascii="Times New Roman" w:hAnsi="Times New Roman" w:cs="Times New Roman"/>
          <w:b w:val="0"/>
          <w:bCs w:val="0"/>
          <w:sz w:val="24"/>
          <w:szCs w:val="24"/>
          <w:lang w:val="en-US" w:eastAsia="zh-CN"/>
        </w:rPr>
        <w:t xml:space="preserve"> 1703805</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Table of Contents</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pStyle w:val="8"/>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TOC \o "1-3" \h \u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_Toc10204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Executive summary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_Toc10204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8"/>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_Toc8685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1.0 Introduction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_Toc8685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8"/>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_Toc15054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1.1 Background of John D Rockefeller and Andrew Carnegie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_Toc15054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5"/>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_Toc19679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1.1.1 Evaluation of their achievements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_Toc19679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5"/>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_Toc27325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1.1.2 Key corporate governance during their era- a world manipulated by monopolistic financial groups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_Toc27325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5"/>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_Toc5727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1.1.3 Personal comments on John D Rockefeller and Andrew Carnegie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_Toc5727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8"/>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_Toc16248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2.0 Main body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_Toc16248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9"/>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_Toc19744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2.1 Modern day governance:blessings or curses?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_Toc19744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9"/>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_Toc8828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2.2 A discussion concerning philanthropic activities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_Toc8828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5"/>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_Toc7136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2.2.1 Do philanthropic activities justify wealth making?</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_Toc7136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5"/>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_Toc9721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2.2.2 The merits of philanthropic activities in the 21st century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_Toc9721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8"/>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_Toc15566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3.0 Conclusion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_Toc15566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8"/>
        <w:pageBreakBefore w:val="0"/>
        <w:widowControl w:val="0"/>
        <w:tabs>
          <w:tab w:val="right" w:leader="dot" w:pos="8306"/>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_Toc20768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4.0 References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_Toc20768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sectPr>
          <w:pgSz w:w="11906" w:h="16838"/>
          <w:pgMar w:top="1440" w:right="1800" w:bottom="1440" w:left="1800" w:header="851" w:footer="992" w:gutter="0"/>
          <w:cols w:space="425" w:num="1"/>
          <w:docGrid w:type="lines" w:linePitch="312" w:charSpace="0"/>
        </w:sectPr>
      </w:pPr>
      <w:r>
        <w:rPr>
          <w:rFonts w:hint="default" w:ascii="Times New Roman" w:hAnsi="Times New Roman" w:cs="Times New Roman"/>
          <w:sz w:val="24"/>
          <w:szCs w:val="24"/>
          <w:lang w:val="en-US" w:eastAsia="zh-CN"/>
        </w:rPr>
        <w:fldChar w:fldCharType="end"/>
      </w:r>
    </w:p>
    <w:p>
      <w:pPr>
        <w:pStyle w:val="2"/>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lang w:val="en-US" w:eastAsia="zh-CN"/>
        </w:rPr>
      </w:pPr>
      <w:bookmarkStart w:id="0" w:name="_Toc10204"/>
      <w:r>
        <w:rPr>
          <w:rFonts w:hint="default" w:ascii="Times New Roman" w:hAnsi="Times New Roman" w:cs="Times New Roman"/>
          <w:sz w:val="28"/>
          <w:szCs w:val="28"/>
          <w:lang w:val="en-US" w:eastAsia="zh-CN"/>
        </w:rPr>
        <w:t>Executive summary</w:t>
      </w:r>
      <w:bookmarkEnd w:id="0"/>
      <w:r>
        <w:rPr>
          <w:rFonts w:hint="default" w:ascii="Times New Roman" w:hAnsi="Times New Roman" w:cs="Times New Roman"/>
          <w:sz w:val="28"/>
          <w:szCs w:val="28"/>
          <w:lang w:val="en-US" w:eastAsia="zh-CN"/>
        </w:rPr>
        <w:t xml:space="preserve"> </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This report critically analyzes the masterpiece of two renowned entrepreneurs in the history of U.S, respectively John D Rockefeller and Andrew Carnegie, as well as the roles of philanthropic activities in modern corporate governance. Firstly, this report gives a background introduction concerning the achievements of John D Rockefeller and Andrew Carnegie,after which the characteristics of corporate governance in their time is analyzed. Then a personal perspective concerning the evaluation of these two entrepreneurs, among three choices-captain of the industry, robber barons and philanthropist is offered. Also, a comparison of modern day corporate governance is given based on the perspective of stakeholders as well as their interests. In the next part of the report, philanthropic activities are analyzed based on their relationships with wealth making, as well as their merits in the 21</w:t>
      </w:r>
      <w:r>
        <w:rPr>
          <w:rFonts w:hint="default" w:ascii="Times New Roman" w:hAnsi="Times New Roman" w:cs="Times New Roman"/>
          <w:sz w:val="24"/>
          <w:szCs w:val="24"/>
          <w:vertAlign w:val="superscript"/>
          <w:lang w:val="en-US" w:eastAsia="zh-CN"/>
        </w:rPr>
        <w:t>st</w:t>
      </w:r>
      <w:r>
        <w:rPr>
          <w:rFonts w:hint="default" w:ascii="Times New Roman" w:hAnsi="Times New Roman" w:cs="Times New Roman"/>
          <w:sz w:val="24"/>
          <w:szCs w:val="24"/>
          <w:lang w:val="en-US" w:eastAsia="zh-CN"/>
        </w:rPr>
        <w:t xml:space="preserve"> century. Finally, the conclusion is driven based on the whole analysis of this report.</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pStyle w:val="2"/>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lang w:val="en-US" w:eastAsia="zh-CN"/>
        </w:rPr>
      </w:pPr>
      <w:bookmarkStart w:id="1" w:name="_Toc8685"/>
      <w:r>
        <w:rPr>
          <w:rFonts w:hint="default" w:ascii="Times New Roman" w:hAnsi="Times New Roman" w:cs="Times New Roman"/>
          <w:sz w:val="28"/>
          <w:szCs w:val="28"/>
          <w:lang w:val="en-US" w:eastAsia="zh-CN"/>
        </w:rPr>
        <w:t>1.0 Introduction</w:t>
      </w:r>
      <w:bookmarkEnd w:id="1"/>
    </w:p>
    <w:p>
      <w:pPr>
        <w:pStyle w:val="2"/>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bookmarkStart w:id="2" w:name="_Toc15054"/>
      <w:r>
        <w:rPr>
          <w:rFonts w:hint="default" w:ascii="Times New Roman" w:hAnsi="Times New Roman" w:cs="Times New Roman"/>
          <w:sz w:val="24"/>
          <w:szCs w:val="24"/>
          <w:lang w:val="en-US" w:eastAsia="zh-CN"/>
        </w:rPr>
        <w:t>1.1 Background of John D Rockefeller and Andrew Carnegie</w:t>
      </w:r>
      <w:bookmarkEnd w:id="2"/>
    </w:p>
    <w:p>
      <w:pPr>
        <w:pStyle w:val="4"/>
        <w:pageBreakBefore w:val="0"/>
        <w:widowControl w:val="0"/>
        <w:tabs>
          <w:tab w:val="center" w:pos="4153"/>
        </w:tabs>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bookmarkStart w:id="3" w:name="_Toc19679"/>
      <w:r>
        <w:rPr>
          <w:rFonts w:hint="default" w:ascii="Times New Roman" w:hAnsi="Times New Roman" w:cs="Times New Roman"/>
          <w:sz w:val="24"/>
          <w:szCs w:val="24"/>
          <w:lang w:val="en-US" w:eastAsia="zh-CN"/>
        </w:rPr>
        <w:t>1.1.1 Evaluation of their achievements</w:t>
      </w:r>
      <w:bookmarkEnd w:id="3"/>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John D Rockefeller(1839-1937), who was believed to the father of the famous Standard Oil corporation, is one of the richest entrepreneurs in the business history of the world. Rockefeller built Standard Oil in the year of 1870 after he had done plenty of marketing observations as well as investments in the oil industry. John D Rockefeller even controlled 90% of refineries as well as pipelines of American oil industry by the early 1880s(The Financial Times,2011). He made so many contributions in the oil industry of America, that he not only added substantial values to the American economy, but also to the construction of American society with numerous philanthropic activities in his final times. It is incredible for the achievements of John D Rockefeller, however, he was accused of unethical business practices, particularly manipulating price and unfairly eliminating competitors to gain a status of monopoly in the oil business. And the U.S Supreme Court finally dissolved this giant commercial corporation because of conspicuously negative influences of it on the whole society. </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 </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Andrew Carnegie(1835-1919) is commonly acknowledged as the biggest business magnate in the steel industry of America. Carnegie invented freshly advanced technology and managing modes in the steel industry, combined with his powerful will and intelligent wealth, which made his renowned achievement memorized by all over the world. During his peak time of business development, Carnegie transformed his attention to conduct philanthropic activities. He gained such a good reputation that many generations of citizens consider him as the example to fight for dreams and to contribute for society. </w:t>
      </w:r>
    </w:p>
    <w:p>
      <w:pPr>
        <w:pStyle w:val="4"/>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bookmarkStart w:id="4" w:name="_Toc27325"/>
      <w:r>
        <w:rPr>
          <w:rFonts w:hint="default" w:ascii="Times New Roman" w:hAnsi="Times New Roman" w:cs="Times New Roman"/>
          <w:sz w:val="24"/>
          <w:szCs w:val="24"/>
          <w:lang w:val="en-US" w:eastAsia="zh-CN"/>
        </w:rPr>
        <w:t>1.1.2 Key corporate governance during their era- a world manipulated by monopolistic financial groups</w:t>
      </w:r>
      <w:bookmarkEnd w:id="4"/>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val="0"/>
          <w:bCs w:val="0"/>
          <w:color w:val="auto"/>
          <w:sz w:val="24"/>
          <w:szCs w:val="24"/>
          <w:lang w:val="en-US" w:eastAsia="zh-CN"/>
        </w:rPr>
      </w:pPr>
      <w:r>
        <w:rPr>
          <w:rFonts w:hint="default" w:ascii="Times New Roman" w:hAnsi="Times New Roman" w:cs="Times New Roman"/>
          <w:sz w:val="24"/>
          <w:szCs w:val="24"/>
          <w:lang w:val="en-US" w:eastAsia="zh-CN"/>
        </w:rPr>
        <w:t>According to the Cadbury committee(1992), corporate governance can be defined as “the system by which companies are directed and controlled”. It is acknowledged that corporate governance can consist a a range of relationships with including management, board members, shareholders and stakeholders in a company(Cadbury,1992). Apart from that, corporate governance determines the business decision making system, specific ways to achieve those decisions as well as the regime of effective monitoring in this process. Corporate governance is critical for the development and prospects of organizations, since it can make a difference for financial performances, and ineffective corporate governance can lead to economic failures</w:t>
      </w:r>
      <w:r>
        <w:rPr>
          <w:rFonts w:hint="default" w:ascii="Times New Roman" w:hAnsi="Times New Roman" w:cs="Times New Roman"/>
          <w:b w:val="0"/>
          <w:bCs w:val="0"/>
          <w:color w:val="auto"/>
          <w:sz w:val="24"/>
          <w:szCs w:val="24"/>
          <w:lang w:val="en-US" w:eastAsia="zh-CN"/>
        </w:rPr>
        <w:t>(Daines,2008).</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val="0"/>
          <w:bCs w:val="0"/>
          <w:color w:val="auto"/>
          <w:sz w:val="24"/>
          <w:szCs w:val="24"/>
          <w:lang w:val="en-US" w:eastAsia="zh-CN"/>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val="0"/>
          <w:bCs w:val="0"/>
          <w:color w:val="auto"/>
          <w:sz w:val="24"/>
          <w:szCs w:val="24"/>
          <w:lang w:val="en-US" w:eastAsia="zh-CN"/>
        </w:rPr>
      </w:pPr>
      <w:r>
        <w:rPr>
          <w:rFonts w:hint="default" w:ascii="Times New Roman" w:hAnsi="Times New Roman" w:cs="Times New Roman"/>
          <w:b w:val="0"/>
          <w:bCs w:val="0"/>
          <w:color w:val="auto"/>
          <w:sz w:val="24"/>
          <w:szCs w:val="24"/>
          <w:lang w:val="en-US" w:eastAsia="zh-CN"/>
        </w:rPr>
        <w:t>During the end of 19</w:t>
      </w:r>
      <w:r>
        <w:rPr>
          <w:rFonts w:hint="default" w:ascii="Times New Roman" w:hAnsi="Times New Roman" w:cs="Times New Roman"/>
          <w:b w:val="0"/>
          <w:bCs w:val="0"/>
          <w:color w:val="auto"/>
          <w:sz w:val="24"/>
          <w:szCs w:val="24"/>
          <w:vertAlign w:val="superscript"/>
          <w:lang w:val="en-US" w:eastAsia="zh-CN"/>
        </w:rPr>
        <w:t>th</w:t>
      </w:r>
      <w:r>
        <w:rPr>
          <w:rFonts w:hint="default" w:ascii="Times New Roman" w:hAnsi="Times New Roman" w:cs="Times New Roman"/>
          <w:b w:val="0"/>
          <w:bCs w:val="0"/>
          <w:color w:val="auto"/>
          <w:sz w:val="24"/>
          <w:szCs w:val="24"/>
          <w:lang w:val="en-US" w:eastAsia="zh-CN"/>
        </w:rPr>
        <w:t xml:space="preserve"> century and the beginning of 20</w:t>
      </w:r>
      <w:r>
        <w:rPr>
          <w:rFonts w:hint="default" w:ascii="Times New Roman" w:hAnsi="Times New Roman" w:cs="Times New Roman"/>
          <w:b w:val="0"/>
          <w:bCs w:val="0"/>
          <w:color w:val="auto"/>
          <w:sz w:val="24"/>
          <w:szCs w:val="24"/>
          <w:vertAlign w:val="superscript"/>
          <w:lang w:val="en-US" w:eastAsia="zh-CN"/>
        </w:rPr>
        <w:t>th</w:t>
      </w:r>
      <w:r>
        <w:rPr>
          <w:rFonts w:hint="default" w:ascii="Times New Roman" w:hAnsi="Times New Roman" w:cs="Times New Roman"/>
          <w:b w:val="0"/>
          <w:bCs w:val="0"/>
          <w:color w:val="auto"/>
          <w:sz w:val="24"/>
          <w:szCs w:val="24"/>
          <w:lang w:val="en-US" w:eastAsia="zh-CN"/>
        </w:rPr>
        <w:t xml:space="preserve"> century, the economy of the United States was experiencing a concentration concerning production as well as capitals, which contributed to the combination and connection between bank capitals and industrial capitals. That provided an important foundation which breed the birth of a number of monopolistic financial groups(Urban,2013), and the two famous organizations respectively founded by John D Rockefeller and Andrew Carnegie are typical representatives of these groups. During two world wars, monopolistic financial groups gained incredible development and progress, which made the extent of monopoly in the U.S achieve a peaking point. As for the corporate governance of this era, financial groups depended on accumulating capitals and extremely enlarging the scales and capacities of production. Apart from that, they improved the operation scale via the method of company merger(Robert,1997). There were three times of the climax of company merger in the United States, after each time the strength of financial groups would be significantly promoted. And at that time all economic departments in the U.S. were manipulated or surrendered to the governance of monopolistic financial groups(Oliver,1989). </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val="0"/>
          <w:bCs w:val="0"/>
          <w:color w:val="auto"/>
          <w:sz w:val="24"/>
          <w:szCs w:val="24"/>
          <w:lang w:val="en-US" w:eastAsia="zh-CN"/>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val="0"/>
          <w:bCs w:val="0"/>
          <w:color w:val="auto"/>
          <w:sz w:val="24"/>
          <w:szCs w:val="24"/>
          <w:lang w:val="en-US" w:eastAsia="zh-CN"/>
        </w:rPr>
      </w:pPr>
      <w:r>
        <w:rPr>
          <w:rFonts w:hint="default" w:ascii="Times New Roman" w:hAnsi="Times New Roman" w:cs="Times New Roman"/>
          <w:b w:val="0"/>
          <w:bCs w:val="0"/>
          <w:color w:val="auto"/>
          <w:sz w:val="24"/>
          <w:szCs w:val="24"/>
          <w:lang w:val="en-US" w:eastAsia="zh-CN"/>
        </w:rPr>
        <w:t>Given the rapidly development of fresh technology, internationalization of production and capitals, the monopolist financial group had went through profound transformations, specifically the increasing diversity and professionalization of operation. For instance, John D Rockefeller financial group professionalizes in oil business, while Morgan financial group focus on steel business. After the second war, given the competitors of financial groups increased significantly, most financial groups transited to diversify operation and thus became comprehensive instead of professionalized groups. With the increasing diversity of operation, the sub companies and organizations under control of monopolistic financial groups expressed greatly various characteristics(Yin,2013). And increasing conflicts aroused due to this transformation, which made it harder to enforce uniform direction and guidance of monopolistic financial groups towards their subordinate organizations. As a consequence, the internal corporate governance and relationship existing in giant financial groups gradually dissolved because of an increasing difficulty of manipulation(Vitaliy,2006).</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val="0"/>
          <w:bCs w:val="0"/>
          <w:color w:val="auto"/>
          <w:sz w:val="24"/>
          <w:szCs w:val="24"/>
          <w:lang w:val="en-US" w:eastAsia="zh-CN"/>
        </w:rPr>
      </w:pPr>
    </w:p>
    <w:p>
      <w:pPr>
        <w:pStyle w:val="4"/>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bookmarkStart w:id="5" w:name="_Toc5727"/>
      <w:r>
        <w:rPr>
          <w:rFonts w:hint="default" w:ascii="Times New Roman" w:hAnsi="Times New Roman" w:cs="Times New Roman"/>
          <w:sz w:val="24"/>
          <w:szCs w:val="24"/>
          <w:lang w:val="en-US" w:eastAsia="zh-CN"/>
        </w:rPr>
        <w:t>1.1.3 Personal comments on John D Rockefeller and Andrew Carnegie</w:t>
      </w:r>
      <w:bookmarkEnd w:id="5"/>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In a personal perspective, I would categorize both John D Rockefeller and Andrew Carnegie as captains of industry(the other two choices robber barons and philanthropist). They are two great entrepreneurs respectively in the oil and steel industry. Although their success stood on the shoulders of many hard working workers, they at least once provided numerous job opportunities and justified salaries for many citizens who were desperate for a job. Apart from that, they both added incredible and memorable values to the economic development of the United States. Without the promotion and potent support of these powerful financial groups, it is hard to imagine what the economy of America will be like currently. And they both engaged a lot in doing philanthropic activities, however, those investments were earned during the blossom periods of their organizations. And they could provide so much help to so many persons without a financial capacity which was accumulated before. </w:t>
      </w:r>
    </w:p>
    <w:p>
      <w:pPr>
        <w:pStyle w:val="2"/>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lang w:val="en-US" w:eastAsia="zh-CN"/>
        </w:rPr>
      </w:pPr>
      <w:bookmarkStart w:id="6" w:name="_Toc16248"/>
    </w:p>
    <w:p>
      <w:pPr>
        <w:rPr>
          <w:rFonts w:hint="default" w:ascii="Times New Roman" w:hAnsi="Times New Roman" w:cs="Times New Roman"/>
          <w:sz w:val="28"/>
          <w:szCs w:val="28"/>
          <w:lang w:val="en-US" w:eastAsia="zh-CN"/>
        </w:rPr>
      </w:pPr>
    </w:p>
    <w:p>
      <w:pPr>
        <w:rPr>
          <w:rFonts w:hint="default" w:ascii="Times New Roman" w:hAnsi="Times New Roman" w:cs="Times New Roman"/>
          <w:sz w:val="28"/>
          <w:szCs w:val="28"/>
          <w:lang w:val="en-US" w:eastAsia="zh-CN"/>
        </w:rPr>
      </w:pPr>
    </w:p>
    <w:p>
      <w:pPr>
        <w:rPr>
          <w:rFonts w:hint="default" w:ascii="Times New Roman" w:hAnsi="Times New Roman" w:cs="Times New Roman"/>
          <w:sz w:val="28"/>
          <w:szCs w:val="28"/>
          <w:lang w:val="en-US" w:eastAsia="zh-CN"/>
        </w:rPr>
      </w:pPr>
    </w:p>
    <w:p>
      <w:pPr>
        <w:rPr>
          <w:rFonts w:hint="default" w:ascii="Times New Roman" w:hAnsi="Times New Roman" w:cs="Times New Roman"/>
          <w:sz w:val="28"/>
          <w:szCs w:val="28"/>
          <w:lang w:val="en-US" w:eastAsia="zh-CN"/>
        </w:rPr>
      </w:pPr>
    </w:p>
    <w:p>
      <w:pPr>
        <w:pStyle w:val="2"/>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2.0 Main body</w:t>
      </w:r>
      <w:bookmarkEnd w:id="6"/>
    </w:p>
    <w:p>
      <w:pPr>
        <w:pStyle w:val="3"/>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bookmarkStart w:id="7" w:name="_Toc19744"/>
      <w:r>
        <w:rPr>
          <w:rFonts w:hint="default" w:ascii="Times New Roman" w:hAnsi="Times New Roman" w:cs="Times New Roman"/>
          <w:sz w:val="24"/>
          <w:szCs w:val="24"/>
          <w:lang w:val="en-US" w:eastAsia="zh-CN"/>
        </w:rPr>
        <w:t>2.1 Modern day governance:blessings or curses?</w:t>
      </w:r>
      <w:bookmarkEnd w:id="7"/>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As for modern day business companies, shareholders, trade creditor, suppliers, communities, customers and debtholders are considered as the predominate external stakeholder teams. While directors in the board, executives and other subordinates are taken into account as the internal stakeholders. It is agreed by some experts that a great proportion of the modern interest exiting in issues of corporate governance is related to ameliorating confrontations of interests among shareholders (Goergen,2012). It is worth noting that directors in the board might be alienated from shareholders and demoted to managing levels, which is especially in modern debated discussions concerning regulatory measures(OECD,2004).</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lang w:val="en-US" w:eastAsia="zh-CN"/>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val="0"/>
          <w:bCs w:val="0"/>
          <w:color w:val="auto"/>
          <w:sz w:val="24"/>
          <w:szCs w:val="24"/>
          <w:lang w:val="en-US" w:eastAsia="zh-CN"/>
        </w:rPr>
      </w:pPr>
      <w:r>
        <w:rPr>
          <w:rFonts w:hint="default" w:ascii="Times New Roman" w:hAnsi="Times New Roman" w:cs="Times New Roman"/>
          <w:b w:val="0"/>
          <w:bCs w:val="0"/>
          <w:color w:val="auto"/>
          <w:sz w:val="24"/>
          <w:szCs w:val="24"/>
          <w:lang w:val="en-US" w:eastAsia="zh-CN"/>
        </w:rPr>
        <w:t>In modern corporate governance, there are several principles which are generally adopted by many experts and international documents(Sifuna,2012). One of the principles is treating shareholders with justified rights, which means all corporations are obliged to assist shareholders to protect their legal rights in a suitable way. The second is related to the roles of directors in the board, who are suggested to master targeted professional literacy so as to perfect managing as well as operating performances. The third is concerned with justified and respectful business ethics and behavior,which requires all the board members in the corporation to carefully conduct ethical social responsibility in Carroll’s CSP pyramid model(Carroll,1991). The fourth is about the transparency and disclosure of organizations, which are highly adviced to make all investors capable to gain accurate and clarified information about important financial issues in the company.</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val="0"/>
          <w:bCs w:val="0"/>
          <w:color w:val="auto"/>
          <w:sz w:val="24"/>
          <w:szCs w:val="24"/>
          <w:lang w:val="en-US" w:eastAsia="zh-CN"/>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val="0"/>
          <w:bCs w:val="0"/>
          <w:color w:val="auto"/>
          <w:sz w:val="24"/>
          <w:szCs w:val="24"/>
          <w:lang w:val="en-US" w:eastAsia="zh-CN"/>
        </w:rPr>
      </w:pPr>
      <w:r>
        <w:rPr>
          <w:rFonts w:hint="default" w:ascii="Times New Roman" w:hAnsi="Times New Roman" w:cs="Times New Roman"/>
          <w:b w:val="0"/>
          <w:bCs w:val="0"/>
          <w:color w:val="auto"/>
          <w:sz w:val="24"/>
          <w:szCs w:val="24"/>
          <w:lang w:val="en-US" w:eastAsia="zh-CN"/>
        </w:rPr>
        <w:t>Although there have designed and evolved clear guidelines and codes as mentioned for modern corporations in terms of effective governance, there still exist disadvantages in this modern regime. For instance, business scandals concerning corruption and bribery are still frequent in all scales of companies(Chowdhury,2006). The monitoring and electing procedures are still not perfect enough that some of the very intelligent and capable are insulated from certain positions involved with key powers(Felipe,2007). On this occasion, it is very likely that some one who is not sufficiently capable gaining some important positions via unfair methods or channels, such as business bribery or some tie relationships. There is still much space for the modern corporate governance standards and rules to get promoted in a transparent and justified way(GRC,2010), which will take long time and much efforts to achieve. China's dairy pollution incident in 2008 was a food safety accident in China. The accident was caused by consumption of milk powder produced by Sanlu Group. Babies were found to have kidney stones and melamine was found in their milk powder. In May 20 and 21, 2008, a netizen uncovered</w:t>
      </w:r>
      <w:r>
        <w:rPr>
          <w:rFonts w:hint="eastAsia" w:ascii="Times New Roman" w:hAnsi="Times New Roman" w:cs="Times New Roman"/>
          <w:b w:val="0"/>
          <w:bCs w:val="0"/>
          <w:color w:val="auto"/>
          <w:sz w:val="24"/>
          <w:szCs w:val="24"/>
          <w:lang w:val="en-US" w:eastAsia="zh-CN"/>
        </w:rPr>
        <w:t xml:space="preserve"> </w:t>
      </w:r>
      <w:r>
        <w:rPr>
          <w:rFonts w:hint="default" w:ascii="Times New Roman" w:hAnsi="Times New Roman" w:cs="Times New Roman"/>
          <w:b w:val="0"/>
          <w:bCs w:val="0"/>
          <w:color w:val="auto"/>
          <w:sz w:val="24"/>
          <w:szCs w:val="24"/>
          <w:lang w:val="en-US" w:eastAsia="zh-CN"/>
        </w:rPr>
        <w:t xml:space="preserve">quality of the Sanlu milk powder he bought in a supermarket in Taishun County, Zhejiang, in November 2007. The manager of the Sanlu Group district took four box of new milk powder worth 2476.8 yuan as a price to </w:t>
      </w:r>
      <w:r>
        <w:rPr>
          <w:rFonts w:hint="eastAsia" w:ascii="Times New Roman" w:hAnsi="Times New Roman" w:cs="Times New Roman"/>
          <w:b w:val="0"/>
          <w:bCs w:val="0"/>
          <w:color w:val="auto"/>
          <w:sz w:val="24"/>
          <w:szCs w:val="24"/>
          <w:lang w:val="en-US" w:eastAsia="zh-CN"/>
        </w:rPr>
        <w:t>,</w:t>
      </w:r>
      <w:r>
        <w:rPr>
          <w:rFonts w:hint="default" w:ascii="Times New Roman" w:hAnsi="Times New Roman" w:cs="Times New Roman"/>
          <w:b w:val="0"/>
          <w:bCs w:val="0"/>
          <w:color w:val="auto"/>
          <w:sz w:val="24"/>
          <w:szCs w:val="24"/>
          <w:lang w:val="en-US" w:eastAsia="zh-CN"/>
        </w:rPr>
        <w:t>Sanlu</w:t>
      </w:r>
      <w:r>
        <w:rPr>
          <w:rFonts w:hint="eastAsia" w:ascii="Times New Roman" w:hAnsi="Times New Roman" w:cs="Times New Roman"/>
          <w:b w:val="0"/>
          <w:bCs w:val="0"/>
          <w:color w:val="auto"/>
          <w:sz w:val="24"/>
          <w:szCs w:val="24"/>
          <w:lang w:val="en-US" w:eastAsia="zh-CN"/>
        </w:rPr>
        <w:t xml:space="preserve"> wants to </w:t>
      </w:r>
      <w:r>
        <w:rPr>
          <w:rFonts w:hint="default" w:ascii="Times New Roman" w:hAnsi="Times New Roman" w:cs="Times New Roman"/>
          <w:b w:val="0"/>
          <w:bCs w:val="0"/>
          <w:color w:val="auto"/>
          <w:sz w:val="24"/>
          <w:szCs w:val="24"/>
          <w:lang w:val="en-US" w:eastAsia="zh-CN"/>
        </w:rPr>
        <w:t>obtain password of the netizen to request the deletion of information on the net.</w:t>
      </w:r>
      <w:r>
        <w:rPr>
          <w:rFonts w:hint="eastAsia" w:ascii="Times New Roman" w:hAnsi="Times New Roman" w:cs="Times New Roman"/>
          <w:b w:val="0"/>
          <w:bCs w:val="0"/>
          <w:color w:val="auto"/>
          <w:sz w:val="24"/>
          <w:szCs w:val="24"/>
          <w:lang w:val="en-US" w:eastAsia="zh-CN"/>
        </w:rPr>
        <w:t xml:space="preserve"> Sanlu company wants to cover up fake milk powder through commercial bribery(Patsy Moy 2010).</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val="0"/>
          <w:bCs w:val="0"/>
          <w:color w:val="auto"/>
          <w:sz w:val="24"/>
          <w:szCs w:val="24"/>
          <w:lang w:val="en-US" w:eastAsia="zh-CN"/>
        </w:rPr>
      </w:pPr>
    </w:p>
    <w:p>
      <w:pPr>
        <w:pStyle w:val="3"/>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bookmarkStart w:id="8" w:name="_Toc8828"/>
      <w:r>
        <w:rPr>
          <w:rFonts w:hint="default" w:ascii="Times New Roman" w:hAnsi="Times New Roman" w:cs="Times New Roman"/>
          <w:sz w:val="24"/>
          <w:szCs w:val="24"/>
          <w:lang w:val="en-US" w:eastAsia="zh-CN"/>
        </w:rPr>
        <w:t>2.2 A discussion concerning philanthropic activities</w:t>
      </w:r>
      <w:bookmarkEnd w:id="8"/>
      <w:r>
        <w:rPr>
          <w:rFonts w:hint="default" w:ascii="Times New Roman" w:hAnsi="Times New Roman" w:cs="Times New Roman"/>
          <w:sz w:val="24"/>
          <w:szCs w:val="24"/>
          <w:lang w:val="en-US" w:eastAsia="zh-CN"/>
        </w:rPr>
        <w:t xml:space="preserve"> </w:t>
      </w:r>
    </w:p>
    <w:p>
      <w:pPr>
        <w:pStyle w:val="4"/>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bookmarkStart w:id="9" w:name="_Toc7136"/>
      <w:r>
        <w:rPr>
          <w:rFonts w:hint="default" w:ascii="Times New Roman" w:hAnsi="Times New Roman" w:cs="Times New Roman"/>
          <w:sz w:val="24"/>
          <w:szCs w:val="24"/>
          <w:lang w:val="en-US" w:eastAsia="zh-CN"/>
        </w:rPr>
        <w:t>2.2.1 Do philanthropic activities justify wealth making?</w:t>
      </w:r>
      <w:bookmarkEnd w:id="9"/>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It is common that many billionaires opt to devote themselves or ask for agents to help them to conduct philanthropic activities(Daniel,2012). Philanthropic responsibility is considered as an important part of corporate social responsibility by Carroll’s pyramid model, which includes a wide range of good deeds, such as charitable things or other involved with providing potent assistance to important social projects. Many wealthy persons especially businessmen try to take advantage of philanthropic activities to wash their ruined images or improve their reputation</w:t>
      </w:r>
      <w:r>
        <w:rPr>
          <w:rFonts w:hint="default" w:ascii="Times New Roman" w:hAnsi="Times New Roman" w:cs="Times New Roman"/>
          <w:b w:val="0"/>
          <w:bCs w:val="0"/>
          <w:color w:val="auto"/>
          <w:sz w:val="24"/>
          <w:szCs w:val="24"/>
          <w:lang w:val="en-US" w:eastAsia="zh-CN"/>
        </w:rPr>
        <w:t>(Luigi,2008)</w:t>
      </w:r>
      <w:r>
        <w:rPr>
          <w:rFonts w:hint="default" w:ascii="Times New Roman" w:hAnsi="Times New Roman" w:cs="Times New Roman"/>
          <w:sz w:val="24"/>
          <w:szCs w:val="24"/>
          <w:lang w:val="en-US" w:eastAsia="zh-CN"/>
        </w:rPr>
        <w:t xml:space="preserve">. Although it can not be denied that numerous philanthropic activities have contributed so much for our societies in terms of culture construction, education level and other important fields, that many people can not pursue their dreams without these helpful hands, it remains debated whether philanthropic activities can justify wealth making or not. </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Many wealthy persons decide to engage in philanthropic activities not because of a willing of doing good things, but to wash their ruined images or improve their reputation via a good name among citizens(Marco,2005). In this case, before these persons become sufficiently wealthy, they do not consider philanthropic responsibility as an important motivation. However, for some wealthy businessman such as Carnegie, who originally agreed that wealth was made for sharing and it would more than appropriate for a capable person to help people in need(Frank,2007). As a consequence, whether philanthropic activities can justify wealth making really depends on the personal beliefs and attitudes in the first place. </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pStyle w:val="4"/>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bookmarkStart w:id="10" w:name="_Toc9721"/>
      <w:r>
        <w:rPr>
          <w:rFonts w:hint="default" w:ascii="Times New Roman" w:hAnsi="Times New Roman" w:cs="Times New Roman"/>
          <w:sz w:val="24"/>
          <w:szCs w:val="24"/>
          <w:lang w:val="en-US" w:eastAsia="zh-CN"/>
        </w:rPr>
        <w:t>2.2.2 The merits of philanthropic activities in the 21st century</w:t>
      </w:r>
      <w:bookmarkEnd w:id="10"/>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In the Carroll’s CSR pyramid model(1991) which interprets four most critical corporate social responsibilities, philanthropic social responsibility is locate at the very top of this pyramid, which is considered as the most luxurious social responsibility conducted by a corporation. The merits of philanthropic activities can not only target at persons or other social subjects which receive the assistance, but also at corporations which commit themselves to invest on philanthropic activities. </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To star with, philanthropic activities can provide tangible and visible help for some one in need(Jean,1999). For instance, those education institutions which are sponsored by corporations are capable to cultivate numerous brilliant minds to our society. Those hospitals which are founded by charity organizations can help many patients to get covered with an affordable amount of fees. Also, there are many funds supported by philanthropy activities which make a difference to promoting progress for the communities. </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Secondly, philanthropic can be divided into many categories, such as individual philanthropic, corporate philanthropic and strategic philanthropic. And the last one is increasingly paid attention to by many corporations. There is no conflict between social and economic benefits and wise entrepreneurs would take this opportunity to promote economic performances.</w:t>
      </w:r>
      <w:r>
        <w:rPr>
          <w:rFonts w:hint="eastAsia" w:ascii="Times New Roman" w:hAnsi="Times New Roman" w:cs="Times New Roman"/>
          <w:sz w:val="24"/>
          <w:szCs w:val="24"/>
          <w:lang w:val="en-US" w:eastAsia="zh-CN"/>
        </w:rPr>
        <w:t xml:space="preserve"> For example, Bill Gates is not only a successful entrepreneur, but also a philanthropist.</w:t>
      </w:r>
      <w:r>
        <w:rPr>
          <w:rFonts w:hint="default" w:ascii="Times New Roman" w:hAnsi="Times New Roman" w:cs="Times New Roman"/>
          <w:sz w:val="24"/>
          <w:szCs w:val="24"/>
          <w:lang w:val="en-US" w:eastAsia="zh-CN"/>
        </w:rPr>
        <w:t xml:space="preserve"> Two years after Bill Gates left Microsoft, he worked for Microsoft every </w:t>
      </w:r>
      <w:r>
        <w:rPr>
          <w:rFonts w:hint="eastAsia" w:ascii="Times New Roman" w:hAnsi="Times New Roman" w:cs="Times New Roman"/>
          <w:sz w:val="24"/>
          <w:szCs w:val="24"/>
          <w:lang w:val="en-US" w:eastAsia="zh-CN"/>
        </w:rPr>
        <w:t>week</w:t>
      </w:r>
      <w:r>
        <w:rPr>
          <w:rFonts w:hint="default" w:ascii="Times New Roman" w:hAnsi="Times New Roman" w:cs="Times New Roman"/>
          <w:sz w:val="24"/>
          <w:szCs w:val="24"/>
          <w:lang w:val="en-US" w:eastAsia="zh-CN"/>
        </w:rPr>
        <w:t xml:space="preserve"> for a day. He spent </w:t>
      </w:r>
      <w:r>
        <w:rPr>
          <w:rFonts w:hint="eastAsia" w:ascii="Times New Roman" w:hAnsi="Times New Roman" w:cs="Times New Roman"/>
          <w:sz w:val="24"/>
          <w:szCs w:val="24"/>
          <w:lang w:val="en-US" w:eastAsia="zh-CN"/>
        </w:rPr>
        <w:t>free time</w:t>
      </w:r>
      <w:r>
        <w:rPr>
          <w:rFonts w:hint="default" w:ascii="Times New Roman" w:hAnsi="Times New Roman" w:cs="Times New Roman"/>
          <w:sz w:val="24"/>
          <w:szCs w:val="24"/>
          <w:lang w:val="en-US" w:eastAsia="zh-CN"/>
        </w:rPr>
        <w:t xml:space="preserve"> traveling around the world.</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Nigeria and India, he helped local people fight poliomyelitis, providing vaccines and post treatment treatment free of charge.</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Philippines, he funded research and development of new rice varieties with high photosynthetic efficiency, flood resistance and cold tolerance, which saved many people from starvation.</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Botswana, he has provided medical help to AIDS patients and has been working tirelessly to support development of AIDS vaccines.</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Mozambique, he donated $1 billion 600 million to fight malaria</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from mosquito nets, drugs, pesticides to vaccines and he was concerned about every aspect.</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Charity did not conflict with Bill Gates's </w:t>
      </w:r>
      <w:r>
        <w:rPr>
          <w:rFonts w:hint="eastAsia" w:ascii="Times New Roman" w:hAnsi="Times New Roman" w:cs="Times New Roman"/>
          <w:sz w:val="24"/>
          <w:szCs w:val="24"/>
          <w:lang w:val="en-US" w:eastAsia="zh-CN"/>
        </w:rPr>
        <w:t>business</w:t>
      </w:r>
      <w:r>
        <w:rPr>
          <w:rFonts w:hint="default" w:ascii="Times New Roman" w:hAnsi="Times New Roman" w:cs="Times New Roman"/>
          <w:sz w:val="24"/>
          <w:szCs w:val="24"/>
          <w:lang w:val="en-US" w:eastAsia="zh-CN"/>
        </w:rPr>
        <w:t>, but also enhanced Bill Gates's image and promoted economic significance. Philanthropy is very important for enterprises.</w:t>
      </w:r>
    </w:p>
    <w:p>
      <w:pPr>
        <w:pStyle w:val="2"/>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lang w:val="en-US" w:eastAsia="zh-CN"/>
        </w:rPr>
      </w:pPr>
      <w:bookmarkStart w:id="11" w:name="_Toc15566"/>
    </w:p>
    <w:p>
      <w:pPr>
        <w:rPr>
          <w:rFonts w:hint="default" w:ascii="Times New Roman" w:hAnsi="Times New Roman" w:cs="Times New Roman"/>
          <w:sz w:val="28"/>
          <w:szCs w:val="28"/>
          <w:lang w:val="en-US" w:eastAsia="zh-CN"/>
        </w:rPr>
      </w:pPr>
    </w:p>
    <w:p>
      <w:pPr>
        <w:rPr>
          <w:rFonts w:hint="default" w:ascii="Times New Roman" w:hAnsi="Times New Roman" w:cs="Times New Roman"/>
          <w:sz w:val="28"/>
          <w:szCs w:val="28"/>
          <w:lang w:val="en-US" w:eastAsia="zh-CN"/>
        </w:rPr>
      </w:pPr>
    </w:p>
    <w:p>
      <w:pPr>
        <w:pStyle w:val="2"/>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3.0 Conclusion</w:t>
      </w:r>
      <w:bookmarkEnd w:id="11"/>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To summarize, this report stands on the perspectives of corporate governance and philanthropic activities, critically analyze the achievements of John D Rockefeller and Andrew Carnegie, as well as the effects of philanthropic activities in the 21</w:t>
      </w:r>
      <w:r>
        <w:rPr>
          <w:rFonts w:hint="default" w:ascii="Times New Roman" w:hAnsi="Times New Roman" w:cs="Times New Roman"/>
          <w:sz w:val="24"/>
          <w:szCs w:val="24"/>
          <w:vertAlign w:val="superscript"/>
          <w:lang w:val="en-US" w:eastAsia="zh-CN"/>
        </w:rPr>
        <w:t>st</w:t>
      </w:r>
      <w:r>
        <w:rPr>
          <w:rFonts w:hint="default" w:ascii="Times New Roman" w:hAnsi="Times New Roman" w:cs="Times New Roman"/>
          <w:sz w:val="24"/>
          <w:szCs w:val="24"/>
          <w:lang w:val="en-US" w:eastAsia="zh-CN"/>
        </w:rPr>
        <w:t xml:space="preserve"> century. John D Rockefeller and Andrew Carnegie both owned monopolistic financial group respectively in the oil and steel industry, which made significant contribution for the economy of the United States. During their era, it was a world which was greatly manipulated by monopolistic financial groups, including political and economic perspectives. Modern day corporate governance can be more democrat but contains worries as well. Philanthropic activities can not necessary justify wealth making, which depends on personal beliefs and attitudes of entrepreneurs. Philanthropic activities express various merits either for persons who receive the assistance or corporations which lend a hand. </w:t>
      </w:r>
    </w:p>
    <w:p>
      <w:pPr>
        <w:pStyle w:val="2"/>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lang w:val="en-US" w:eastAsia="zh-CN"/>
        </w:rPr>
      </w:pPr>
      <w:bookmarkStart w:id="12" w:name="_Toc20768"/>
    </w:p>
    <w:p>
      <w:pPr>
        <w:pStyle w:val="2"/>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lang w:val="en-US" w:eastAsia="zh-CN"/>
        </w:rPr>
      </w:pPr>
    </w:p>
    <w:p>
      <w:pPr>
        <w:rPr>
          <w:rFonts w:hint="default" w:ascii="Times New Roman" w:hAnsi="Times New Roman" w:cs="Times New Roman"/>
          <w:sz w:val="28"/>
          <w:szCs w:val="28"/>
          <w:lang w:val="en-US" w:eastAsia="zh-CN"/>
        </w:rPr>
      </w:pPr>
    </w:p>
    <w:p>
      <w:pPr>
        <w:rPr>
          <w:rFonts w:hint="default" w:ascii="Times New Roman" w:hAnsi="Times New Roman" w:cs="Times New Roman"/>
          <w:sz w:val="28"/>
          <w:szCs w:val="28"/>
          <w:lang w:val="en-US" w:eastAsia="zh-CN"/>
        </w:rPr>
      </w:pPr>
    </w:p>
    <w:p>
      <w:pPr>
        <w:rPr>
          <w:rFonts w:hint="default" w:ascii="Times New Roman" w:hAnsi="Times New Roman" w:cs="Times New Roman"/>
          <w:sz w:val="28"/>
          <w:szCs w:val="28"/>
          <w:lang w:val="en-US" w:eastAsia="zh-CN"/>
        </w:rPr>
      </w:pPr>
    </w:p>
    <w:p>
      <w:pPr>
        <w:rPr>
          <w:rFonts w:hint="default" w:ascii="Times New Roman" w:hAnsi="Times New Roman" w:cs="Times New Roman"/>
          <w:sz w:val="28"/>
          <w:szCs w:val="28"/>
          <w:lang w:val="en-US" w:eastAsia="zh-CN"/>
        </w:rPr>
      </w:pPr>
    </w:p>
    <w:p>
      <w:pPr>
        <w:rPr>
          <w:rFonts w:hint="default" w:ascii="Times New Roman" w:hAnsi="Times New Roman" w:cs="Times New Roman"/>
          <w:sz w:val="28"/>
          <w:szCs w:val="28"/>
          <w:lang w:val="en-US" w:eastAsia="zh-CN"/>
        </w:rPr>
      </w:pPr>
    </w:p>
    <w:p>
      <w:pPr>
        <w:rPr>
          <w:rFonts w:hint="default" w:ascii="Times New Roman" w:hAnsi="Times New Roman" w:cs="Times New Roman"/>
          <w:sz w:val="28"/>
          <w:szCs w:val="28"/>
          <w:lang w:val="en-US" w:eastAsia="zh-CN"/>
        </w:rPr>
      </w:pPr>
    </w:p>
    <w:p>
      <w:pPr>
        <w:pStyle w:val="2"/>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sans-serif" w:cs="Times New Roman"/>
          <w:i w:val="0"/>
          <w:caps w:val="0"/>
          <w:color w:val="000000"/>
          <w:spacing w:val="0"/>
          <w:sz w:val="28"/>
          <w:szCs w:val="28"/>
          <w:shd w:val="clear" w:fill="F7F7F7"/>
          <w:lang w:val="en-US" w:eastAsia="zh-CN"/>
        </w:rPr>
      </w:pPr>
      <w:r>
        <w:rPr>
          <w:rFonts w:hint="default" w:ascii="Times New Roman" w:hAnsi="Times New Roman" w:cs="Times New Roman"/>
          <w:sz w:val="28"/>
          <w:szCs w:val="28"/>
          <w:lang w:val="en-US" w:eastAsia="zh-CN"/>
        </w:rPr>
        <w:t>4.0 References</w:t>
      </w:r>
      <w:bookmarkEnd w:id="12"/>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lang w:val="en-US" w:eastAsia="zh-CN"/>
        </w:rPr>
      </w:pPr>
      <w:r>
        <w:rPr>
          <w:rFonts w:hint="default" w:ascii="Times New Roman" w:hAnsi="Times New Roman" w:cs="Times New Roman"/>
          <w:i w:val="0"/>
          <w:iCs w:val="0"/>
          <w:sz w:val="24"/>
          <w:szCs w:val="24"/>
          <w:lang w:val="en-US" w:eastAsia="zh-CN"/>
        </w:rPr>
        <w:t>Carroll,A.B.(1991) The pyramid of corporate social responsibility:toward the moral management of organizational stakeholders.</w:t>
      </w:r>
      <w:r>
        <w:rPr>
          <w:rFonts w:hint="default" w:ascii="Times New Roman" w:hAnsi="Times New Roman" w:cs="Times New Roman"/>
          <w:i/>
          <w:iCs/>
          <w:sz w:val="24"/>
          <w:szCs w:val="24"/>
          <w:lang w:val="en-US" w:eastAsia="zh-CN"/>
        </w:rPr>
        <w:t xml:space="preserve"> Business Horizons.</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lang w:val="en-US" w:eastAsia="zh-CN"/>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 xml:space="preserve">Cadbury,A.(1992). Report of Committee on the financial aspects of corporate governance.London:Gee Press. </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lang w:val="en-US" w:eastAsia="zh-CN"/>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lang w:val="en-US" w:eastAsia="zh-CN"/>
        </w:rPr>
      </w:pPr>
      <w:r>
        <w:rPr>
          <w:rFonts w:hint="default" w:ascii="Times New Roman" w:hAnsi="Times New Roman" w:cs="Times New Roman"/>
          <w:sz w:val="24"/>
          <w:szCs w:val="24"/>
          <w:lang w:val="en-US" w:eastAsia="zh-CN"/>
        </w:rPr>
        <w:t xml:space="preserve">Chowdhury,F.L.(2006). Corrupt Bureaucracy and Privatisation of Tax Enforcement. </w:t>
      </w:r>
      <w:r>
        <w:rPr>
          <w:rFonts w:hint="default" w:ascii="Times New Roman" w:hAnsi="Times New Roman" w:cs="Times New Roman"/>
          <w:i/>
          <w:iCs/>
          <w:sz w:val="24"/>
          <w:szCs w:val="24"/>
          <w:lang w:val="en-US" w:eastAsia="zh-CN"/>
        </w:rPr>
        <w:t>Pathak Samabesh,Dhaka.</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lang w:val="en-US" w:eastAsia="zh-CN"/>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Crane,A.,Matten,D.,&amp;Spence,L.J.(2014).</w:t>
      </w:r>
      <w:r>
        <w:rPr>
          <w:rFonts w:hint="default" w:ascii="Times New Roman" w:hAnsi="Times New Roman" w:cs="Times New Roman"/>
          <w:i/>
          <w:iCs/>
          <w:sz w:val="24"/>
          <w:szCs w:val="24"/>
          <w:lang w:val="en-US" w:eastAsia="zh-CN"/>
        </w:rPr>
        <w:t xml:space="preserve">Corporate social responsibility: readings and cases in a global context. </w:t>
      </w:r>
      <w:r>
        <w:rPr>
          <w:rFonts w:hint="default" w:ascii="Times New Roman" w:hAnsi="Times New Roman" w:cs="Times New Roman"/>
          <w:sz w:val="24"/>
          <w:szCs w:val="24"/>
          <w:lang w:val="en-US" w:eastAsia="zh-CN"/>
        </w:rPr>
        <w:t>London: Routledge.</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lang w:val="en-US" w:eastAsia="zh-CN"/>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 xml:space="preserve">Daines,R.(2008). Corporate law and economy. </w:t>
      </w:r>
      <w:r>
        <w:rPr>
          <w:rFonts w:hint="default" w:ascii="Times New Roman" w:hAnsi="Times New Roman" w:cs="Times New Roman"/>
          <w:i/>
          <w:iCs/>
          <w:sz w:val="24"/>
          <w:szCs w:val="24"/>
          <w:lang w:val="en-US" w:eastAsia="zh-CN"/>
        </w:rPr>
        <w:t>Dictionary of Economics.</w:t>
      </w:r>
      <w:r>
        <w:rPr>
          <w:rFonts w:hint="default" w:ascii="Times New Roman" w:hAnsi="Times New Roman" w:cs="Times New Roman"/>
          <w:i w:val="0"/>
          <w:iCs w:val="0"/>
          <w:sz w:val="24"/>
          <w:szCs w:val="24"/>
          <w:lang w:val="en-US" w:eastAsia="zh-CN"/>
        </w:rPr>
        <w:t xml:space="preserve"> </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lang w:val="en-US" w:eastAsia="zh-CN"/>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Daniel,M.A.,&amp;Sojamo,S.(2012).From Risks to Shared Value? Corporate Strategies Goergan,. International Corporate Governance. Prentice Hall.</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lang w:val="en-US" w:eastAsia="zh-CN"/>
        </w:rPr>
      </w:pPr>
      <w:r>
        <w:rPr>
          <w:rFonts w:hint="default" w:ascii="Times New Roman" w:hAnsi="Times New Roman" w:cs="Times New Roman"/>
          <w:i w:val="0"/>
          <w:iCs w:val="0"/>
          <w:sz w:val="24"/>
          <w:szCs w:val="24"/>
          <w:lang w:val="en-US" w:eastAsia="zh-CN"/>
        </w:rPr>
        <w:t>Frank.R.(2007).Corporate governance</w:t>
      </w:r>
      <w:r>
        <w:rPr>
          <w:rFonts w:hint="default" w:ascii="Times New Roman" w:hAnsi="Times New Roman" w:cs="Times New Roman"/>
          <w:i/>
          <w:iCs/>
          <w:sz w:val="24"/>
          <w:szCs w:val="24"/>
          <w:lang w:val="en-US" w:eastAsia="zh-CN"/>
        </w:rPr>
        <w:t>.News Network.</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lang w:val="en-US" w:eastAsia="zh-CN"/>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lang w:val="en-US" w:eastAsia="zh-CN"/>
        </w:rPr>
      </w:pPr>
      <w:r>
        <w:rPr>
          <w:rFonts w:hint="default" w:ascii="Times New Roman" w:hAnsi="Times New Roman" w:cs="Times New Roman"/>
          <w:i w:val="0"/>
          <w:iCs w:val="0"/>
          <w:sz w:val="24"/>
          <w:szCs w:val="24"/>
          <w:lang w:val="en-US" w:eastAsia="zh-CN"/>
        </w:rPr>
        <w:t xml:space="preserve">Felipe.M.(2007).Modern days of corporate governance. </w:t>
      </w:r>
      <w:r>
        <w:rPr>
          <w:rFonts w:hint="default" w:ascii="Times New Roman" w:hAnsi="Times New Roman" w:cs="Times New Roman"/>
          <w:i/>
          <w:iCs/>
          <w:sz w:val="24"/>
          <w:szCs w:val="24"/>
          <w:lang w:val="en-US" w:eastAsia="zh-CN"/>
        </w:rPr>
        <w:t>Research Networking Paper.</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lang w:val="en-US" w:eastAsia="zh-CN"/>
        </w:rPr>
      </w:pPr>
      <w:r>
        <w:rPr>
          <w:rFonts w:hint="default" w:ascii="Times New Roman" w:hAnsi="Times New Roman" w:cs="Times New Roman"/>
          <w:sz w:val="24"/>
          <w:szCs w:val="24"/>
          <w:lang w:val="en-US" w:eastAsia="zh-CN"/>
        </w:rPr>
        <w:t>GRC.(2010).Corporate governance via GRC glossary.</w:t>
      </w:r>
      <w:r>
        <w:rPr>
          <w:rFonts w:hint="default" w:ascii="Times New Roman" w:hAnsi="Times New Roman" w:cs="Times New Roman"/>
          <w:i/>
          <w:iCs/>
          <w:sz w:val="24"/>
          <w:szCs w:val="24"/>
          <w:lang w:val="en-US" w:eastAsia="zh-CN"/>
        </w:rPr>
        <w:t xml:space="preserve"> Journal of ethics group. </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lang w:val="en-US" w:eastAsia="zh-CN"/>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Jean,T.(1999).The theory of corporate finance. Princeton.</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lang w:val="en-US" w:eastAsia="zh-CN"/>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Laura,F(2013).The Cadbury Committee:A History. Oxford University Press.</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lang w:val="en-US" w:eastAsia="zh-CN"/>
        </w:rPr>
      </w:pPr>
      <w:r>
        <w:rPr>
          <w:rFonts w:hint="default" w:ascii="Times New Roman" w:hAnsi="Times New Roman" w:cs="Times New Roman"/>
          <w:sz w:val="24"/>
          <w:szCs w:val="24"/>
          <w:lang w:val="en-US" w:eastAsia="zh-CN"/>
        </w:rPr>
        <w:t>Luigi,Z.(2008).Corporate governance.</w:t>
      </w:r>
      <w:r>
        <w:rPr>
          <w:rFonts w:hint="default" w:ascii="Times New Roman" w:hAnsi="Times New Roman" w:cs="Times New Roman"/>
          <w:i/>
          <w:iCs/>
          <w:sz w:val="24"/>
          <w:szCs w:val="24"/>
          <w:lang w:val="en-US" w:eastAsia="zh-CN"/>
        </w:rPr>
        <w:t>Dictionary of Economics.</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lang w:val="en-US" w:eastAsia="zh-CN"/>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lang w:val="en-US" w:eastAsia="zh-CN"/>
        </w:rPr>
      </w:pPr>
      <w:r>
        <w:rPr>
          <w:rFonts w:hint="default" w:ascii="Times New Roman" w:hAnsi="Times New Roman" w:cs="Times New Roman"/>
          <w:i/>
          <w:iCs/>
          <w:sz w:val="24"/>
          <w:szCs w:val="24"/>
          <w:lang w:val="en-US" w:eastAsia="zh-CN"/>
        </w:rPr>
        <w:t>Marco,V.(2005). The political economy of corporate governance. Journal of Economic Review.</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lang w:val="en-US" w:eastAsia="zh-CN"/>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OECD.(2004). Principles of contemporary corporate governance.Retrieved 2013-5-18.</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lang w:val="en-US" w:eastAsia="zh-CN"/>
        </w:rPr>
      </w:pPr>
      <w:r>
        <w:rPr>
          <w:rFonts w:hint="default" w:ascii="Times New Roman" w:hAnsi="Times New Roman" w:cs="Times New Roman"/>
          <w:sz w:val="24"/>
          <w:szCs w:val="24"/>
          <w:lang w:val="en-US" w:eastAsia="zh-CN"/>
        </w:rPr>
        <w:t xml:space="preserve">Oliver,H.(1989).The theory of the firm. </w:t>
      </w:r>
      <w:r>
        <w:rPr>
          <w:rFonts w:hint="default" w:ascii="Times New Roman" w:hAnsi="Times New Roman" w:cs="Times New Roman"/>
          <w:i/>
          <w:iCs/>
          <w:sz w:val="24"/>
          <w:szCs w:val="24"/>
          <w:lang w:val="en-US" w:eastAsia="zh-CN"/>
        </w:rPr>
        <w:t>Columbia law review.</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lang w:val="en-US" w:eastAsia="zh-CN"/>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lang w:val="en-US" w:eastAsia="zh-CN"/>
        </w:rPr>
      </w:pPr>
      <w:r>
        <w:rPr>
          <w:rFonts w:hint="default" w:ascii="Times New Roman" w:hAnsi="Times New Roman" w:cs="Times New Roman"/>
          <w:i w:val="0"/>
          <w:iCs w:val="0"/>
          <w:sz w:val="24"/>
          <w:szCs w:val="24"/>
          <w:lang w:val="en-US" w:eastAsia="zh-CN"/>
        </w:rPr>
        <w:t xml:space="preserve">Sifun,A.(2012).Disclose or Abstain. </w:t>
      </w:r>
      <w:r>
        <w:rPr>
          <w:rFonts w:hint="default" w:ascii="Times New Roman" w:hAnsi="Times New Roman" w:cs="Times New Roman"/>
          <w:i/>
          <w:iCs/>
          <w:sz w:val="24"/>
          <w:szCs w:val="24"/>
          <w:lang w:val="en-US" w:eastAsia="zh-CN"/>
        </w:rPr>
        <w:t xml:space="preserve">Journal of international banking law. </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lang w:val="en-US" w:eastAsia="zh-CN"/>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Financial Times.(2010). The financial times lexicon.</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Urban,M.(2013).Philanthropy and Corporate Performance. Journal of Innovative Development.</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lang w:val="en-US" w:eastAsia="zh-CN"/>
        </w:rPr>
      </w:pPr>
      <w:r>
        <w:rPr>
          <w:rFonts w:hint="default" w:ascii="Times New Roman" w:hAnsi="Times New Roman" w:cs="Times New Roman"/>
          <w:sz w:val="24"/>
          <w:szCs w:val="24"/>
          <w:lang w:val="en-US" w:eastAsia="zh-CN"/>
        </w:rPr>
        <w:t xml:space="preserve">Vitaliy,Z.(2006). Corporate governance and firms’ efficiency. </w:t>
      </w:r>
      <w:r>
        <w:rPr>
          <w:rFonts w:hint="default" w:ascii="Times New Roman" w:hAnsi="Times New Roman" w:cs="Times New Roman"/>
          <w:i/>
          <w:iCs/>
          <w:sz w:val="24"/>
          <w:szCs w:val="24"/>
          <w:lang w:val="en-US" w:eastAsia="zh-CN"/>
        </w:rPr>
        <w:t xml:space="preserve">Journal of productivity analysis. </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lang w:val="en-US" w:eastAsia="zh-CN"/>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Yin,C.(2013). The Implications of Corporate Governance. London:Sage</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Patsy Moy</w:t>
      </w:r>
      <w:r>
        <w:rPr>
          <w:rFonts w:hint="eastAsia" w:ascii="Times New Roman" w:hAnsi="Times New Roman" w:cs="Times New Roman"/>
          <w:sz w:val="24"/>
          <w:szCs w:val="24"/>
          <w:lang w:val="en-US" w:eastAsia="zh-CN"/>
        </w:rPr>
        <w:t xml:space="preserve">.(2010). Bad milk bid turns sour - as judge rejects claims </w:t>
      </w:r>
      <w:r>
        <w:rPr>
          <w:rFonts w:hint="eastAsia"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 HYPERLINK "https://www.business-humanrights.org/en/bad-milk-bid-turns-sour-as-judge-rejects-claims-hong-kong" </w:instrText>
      </w:r>
      <w:r>
        <w:rPr>
          <w:rFonts w:hint="eastAsia" w:ascii="Times New Roman" w:hAnsi="Times New Roman" w:cs="Times New Roman"/>
          <w:sz w:val="24"/>
          <w:szCs w:val="24"/>
          <w:lang w:val="en-US" w:eastAsia="zh-CN"/>
        </w:rPr>
        <w:fldChar w:fldCharType="separate"/>
      </w:r>
      <w:r>
        <w:rPr>
          <w:rStyle w:val="11"/>
          <w:rFonts w:hint="eastAsia" w:ascii="Times New Roman" w:hAnsi="Times New Roman" w:cs="Times New Roman"/>
          <w:sz w:val="24"/>
          <w:szCs w:val="24"/>
          <w:lang w:val="en-US" w:eastAsia="zh-CN"/>
        </w:rPr>
        <w:t>https://www.business-humanrights.org/en/bad-milk-bid-turns-sour-as-judge-rejects-claims-hong-kong</w:t>
      </w:r>
      <w:r>
        <w:rPr>
          <w:rFonts w:hint="eastAsia" w:ascii="Times New Roman" w:hAnsi="Times New Roman" w:cs="Times New Roman"/>
          <w:sz w:val="24"/>
          <w:szCs w:val="24"/>
          <w:lang w:val="en-US" w:eastAsia="zh-CN"/>
        </w:rPr>
        <w:fldChar w:fldCharType="end"/>
      </w:r>
      <w:r>
        <w:rPr>
          <w:rFonts w:hint="eastAsia" w:ascii="Times New Roman" w:hAnsi="Times New Roman" w:cs="Times New Roman"/>
          <w:sz w:val="24"/>
          <w:szCs w:val="24"/>
          <w:lang w:val="en-US" w:eastAsia="zh-CN"/>
        </w:rPr>
        <w:t xml:space="preserve"> [Accessed on 25.4.2018]</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sans-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58240" behindDoc="0" locked="0" layoutInCell="1" allowOverlap="1">
              <wp:simplePos x="0" y="0"/>
              <wp:positionH relativeFrom="margin">
                <wp:align>right</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6"/>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">
              <v:fill on="f" focussize="0,0"/>
              <v:stroke on="f" weight="0.5pt"/>
              <v:imagedata o:title=""/>
              <o:lock v:ext="edit" aspectratio="f"/>
              <v:textbox inset="0mm,0mm,0mm,0mm" style="mso-fit-shape-to-text:t;">
                <w:txbxContent>
                  <w:p>
                    <w:pPr>
                      <w:pStyle w:val="6"/>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v:textbox>
            </v:shape>
          </w:pict>
        </mc:Fallback>
      </mc:AlternateConten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embedSystemFonts/>
  <w:bordersDoNotSurroundHeader w:val="0"/>
  <w:bordersDoNotSurroundFooter w:val="0"/>
  <w:attachedTemplate r:id="rId1"/>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D4859B0"/>
    <w:rsid w:val="0BE23FD9"/>
    <w:rsid w:val="0D241B43"/>
    <w:rsid w:val="17B16AB9"/>
    <w:rsid w:val="1C293EA1"/>
    <w:rsid w:val="1E773191"/>
    <w:rsid w:val="219F1770"/>
    <w:rsid w:val="25D61277"/>
    <w:rsid w:val="32DF1B99"/>
    <w:rsid w:val="357C2CD6"/>
    <w:rsid w:val="3C57781F"/>
    <w:rsid w:val="3D4859B0"/>
    <w:rsid w:val="49CC3432"/>
    <w:rsid w:val="4CD670D0"/>
    <w:rsid w:val="582778AB"/>
    <w:rsid w:val="684E3C07"/>
    <w:rsid w:val="6B032B28"/>
    <w:rsid w:val="6D535020"/>
    <w:rsid w:val="7340590B"/>
    <w:rsid w:val="75D60EE6"/>
    <w:rsid w:val="7D31519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character" w:default="1" w:styleId="10">
    <w:name w:val="Default Paragraph Font"/>
    <w:semiHidden/>
    <w:qFormat/>
    <w:uiPriority w:val="0"/>
  </w:style>
  <w:style w:type="table" w:default="1" w:styleId="12">
    <w:name w:val="Normal Table"/>
    <w:semiHidden/>
    <w:qFormat/>
    <w:uiPriority w:val="0"/>
    <w:tblPr>
      <w:tblLayout w:type="fixed"/>
      <w:tblCellMar>
        <w:top w:w="0" w:type="dxa"/>
        <w:left w:w="108" w:type="dxa"/>
        <w:bottom w:w="0" w:type="dxa"/>
        <w:right w:w="108" w:type="dxa"/>
      </w:tblCellMar>
    </w:tblPr>
  </w:style>
  <w:style w:type="paragraph" w:styleId="5">
    <w:name w:val="toc 3"/>
    <w:basedOn w:val="1"/>
    <w:next w:val="1"/>
    <w:qFormat/>
    <w:uiPriority w:val="0"/>
    <w:pPr>
      <w:ind w:left="840" w:leftChars="400"/>
    </w:pPr>
  </w:style>
  <w:style w:type="paragraph" w:styleId="6">
    <w:name w:val="footer"/>
    <w:basedOn w:val="1"/>
    <w:qFormat/>
    <w:uiPriority w:val="0"/>
    <w:pPr>
      <w:tabs>
        <w:tab w:val="center" w:pos="4153"/>
        <w:tab w:val="right" w:pos="8306"/>
      </w:tabs>
      <w:snapToGrid w:val="0"/>
      <w:jc w:val="left"/>
    </w:pPr>
    <w:rPr>
      <w:sz w:val="18"/>
    </w:rPr>
  </w:style>
  <w:style w:type="paragraph" w:styleId="7">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8">
    <w:name w:val="toc 1"/>
    <w:basedOn w:val="1"/>
    <w:next w:val="1"/>
    <w:uiPriority w:val="0"/>
  </w:style>
  <w:style w:type="paragraph" w:styleId="9">
    <w:name w:val="toc 2"/>
    <w:basedOn w:val="1"/>
    <w:next w:val="1"/>
    <w:uiPriority w:val="0"/>
    <w:pPr>
      <w:ind w:left="420" w:leftChars="200"/>
    </w:pPr>
  </w:style>
  <w:style w:type="character" w:styleId="11">
    <w:name w:val="Hyperlink"/>
    <w:basedOn w:val="10"/>
    <w:uiPriority w:val="0"/>
    <w:rPr>
      <w:color w:val="0000FF"/>
      <w:u w:val="single"/>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29579;&#24515;\AppData\Roaming\Kingsoft\wps\addons\pool\win-i386\knewfileres_1.0.0.1\wps\0.docx"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0.docx</Template>
  <Pages>1</Pages>
  <Words>0</Words>
  <Characters>0</Characters>
  <Lines>0</Lines>
  <Paragraphs>0</Paragraphs>
  <TotalTime>0</TotalTime>
  <ScaleCrop>false</ScaleCrop>
  <LinksUpToDate>false</LinksUpToDate>
  <CharactersWithSpaces>0</CharactersWithSpaces>
  <Application>WPS Office_10.1.0.7311_F1E327BC-269C-435d-A152-05C5408002CA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2018-04-02T02:24:00Z</dcterms:created>
  <dc:creator></dc:creator>
  <cp:lastModifiedBy>SSss</cp:lastModifiedBy>
  <dcterms:modified xsi:type="dcterms:W3CDTF">2018-04-27T11:48:44Z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2052-10.1.0.7311</vt:lpwstr>
  </property>
</Properties>
</file>