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72BFB" w14:textId="152E4E2B" w:rsidR="007D2AEB" w:rsidRDefault="007633F5" w:rsidP="00774B6E">
      <w:pPr>
        <w:spacing w:after="0" w:line="480" w:lineRule="auto"/>
        <w:jc w:val="center"/>
        <w:rPr>
          <w:b/>
          <w:bCs/>
          <w:spacing w:val="-3"/>
          <w:u w:val="single"/>
        </w:rPr>
      </w:pPr>
      <w:r w:rsidRPr="007633F5">
        <w:rPr>
          <w:b/>
          <w:bCs/>
          <w:u w:val="single"/>
        </w:rPr>
        <w:t xml:space="preserve">A Commentary On The Extract From The </w:t>
      </w:r>
      <w:r w:rsidRPr="007633F5">
        <w:rPr>
          <w:b/>
          <w:bCs/>
          <w:i/>
          <w:iCs/>
          <w:spacing w:val="-3"/>
          <w:u w:val="single"/>
        </w:rPr>
        <w:t>Carta Caritatis</w:t>
      </w:r>
    </w:p>
    <w:p w14:paraId="2C798E21" w14:textId="115FF596" w:rsidR="007633F5" w:rsidRDefault="009C26FF" w:rsidP="00774B6E">
      <w:pPr>
        <w:spacing w:after="0" w:line="480" w:lineRule="auto"/>
        <w:ind w:firstLine="720"/>
        <w:jc w:val="both"/>
        <w:rPr>
          <w:spacing w:val="-3"/>
        </w:rPr>
      </w:pPr>
      <w:r>
        <w:rPr>
          <w:spacing w:val="-3"/>
        </w:rPr>
        <w:t xml:space="preserve">The </w:t>
      </w:r>
      <w:r>
        <w:rPr>
          <w:i/>
          <w:iCs/>
          <w:spacing w:val="-3"/>
        </w:rPr>
        <w:t>Carta Caritatis</w:t>
      </w:r>
      <w:r>
        <w:rPr>
          <w:spacing w:val="-3"/>
        </w:rPr>
        <w:t xml:space="preserve">, translated, literally, as ‘paper on </w:t>
      </w:r>
      <w:r w:rsidR="002F339D">
        <w:rPr>
          <w:spacing w:val="-3"/>
        </w:rPr>
        <w:t>love</w:t>
      </w:r>
      <w:r>
        <w:rPr>
          <w:spacing w:val="-3"/>
        </w:rPr>
        <w:t>’</w:t>
      </w:r>
      <w:r w:rsidR="002F339D">
        <w:rPr>
          <w:spacing w:val="-3"/>
        </w:rPr>
        <w:t xml:space="preserve">, is one of the founding documents of the Cistercian Order, </w:t>
      </w:r>
      <w:r w:rsidR="000C0ACA">
        <w:rPr>
          <w:spacing w:val="-3"/>
        </w:rPr>
        <w:t>act</w:t>
      </w:r>
      <w:r w:rsidR="000D517C">
        <w:rPr>
          <w:spacing w:val="-3"/>
        </w:rPr>
        <w:t>ing</w:t>
      </w:r>
      <w:r w:rsidR="000C0ACA">
        <w:rPr>
          <w:spacing w:val="-3"/>
        </w:rPr>
        <w:t xml:space="preserve"> as </w:t>
      </w:r>
      <w:r w:rsidR="00D60083">
        <w:rPr>
          <w:spacing w:val="-3"/>
        </w:rPr>
        <w:t xml:space="preserve">their </w:t>
      </w:r>
      <w:r w:rsidR="000C0ACA">
        <w:rPr>
          <w:spacing w:val="-3"/>
        </w:rPr>
        <w:t>monastic constitution</w:t>
      </w:r>
      <w:r w:rsidR="000D517C">
        <w:rPr>
          <w:spacing w:val="-3"/>
        </w:rPr>
        <w:t>;</w:t>
      </w:r>
      <w:r w:rsidR="000C0ACA">
        <w:rPr>
          <w:spacing w:val="-3"/>
        </w:rPr>
        <w:t xml:space="preserve"> setting out the customs of all Cistercian houses.</w:t>
      </w:r>
      <w:r w:rsidR="000C0ACA">
        <w:rPr>
          <w:rStyle w:val="FootnoteReference"/>
          <w:spacing w:val="-3"/>
        </w:rPr>
        <w:footnoteReference w:id="1"/>
      </w:r>
      <w:r w:rsidR="00DB6CB1">
        <w:rPr>
          <w:spacing w:val="-3"/>
        </w:rPr>
        <w:t xml:space="preserve"> Written, original</w:t>
      </w:r>
      <w:r w:rsidR="000D517C">
        <w:rPr>
          <w:spacing w:val="-3"/>
        </w:rPr>
        <w:t>ly</w:t>
      </w:r>
      <w:r w:rsidR="00DB6CB1">
        <w:rPr>
          <w:spacing w:val="-3"/>
        </w:rPr>
        <w:t xml:space="preserve">, by Abbot Stephen of </w:t>
      </w:r>
      <w:bookmarkStart w:id="1" w:name="_Hlk88845553"/>
      <w:r w:rsidR="00DB6CB1" w:rsidRPr="00DB6CB1">
        <w:rPr>
          <w:spacing w:val="-3"/>
        </w:rPr>
        <w:t>Cîteaux</w:t>
      </w:r>
      <w:bookmarkEnd w:id="1"/>
      <w:r w:rsidR="00DB6CB1">
        <w:rPr>
          <w:spacing w:val="-3"/>
        </w:rPr>
        <w:t>, the only extant version</w:t>
      </w:r>
      <w:r w:rsidR="005001D8">
        <w:rPr>
          <w:spacing w:val="-3"/>
        </w:rPr>
        <w:t>s</w:t>
      </w:r>
      <w:r w:rsidR="00DB6CB1">
        <w:rPr>
          <w:spacing w:val="-3"/>
        </w:rPr>
        <w:t xml:space="preserve"> – the </w:t>
      </w:r>
      <w:r w:rsidR="00DB6CB1">
        <w:rPr>
          <w:i/>
          <w:iCs/>
          <w:spacing w:val="-3"/>
        </w:rPr>
        <w:t>Carta  Carita</w:t>
      </w:r>
      <w:r w:rsidR="005001D8">
        <w:rPr>
          <w:i/>
          <w:iCs/>
          <w:spacing w:val="-3"/>
        </w:rPr>
        <w:t>ti</w:t>
      </w:r>
      <w:r w:rsidR="00DB6CB1">
        <w:rPr>
          <w:i/>
          <w:iCs/>
          <w:spacing w:val="-3"/>
        </w:rPr>
        <w:t>s</w:t>
      </w:r>
      <w:r w:rsidR="005001D8">
        <w:rPr>
          <w:spacing w:val="-3"/>
        </w:rPr>
        <w:t xml:space="preserve"> prior, </w:t>
      </w:r>
      <w:r w:rsidR="005001D8">
        <w:rPr>
          <w:i/>
          <w:iCs/>
          <w:spacing w:val="-3"/>
        </w:rPr>
        <w:t>Carta Caritatis</w:t>
      </w:r>
      <w:r w:rsidR="00DB6CB1">
        <w:rPr>
          <w:spacing w:val="-3"/>
        </w:rPr>
        <w:t xml:space="preserve"> posterior</w:t>
      </w:r>
      <w:r w:rsidR="005001D8">
        <w:rPr>
          <w:spacing w:val="-3"/>
        </w:rPr>
        <w:t xml:space="preserve"> </w:t>
      </w:r>
      <w:r w:rsidR="00190791">
        <w:rPr>
          <w:spacing w:val="-3"/>
        </w:rPr>
        <w:t xml:space="preserve"> and the </w:t>
      </w:r>
      <w:r w:rsidR="00190791">
        <w:rPr>
          <w:i/>
          <w:iCs/>
          <w:spacing w:val="-3"/>
        </w:rPr>
        <w:t>Suma Carta Caritatis</w:t>
      </w:r>
      <w:r w:rsidR="00DB6CB1">
        <w:rPr>
          <w:spacing w:val="-3"/>
        </w:rPr>
        <w:t xml:space="preserve"> – </w:t>
      </w:r>
      <w:r w:rsidR="005001D8">
        <w:rPr>
          <w:spacing w:val="-3"/>
        </w:rPr>
        <w:t>are</w:t>
      </w:r>
      <w:r w:rsidR="00DB6CB1">
        <w:rPr>
          <w:spacing w:val="-3"/>
        </w:rPr>
        <w:t xml:space="preserve"> believed to be updated version</w:t>
      </w:r>
      <w:r w:rsidR="005001D8">
        <w:rPr>
          <w:spacing w:val="-3"/>
        </w:rPr>
        <w:t>s</w:t>
      </w:r>
      <w:r w:rsidR="00DB6CB1">
        <w:rPr>
          <w:spacing w:val="-3"/>
        </w:rPr>
        <w:t xml:space="preserve"> of </w:t>
      </w:r>
      <w:r w:rsidR="00190791">
        <w:rPr>
          <w:spacing w:val="-3"/>
        </w:rPr>
        <w:t>the</w:t>
      </w:r>
      <w:r w:rsidR="00DB6CB1">
        <w:rPr>
          <w:spacing w:val="-3"/>
        </w:rPr>
        <w:t xml:space="preserve"> original</w:t>
      </w:r>
      <w:r w:rsidR="009578B8">
        <w:rPr>
          <w:spacing w:val="-3"/>
        </w:rPr>
        <w:t>,</w:t>
      </w:r>
      <w:r w:rsidR="00190791">
        <w:rPr>
          <w:spacing w:val="-3"/>
        </w:rPr>
        <w:t xml:space="preserve"> and a simplified variant for novices, respectively, however</w:t>
      </w:r>
      <w:r w:rsidR="009578B8">
        <w:rPr>
          <w:spacing w:val="-3"/>
        </w:rPr>
        <w:t xml:space="preserve"> </w:t>
      </w:r>
      <w:r w:rsidR="00190791">
        <w:rPr>
          <w:spacing w:val="-3"/>
        </w:rPr>
        <w:t xml:space="preserve">the </w:t>
      </w:r>
      <w:r w:rsidR="009578B8">
        <w:rPr>
          <w:spacing w:val="-3"/>
        </w:rPr>
        <w:t xml:space="preserve">dating </w:t>
      </w:r>
      <w:r w:rsidR="00190791">
        <w:rPr>
          <w:spacing w:val="-3"/>
        </w:rPr>
        <w:t>of these</w:t>
      </w:r>
      <w:r w:rsidR="009578B8">
        <w:rPr>
          <w:spacing w:val="-3"/>
        </w:rPr>
        <w:t xml:space="preserve"> </w:t>
      </w:r>
      <w:r w:rsidR="000D517C">
        <w:rPr>
          <w:spacing w:val="-3"/>
        </w:rPr>
        <w:t>is disputed</w:t>
      </w:r>
      <w:r w:rsidR="00DB6CB1">
        <w:rPr>
          <w:spacing w:val="-3"/>
        </w:rPr>
        <w:t>.</w:t>
      </w:r>
      <w:r w:rsidR="00DB6CB1">
        <w:rPr>
          <w:rStyle w:val="FootnoteReference"/>
          <w:spacing w:val="-3"/>
        </w:rPr>
        <w:footnoteReference w:id="2"/>
      </w:r>
      <w:r w:rsidR="009578B8">
        <w:rPr>
          <w:spacing w:val="-3"/>
        </w:rPr>
        <w:t xml:space="preserve"> The extract itself</w:t>
      </w:r>
      <w:r w:rsidR="00040F19">
        <w:rPr>
          <w:spacing w:val="-3"/>
        </w:rPr>
        <w:t xml:space="preserve"> originated from the </w:t>
      </w:r>
      <w:r w:rsidR="00040F19">
        <w:rPr>
          <w:i/>
          <w:iCs/>
          <w:spacing w:val="-3"/>
        </w:rPr>
        <w:t xml:space="preserve">Carta Caritas </w:t>
      </w:r>
      <w:r w:rsidR="00040F19">
        <w:rPr>
          <w:spacing w:val="-3"/>
        </w:rPr>
        <w:t>prior, and</w:t>
      </w:r>
      <w:r w:rsidR="009578B8">
        <w:rPr>
          <w:spacing w:val="-3"/>
        </w:rPr>
        <w:t xml:space="preserve"> details the procedure for the aftermath of the death of the abbot at </w:t>
      </w:r>
      <w:r w:rsidR="009578B8" w:rsidRPr="00DB6CB1">
        <w:rPr>
          <w:spacing w:val="-3"/>
        </w:rPr>
        <w:t>Cîteaux</w:t>
      </w:r>
      <w:r w:rsidR="009F5A79">
        <w:rPr>
          <w:spacing w:val="-3"/>
        </w:rPr>
        <w:t>.</w:t>
      </w:r>
      <w:r w:rsidR="008532CA">
        <w:rPr>
          <w:rStyle w:val="FootnoteReference"/>
          <w:spacing w:val="-3"/>
        </w:rPr>
        <w:footnoteReference w:id="3"/>
      </w:r>
    </w:p>
    <w:p w14:paraId="212C34EC" w14:textId="4D968E6E" w:rsidR="000D517C" w:rsidRPr="00D60083" w:rsidRDefault="00EF0798" w:rsidP="00774B6E">
      <w:pPr>
        <w:spacing w:after="0" w:line="480" w:lineRule="auto"/>
        <w:ind w:firstLine="720"/>
        <w:jc w:val="both"/>
        <w:rPr>
          <w:spacing w:val="-3"/>
        </w:rPr>
      </w:pPr>
      <w:r>
        <w:rPr>
          <w:spacing w:val="-3"/>
        </w:rPr>
        <w:t>The extract</w:t>
      </w:r>
      <w:r w:rsidR="009F5A79">
        <w:rPr>
          <w:spacing w:val="-3"/>
        </w:rPr>
        <w:t xml:space="preserve">  has probably come from an early revision of the </w:t>
      </w:r>
      <w:r w:rsidR="009F5A79">
        <w:rPr>
          <w:i/>
          <w:iCs/>
          <w:spacing w:val="-3"/>
        </w:rPr>
        <w:t>Carta Caritas</w:t>
      </w:r>
      <w:r>
        <w:rPr>
          <w:spacing w:val="-3"/>
        </w:rPr>
        <w:t>,</w:t>
      </w:r>
      <w:r w:rsidR="009F5A79">
        <w:rPr>
          <w:spacing w:val="-3"/>
        </w:rPr>
        <w:t xml:space="preserve"> with minimal change. Consider the following;</w:t>
      </w:r>
      <w:r>
        <w:rPr>
          <w:spacing w:val="-3"/>
        </w:rPr>
        <w:t xml:space="preserve"> ‘</w:t>
      </w:r>
      <w:r w:rsidRPr="00EF0798">
        <w:rPr>
          <w:i/>
          <w:iCs/>
          <w:spacing w:val="-3"/>
        </w:rPr>
        <w:t>the brethren of the New Monastery are to send three messengers to the abbots,</w:t>
      </w:r>
      <w:r>
        <w:rPr>
          <w:spacing w:val="-3"/>
        </w:rPr>
        <w:t>’. The contents here speak to the organisation of the Cistercian monks, but the words used are rather more interesting. Note the use of ‘</w:t>
      </w:r>
      <w:r w:rsidR="00231DA7">
        <w:rPr>
          <w:i/>
          <w:iCs/>
          <w:spacing w:val="-3"/>
        </w:rPr>
        <w:t>t</w:t>
      </w:r>
      <w:r>
        <w:rPr>
          <w:i/>
          <w:iCs/>
          <w:spacing w:val="-3"/>
        </w:rPr>
        <w:t>he New Monastery</w:t>
      </w:r>
      <w:r>
        <w:rPr>
          <w:spacing w:val="-3"/>
        </w:rPr>
        <w:t xml:space="preserve">’, to refer to </w:t>
      </w:r>
      <w:r w:rsidR="009A0ED5" w:rsidRPr="009A0ED5">
        <w:rPr>
          <w:spacing w:val="-3"/>
        </w:rPr>
        <w:t>Cîteaux</w:t>
      </w:r>
      <w:r w:rsidR="009A0ED5">
        <w:rPr>
          <w:spacing w:val="-3"/>
        </w:rPr>
        <w:t>, and the reference to ‘</w:t>
      </w:r>
      <w:r w:rsidR="009A0ED5">
        <w:rPr>
          <w:i/>
          <w:iCs/>
          <w:spacing w:val="-3"/>
        </w:rPr>
        <w:t>the abbots</w:t>
      </w:r>
      <w:r w:rsidR="009A0ED5">
        <w:rPr>
          <w:spacing w:val="-3"/>
        </w:rPr>
        <w:t xml:space="preserve">’, meaning the abbots of </w:t>
      </w:r>
      <w:r w:rsidR="009A0ED5" w:rsidRPr="009A0ED5">
        <w:rPr>
          <w:spacing w:val="-3"/>
        </w:rPr>
        <w:t>Cîteaux</w:t>
      </w:r>
      <w:r w:rsidR="009A0ED5">
        <w:rPr>
          <w:spacing w:val="-3"/>
        </w:rPr>
        <w:t>’s daughter-houses. ‘</w:t>
      </w:r>
      <w:r w:rsidR="009A0ED5">
        <w:rPr>
          <w:i/>
          <w:iCs/>
          <w:spacing w:val="-3"/>
        </w:rPr>
        <w:t>New Monastery</w:t>
      </w:r>
      <w:r w:rsidR="009A0ED5">
        <w:rPr>
          <w:spacing w:val="-3"/>
        </w:rPr>
        <w:t>’ typically refer</w:t>
      </w:r>
      <w:r w:rsidR="00E56FF1">
        <w:rPr>
          <w:spacing w:val="-3"/>
        </w:rPr>
        <w:t>s</w:t>
      </w:r>
      <w:r w:rsidR="009A0ED5">
        <w:rPr>
          <w:spacing w:val="-3"/>
        </w:rPr>
        <w:t xml:space="preserve"> to the monastery at </w:t>
      </w:r>
      <w:r w:rsidR="009A0ED5" w:rsidRPr="009A0ED5">
        <w:rPr>
          <w:spacing w:val="-3"/>
        </w:rPr>
        <w:t>Cîteaux</w:t>
      </w:r>
      <w:r w:rsidR="009A0ED5">
        <w:rPr>
          <w:spacing w:val="-3"/>
        </w:rPr>
        <w:t xml:space="preserve"> in its early stages, </w:t>
      </w:r>
      <w:r w:rsidR="00E56FF1">
        <w:rPr>
          <w:spacing w:val="-3"/>
        </w:rPr>
        <w:t>as a way to distinguish it from the old monastery – for many of its earliest monks – at Molesme.</w:t>
      </w:r>
      <w:r w:rsidR="00D46D37">
        <w:rPr>
          <w:rStyle w:val="FootnoteReference"/>
          <w:spacing w:val="-3"/>
        </w:rPr>
        <w:footnoteReference w:id="4"/>
      </w:r>
      <w:r w:rsidR="00E56FF1">
        <w:rPr>
          <w:spacing w:val="-3"/>
        </w:rPr>
        <w:t xml:space="preserve"> In that context it is fairly effective, it conveys that the monastery at</w:t>
      </w:r>
      <w:r w:rsidR="00E56FF1" w:rsidRPr="00E56FF1">
        <w:rPr>
          <w:spacing w:val="-3"/>
        </w:rPr>
        <w:t xml:space="preserve"> Cîteaux</w:t>
      </w:r>
      <w:r w:rsidR="00E56FF1">
        <w:rPr>
          <w:spacing w:val="-3"/>
        </w:rPr>
        <w:t xml:space="preserve"> is new, but it </w:t>
      </w:r>
      <w:r w:rsidR="00D46D37">
        <w:rPr>
          <w:spacing w:val="-3"/>
        </w:rPr>
        <w:t>is markedly less serviceable in the context of a</w:t>
      </w:r>
      <w:r w:rsidR="00E56FF1">
        <w:rPr>
          <w:spacing w:val="-3"/>
        </w:rPr>
        <w:t xml:space="preserve"> Cistercian congregation which is proliferating; when the customs of  </w:t>
      </w:r>
      <w:r w:rsidR="00E56FF1" w:rsidRPr="00E56FF1">
        <w:rPr>
          <w:spacing w:val="-3"/>
        </w:rPr>
        <w:t>Cîteaux</w:t>
      </w:r>
      <w:r w:rsidR="00E56FF1">
        <w:rPr>
          <w:spacing w:val="-3"/>
        </w:rPr>
        <w:t xml:space="preserve"> are being mimicked by daughter-houses</w:t>
      </w:r>
      <w:r w:rsidR="003F4EA0">
        <w:rPr>
          <w:spacing w:val="-3"/>
        </w:rPr>
        <w:t>, the house ceases to be the new, distinct, independent entity evoked by the term ‘</w:t>
      </w:r>
      <w:r w:rsidR="003F4EA0">
        <w:rPr>
          <w:i/>
          <w:iCs/>
          <w:spacing w:val="-3"/>
        </w:rPr>
        <w:t>New Monastery</w:t>
      </w:r>
      <w:r w:rsidR="003F4EA0">
        <w:rPr>
          <w:spacing w:val="-3"/>
        </w:rPr>
        <w:t>’. Despite this, the extract does refer to the ‘</w:t>
      </w:r>
      <w:r w:rsidR="003F4EA0">
        <w:rPr>
          <w:i/>
          <w:iCs/>
          <w:spacing w:val="-3"/>
        </w:rPr>
        <w:t>New Monastery</w:t>
      </w:r>
      <w:r w:rsidR="003F4EA0">
        <w:rPr>
          <w:spacing w:val="-3"/>
        </w:rPr>
        <w:t>’ in the context of a</w:t>
      </w:r>
      <w:r w:rsidR="00D46D37">
        <w:rPr>
          <w:spacing w:val="-3"/>
        </w:rPr>
        <w:t xml:space="preserve"> proliferating</w:t>
      </w:r>
      <w:r w:rsidR="003F4EA0">
        <w:rPr>
          <w:spacing w:val="-3"/>
        </w:rPr>
        <w:t xml:space="preserve"> Cistercian congregation, it specifically mentions the abbots of daughter-house in that same sentence. This suggest</w:t>
      </w:r>
      <w:r w:rsidR="00D60083">
        <w:rPr>
          <w:spacing w:val="-3"/>
        </w:rPr>
        <w:t>s</w:t>
      </w:r>
      <w:r w:rsidR="003F4EA0">
        <w:rPr>
          <w:spacing w:val="-3"/>
        </w:rPr>
        <w:t xml:space="preserve"> </w:t>
      </w:r>
      <w:r w:rsidR="00D60083">
        <w:rPr>
          <w:spacing w:val="-3"/>
        </w:rPr>
        <w:t xml:space="preserve">that </w:t>
      </w:r>
      <w:r w:rsidR="003F4EA0">
        <w:rPr>
          <w:spacing w:val="-3"/>
        </w:rPr>
        <w:t>th</w:t>
      </w:r>
      <w:r w:rsidR="00D60083">
        <w:rPr>
          <w:spacing w:val="-3"/>
        </w:rPr>
        <w:t>e</w:t>
      </w:r>
      <w:r w:rsidR="003F4EA0">
        <w:rPr>
          <w:spacing w:val="-3"/>
        </w:rPr>
        <w:t xml:space="preserve"> extract comes</w:t>
      </w:r>
      <w:r w:rsidR="00862CFC">
        <w:rPr>
          <w:spacing w:val="-3"/>
        </w:rPr>
        <w:t>, w</w:t>
      </w:r>
      <w:r w:rsidR="009B3412">
        <w:rPr>
          <w:spacing w:val="-3"/>
        </w:rPr>
        <w:t>ith</w:t>
      </w:r>
      <w:r w:rsidR="00862CFC">
        <w:rPr>
          <w:spacing w:val="-3"/>
        </w:rPr>
        <w:t xml:space="preserve"> minimal change,</w:t>
      </w:r>
      <w:r w:rsidR="003F4EA0">
        <w:rPr>
          <w:spacing w:val="-3"/>
        </w:rPr>
        <w:t xml:space="preserve"> from one of the earliest revisions of the </w:t>
      </w:r>
      <w:r w:rsidR="003F4EA0">
        <w:rPr>
          <w:i/>
          <w:iCs/>
          <w:spacing w:val="-3"/>
        </w:rPr>
        <w:t>Carta Caritatis</w:t>
      </w:r>
      <w:r w:rsidR="00D46D37">
        <w:rPr>
          <w:spacing w:val="-3"/>
        </w:rPr>
        <w:t xml:space="preserve">. </w:t>
      </w:r>
      <w:r w:rsidR="001F4EAF" w:rsidRPr="001F4EAF">
        <w:rPr>
          <w:spacing w:val="-3"/>
        </w:rPr>
        <w:t xml:space="preserve">Certainly, were it an addition introduced in 1152, with the </w:t>
      </w:r>
      <w:r w:rsidR="001F4EAF" w:rsidRPr="001F4EAF">
        <w:rPr>
          <w:i/>
          <w:iCs/>
          <w:spacing w:val="-3"/>
        </w:rPr>
        <w:t>Carta Caritatis</w:t>
      </w:r>
      <w:r w:rsidR="001F4EAF" w:rsidRPr="001F4EAF">
        <w:rPr>
          <w:spacing w:val="-3"/>
        </w:rPr>
        <w:t xml:space="preserve"> prior, it would have used </w:t>
      </w:r>
      <w:bookmarkStart w:id="2" w:name="_Hlk89441600"/>
      <w:r w:rsidR="001F4EAF" w:rsidRPr="001F4EAF">
        <w:rPr>
          <w:spacing w:val="-3"/>
        </w:rPr>
        <w:t xml:space="preserve">‘Cîteaux’ </w:t>
      </w:r>
      <w:bookmarkEnd w:id="2"/>
      <w:r w:rsidR="001F4EAF" w:rsidRPr="001F4EAF">
        <w:rPr>
          <w:spacing w:val="-3"/>
        </w:rPr>
        <w:t xml:space="preserve">to refer to the abbey instead, </w:t>
      </w:r>
      <w:r w:rsidR="00D60083">
        <w:rPr>
          <w:spacing w:val="-3"/>
        </w:rPr>
        <w:t xml:space="preserve">a name </w:t>
      </w:r>
      <w:r w:rsidR="00F527DC">
        <w:rPr>
          <w:spacing w:val="-3"/>
        </w:rPr>
        <w:t>in common usage by that time</w:t>
      </w:r>
      <w:r w:rsidR="001F4EAF">
        <w:rPr>
          <w:spacing w:val="-3"/>
        </w:rPr>
        <w:t>.</w:t>
      </w:r>
      <w:r w:rsidR="001F4EAF" w:rsidRPr="001F4EAF">
        <w:rPr>
          <w:spacing w:val="-3"/>
          <w:vertAlign w:val="superscript"/>
        </w:rPr>
        <w:footnoteReference w:id="5"/>
      </w:r>
      <w:r w:rsidR="00292DBD">
        <w:rPr>
          <w:spacing w:val="-3"/>
        </w:rPr>
        <w:t xml:space="preserve"> </w:t>
      </w:r>
      <w:r w:rsidR="001F4EAF">
        <w:rPr>
          <w:spacing w:val="-3"/>
        </w:rPr>
        <w:t xml:space="preserve">Indeed, being as </w:t>
      </w:r>
      <w:r w:rsidR="001F4EAF" w:rsidRPr="001F4EAF">
        <w:rPr>
          <w:spacing w:val="-3"/>
        </w:rPr>
        <w:lastRenderedPageBreak/>
        <w:t>‘Cîteaux’</w:t>
      </w:r>
      <w:r w:rsidR="001F4EAF">
        <w:rPr>
          <w:spacing w:val="-3"/>
        </w:rPr>
        <w:t xml:space="preserve"> began to be used as early an 1119, this passage may</w:t>
      </w:r>
      <w:r w:rsidR="00292DBD">
        <w:rPr>
          <w:spacing w:val="-3"/>
        </w:rPr>
        <w:t xml:space="preserve"> even</w:t>
      </w:r>
      <w:r w:rsidR="001F4EAF">
        <w:rPr>
          <w:spacing w:val="-3"/>
        </w:rPr>
        <w:t xml:space="preserve"> come from </w:t>
      </w:r>
      <w:r w:rsidR="00292DBD">
        <w:rPr>
          <w:spacing w:val="-3"/>
        </w:rPr>
        <w:t xml:space="preserve"> Abbot Stephen’s original.</w:t>
      </w:r>
      <w:r w:rsidR="00292DBD">
        <w:rPr>
          <w:rStyle w:val="FootnoteReference"/>
          <w:spacing w:val="-3"/>
        </w:rPr>
        <w:footnoteReference w:id="6"/>
      </w:r>
      <w:r w:rsidR="00292DBD">
        <w:rPr>
          <w:spacing w:val="-3"/>
        </w:rPr>
        <w:t xml:space="preserve"> At that time the Cistercians were beginning to proliferate, the first daughter-houses were founded in the mid-1110s, but – especially considering that Abbot Stephen originally c</w:t>
      </w:r>
      <w:r w:rsidR="001F5C50">
        <w:rPr>
          <w:spacing w:val="-3"/>
        </w:rPr>
        <w:t>a</w:t>
      </w:r>
      <w:r w:rsidR="00292DBD">
        <w:rPr>
          <w:spacing w:val="-3"/>
        </w:rPr>
        <w:t>me from Molesme</w:t>
      </w:r>
      <w:r w:rsidR="00231DA7">
        <w:rPr>
          <w:spacing w:val="-3"/>
        </w:rPr>
        <w:t xml:space="preserve"> </w:t>
      </w:r>
      <w:r w:rsidR="001F5C50">
        <w:rPr>
          <w:spacing w:val="-3"/>
        </w:rPr>
        <w:t>–</w:t>
      </w:r>
      <w:r w:rsidR="00231DA7">
        <w:rPr>
          <w:spacing w:val="-3"/>
        </w:rPr>
        <w:t xml:space="preserve">  it was still early enough in </w:t>
      </w:r>
      <w:r w:rsidR="00231DA7" w:rsidRPr="00231DA7">
        <w:rPr>
          <w:spacing w:val="-3"/>
        </w:rPr>
        <w:t>Cîteaux</w:t>
      </w:r>
      <w:r w:rsidR="00231DA7">
        <w:rPr>
          <w:spacing w:val="-3"/>
        </w:rPr>
        <w:t>’s history for the idea</w:t>
      </w:r>
      <w:r w:rsidR="00862CFC">
        <w:rPr>
          <w:spacing w:val="-3"/>
        </w:rPr>
        <w:t xml:space="preserve"> of it as</w:t>
      </w:r>
      <w:r w:rsidR="00231DA7">
        <w:rPr>
          <w:spacing w:val="-3"/>
        </w:rPr>
        <w:t>, and hence the name</w:t>
      </w:r>
      <w:r w:rsidR="00862CFC">
        <w:rPr>
          <w:spacing w:val="-3"/>
        </w:rPr>
        <w:t xml:space="preserve"> of</w:t>
      </w:r>
      <w:r w:rsidR="00231DA7">
        <w:rPr>
          <w:spacing w:val="-3"/>
        </w:rPr>
        <w:t>, ‘</w:t>
      </w:r>
      <w:r w:rsidR="00231DA7">
        <w:rPr>
          <w:i/>
          <w:iCs/>
          <w:spacing w:val="-3"/>
        </w:rPr>
        <w:t>the New Monastery</w:t>
      </w:r>
      <w:r w:rsidR="00231DA7">
        <w:rPr>
          <w:spacing w:val="-3"/>
        </w:rPr>
        <w:t>’</w:t>
      </w:r>
      <w:r w:rsidR="00862CFC">
        <w:rPr>
          <w:spacing w:val="-3"/>
        </w:rPr>
        <w:t>, to have some relevance.</w:t>
      </w:r>
      <w:r w:rsidR="00862CFC">
        <w:rPr>
          <w:rStyle w:val="FootnoteReference"/>
          <w:spacing w:val="-3"/>
        </w:rPr>
        <w:footnoteReference w:id="7"/>
      </w:r>
      <w:bookmarkStart w:id="5" w:name="_Hlk89441453"/>
      <w:r w:rsidR="00D60083">
        <w:rPr>
          <w:spacing w:val="-3"/>
        </w:rPr>
        <w:t xml:space="preserve"> This being so, this extract would seem to originate from the </w:t>
      </w:r>
      <w:r w:rsidR="00D60083">
        <w:rPr>
          <w:i/>
          <w:iCs/>
          <w:spacing w:val="-3"/>
        </w:rPr>
        <w:t>Carta Caritatis</w:t>
      </w:r>
      <w:r w:rsidR="00D60083">
        <w:rPr>
          <w:spacing w:val="-3"/>
        </w:rPr>
        <w:t xml:space="preserve"> in its earliest form, and to have seen minimal change over subsequent revisions.</w:t>
      </w:r>
    </w:p>
    <w:bookmarkEnd w:id="5"/>
    <w:p w14:paraId="5389B087" w14:textId="77777777" w:rsidR="00CC177A" w:rsidRDefault="00DF71D2" w:rsidP="00774B6E">
      <w:pPr>
        <w:spacing w:after="0" w:line="480" w:lineRule="auto"/>
        <w:ind w:firstLine="720"/>
        <w:jc w:val="both"/>
        <w:rPr>
          <w:spacing w:val="-3"/>
        </w:rPr>
      </w:pPr>
      <w:r>
        <w:rPr>
          <w:spacing w:val="-3"/>
        </w:rPr>
        <w:t xml:space="preserve"> </w:t>
      </w:r>
      <w:r w:rsidR="003A3FA2">
        <w:rPr>
          <w:spacing w:val="-3"/>
        </w:rPr>
        <w:t xml:space="preserve">There is some suggestion that the </w:t>
      </w:r>
      <w:r w:rsidR="003A3FA2">
        <w:rPr>
          <w:i/>
          <w:iCs/>
          <w:spacing w:val="-3"/>
        </w:rPr>
        <w:t>Carta Caritatis</w:t>
      </w:r>
      <w:r>
        <w:rPr>
          <w:spacing w:val="-3"/>
        </w:rPr>
        <w:t xml:space="preserve"> </w:t>
      </w:r>
      <w:r w:rsidR="00354D14">
        <w:rPr>
          <w:spacing w:val="-3"/>
        </w:rPr>
        <w:t>was</w:t>
      </w:r>
      <w:r w:rsidR="003A3FA2">
        <w:rPr>
          <w:spacing w:val="-3"/>
        </w:rPr>
        <w:t xml:space="preserve"> first</w:t>
      </w:r>
      <w:r w:rsidR="00354D14">
        <w:rPr>
          <w:spacing w:val="-3"/>
        </w:rPr>
        <w:t xml:space="preserve"> written, and left unchanged, earlier than</w:t>
      </w:r>
      <w:r>
        <w:rPr>
          <w:spacing w:val="-3"/>
        </w:rPr>
        <w:t xml:space="preserve"> 1119.</w:t>
      </w:r>
      <w:r w:rsidR="003A3FA2">
        <w:rPr>
          <w:rStyle w:val="FootnoteReference"/>
          <w:spacing w:val="-3"/>
        </w:rPr>
        <w:footnoteReference w:id="8"/>
      </w:r>
      <w:r>
        <w:rPr>
          <w:spacing w:val="-3"/>
        </w:rPr>
        <w:t xml:space="preserve"> </w:t>
      </w:r>
      <w:r w:rsidR="007C4B10">
        <w:rPr>
          <w:spacing w:val="-3"/>
        </w:rPr>
        <w:t>Reasoning that, because of</w:t>
      </w:r>
      <w:r>
        <w:rPr>
          <w:spacing w:val="-3"/>
        </w:rPr>
        <w:t xml:space="preserve"> omission of Morimond</w:t>
      </w:r>
      <w:r w:rsidR="00370B39">
        <w:rPr>
          <w:spacing w:val="-3"/>
        </w:rPr>
        <w:t xml:space="preserve"> in the list of the three abbeys, </w:t>
      </w:r>
      <w:r w:rsidR="00370B39" w:rsidRPr="00370B39">
        <w:rPr>
          <w:spacing w:val="-3"/>
        </w:rPr>
        <w:t>La Ferté, Pontigny, and Clairvaux</w:t>
      </w:r>
      <w:r w:rsidR="00370B39">
        <w:rPr>
          <w:spacing w:val="-3"/>
        </w:rPr>
        <w:t xml:space="preserve">, to which messengers must be sent when the abbot of </w:t>
      </w:r>
      <w:r w:rsidR="00370B39" w:rsidRPr="00370B39">
        <w:rPr>
          <w:spacing w:val="-3"/>
        </w:rPr>
        <w:t>Cîteaux</w:t>
      </w:r>
      <w:r w:rsidR="00370B39">
        <w:rPr>
          <w:spacing w:val="-3"/>
        </w:rPr>
        <w:t xml:space="preserve"> dies</w:t>
      </w:r>
      <w:r w:rsidR="007C4B10">
        <w:rPr>
          <w:spacing w:val="-3"/>
        </w:rPr>
        <w:t xml:space="preserve">, the </w:t>
      </w:r>
      <w:r w:rsidR="007C4B10">
        <w:rPr>
          <w:i/>
          <w:iCs/>
          <w:spacing w:val="-3"/>
        </w:rPr>
        <w:t>Carta Caritatis</w:t>
      </w:r>
      <w:r w:rsidR="007C4B10">
        <w:rPr>
          <w:spacing w:val="-3"/>
        </w:rPr>
        <w:t xml:space="preserve"> was first written before Morimond was founded, with this section being unchanged from that time</w:t>
      </w:r>
      <w:r w:rsidR="00370B39">
        <w:rPr>
          <w:spacing w:val="-3"/>
        </w:rPr>
        <w:t>.</w:t>
      </w:r>
      <w:r w:rsidR="00370B39">
        <w:rPr>
          <w:rStyle w:val="FootnoteReference"/>
          <w:spacing w:val="-3"/>
        </w:rPr>
        <w:footnoteReference w:id="9"/>
      </w:r>
      <w:r>
        <w:rPr>
          <w:spacing w:val="-3"/>
        </w:rPr>
        <w:t xml:space="preserve"> </w:t>
      </w:r>
      <w:r w:rsidR="007C4B10">
        <w:rPr>
          <w:spacing w:val="-3"/>
        </w:rPr>
        <w:t xml:space="preserve">Considering that </w:t>
      </w:r>
      <w:r w:rsidR="00370B39">
        <w:rPr>
          <w:spacing w:val="-3"/>
        </w:rPr>
        <w:t>Morimond, though it claims to have been founded in 1115</w:t>
      </w:r>
      <w:r w:rsidR="007C4B10">
        <w:rPr>
          <w:spacing w:val="-3"/>
        </w:rPr>
        <w:t>,</w:t>
      </w:r>
      <w:r w:rsidR="00370B39">
        <w:rPr>
          <w:spacing w:val="-3"/>
        </w:rPr>
        <w:t xml:space="preserve"> is </w:t>
      </w:r>
      <w:r w:rsidR="00354D14">
        <w:rPr>
          <w:spacing w:val="-3"/>
        </w:rPr>
        <w:t>now believed</w:t>
      </w:r>
      <w:r w:rsidR="00370B39">
        <w:rPr>
          <w:spacing w:val="-3"/>
        </w:rPr>
        <w:t xml:space="preserve"> to have been founded at a later date – </w:t>
      </w:r>
      <w:r w:rsidR="007C4B10">
        <w:rPr>
          <w:spacing w:val="-3"/>
        </w:rPr>
        <w:t xml:space="preserve">around </w:t>
      </w:r>
      <w:r w:rsidR="00370B39">
        <w:rPr>
          <w:spacing w:val="-3"/>
        </w:rPr>
        <w:t xml:space="preserve">1117 </w:t>
      </w:r>
      <w:r w:rsidR="007C4B10">
        <w:rPr>
          <w:spacing w:val="-3"/>
        </w:rPr>
        <w:t xml:space="preserve">– it is possible for the writing of this part of the </w:t>
      </w:r>
      <w:r w:rsidR="007C4B10">
        <w:rPr>
          <w:i/>
          <w:iCs/>
          <w:spacing w:val="-3"/>
        </w:rPr>
        <w:t>Carta Caritatis</w:t>
      </w:r>
      <w:r w:rsidR="007C4B10">
        <w:rPr>
          <w:spacing w:val="-3"/>
        </w:rPr>
        <w:t xml:space="preserve"> could predate it</w:t>
      </w:r>
      <w:r w:rsidR="001C2EA5">
        <w:rPr>
          <w:spacing w:val="-3"/>
        </w:rPr>
        <w:t>.</w:t>
      </w:r>
      <w:r w:rsidR="001C2EA5">
        <w:rPr>
          <w:rStyle w:val="FootnoteReference"/>
          <w:spacing w:val="-3"/>
        </w:rPr>
        <w:footnoteReference w:id="10"/>
      </w:r>
      <w:r w:rsidR="00994DB6">
        <w:rPr>
          <w:spacing w:val="-3"/>
        </w:rPr>
        <w:t xml:space="preserve"> Considering, again, the use of ‘</w:t>
      </w:r>
      <w:r w:rsidR="00994DB6" w:rsidRPr="002E701D">
        <w:rPr>
          <w:i/>
          <w:iCs/>
          <w:spacing w:val="-3"/>
        </w:rPr>
        <w:t>New Monastery</w:t>
      </w:r>
      <w:r w:rsidR="002E701D">
        <w:rPr>
          <w:spacing w:val="-3"/>
        </w:rPr>
        <w:t>’</w:t>
      </w:r>
      <w:r w:rsidR="00994DB6">
        <w:rPr>
          <w:spacing w:val="-3"/>
        </w:rPr>
        <w:t>, and the fact tha</w:t>
      </w:r>
      <w:r w:rsidR="00720F77">
        <w:rPr>
          <w:spacing w:val="-3"/>
        </w:rPr>
        <w:t>t,</w:t>
      </w:r>
      <w:r w:rsidR="007C4B10">
        <w:rPr>
          <w:spacing w:val="-3"/>
        </w:rPr>
        <w:t xml:space="preserve"> </w:t>
      </w:r>
      <w:r w:rsidR="00720F77">
        <w:rPr>
          <w:spacing w:val="-3"/>
        </w:rPr>
        <w:t>even in 1119</w:t>
      </w:r>
      <w:r w:rsidR="007C4B10">
        <w:rPr>
          <w:spacing w:val="-3"/>
        </w:rPr>
        <w:t>,</w:t>
      </w:r>
      <w:r w:rsidR="00720F77">
        <w:rPr>
          <w:spacing w:val="-3"/>
        </w:rPr>
        <w:t xml:space="preserve"> ‘</w:t>
      </w:r>
      <w:r w:rsidR="00720F77" w:rsidRPr="002E701D">
        <w:rPr>
          <w:i/>
          <w:iCs/>
          <w:spacing w:val="-3"/>
        </w:rPr>
        <w:t>New Monastery</w:t>
      </w:r>
      <w:r w:rsidR="00720F77">
        <w:rPr>
          <w:spacing w:val="-3"/>
        </w:rPr>
        <w:t>’ was being superseded by the name ‘</w:t>
      </w:r>
      <w:r w:rsidR="00720F77" w:rsidRPr="00720F77">
        <w:rPr>
          <w:spacing w:val="-3"/>
        </w:rPr>
        <w:t>Cîteaux</w:t>
      </w:r>
      <w:r w:rsidR="00720F77">
        <w:rPr>
          <w:spacing w:val="-3"/>
        </w:rPr>
        <w:t>’, a particularly early dating</w:t>
      </w:r>
      <w:r w:rsidR="002F10DB">
        <w:rPr>
          <w:spacing w:val="-3"/>
        </w:rPr>
        <w:t xml:space="preserve"> is not impossible</w:t>
      </w:r>
      <w:r w:rsidR="00720F77">
        <w:rPr>
          <w:spacing w:val="-3"/>
        </w:rPr>
        <w:t>.</w:t>
      </w:r>
      <w:r w:rsidR="002E701D">
        <w:rPr>
          <w:rStyle w:val="FootnoteReference"/>
          <w:spacing w:val="-3"/>
        </w:rPr>
        <w:footnoteReference w:id="11"/>
      </w:r>
      <w:r w:rsidR="00720F77" w:rsidRPr="00720F77">
        <w:rPr>
          <w:spacing w:val="-3"/>
        </w:rPr>
        <w:t xml:space="preserve"> </w:t>
      </w:r>
    </w:p>
    <w:p w14:paraId="0CC27F1A" w14:textId="6C8C0ADD" w:rsidR="00862CFC" w:rsidRDefault="002F10DB" w:rsidP="00774B6E">
      <w:pPr>
        <w:spacing w:after="0" w:line="480" w:lineRule="auto"/>
        <w:ind w:firstLine="720"/>
        <w:jc w:val="both"/>
        <w:rPr>
          <w:spacing w:val="-3"/>
        </w:rPr>
      </w:pPr>
      <w:r>
        <w:rPr>
          <w:spacing w:val="-3"/>
        </w:rPr>
        <w:t>However</w:t>
      </w:r>
      <w:r w:rsidR="00317853">
        <w:rPr>
          <w:spacing w:val="-3"/>
        </w:rPr>
        <w:t xml:space="preserve"> </w:t>
      </w:r>
      <w:r w:rsidR="00F527DC">
        <w:rPr>
          <w:spacing w:val="-3"/>
        </w:rPr>
        <w:t xml:space="preserve">the </w:t>
      </w:r>
      <w:r w:rsidR="003A7907">
        <w:rPr>
          <w:spacing w:val="-3"/>
        </w:rPr>
        <w:t>reference to further abbots to whom messengers might be sent</w:t>
      </w:r>
      <w:r w:rsidR="002E701D">
        <w:rPr>
          <w:spacing w:val="-3"/>
        </w:rPr>
        <w:t xml:space="preserve">, </w:t>
      </w:r>
      <w:r w:rsidR="002E701D" w:rsidRPr="002E701D">
        <w:rPr>
          <w:spacing w:val="-3"/>
        </w:rPr>
        <w:t>‘</w:t>
      </w:r>
      <w:r w:rsidR="002E701D" w:rsidRPr="002E701D">
        <w:rPr>
          <w:i/>
          <w:iCs/>
          <w:spacing w:val="-3"/>
        </w:rPr>
        <w:t>or more should they wish to do so – and are to gather there as many as they can summon within fifteen days</w:t>
      </w:r>
      <w:r w:rsidR="002E701D" w:rsidRPr="002E701D">
        <w:rPr>
          <w:i/>
          <w:iCs/>
          <w:spacing w:val="-3"/>
        </w:rPr>
        <w:t>’</w:t>
      </w:r>
      <w:r>
        <w:rPr>
          <w:spacing w:val="-3"/>
        </w:rPr>
        <w:t>, might dispute this</w:t>
      </w:r>
      <w:r w:rsidR="00F9705F">
        <w:rPr>
          <w:spacing w:val="-3"/>
        </w:rPr>
        <w:t>. This</w:t>
      </w:r>
      <w:r>
        <w:rPr>
          <w:spacing w:val="-3"/>
        </w:rPr>
        <w:t xml:space="preserve"> reference to other abbots</w:t>
      </w:r>
      <w:r w:rsidR="00F9705F">
        <w:rPr>
          <w:spacing w:val="-3"/>
        </w:rPr>
        <w:t xml:space="preserve"> indicates the existence of</w:t>
      </w:r>
      <w:r w:rsidR="005A4C65">
        <w:rPr>
          <w:spacing w:val="-3"/>
        </w:rPr>
        <w:t xml:space="preserve"> multiple</w:t>
      </w:r>
      <w:r w:rsidR="00F9705F">
        <w:rPr>
          <w:spacing w:val="-3"/>
        </w:rPr>
        <w:t xml:space="preserve"> abbeys beyond the mai</w:t>
      </w:r>
      <w:r w:rsidR="00181EEB">
        <w:rPr>
          <w:spacing w:val="-3"/>
        </w:rPr>
        <w:t xml:space="preserve">n </w:t>
      </w:r>
      <w:r w:rsidR="005A4C65">
        <w:rPr>
          <w:spacing w:val="-3"/>
        </w:rPr>
        <w:t>three</w:t>
      </w:r>
      <w:r w:rsidR="00354D14">
        <w:rPr>
          <w:spacing w:val="-3"/>
        </w:rPr>
        <w:t>, such as th</w:t>
      </w:r>
      <w:r>
        <w:rPr>
          <w:spacing w:val="-3"/>
        </w:rPr>
        <w:t>ose</w:t>
      </w:r>
      <w:r w:rsidR="005A4C65">
        <w:rPr>
          <w:spacing w:val="-3"/>
        </w:rPr>
        <w:t xml:space="preserve"> which</w:t>
      </w:r>
      <w:r w:rsidR="00354D14">
        <w:rPr>
          <w:spacing w:val="-3"/>
        </w:rPr>
        <w:t xml:space="preserve"> began to proliferate between 1118, and </w:t>
      </w:r>
      <w:r w:rsidR="005A4C65">
        <w:rPr>
          <w:spacing w:val="-3"/>
        </w:rPr>
        <w:t>1121.</w:t>
      </w:r>
      <w:r w:rsidR="005A4C65">
        <w:rPr>
          <w:rStyle w:val="FootnoteReference"/>
          <w:spacing w:val="-3"/>
        </w:rPr>
        <w:footnoteReference w:id="12"/>
      </w:r>
      <w:r w:rsidR="005A4C65">
        <w:rPr>
          <w:spacing w:val="-3"/>
        </w:rPr>
        <w:t xml:space="preserve"> These houses would not have existed to be referenced, were the </w:t>
      </w:r>
      <w:r w:rsidR="005A4C65">
        <w:rPr>
          <w:i/>
          <w:iCs/>
          <w:spacing w:val="-3"/>
        </w:rPr>
        <w:t>Carta Caritatis</w:t>
      </w:r>
      <w:r w:rsidR="005A4C65">
        <w:rPr>
          <w:spacing w:val="-3"/>
        </w:rPr>
        <w:t xml:space="preserve"> written before Morimond was founded, even if </w:t>
      </w:r>
      <w:r>
        <w:rPr>
          <w:spacing w:val="-3"/>
        </w:rPr>
        <w:t xml:space="preserve">it was founded in </w:t>
      </w:r>
      <w:r w:rsidR="005A4C65">
        <w:rPr>
          <w:spacing w:val="-3"/>
        </w:rPr>
        <w:t>1117</w:t>
      </w:r>
      <w:r w:rsidR="0006289D">
        <w:rPr>
          <w:spacing w:val="-3"/>
        </w:rPr>
        <w:t xml:space="preserve">. </w:t>
      </w:r>
      <w:r>
        <w:rPr>
          <w:spacing w:val="-3"/>
        </w:rPr>
        <w:t>A simpler explanation for</w:t>
      </w:r>
      <w:r w:rsidR="0006289D">
        <w:rPr>
          <w:spacing w:val="-3"/>
        </w:rPr>
        <w:t xml:space="preserve"> the specific omission of Morimond </w:t>
      </w:r>
      <w:r>
        <w:rPr>
          <w:spacing w:val="-3"/>
        </w:rPr>
        <w:t xml:space="preserve">is that it </w:t>
      </w:r>
      <w:r w:rsidR="0006289D">
        <w:rPr>
          <w:spacing w:val="-3"/>
        </w:rPr>
        <w:t>might be considered amongst the others, the</w:t>
      </w:r>
      <w:r>
        <w:rPr>
          <w:spacing w:val="-3"/>
        </w:rPr>
        <w:t xml:space="preserve"> unnamed</w:t>
      </w:r>
      <w:r w:rsidR="0006289D">
        <w:rPr>
          <w:spacing w:val="-3"/>
        </w:rPr>
        <w:t xml:space="preserve"> houses which’s abbots could go to </w:t>
      </w:r>
      <w:r w:rsidR="0006289D" w:rsidRPr="0006289D">
        <w:rPr>
          <w:spacing w:val="-3"/>
        </w:rPr>
        <w:t>Cîteaux</w:t>
      </w:r>
      <w:r w:rsidR="0006289D">
        <w:rPr>
          <w:spacing w:val="-3"/>
        </w:rPr>
        <w:t xml:space="preserve"> when its abbot dies</w:t>
      </w:r>
      <w:r>
        <w:rPr>
          <w:spacing w:val="-3"/>
        </w:rPr>
        <w:t>, but didn’t have to</w:t>
      </w:r>
      <w:r w:rsidR="00804F79">
        <w:rPr>
          <w:spacing w:val="-3"/>
        </w:rPr>
        <w:t xml:space="preserve">. Why they should have precedence over Morimond might, logically, be </w:t>
      </w:r>
      <w:r w:rsidR="00804F79">
        <w:rPr>
          <w:spacing w:val="-3"/>
        </w:rPr>
        <w:lastRenderedPageBreak/>
        <w:t xml:space="preserve">explained by the task they are there to do, to elect a new abbot of </w:t>
      </w:r>
      <w:r w:rsidR="00804F79" w:rsidRPr="00804F79">
        <w:rPr>
          <w:spacing w:val="-3"/>
        </w:rPr>
        <w:t>Cîteaux</w:t>
      </w:r>
      <w:r w:rsidR="003A3FA2">
        <w:rPr>
          <w:spacing w:val="-3"/>
        </w:rPr>
        <w:t xml:space="preserve">: The </w:t>
      </w:r>
      <w:r w:rsidR="003A3FA2">
        <w:rPr>
          <w:i/>
          <w:iCs/>
          <w:spacing w:val="-3"/>
        </w:rPr>
        <w:t xml:space="preserve">Carta </w:t>
      </w:r>
      <w:r w:rsidR="003A3FA2" w:rsidRPr="003A3FA2">
        <w:rPr>
          <w:i/>
          <w:iCs/>
          <w:spacing w:val="-3"/>
        </w:rPr>
        <w:t>Caritatis</w:t>
      </w:r>
      <w:r w:rsidR="003A3FA2">
        <w:rPr>
          <w:i/>
          <w:iCs/>
          <w:spacing w:val="-3"/>
        </w:rPr>
        <w:t xml:space="preserve"> </w:t>
      </w:r>
      <w:r w:rsidR="003A3FA2">
        <w:rPr>
          <w:spacing w:val="-3"/>
        </w:rPr>
        <w:t xml:space="preserve">is a constitution, it is meant to be a practical guide, and, </w:t>
      </w:r>
      <w:r w:rsidR="00804F79" w:rsidRPr="003A3FA2">
        <w:rPr>
          <w:spacing w:val="-3"/>
        </w:rPr>
        <w:t>in</w:t>
      </w:r>
      <w:r w:rsidR="00804F79">
        <w:rPr>
          <w:spacing w:val="-3"/>
        </w:rPr>
        <w:t xml:space="preserve"> any election </w:t>
      </w:r>
      <w:r w:rsidR="003A3FA2">
        <w:rPr>
          <w:spacing w:val="-3"/>
        </w:rPr>
        <w:t xml:space="preserve">scenario, </w:t>
      </w:r>
      <w:r w:rsidR="00804F79">
        <w:rPr>
          <w:spacing w:val="-3"/>
        </w:rPr>
        <w:t>odd numbers are</w:t>
      </w:r>
      <w:r w:rsidR="003A3FA2">
        <w:rPr>
          <w:spacing w:val="-3"/>
        </w:rPr>
        <w:t xml:space="preserve"> more practical;</w:t>
      </w:r>
      <w:r w:rsidR="00804F79">
        <w:rPr>
          <w:spacing w:val="-3"/>
        </w:rPr>
        <w:t xml:space="preserve"> </w:t>
      </w:r>
      <w:r w:rsidR="003A3FA2">
        <w:rPr>
          <w:spacing w:val="-3"/>
        </w:rPr>
        <w:t>they</w:t>
      </w:r>
      <w:r w:rsidR="00804F79">
        <w:rPr>
          <w:spacing w:val="-3"/>
        </w:rPr>
        <w:t xml:space="preserve"> mean </w:t>
      </w:r>
      <w:r w:rsidR="003A3FA2">
        <w:rPr>
          <w:spacing w:val="-3"/>
        </w:rPr>
        <w:t xml:space="preserve">that </w:t>
      </w:r>
      <w:r w:rsidR="00804F79">
        <w:rPr>
          <w:spacing w:val="-3"/>
        </w:rPr>
        <w:t>there is always a majority</w:t>
      </w:r>
      <w:r w:rsidR="003A3FA2">
        <w:rPr>
          <w:spacing w:val="-3"/>
        </w:rPr>
        <w:t xml:space="preserve"> to favour, or </w:t>
      </w:r>
      <w:r>
        <w:rPr>
          <w:spacing w:val="-3"/>
        </w:rPr>
        <w:t>oppose</w:t>
      </w:r>
      <w:r w:rsidR="003A3FA2">
        <w:rPr>
          <w:spacing w:val="-3"/>
        </w:rPr>
        <w:t>, any given motion. Considering also th</w:t>
      </w:r>
      <w:r w:rsidR="009A2052">
        <w:rPr>
          <w:spacing w:val="-3"/>
        </w:rPr>
        <w:t>e religious significance on trinities, the omission of Morimond is not sufficient basis for the notion that this extract substantially proceeds 1119.</w:t>
      </w:r>
      <w:r w:rsidR="00D31E8E">
        <w:rPr>
          <w:rStyle w:val="FootnoteReference"/>
          <w:spacing w:val="-3"/>
        </w:rPr>
        <w:footnoteReference w:id="13"/>
      </w:r>
    </w:p>
    <w:p w14:paraId="20BFFFA8" w14:textId="72A067B0" w:rsidR="00B04580" w:rsidRDefault="006E3C51" w:rsidP="00774B6E">
      <w:pPr>
        <w:spacing w:after="0" w:line="480" w:lineRule="auto"/>
        <w:ind w:firstLine="720"/>
        <w:jc w:val="both"/>
        <w:rPr>
          <w:spacing w:val="-3"/>
        </w:rPr>
      </w:pPr>
      <w:r>
        <w:rPr>
          <w:spacing w:val="-3"/>
        </w:rPr>
        <w:t xml:space="preserve">The extract seems to have come, relatively unchanged, from the 1119 version of the </w:t>
      </w:r>
      <w:r>
        <w:rPr>
          <w:i/>
          <w:iCs/>
          <w:spacing w:val="-3"/>
        </w:rPr>
        <w:t>Carta Caritatis</w:t>
      </w:r>
      <w:r w:rsidR="0085598E">
        <w:rPr>
          <w:spacing w:val="-3"/>
        </w:rPr>
        <w:t xml:space="preserve"> pre</w:t>
      </w:r>
      <w:r>
        <w:rPr>
          <w:spacing w:val="-3"/>
        </w:rPr>
        <w:t xml:space="preserve">sented to </w:t>
      </w:r>
      <w:r w:rsidR="0085598E">
        <w:rPr>
          <w:spacing w:val="-3"/>
        </w:rPr>
        <w:t>Pope Callixtus II.</w:t>
      </w:r>
      <w:r w:rsidR="0085598E">
        <w:rPr>
          <w:rStyle w:val="FootnoteReference"/>
          <w:spacing w:val="-3"/>
        </w:rPr>
        <w:footnoteReference w:id="14"/>
      </w:r>
      <w:r w:rsidR="0085598E">
        <w:rPr>
          <w:spacing w:val="-3"/>
        </w:rPr>
        <w:t xml:space="preserve"> </w:t>
      </w:r>
      <w:r w:rsidR="00CC177A">
        <w:rPr>
          <w:spacing w:val="-3"/>
        </w:rPr>
        <w:t xml:space="preserve">As discussed, linguistic evidence suggests it earliness, indeed 1119 is one of the latest dates at which the part of the </w:t>
      </w:r>
      <w:r w:rsidR="00CC177A">
        <w:rPr>
          <w:i/>
          <w:iCs/>
          <w:spacing w:val="-3"/>
        </w:rPr>
        <w:t>Carts Caritatis</w:t>
      </w:r>
      <w:r w:rsidR="00CC177A">
        <w:rPr>
          <w:spacing w:val="-3"/>
        </w:rPr>
        <w:t xml:space="preserve"> could have been written, the name </w:t>
      </w:r>
      <w:r w:rsidR="00CC177A" w:rsidRPr="00CC177A">
        <w:rPr>
          <w:spacing w:val="-3"/>
        </w:rPr>
        <w:t>Cîteaux</w:t>
      </w:r>
      <w:r w:rsidR="00CC177A">
        <w:rPr>
          <w:spacing w:val="-3"/>
        </w:rPr>
        <w:t xml:space="preserve"> Abbey – which is not used in extract – falling into general use at around that time. But the reference to other houses</w:t>
      </w:r>
      <w:r w:rsidR="008D0E0B">
        <w:rPr>
          <w:spacing w:val="-3"/>
        </w:rPr>
        <w:t>, beyond the first generation of daughters,</w:t>
      </w:r>
      <w:r w:rsidR="00CC177A">
        <w:rPr>
          <w:spacing w:val="-3"/>
        </w:rPr>
        <w:t xml:space="preserve"> would seem to </w:t>
      </w:r>
      <w:r w:rsidR="008D0E0B">
        <w:rPr>
          <w:spacing w:val="-3"/>
        </w:rPr>
        <w:t>preclude</w:t>
      </w:r>
      <w:r w:rsidR="00CC177A">
        <w:rPr>
          <w:spacing w:val="-3"/>
        </w:rPr>
        <w:t xml:space="preserve"> the possibility that it could substantially predate</w:t>
      </w:r>
      <w:r w:rsidR="008D0E0B">
        <w:rPr>
          <w:spacing w:val="-3"/>
        </w:rPr>
        <w:t xml:space="preserve"> 1119</w:t>
      </w:r>
      <w:r w:rsidR="00CC177A">
        <w:rPr>
          <w:spacing w:val="-3"/>
        </w:rPr>
        <w:t xml:space="preserve">, as historians </w:t>
      </w:r>
      <w:r w:rsidR="008D0E0B">
        <w:rPr>
          <w:spacing w:val="-3"/>
        </w:rPr>
        <w:t>Burton, and Kerr imply in their discussion of the omission of Morimond. Ultimately, this commentar</w:t>
      </w:r>
      <w:r w:rsidR="0078235C">
        <w:rPr>
          <w:spacing w:val="-3"/>
        </w:rPr>
        <w:t>y’s</w:t>
      </w:r>
      <w:r w:rsidR="008D0E0B">
        <w:rPr>
          <w:spacing w:val="-3"/>
        </w:rPr>
        <w:t xml:space="preserve"> analysis</w:t>
      </w:r>
      <w:r w:rsidR="0078235C">
        <w:rPr>
          <w:spacing w:val="-3"/>
        </w:rPr>
        <w:t xml:space="preserve"> considers the 1119 dating for the earlier parts of the </w:t>
      </w:r>
      <w:r w:rsidR="0078235C">
        <w:rPr>
          <w:i/>
          <w:iCs/>
          <w:spacing w:val="-3"/>
        </w:rPr>
        <w:t xml:space="preserve">Carta Caritatis </w:t>
      </w:r>
      <w:r w:rsidR="0078235C">
        <w:rPr>
          <w:spacing w:val="-3"/>
        </w:rPr>
        <w:t>to be accurate, with this extract being an early part.</w:t>
      </w:r>
    </w:p>
    <w:p w14:paraId="2D2DC2EE" w14:textId="4F9BF528" w:rsidR="0078235C" w:rsidRDefault="0078235C" w:rsidP="00774B6E">
      <w:pPr>
        <w:spacing w:after="0" w:line="480" w:lineRule="auto"/>
        <w:jc w:val="both"/>
        <w:rPr>
          <w:spacing w:val="-3"/>
        </w:rPr>
      </w:pPr>
    </w:p>
    <w:p w14:paraId="2D18F16C" w14:textId="206C7FCF" w:rsidR="0078235C" w:rsidRDefault="0078235C" w:rsidP="00774B6E">
      <w:pPr>
        <w:spacing w:line="480" w:lineRule="auto"/>
        <w:jc w:val="both"/>
        <w:rPr>
          <w:b/>
          <w:bCs/>
          <w:spacing w:val="-3"/>
          <w:u w:val="single"/>
        </w:rPr>
      </w:pPr>
      <w:r>
        <w:rPr>
          <w:b/>
          <w:bCs/>
          <w:spacing w:val="-3"/>
          <w:u w:val="single"/>
        </w:rPr>
        <w:t>Bibliography</w:t>
      </w:r>
    </w:p>
    <w:p w14:paraId="7D6FF7FF" w14:textId="18E88B05" w:rsidR="0078235C" w:rsidRDefault="0078235C" w:rsidP="00774B6E">
      <w:pPr>
        <w:spacing w:line="480" w:lineRule="auto"/>
        <w:jc w:val="both"/>
        <w:rPr>
          <w:b/>
          <w:bCs/>
          <w:spacing w:val="-3"/>
        </w:rPr>
      </w:pPr>
      <w:r>
        <w:rPr>
          <w:b/>
          <w:bCs/>
          <w:spacing w:val="-3"/>
        </w:rPr>
        <w:t>Primary Sources</w:t>
      </w:r>
    </w:p>
    <w:p w14:paraId="4439CE7E" w14:textId="441CC07B" w:rsidR="0078235C" w:rsidRDefault="0078235C" w:rsidP="00774B6E">
      <w:pPr>
        <w:spacing w:line="480" w:lineRule="auto"/>
        <w:jc w:val="both"/>
        <w:rPr>
          <w:spacing w:val="-3"/>
        </w:rPr>
      </w:pPr>
      <w:r w:rsidRPr="0078235C">
        <w:rPr>
          <w:i/>
          <w:iCs/>
          <w:spacing w:val="-3"/>
        </w:rPr>
        <w:t>Exordium Cistercii: The Beginning of Cîteaux</w:t>
      </w:r>
      <w:r w:rsidRPr="0078235C">
        <w:rPr>
          <w:spacing w:val="-3"/>
        </w:rPr>
        <w:t>, trans. by Anonymous, (2021),  http://abbey.cistercian.org/wp-content/uploads/2021/08/Exordium-Cistercii.pdf [Accessed: 01/12/2021].</w:t>
      </w:r>
    </w:p>
    <w:p w14:paraId="07D9D59E" w14:textId="4AE4BC68" w:rsidR="009F53B4" w:rsidRDefault="0078235C" w:rsidP="00774B6E">
      <w:pPr>
        <w:spacing w:line="480" w:lineRule="auto"/>
        <w:jc w:val="both"/>
        <w:rPr>
          <w:spacing w:val="-3"/>
        </w:rPr>
      </w:pPr>
      <w:r w:rsidRPr="0078235C">
        <w:rPr>
          <w:spacing w:val="-3"/>
        </w:rPr>
        <w:t xml:space="preserve">Stephen Harding, </w:t>
      </w:r>
      <w:r w:rsidRPr="0078235C">
        <w:rPr>
          <w:i/>
          <w:iCs/>
          <w:spacing w:val="-3"/>
        </w:rPr>
        <w:t>Carta Caritatis</w:t>
      </w:r>
      <w:r w:rsidRPr="0078235C">
        <w:rPr>
          <w:spacing w:val="-3"/>
        </w:rPr>
        <w:t>, trans. by Ordre Cistercien de la Stricte Observance, (2016), https://ocso.org/wp-content/uploads/2016/05/EN-Carta-Caritatis.pdf [Accessed: 01/12/2021].</w:t>
      </w:r>
    </w:p>
    <w:p w14:paraId="094775AB" w14:textId="01DB31F3" w:rsid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 xml:space="preserve">William of Malmesbury, </w:t>
      </w:r>
      <w:r w:rsidRPr="009F53B4">
        <w:rPr>
          <w:i/>
          <w:iCs/>
          <w:spacing w:val="-3"/>
        </w:rPr>
        <w:t>William of Malmesbury’s Chronicle of the Kings of England. From the Earliest Period to the Reign Of King Stephen</w:t>
      </w:r>
      <w:r w:rsidRPr="009F53B4">
        <w:rPr>
          <w:spacing w:val="-3"/>
        </w:rPr>
        <w:t>, trans. by Giles,</w:t>
      </w:r>
      <w:r>
        <w:rPr>
          <w:spacing w:val="-3"/>
        </w:rPr>
        <w:t xml:space="preserve"> J. A.,</w:t>
      </w:r>
      <w:r w:rsidRPr="009F53B4">
        <w:rPr>
          <w:spacing w:val="-3"/>
        </w:rPr>
        <w:t xml:space="preserve"> (London, George Bell And Sons, 1895)</w:t>
      </w:r>
      <w:r>
        <w:rPr>
          <w:spacing w:val="-3"/>
        </w:rPr>
        <w:t>.</w:t>
      </w:r>
    </w:p>
    <w:p w14:paraId="5117D7F2" w14:textId="7BB9E9AB" w:rsidR="009F53B4" w:rsidRDefault="009F53B4" w:rsidP="00774B6E">
      <w:pPr>
        <w:spacing w:line="480" w:lineRule="auto"/>
        <w:jc w:val="both"/>
        <w:rPr>
          <w:b/>
          <w:bCs/>
          <w:spacing w:val="-3"/>
        </w:rPr>
      </w:pPr>
      <w:r>
        <w:rPr>
          <w:b/>
          <w:bCs/>
          <w:spacing w:val="-3"/>
        </w:rPr>
        <w:t>Secondary Sources</w:t>
      </w:r>
    </w:p>
    <w:p w14:paraId="3BEEAFC6" w14:textId="77777777" w:rsidR="009F53B4" w:rsidRP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 xml:space="preserve">Beard, J. R., &amp; Beard, C., </w:t>
      </w:r>
      <w:r w:rsidRPr="009F53B4">
        <w:rPr>
          <w:i/>
          <w:iCs/>
          <w:spacing w:val="-3"/>
        </w:rPr>
        <w:t>Cassell’s Latin Dictionary: In Two Parts. I. Latin-English; II. English-Latin,</w:t>
      </w:r>
      <w:r w:rsidRPr="009F53B4">
        <w:rPr>
          <w:spacing w:val="-3"/>
        </w:rPr>
        <w:t xml:space="preserve"> (London, John Cassell, 1854).</w:t>
      </w:r>
    </w:p>
    <w:p w14:paraId="339FF038" w14:textId="0EB9EDFE" w:rsid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 xml:space="preserve">Berman, C. H., </w:t>
      </w:r>
      <w:r w:rsidRPr="009F53B4">
        <w:rPr>
          <w:i/>
          <w:iCs/>
          <w:spacing w:val="-3"/>
        </w:rPr>
        <w:t>The Cistercian Evolution: The Invention of a Religious Order in Twelfth-Century Europe</w:t>
      </w:r>
      <w:r w:rsidRPr="009F53B4">
        <w:rPr>
          <w:spacing w:val="-3"/>
        </w:rPr>
        <w:t>, (Philadelphia, University of Pennsylvania Press, 2010)</w:t>
      </w:r>
    </w:p>
    <w:p w14:paraId="0DEBDD5A" w14:textId="1AE42E3F" w:rsid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lastRenderedPageBreak/>
        <w:t>Bourgeault,</w:t>
      </w:r>
      <w:r>
        <w:rPr>
          <w:spacing w:val="-3"/>
        </w:rPr>
        <w:t xml:space="preserve"> C.,</w:t>
      </w:r>
      <w:r w:rsidRPr="009F53B4">
        <w:rPr>
          <w:spacing w:val="-3"/>
        </w:rPr>
        <w:t xml:space="preserve"> </w:t>
      </w:r>
      <w:r w:rsidRPr="009F53B4">
        <w:rPr>
          <w:i/>
          <w:iCs/>
          <w:spacing w:val="-3"/>
        </w:rPr>
        <w:t>The Holy Trinity and the Law of Three: Discovering the Radical Truth at the Heart of Christianity</w:t>
      </w:r>
      <w:r w:rsidRPr="009F53B4">
        <w:rPr>
          <w:spacing w:val="-3"/>
        </w:rPr>
        <w:t>, (Boston, Shambhala Publication Inc., 2013)</w:t>
      </w:r>
      <w:r>
        <w:rPr>
          <w:spacing w:val="-3"/>
        </w:rPr>
        <w:t>.</w:t>
      </w:r>
    </w:p>
    <w:p w14:paraId="431FDBAA" w14:textId="4147E659" w:rsid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>Burton, J., &amp; Kerr, J.,</w:t>
      </w:r>
      <w:r w:rsidRPr="009F53B4">
        <w:rPr>
          <w:i/>
          <w:iCs/>
          <w:spacing w:val="-3"/>
        </w:rPr>
        <w:t xml:space="preserve"> The Cistercians in the Middle Ages</w:t>
      </w:r>
      <w:r w:rsidRPr="009F53B4">
        <w:rPr>
          <w:spacing w:val="-3"/>
        </w:rPr>
        <w:t>, (Woodbridge, The Boydell Press, 2016).</w:t>
      </w:r>
    </w:p>
    <w:p w14:paraId="3BA46605" w14:textId="50EBEAC1" w:rsid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 xml:space="preserve">Constable, G., </w:t>
      </w:r>
      <w:r w:rsidRPr="009F53B4">
        <w:rPr>
          <w:i/>
          <w:iCs/>
          <w:spacing w:val="-3"/>
        </w:rPr>
        <w:t>The Reformation of the Twelfth Century</w:t>
      </w:r>
      <w:r w:rsidRPr="009F53B4">
        <w:rPr>
          <w:spacing w:val="-3"/>
        </w:rPr>
        <w:t>, (Cambridge, Cambridge University Press, 1996).</w:t>
      </w:r>
    </w:p>
    <w:p w14:paraId="0599DA8A" w14:textId="389A3397" w:rsidR="009F53B4" w:rsidRPr="009F53B4" w:rsidRDefault="009F53B4" w:rsidP="00774B6E">
      <w:pPr>
        <w:spacing w:line="480" w:lineRule="auto"/>
        <w:jc w:val="both"/>
        <w:rPr>
          <w:spacing w:val="-3"/>
        </w:rPr>
      </w:pPr>
      <w:r w:rsidRPr="009F53B4">
        <w:rPr>
          <w:spacing w:val="-3"/>
        </w:rPr>
        <w:t>Elder,</w:t>
      </w:r>
      <w:r>
        <w:rPr>
          <w:spacing w:val="-3"/>
        </w:rPr>
        <w:t xml:space="preserve"> E. R.,</w:t>
      </w:r>
      <w:r w:rsidRPr="009F53B4">
        <w:rPr>
          <w:spacing w:val="-3"/>
        </w:rPr>
        <w:t xml:space="preserve"> </w:t>
      </w:r>
      <w:r w:rsidRPr="009F53B4">
        <w:rPr>
          <w:i/>
          <w:iCs/>
          <w:spacing w:val="-3"/>
        </w:rPr>
        <w:t>The New Monastery: Texts and Studies on the Earliest Cistercians</w:t>
      </w:r>
      <w:r w:rsidRPr="009F53B4">
        <w:rPr>
          <w:spacing w:val="-3"/>
        </w:rPr>
        <w:t>, (Collegeville, Cistercian Publications, 1998)</w:t>
      </w:r>
      <w:r>
        <w:rPr>
          <w:spacing w:val="-3"/>
        </w:rPr>
        <w:t>.</w:t>
      </w:r>
    </w:p>
    <w:p w14:paraId="7E5CB866" w14:textId="77777777" w:rsidR="009F53B4" w:rsidRPr="009F53B4" w:rsidRDefault="009F53B4" w:rsidP="009F53B4">
      <w:pPr>
        <w:jc w:val="both"/>
        <w:rPr>
          <w:spacing w:val="-3"/>
        </w:rPr>
      </w:pPr>
    </w:p>
    <w:p w14:paraId="26464B3F" w14:textId="77777777" w:rsidR="009F53B4" w:rsidRPr="0078235C" w:rsidRDefault="009F53B4" w:rsidP="009F53B4">
      <w:pPr>
        <w:jc w:val="both"/>
        <w:rPr>
          <w:spacing w:val="-3"/>
        </w:rPr>
      </w:pPr>
    </w:p>
    <w:p w14:paraId="2C29F896" w14:textId="77777777" w:rsidR="0078235C" w:rsidRPr="0078235C" w:rsidRDefault="0078235C" w:rsidP="0078235C">
      <w:pPr>
        <w:spacing w:after="0"/>
        <w:jc w:val="both"/>
        <w:rPr>
          <w:spacing w:val="-3"/>
        </w:rPr>
      </w:pPr>
    </w:p>
    <w:sectPr w:rsidR="0078235C" w:rsidRPr="0078235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5C4340" w14:textId="77777777" w:rsidR="00AE243B" w:rsidRDefault="00AE243B" w:rsidP="007633F5">
      <w:pPr>
        <w:spacing w:after="0" w:line="240" w:lineRule="auto"/>
      </w:pPr>
      <w:r>
        <w:separator/>
      </w:r>
    </w:p>
  </w:endnote>
  <w:endnote w:type="continuationSeparator" w:id="0">
    <w:p w14:paraId="2443F346" w14:textId="77777777" w:rsidR="00AE243B" w:rsidRDefault="00AE243B" w:rsidP="007633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4EC1F2" w14:textId="77777777" w:rsidR="00AE243B" w:rsidRDefault="00AE243B" w:rsidP="007633F5">
      <w:pPr>
        <w:spacing w:after="0" w:line="240" w:lineRule="auto"/>
      </w:pPr>
      <w:r>
        <w:separator/>
      </w:r>
    </w:p>
  </w:footnote>
  <w:footnote w:type="continuationSeparator" w:id="0">
    <w:p w14:paraId="55856819" w14:textId="77777777" w:rsidR="00AE243B" w:rsidRDefault="00AE243B" w:rsidP="007633F5">
      <w:pPr>
        <w:spacing w:after="0" w:line="240" w:lineRule="auto"/>
      </w:pPr>
      <w:r>
        <w:continuationSeparator/>
      </w:r>
    </w:p>
  </w:footnote>
  <w:footnote w:id="1">
    <w:p w14:paraId="66E73A97" w14:textId="3A25F6BF" w:rsidR="000C0ACA" w:rsidRPr="00BA461E" w:rsidRDefault="000C0ACA" w:rsidP="000C0ACA">
      <w:pPr>
        <w:spacing w:after="0" w:line="240" w:lineRule="auto"/>
        <w:jc w:val="both"/>
      </w:pPr>
      <w:r>
        <w:rPr>
          <w:rStyle w:val="FootnoteReference"/>
        </w:rPr>
        <w:footnoteRef/>
      </w:r>
      <w:r>
        <w:t xml:space="preserve"> </w:t>
      </w:r>
      <w:r w:rsidRPr="00BA461E">
        <w:t xml:space="preserve">J. R. Beard &amp; C. Beard, </w:t>
      </w:r>
      <w:r w:rsidRPr="00BA461E">
        <w:rPr>
          <w:i/>
          <w:iCs/>
        </w:rPr>
        <w:t>Cassell’s Latin Dictionary: In Two Parts. I. Latin-English; II. English-Latin,</w:t>
      </w:r>
      <w:r w:rsidRPr="00BA461E">
        <w:t xml:space="preserve"> (London, John Cassell, 1854)</w:t>
      </w:r>
      <w:r>
        <w:t>,</w:t>
      </w:r>
      <w:r w:rsidRPr="00BA461E">
        <w:t xml:space="preserve"> </w:t>
      </w:r>
      <w:r>
        <w:t>p</w:t>
      </w:r>
      <w:r w:rsidRPr="00BA461E">
        <w:t>.</w:t>
      </w:r>
      <w:r>
        <w:t>59</w:t>
      </w:r>
      <w:r w:rsidRPr="00BA461E">
        <w:t xml:space="preserve">, &amp; </w:t>
      </w:r>
      <w:r>
        <w:t>p</w:t>
      </w:r>
      <w:r w:rsidRPr="00BA461E">
        <w:t>.</w:t>
      </w:r>
      <w:r>
        <w:t>52</w:t>
      </w:r>
      <w:r w:rsidRPr="00BA461E">
        <w:t>.</w:t>
      </w:r>
    </w:p>
    <w:p w14:paraId="1C51D4D6" w14:textId="0EA79C2F" w:rsidR="000C0ACA" w:rsidRDefault="00DB6CB1">
      <w:pPr>
        <w:pStyle w:val="FootnoteText"/>
      </w:pPr>
      <w:r>
        <w:t xml:space="preserve">, &amp; </w:t>
      </w:r>
      <w:bookmarkStart w:id="0" w:name="_Hlk88933420"/>
      <w:r w:rsidRPr="001F1280">
        <w:t>J. Burton, &amp; J. Kerr,</w:t>
      </w:r>
      <w:r w:rsidRPr="001F1280">
        <w:rPr>
          <w:i/>
          <w:iCs/>
        </w:rPr>
        <w:t xml:space="preserve"> The Cistercians in the Middle Ages</w:t>
      </w:r>
      <w:r w:rsidRPr="001F1280">
        <w:t>, (Woodbridge, The Boydell Press, 2016)</w:t>
      </w:r>
      <w:bookmarkEnd w:id="0"/>
      <w:r>
        <w:t>, p.2</w:t>
      </w:r>
      <w:r w:rsidR="009578B8">
        <w:t>1</w:t>
      </w:r>
      <w:r>
        <w:t>.</w:t>
      </w:r>
    </w:p>
    <w:p w14:paraId="71B7E591" w14:textId="77777777" w:rsidR="00066B69" w:rsidRDefault="00066B69">
      <w:pPr>
        <w:pStyle w:val="FootnoteText"/>
      </w:pPr>
    </w:p>
  </w:footnote>
  <w:footnote w:id="2">
    <w:p w14:paraId="36B63A3E" w14:textId="0CECC2E0" w:rsidR="00DB6CB1" w:rsidRDefault="00DB6C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119E" w:rsidRPr="001B119E">
        <w:rPr>
          <w:i/>
          <w:iCs/>
        </w:rPr>
        <w:t>Exordium Cistercii: The Beginning of Cîteaux</w:t>
      </w:r>
      <w:r w:rsidR="001B119E">
        <w:t xml:space="preserve">, trans. by Anonymous, (2021),  </w:t>
      </w:r>
      <w:r w:rsidR="001B119E" w:rsidRPr="001B119E">
        <w:t>http://abbey.cistercian.org/wp-content/uploads/2021/08/Exordium-Cistercii.pdf</w:t>
      </w:r>
      <w:r w:rsidR="001B119E">
        <w:t xml:space="preserve"> [Accessed: 01/12/2021].</w:t>
      </w:r>
    </w:p>
    <w:p w14:paraId="71FCB0E9" w14:textId="03BD4F99" w:rsidR="001B119E" w:rsidRDefault="001B119E">
      <w:pPr>
        <w:pStyle w:val="FootnoteText"/>
      </w:pPr>
      <w:r>
        <w:t xml:space="preserve">, </w:t>
      </w:r>
      <w:r w:rsidR="005001D8">
        <w:t xml:space="preserve">Burton, &amp; Kerr, </w:t>
      </w:r>
      <w:r w:rsidR="005001D8">
        <w:rPr>
          <w:i/>
          <w:iCs/>
        </w:rPr>
        <w:t>The Cistercians</w:t>
      </w:r>
      <w:r w:rsidR="005001D8">
        <w:t xml:space="preserve">, </w:t>
      </w:r>
      <w:r w:rsidR="009578B8">
        <w:t>p.21, &amp; p.30.</w:t>
      </w:r>
    </w:p>
    <w:p w14:paraId="7D54668C" w14:textId="51CCA598" w:rsidR="009578B8" w:rsidRPr="009578B8" w:rsidRDefault="009578B8" w:rsidP="009578B8">
      <w:pPr>
        <w:pStyle w:val="FootnoteText"/>
        <w:rPr>
          <w:b/>
          <w:bCs/>
        </w:rPr>
      </w:pPr>
      <w:r>
        <w:t xml:space="preserve">, &amp; </w:t>
      </w:r>
      <w:r w:rsidRPr="009578B8">
        <w:t xml:space="preserve">G. Constable, </w:t>
      </w:r>
      <w:r w:rsidRPr="009578B8">
        <w:rPr>
          <w:i/>
          <w:iCs/>
        </w:rPr>
        <w:t>The Reformation of the Twelfth Century</w:t>
      </w:r>
      <w:r w:rsidRPr="009578B8">
        <w:t>, (Cambridge, Cambridge University Press, 1996)</w:t>
      </w:r>
      <w:r w:rsidR="00317853">
        <w:t>,</w:t>
      </w:r>
      <w:r w:rsidRPr="009578B8">
        <w:t xml:space="preserve"> </w:t>
      </w:r>
      <w:r>
        <w:t>p</w:t>
      </w:r>
      <w:r w:rsidRPr="009578B8">
        <w:t>.3</w:t>
      </w:r>
      <w:r>
        <w:t>8</w:t>
      </w:r>
      <w:r w:rsidRPr="009578B8">
        <w:t>.</w:t>
      </w:r>
    </w:p>
    <w:p w14:paraId="10A3441A" w14:textId="29EEF62E" w:rsidR="009578B8" w:rsidRPr="005001D8" w:rsidRDefault="009578B8">
      <w:pPr>
        <w:pStyle w:val="FootnoteText"/>
      </w:pPr>
    </w:p>
  </w:footnote>
  <w:footnote w:id="3">
    <w:p w14:paraId="6DBF74F2" w14:textId="10D9343B" w:rsidR="008532CA" w:rsidRPr="008532CA" w:rsidRDefault="008532CA" w:rsidP="008532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532CA">
        <w:t xml:space="preserve">C. H. Berman, </w:t>
      </w:r>
      <w:r w:rsidRPr="008532CA">
        <w:rPr>
          <w:i/>
          <w:iCs/>
        </w:rPr>
        <w:t>The Cistercian Evolution: The Invention of a Religious Order in Twelfth-Century Europe</w:t>
      </w:r>
      <w:r w:rsidRPr="008532CA">
        <w:t>, (Philadelphia, University of Pennsylvania Press, 2010)</w:t>
      </w:r>
      <w:r>
        <w:t>, p.56</w:t>
      </w:r>
      <w:r w:rsidRPr="008532CA">
        <w:t>.</w:t>
      </w:r>
    </w:p>
    <w:p w14:paraId="3BBDEED6" w14:textId="77777777" w:rsidR="008532CA" w:rsidRDefault="008532CA">
      <w:pPr>
        <w:pStyle w:val="FootnoteText"/>
      </w:pPr>
    </w:p>
  </w:footnote>
  <w:footnote w:id="4">
    <w:p w14:paraId="27D0AA86" w14:textId="6B41894B" w:rsidR="00D46D37" w:rsidRDefault="00D46D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6D37">
        <w:t xml:space="preserve">E. R. Elder, </w:t>
      </w:r>
      <w:r w:rsidRPr="00D46D37">
        <w:rPr>
          <w:i/>
          <w:iCs/>
        </w:rPr>
        <w:t>The New Monastery: Texts and Studies on the Earliest Cistercians</w:t>
      </w:r>
      <w:r w:rsidRPr="00D46D37">
        <w:t>, (Collegeville, Cistercian Publications, 1998), p.167.</w:t>
      </w:r>
    </w:p>
    <w:p w14:paraId="00E4E593" w14:textId="77777777" w:rsidR="00D46D37" w:rsidRDefault="00D46D37">
      <w:pPr>
        <w:pStyle w:val="FootnoteText"/>
      </w:pPr>
    </w:p>
  </w:footnote>
  <w:footnote w:id="5">
    <w:p w14:paraId="5929ACBA" w14:textId="77777777" w:rsidR="001F4EAF" w:rsidRDefault="001F4EAF" w:rsidP="001F4EAF">
      <w:pPr>
        <w:pStyle w:val="FootnoteText"/>
      </w:pPr>
      <w:r>
        <w:rPr>
          <w:rStyle w:val="FootnoteReference"/>
        </w:rPr>
        <w:footnoteRef/>
      </w:r>
      <w:r>
        <w:t xml:space="preserve"> Constable, </w:t>
      </w:r>
      <w:r>
        <w:rPr>
          <w:i/>
          <w:iCs/>
        </w:rPr>
        <w:t>Reformation</w:t>
      </w:r>
      <w:r>
        <w:t>, p.38.</w:t>
      </w:r>
    </w:p>
    <w:p w14:paraId="2ED44166" w14:textId="77777777" w:rsidR="001F4EAF" w:rsidRPr="00317853" w:rsidRDefault="001F4EAF" w:rsidP="001F4EAF">
      <w:pPr>
        <w:pStyle w:val="FootnoteText"/>
        <w:rPr>
          <w:b/>
          <w:bCs/>
        </w:rPr>
      </w:pPr>
      <w:r>
        <w:t xml:space="preserve">, &amp; </w:t>
      </w:r>
      <w:bookmarkStart w:id="3" w:name="_Hlk89447910"/>
      <w:r>
        <w:t xml:space="preserve">Elder, </w:t>
      </w:r>
      <w:r w:rsidRPr="00317853">
        <w:rPr>
          <w:i/>
          <w:iCs/>
        </w:rPr>
        <w:t>The New Monastery</w:t>
      </w:r>
      <w:r>
        <w:t>, p.167.</w:t>
      </w:r>
    </w:p>
    <w:bookmarkEnd w:id="3"/>
    <w:p w14:paraId="1FDDBA20" w14:textId="77777777" w:rsidR="001F4EAF" w:rsidRPr="00A84118" w:rsidRDefault="001F4EAF" w:rsidP="001F4EAF">
      <w:pPr>
        <w:pStyle w:val="FootnoteText"/>
      </w:pPr>
    </w:p>
  </w:footnote>
  <w:footnote w:id="6">
    <w:p w14:paraId="57785A86" w14:textId="605CCA88" w:rsidR="00292DBD" w:rsidRDefault="00292D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89446817"/>
      <w:r w:rsidRPr="00292DBD">
        <w:t xml:space="preserve">Burton, &amp; Kerr, </w:t>
      </w:r>
      <w:r w:rsidRPr="00292DBD">
        <w:rPr>
          <w:i/>
          <w:iCs/>
        </w:rPr>
        <w:t>The Cistercians</w:t>
      </w:r>
      <w:r w:rsidRPr="00292DBD">
        <w:t>, p.</w:t>
      </w:r>
      <w:bookmarkEnd w:id="4"/>
      <w:r w:rsidRPr="00292DBD">
        <w:t>21</w:t>
      </w:r>
      <w:r>
        <w:t>.</w:t>
      </w:r>
    </w:p>
    <w:p w14:paraId="62D2B79E" w14:textId="77777777" w:rsidR="00862CFC" w:rsidRDefault="00862CFC">
      <w:pPr>
        <w:pStyle w:val="FootnoteText"/>
      </w:pPr>
    </w:p>
  </w:footnote>
  <w:footnote w:id="7">
    <w:p w14:paraId="7C4B1805" w14:textId="0D0AB8C0" w:rsidR="001F5C50" w:rsidRPr="001F5C50" w:rsidRDefault="00862C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5C50">
        <w:t xml:space="preserve">William of Malmesbury, </w:t>
      </w:r>
      <w:r w:rsidR="001F5C50">
        <w:rPr>
          <w:i/>
          <w:iCs/>
        </w:rPr>
        <w:t>William of Malmesbury’s Chronicle of the Kings of England. From the Earliest Period to the Reign Of King Stephen</w:t>
      </w:r>
      <w:r w:rsidR="001F5C50">
        <w:t>, trans. by J. A. Giles, (London, George Bell And Sons, 1895), p.347.</w:t>
      </w:r>
    </w:p>
    <w:p w14:paraId="20CB0B66" w14:textId="07B8FAA5" w:rsidR="00A84118" w:rsidRDefault="001F5C50">
      <w:pPr>
        <w:pStyle w:val="FootnoteText"/>
      </w:pPr>
      <w:r>
        <w:t xml:space="preserve">, &amp; </w:t>
      </w:r>
      <w:r w:rsidRPr="001F5C50">
        <w:t xml:space="preserve">Burton, &amp; Kerr, </w:t>
      </w:r>
      <w:r w:rsidRPr="001F5C50">
        <w:rPr>
          <w:i/>
          <w:iCs/>
        </w:rPr>
        <w:t>The Cistercians</w:t>
      </w:r>
      <w:r w:rsidRPr="001F5C50">
        <w:t>, p.21.</w:t>
      </w:r>
    </w:p>
    <w:p w14:paraId="3D609DC8" w14:textId="77777777" w:rsidR="001F5C50" w:rsidRDefault="001F5C50">
      <w:pPr>
        <w:pStyle w:val="FootnoteText"/>
      </w:pPr>
    </w:p>
  </w:footnote>
  <w:footnote w:id="8">
    <w:p w14:paraId="77774B1A" w14:textId="7F4A3E76" w:rsidR="003A3FA2" w:rsidRDefault="003A3F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A3FA2">
        <w:t xml:space="preserve">Burton, &amp; Kerr, </w:t>
      </w:r>
      <w:r w:rsidRPr="003A3FA2">
        <w:rPr>
          <w:i/>
          <w:iCs/>
        </w:rPr>
        <w:t>The Cistercians</w:t>
      </w:r>
      <w:r w:rsidRPr="003A3FA2">
        <w:t>, p.24.</w:t>
      </w:r>
    </w:p>
    <w:p w14:paraId="332EB57B" w14:textId="77777777" w:rsidR="003A3FA2" w:rsidRDefault="003A3FA2">
      <w:pPr>
        <w:pStyle w:val="FootnoteText"/>
      </w:pPr>
    </w:p>
  </w:footnote>
  <w:footnote w:id="9">
    <w:p w14:paraId="4C319020" w14:textId="2447F3A5" w:rsidR="00370B39" w:rsidRDefault="00370B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89454678"/>
      <w:r w:rsidRPr="00370B39">
        <w:t xml:space="preserve">Stephen Harding, </w:t>
      </w:r>
      <w:r w:rsidRPr="00370B39">
        <w:rPr>
          <w:i/>
          <w:iCs/>
        </w:rPr>
        <w:t>Carta Caritatis</w:t>
      </w:r>
      <w:r w:rsidRPr="00370B39">
        <w:t>, trans. by Ordre Cistercien de la Stricte Observance, (2016), https://ocso.org/wp-content/uploads/2016/05/EN-Carta-Caritatis.pdf [Accessed: 01/12/2021].</w:t>
      </w:r>
    </w:p>
    <w:bookmarkEnd w:id="6"/>
    <w:p w14:paraId="3B9017E0" w14:textId="77777777" w:rsidR="001C2EA5" w:rsidRDefault="001C2EA5">
      <w:pPr>
        <w:pStyle w:val="FootnoteText"/>
      </w:pPr>
    </w:p>
  </w:footnote>
  <w:footnote w:id="10">
    <w:p w14:paraId="7BCAEFC1" w14:textId="24A6F1A4" w:rsidR="001C2EA5" w:rsidRDefault="001C2E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89448404"/>
      <w:r w:rsidRPr="00292DBD">
        <w:t xml:space="preserve">Burton, &amp; Kerr, </w:t>
      </w:r>
      <w:r w:rsidRPr="00292DBD">
        <w:rPr>
          <w:i/>
          <w:iCs/>
        </w:rPr>
        <w:t>The Cistercians</w:t>
      </w:r>
      <w:r w:rsidRPr="00292DBD">
        <w:t>, p.</w:t>
      </w:r>
      <w:r>
        <w:t>24.</w:t>
      </w:r>
      <w:bookmarkEnd w:id="7"/>
    </w:p>
    <w:p w14:paraId="3390F7CC" w14:textId="77777777" w:rsidR="00D31E8E" w:rsidRDefault="00D31E8E">
      <w:pPr>
        <w:pStyle w:val="FootnoteText"/>
      </w:pPr>
    </w:p>
  </w:footnote>
  <w:footnote w:id="11">
    <w:p w14:paraId="14CCB0B5" w14:textId="77777777" w:rsidR="002E701D" w:rsidRPr="002E701D" w:rsidRDefault="002E701D" w:rsidP="002E701D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Pr="002E701D">
        <w:t xml:space="preserve">Elder, </w:t>
      </w:r>
      <w:r w:rsidRPr="002E701D">
        <w:rPr>
          <w:i/>
          <w:iCs/>
        </w:rPr>
        <w:t>The New Monastery</w:t>
      </w:r>
      <w:r w:rsidRPr="002E701D">
        <w:t>, p.167.</w:t>
      </w:r>
    </w:p>
    <w:p w14:paraId="482A4951" w14:textId="0BA3C7E1" w:rsidR="002E701D" w:rsidRDefault="002E701D">
      <w:pPr>
        <w:pStyle w:val="FootnoteText"/>
      </w:pPr>
    </w:p>
  </w:footnote>
  <w:footnote w:id="12">
    <w:p w14:paraId="528EDD95" w14:textId="3CE8A010" w:rsidR="005A4C65" w:rsidRDefault="005A4C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89453803"/>
      <w:r w:rsidRPr="005A4C65">
        <w:t xml:space="preserve">Burton, &amp; Kerr, </w:t>
      </w:r>
      <w:r w:rsidRPr="005A4C65">
        <w:rPr>
          <w:i/>
          <w:iCs/>
        </w:rPr>
        <w:t>The Cistercians</w:t>
      </w:r>
      <w:r w:rsidRPr="005A4C65">
        <w:t>, p</w:t>
      </w:r>
      <w:bookmarkEnd w:id="8"/>
      <w:r w:rsidRPr="005A4C65">
        <w:t>.2</w:t>
      </w:r>
      <w:r>
        <w:t>5.</w:t>
      </w:r>
    </w:p>
    <w:p w14:paraId="43516545" w14:textId="77777777" w:rsidR="00D31E8E" w:rsidRDefault="00D31E8E">
      <w:pPr>
        <w:pStyle w:val="FootnoteText"/>
      </w:pPr>
    </w:p>
  </w:footnote>
  <w:footnote w:id="13">
    <w:p w14:paraId="06939316" w14:textId="3ECEF244" w:rsidR="00D31E8E" w:rsidRDefault="00D31E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89455031"/>
      <w:r>
        <w:t xml:space="preserve">C. Bourgeault, </w:t>
      </w:r>
      <w:r>
        <w:rPr>
          <w:i/>
          <w:iCs/>
        </w:rPr>
        <w:t>The Holy Trinity and the Law of Three: Discovering the Radical Truth at the Heart of Christianity</w:t>
      </w:r>
      <w:r>
        <w:t xml:space="preserve">, (Boston, Shambhala Publication Inc., </w:t>
      </w:r>
      <w:r w:rsidR="00B04580">
        <w:t xml:space="preserve">2013), </w:t>
      </w:r>
      <w:bookmarkEnd w:id="9"/>
      <w:r w:rsidR="00B04580">
        <w:t>pp. 24-37.</w:t>
      </w:r>
    </w:p>
    <w:p w14:paraId="3B42E04F" w14:textId="77777777" w:rsidR="0085598E" w:rsidRPr="00D31E8E" w:rsidRDefault="0085598E">
      <w:pPr>
        <w:pStyle w:val="FootnoteText"/>
      </w:pPr>
    </w:p>
  </w:footnote>
  <w:footnote w:id="14">
    <w:p w14:paraId="56F66645" w14:textId="7C5B484F" w:rsidR="0085598E" w:rsidRDefault="008559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5598E">
        <w:t xml:space="preserve">Burton, &amp; Kerr, </w:t>
      </w:r>
      <w:r w:rsidRPr="0085598E">
        <w:rPr>
          <w:i/>
          <w:iCs/>
        </w:rPr>
        <w:t>The Cistercians</w:t>
      </w:r>
      <w:r w:rsidRPr="0085598E">
        <w:t>, p</w:t>
      </w:r>
      <w:r>
        <w:t>.30.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212B59" w14:textId="43638319" w:rsidR="007633F5" w:rsidRPr="007633F5" w:rsidRDefault="007633F5" w:rsidP="007633F5">
    <w:pPr>
      <w:pStyle w:val="Header"/>
      <w:jc w:val="center"/>
    </w:pPr>
    <w:r w:rsidRPr="007633F5">
      <w:t xml:space="preserve">Samuel Lawrence - The Cistercians In The Middle Ages – Portfolio – Section </w:t>
    </w:r>
    <w:r>
      <w:t>B</w:t>
    </w:r>
  </w:p>
  <w:p w14:paraId="5A3707D6" w14:textId="77777777" w:rsidR="007633F5" w:rsidRDefault="007633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3F5"/>
    <w:rsid w:val="00040F19"/>
    <w:rsid w:val="0006289D"/>
    <w:rsid w:val="00066B69"/>
    <w:rsid w:val="000C0ACA"/>
    <w:rsid w:val="000D517C"/>
    <w:rsid w:val="00181EEB"/>
    <w:rsid w:val="00190791"/>
    <w:rsid w:val="001B119E"/>
    <w:rsid w:val="001C2EA5"/>
    <w:rsid w:val="001F4EAF"/>
    <w:rsid w:val="001F5C50"/>
    <w:rsid w:val="00231DA7"/>
    <w:rsid w:val="00233A81"/>
    <w:rsid w:val="00292DBD"/>
    <w:rsid w:val="002C353A"/>
    <w:rsid w:val="002E701D"/>
    <w:rsid w:val="002F10DB"/>
    <w:rsid w:val="002F339D"/>
    <w:rsid w:val="00317853"/>
    <w:rsid w:val="00354D14"/>
    <w:rsid w:val="00370B39"/>
    <w:rsid w:val="003A3FA2"/>
    <w:rsid w:val="003A7907"/>
    <w:rsid w:val="003F4EA0"/>
    <w:rsid w:val="005001D8"/>
    <w:rsid w:val="005A4C65"/>
    <w:rsid w:val="006E3C51"/>
    <w:rsid w:val="00720F77"/>
    <w:rsid w:val="007633F5"/>
    <w:rsid w:val="00774B6E"/>
    <w:rsid w:val="0078235C"/>
    <w:rsid w:val="007C4B10"/>
    <w:rsid w:val="007D2AEB"/>
    <w:rsid w:val="00804F79"/>
    <w:rsid w:val="008420B6"/>
    <w:rsid w:val="008532CA"/>
    <w:rsid w:val="0085598E"/>
    <w:rsid w:val="00862CFC"/>
    <w:rsid w:val="008D0E0B"/>
    <w:rsid w:val="008D11FA"/>
    <w:rsid w:val="009406AF"/>
    <w:rsid w:val="009442DD"/>
    <w:rsid w:val="009578B8"/>
    <w:rsid w:val="00994DB6"/>
    <w:rsid w:val="009A0ED5"/>
    <w:rsid w:val="009A2052"/>
    <w:rsid w:val="009B3412"/>
    <w:rsid w:val="009C26FF"/>
    <w:rsid w:val="009F53B4"/>
    <w:rsid w:val="009F5A79"/>
    <w:rsid w:val="00A84118"/>
    <w:rsid w:val="00AE243B"/>
    <w:rsid w:val="00B04580"/>
    <w:rsid w:val="00CC177A"/>
    <w:rsid w:val="00D31E8E"/>
    <w:rsid w:val="00D46D37"/>
    <w:rsid w:val="00D60083"/>
    <w:rsid w:val="00DB6CB1"/>
    <w:rsid w:val="00DF71D2"/>
    <w:rsid w:val="00E034EF"/>
    <w:rsid w:val="00E56FF1"/>
    <w:rsid w:val="00EF0798"/>
    <w:rsid w:val="00F527DC"/>
    <w:rsid w:val="00F97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073B98"/>
  <w15:chartTrackingRefBased/>
  <w15:docId w15:val="{C35F283E-6571-4CFE-B83E-9671BE566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785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33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33F5"/>
  </w:style>
  <w:style w:type="paragraph" w:styleId="Footer">
    <w:name w:val="footer"/>
    <w:basedOn w:val="Normal"/>
    <w:link w:val="FooterChar"/>
    <w:uiPriority w:val="99"/>
    <w:unhideWhenUsed/>
    <w:rsid w:val="007633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33F5"/>
  </w:style>
  <w:style w:type="paragraph" w:styleId="FootnoteText">
    <w:name w:val="footnote text"/>
    <w:basedOn w:val="Normal"/>
    <w:link w:val="FootnoteTextChar"/>
    <w:uiPriority w:val="99"/>
    <w:unhideWhenUsed/>
    <w:rsid w:val="000C0ACA"/>
    <w:pPr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C0ACA"/>
  </w:style>
  <w:style w:type="character" w:styleId="FootnoteReference">
    <w:name w:val="footnote reference"/>
    <w:basedOn w:val="DefaultParagraphFont"/>
    <w:uiPriority w:val="99"/>
    <w:semiHidden/>
    <w:unhideWhenUsed/>
    <w:rsid w:val="000C0AC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B11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119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178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686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2E2D95-4949-4102-8EF5-7A5DD34330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</TotalTime>
  <Pages>4</Pages>
  <Words>1156</Words>
  <Characters>5956</Characters>
  <Application>Microsoft Office Word</Application>
  <DocSecurity>0</DocSecurity>
  <Lines>65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Lawrence</dc:creator>
  <cp:keywords/>
  <dc:description/>
  <cp:lastModifiedBy>Samuel Lawrence</cp:lastModifiedBy>
  <cp:revision>2</cp:revision>
  <dcterms:created xsi:type="dcterms:W3CDTF">2021-12-01T18:02:00Z</dcterms:created>
  <dcterms:modified xsi:type="dcterms:W3CDTF">2021-12-03T20:18:00Z</dcterms:modified>
</cp:coreProperties>
</file>