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6725" w:rsidRPr="0070197B" w:rsidRDefault="0070197B" w:rsidP="00B46725">
      <w:pPr>
        <w:pStyle w:val="Title"/>
        <w:rPr>
          <w:sz w:val="44"/>
          <w:szCs w:val="44"/>
        </w:rPr>
      </w:pPr>
      <w:r w:rsidRPr="0070197B">
        <w:rPr>
          <w:sz w:val="44"/>
          <w:szCs w:val="44"/>
        </w:rPr>
        <w:t>Safeguarding in the Early Years: A reflective paper</w:t>
      </w:r>
    </w:p>
    <w:p w:rsidR="00B46725" w:rsidRDefault="00B46725" w:rsidP="00B46725">
      <w:pPr>
        <w:pStyle w:val="ContactHeading"/>
      </w:pPr>
      <w:r>
        <w:t>By</w:t>
      </w:r>
    </w:p>
    <w:p w:rsidR="00B46725" w:rsidRPr="006724D3" w:rsidRDefault="0070197B" w:rsidP="00B46725">
      <w:pPr>
        <w:pStyle w:val="ContactInfo"/>
        <w:rPr>
          <w:rFonts w:asciiTheme="majorHAnsi" w:hAnsiTheme="majorHAnsi" w:cstheme="majorHAnsi"/>
        </w:rPr>
      </w:pPr>
      <w:r w:rsidRPr="006724D3">
        <w:rPr>
          <w:rFonts w:asciiTheme="majorHAnsi" w:hAnsiTheme="majorHAnsi" w:cstheme="majorHAnsi"/>
        </w:rPr>
        <w:t>Student: 1601596</w:t>
      </w:r>
    </w:p>
    <w:p w:rsidR="0070197B" w:rsidRPr="006724D3" w:rsidRDefault="0070197B" w:rsidP="00B46725">
      <w:pPr>
        <w:pStyle w:val="ContactInfo"/>
        <w:rPr>
          <w:rFonts w:asciiTheme="majorHAnsi" w:hAnsiTheme="majorHAnsi" w:cstheme="majorHAnsi"/>
        </w:rPr>
      </w:pPr>
      <w:r w:rsidRPr="006724D3">
        <w:rPr>
          <w:rFonts w:asciiTheme="majorHAnsi" w:hAnsiTheme="majorHAnsi" w:cstheme="majorHAnsi"/>
        </w:rPr>
        <w:t>Module: EAEE5006/C</w:t>
      </w:r>
    </w:p>
    <w:p w:rsidR="0070197B" w:rsidRPr="006724D3" w:rsidRDefault="0070197B" w:rsidP="00B46725">
      <w:pPr>
        <w:pStyle w:val="ContactInfo"/>
        <w:rPr>
          <w:rFonts w:asciiTheme="majorHAnsi" w:hAnsiTheme="majorHAnsi" w:cstheme="majorHAnsi"/>
        </w:rPr>
      </w:pPr>
      <w:r w:rsidRPr="006724D3">
        <w:rPr>
          <w:rFonts w:asciiTheme="majorHAnsi" w:hAnsiTheme="majorHAnsi" w:cstheme="majorHAnsi"/>
        </w:rPr>
        <w:t xml:space="preserve">Word Count: </w:t>
      </w:r>
      <w:r w:rsidR="001F2EE6" w:rsidRPr="006724D3">
        <w:rPr>
          <w:rFonts w:asciiTheme="majorHAnsi" w:hAnsiTheme="majorHAnsi" w:cstheme="majorHAnsi"/>
        </w:rPr>
        <w:t>180</w:t>
      </w:r>
      <w:r w:rsidR="00207468" w:rsidRPr="006724D3">
        <w:rPr>
          <w:rFonts w:asciiTheme="majorHAnsi" w:hAnsiTheme="majorHAnsi" w:cstheme="majorHAnsi"/>
        </w:rPr>
        <w:t>3</w:t>
      </w:r>
    </w:p>
    <w:p w:rsidR="0070197B" w:rsidRDefault="0070197B"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lastRenderedPageBreak/>
        <w:t>Although I was aware of Child Protection and Safeguarding, understood my duties as a practitioner,</w:t>
      </w:r>
      <w:r w:rsidR="004A7C78">
        <w:rPr>
          <w:rFonts w:asciiTheme="majorHAnsi" w:hAnsiTheme="majorHAnsi" w:cstheme="majorHAnsi"/>
          <w:sz w:val="24"/>
          <w:szCs w:val="24"/>
        </w:rPr>
        <w:t xml:space="preserve"> and knew the four main types of child abuse (neglect, emotional, </w:t>
      </w:r>
      <w:proofErr w:type="gramStart"/>
      <w:r w:rsidR="004A7C78">
        <w:rPr>
          <w:rFonts w:asciiTheme="majorHAnsi" w:hAnsiTheme="majorHAnsi" w:cstheme="majorHAnsi"/>
          <w:sz w:val="24"/>
          <w:szCs w:val="24"/>
        </w:rPr>
        <w:t>physical</w:t>
      </w:r>
      <w:proofErr w:type="gramEnd"/>
      <w:r w:rsidR="004A7C78">
        <w:rPr>
          <w:rFonts w:asciiTheme="majorHAnsi" w:hAnsiTheme="majorHAnsi" w:cstheme="majorHAnsi"/>
          <w:sz w:val="24"/>
          <w:szCs w:val="24"/>
        </w:rPr>
        <w:t xml:space="preserve"> and sexual)</w:t>
      </w:r>
      <w:r>
        <w:rPr>
          <w:rFonts w:asciiTheme="majorHAnsi" w:hAnsiTheme="majorHAnsi" w:cstheme="majorHAnsi"/>
          <w:sz w:val="24"/>
          <w:szCs w:val="24"/>
        </w:rPr>
        <w:t xml:space="preserve"> following a basic Child Protection course I had attended, I did not know what happened after a referral was made. This module allowed me to explore, in-depth, exactly what happens from the point of my concerns being made to the Designated Safeguarding Officer at my setting, right through to a Child Protection Plan being drawn up. </w:t>
      </w:r>
    </w:p>
    <w:p w:rsidR="0070197B" w:rsidRDefault="0070197B"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I was aware of the Children Act 1989 </w:t>
      </w:r>
      <w:r w:rsidR="006125A7">
        <w:rPr>
          <w:rFonts w:asciiTheme="majorHAnsi" w:hAnsiTheme="majorHAnsi" w:cstheme="majorHAnsi"/>
          <w:sz w:val="24"/>
          <w:szCs w:val="24"/>
        </w:rPr>
        <w:t xml:space="preserve">and the Children Act 2004 </w:t>
      </w:r>
      <w:r>
        <w:rPr>
          <w:rFonts w:asciiTheme="majorHAnsi" w:hAnsiTheme="majorHAnsi" w:cstheme="majorHAnsi"/>
          <w:sz w:val="24"/>
          <w:szCs w:val="24"/>
        </w:rPr>
        <w:t>prior to this module, but had never</w:t>
      </w:r>
      <w:r w:rsidR="006125A7">
        <w:rPr>
          <w:rFonts w:asciiTheme="majorHAnsi" w:hAnsiTheme="majorHAnsi" w:cstheme="majorHAnsi"/>
          <w:sz w:val="24"/>
          <w:szCs w:val="24"/>
        </w:rPr>
        <w:t xml:space="preserve"> thought about how they had come into existence, and it was difficult to hear about the tragedies that occurred to get to that point.</w:t>
      </w:r>
      <w:r w:rsidR="00410765">
        <w:rPr>
          <w:rFonts w:asciiTheme="majorHAnsi" w:hAnsiTheme="majorHAnsi" w:cstheme="majorHAnsi"/>
          <w:sz w:val="24"/>
          <w:szCs w:val="24"/>
        </w:rPr>
        <w:t xml:space="preserve"> It made me question how many children had been forced to suffer before changes were made and stricter, tighter frameworks were put in place.</w:t>
      </w:r>
      <w:r w:rsidR="006125A7">
        <w:rPr>
          <w:rFonts w:asciiTheme="majorHAnsi" w:hAnsiTheme="majorHAnsi" w:cstheme="majorHAnsi"/>
          <w:sz w:val="24"/>
          <w:szCs w:val="24"/>
        </w:rPr>
        <w:t xml:space="preserve"> According to the NSPCC (no date), the deaths that afforded change were Dennis O’Neill in 1945, Maria Colwell in 1973, Jasmine Beckford in 1984 and Victoria Climbie in 2000. </w:t>
      </w:r>
      <w:r w:rsidR="00D55BC0">
        <w:rPr>
          <w:rFonts w:asciiTheme="majorHAnsi" w:hAnsiTheme="majorHAnsi" w:cstheme="majorHAnsi"/>
          <w:sz w:val="24"/>
          <w:szCs w:val="24"/>
        </w:rPr>
        <w:t xml:space="preserve">According to Children’s Rights in Wales (no date), the reason we have legislation </w:t>
      </w:r>
      <w:r w:rsidR="007E0AC1">
        <w:rPr>
          <w:rFonts w:asciiTheme="majorHAnsi" w:hAnsiTheme="majorHAnsi" w:cstheme="majorHAnsi"/>
          <w:sz w:val="24"/>
          <w:szCs w:val="24"/>
        </w:rPr>
        <w:t xml:space="preserve">regarding children, is to ensure that their welfare and developmental needs are being met. </w:t>
      </w:r>
      <w:r w:rsidR="00074E22">
        <w:rPr>
          <w:rFonts w:asciiTheme="majorHAnsi" w:hAnsiTheme="majorHAnsi" w:cstheme="majorHAnsi"/>
          <w:sz w:val="24"/>
          <w:szCs w:val="24"/>
        </w:rPr>
        <w:t xml:space="preserve">Children in Wales (no date) state that Child Protection and Safeguarding enables children to </w:t>
      </w:r>
      <w:proofErr w:type="spellStart"/>
      <w:r w:rsidR="00074E22">
        <w:rPr>
          <w:rFonts w:asciiTheme="majorHAnsi" w:hAnsiTheme="majorHAnsi" w:cstheme="majorHAnsi"/>
          <w:sz w:val="24"/>
          <w:szCs w:val="24"/>
        </w:rPr>
        <w:t>optimise</w:t>
      </w:r>
      <w:proofErr w:type="spellEnd"/>
      <w:r w:rsidR="00074E22">
        <w:rPr>
          <w:rFonts w:asciiTheme="majorHAnsi" w:hAnsiTheme="majorHAnsi" w:cstheme="majorHAnsi"/>
          <w:sz w:val="24"/>
          <w:szCs w:val="24"/>
        </w:rPr>
        <w:t xml:space="preserve"> their life chances and improves their well-being outcomes, and practitioners can promote this through ensuring the children’s welfare, protecting them from neglect, </w:t>
      </w:r>
      <w:proofErr w:type="gramStart"/>
      <w:r w:rsidR="00074E22">
        <w:rPr>
          <w:rFonts w:asciiTheme="majorHAnsi" w:hAnsiTheme="majorHAnsi" w:cstheme="majorHAnsi"/>
          <w:sz w:val="24"/>
          <w:szCs w:val="24"/>
        </w:rPr>
        <w:t>harm</w:t>
      </w:r>
      <w:proofErr w:type="gramEnd"/>
      <w:r w:rsidR="00074E22">
        <w:rPr>
          <w:rFonts w:asciiTheme="majorHAnsi" w:hAnsiTheme="majorHAnsi" w:cstheme="majorHAnsi"/>
          <w:sz w:val="24"/>
          <w:szCs w:val="24"/>
        </w:rPr>
        <w:t xml:space="preserve"> and abuse, and by ensuring their health and development is not impaired in any way. </w:t>
      </w:r>
    </w:p>
    <w:p w:rsidR="00F208D6" w:rsidRDefault="006125A7"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I also learned that the change from a CRB</w:t>
      </w:r>
      <w:r w:rsidR="00605A8E">
        <w:rPr>
          <w:rFonts w:asciiTheme="majorHAnsi" w:hAnsiTheme="majorHAnsi" w:cstheme="majorHAnsi"/>
          <w:sz w:val="24"/>
          <w:szCs w:val="24"/>
        </w:rPr>
        <w:t xml:space="preserve"> check</w:t>
      </w:r>
      <w:r>
        <w:rPr>
          <w:rFonts w:asciiTheme="majorHAnsi" w:hAnsiTheme="majorHAnsi" w:cstheme="majorHAnsi"/>
          <w:sz w:val="24"/>
          <w:szCs w:val="24"/>
        </w:rPr>
        <w:t xml:space="preserve"> </w:t>
      </w:r>
      <w:r w:rsidR="00605A8E">
        <w:rPr>
          <w:rFonts w:asciiTheme="majorHAnsi" w:hAnsiTheme="majorHAnsi" w:cstheme="majorHAnsi"/>
          <w:sz w:val="24"/>
          <w:szCs w:val="24"/>
        </w:rPr>
        <w:t>(Criminal Records Bureau)</w:t>
      </w:r>
      <w:r>
        <w:rPr>
          <w:rFonts w:asciiTheme="majorHAnsi" w:hAnsiTheme="majorHAnsi" w:cstheme="majorHAnsi"/>
          <w:sz w:val="24"/>
          <w:szCs w:val="24"/>
        </w:rPr>
        <w:t xml:space="preserve"> to a DBS</w:t>
      </w:r>
      <w:r w:rsidR="00605A8E">
        <w:rPr>
          <w:rFonts w:asciiTheme="majorHAnsi" w:hAnsiTheme="majorHAnsi" w:cstheme="majorHAnsi"/>
          <w:sz w:val="24"/>
          <w:szCs w:val="24"/>
        </w:rPr>
        <w:t xml:space="preserve"> check (Disclosure and Barring Service)</w:t>
      </w:r>
      <w:r>
        <w:rPr>
          <w:rFonts w:asciiTheme="majorHAnsi" w:hAnsiTheme="majorHAnsi" w:cstheme="majorHAnsi"/>
          <w:sz w:val="24"/>
          <w:szCs w:val="24"/>
        </w:rPr>
        <w:t xml:space="preserve"> was not just a change of name. </w:t>
      </w:r>
      <w:r w:rsidR="007B345F">
        <w:rPr>
          <w:rFonts w:asciiTheme="majorHAnsi" w:hAnsiTheme="majorHAnsi" w:cstheme="majorHAnsi"/>
          <w:sz w:val="24"/>
          <w:szCs w:val="24"/>
        </w:rPr>
        <w:t xml:space="preserve">It was following the deaths of Holly Wells and Jessica Chapman in 2002, at the hands of Ian Huntley, who was a </w:t>
      </w:r>
      <w:r w:rsidR="007B345F">
        <w:rPr>
          <w:rFonts w:asciiTheme="majorHAnsi" w:hAnsiTheme="majorHAnsi" w:cstheme="majorHAnsi"/>
          <w:sz w:val="24"/>
          <w:szCs w:val="24"/>
        </w:rPr>
        <w:lastRenderedPageBreak/>
        <w:t xml:space="preserve">caretaker at the </w:t>
      </w:r>
      <w:r w:rsidR="00744187">
        <w:rPr>
          <w:rFonts w:asciiTheme="majorHAnsi" w:hAnsiTheme="majorHAnsi" w:cstheme="majorHAnsi"/>
          <w:sz w:val="24"/>
          <w:szCs w:val="24"/>
        </w:rPr>
        <w:t>girl’s</w:t>
      </w:r>
      <w:r w:rsidR="007B345F">
        <w:rPr>
          <w:rFonts w:asciiTheme="majorHAnsi" w:hAnsiTheme="majorHAnsi" w:cstheme="majorHAnsi"/>
          <w:sz w:val="24"/>
          <w:szCs w:val="24"/>
        </w:rPr>
        <w:t xml:space="preserve"> school (therefore, CRB checked), that</w:t>
      </w:r>
      <w:r w:rsidR="00B80EB7">
        <w:rPr>
          <w:rFonts w:asciiTheme="majorHAnsi" w:hAnsiTheme="majorHAnsi" w:cstheme="majorHAnsi"/>
          <w:sz w:val="24"/>
          <w:szCs w:val="24"/>
        </w:rPr>
        <w:t xml:space="preserve"> T</w:t>
      </w:r>
      <w:r w:rsidR="007B345F">
        <w:rPr>
          <w:rFonts w:asciiTheme="majorHAnsi" w:hAnsiTheme="majorHAnsi" w:cstheme="majorHAnsi"/>
          <w:sz w:val="24"/>
          <w:szCs w:val="24"/>
        </w:rPr>
        <w:t xml:space="preserve">he </w:t>
      </w:r>
      <w:proofErr w:type="spellStart"/>
      <w:r w:rsidR="007B345F">
        <w:rPr>
          <w:rFonts w:asciiTheme="majorHAnsi" w:hAnsiTheme="majorHAnsi" w:cstheme="majorHAnsi"/>
          <w:sz w:val="24"/>
          <w:szCs w:val="24"/>
        </w:rPr>
        <w:t>Bichard</w:t>
      </w:r>
      <w:proofErr w:type="spellEnd"/>
      <w:r w:rsidR="007B345F">
        <w:rPr>
          <w:rFonts w:asciiTheme="majorHAnsi" w:hAnsiTheme="majorHAnsi" w:cstheme="majorHAnsi"/>
          <w:sz w:val="24"/>
          <w:szCs w:val="24"/>
        </w:rPr>
        <w:t xml:space="preserve"> </w:t>
      </w:r>
      <w:r w:rsidR="00B80EB7">
        <w:rPr>
          <w:rFonts w:asciiTheme="majorHAnsi" w:hAnsiTheme="majorHAnsi" w:cstheme="majorHAnsi"/>
          <w:sz w:val="24"/>
          <w:szCs w:val="24"/>
        </w:rPr>
        <w:t xml:space="preserve">Inquiry </w:t>
      </w:r>
      <w:r w:rsidR="007B345F">
        <w:rPr>
          <w:rFonts w:asciiTheme="majorHAnsi" w:hAnsiTheme="majorHAnsi" w:cstheme="majorHAnsi"/>
          <w:sz w:val="24"/>
          <w:szCs w:val="24"/>
        </w:rPr>
        <w:t>Report</w:t>
      </w:r>
      <w:r w:rsidR="00B80EB7">
        <w:rPr>
          <w:rFonts w:asciiTheme="majorHAnsi" w:hAnsiTheme="majorHAnsi" w:cstheme="majorHAnsi"/>
          <w:sz w:val="24"/>
          <w:szCs w:val="24"/>
        </w:rPr>
        <w:t xml:space="preserve"> (2004)</w:t>
      </w:r>
      <w:r w:rsidR="007B345F">
        <w:rPr>
          <w:rFonts w:asciiTheme="majorHAnsi" w:hAnsiTheme="majorHAnsi" w:cstheme="majorHAnsi"/>
          <w:sz w:val="24"/>
          <w:szCs w:val="24"/>
        </w:rPr>
        <w:t xml:space="preserve"> </w:t>
      </w:r>
      <w:r w:rsidR="00B80EB7">
        <w:rPr>
          <w:rFonts w:asciiTheme="majorHAnsi" w:hAnsiTheme="majorHAnsi" w:cstheme="majorHAnsi"/>
          <w:sz w:val="24"/>
          <w:szCs w:val="24"/>
        </w:rPr>
        <w:t xml:space="preserve">made several recommendations for improving the old system. The report recommended, among other things, rechecking staff at regular intervals, (every three to five years), questioning identity more thoroughly with photographic identification, and verification of a five-year address history, to stop people from gaining employment with fake names and addresses, which </w:t>
      </w:r>
      <w:r w:rsidR="007E0AC1">
        <w:rPr>
          <w:rFonts w:asciiTheme="majorHAnsi" w:hAnsiTheme="majorHAnsi" w:cstheme="majorHAnsi"/>
          <w:sz w:val="24"/>
          <w:szCs w:val="24"/>
        </w:rPr>
        <w:t>helped criminals hide their previous convictions.</w:t>
      </w:r>
    </w:p>
    <w:p w:rsidR="004A7C78" w:rsidRDefault="004A7C78"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I researched</w:t>
      </w:r>
      <w:r w:rsidR="00872AE3">
        <w:rPr>
          <w:rFonts w:asciiTheme="majorHAnsi" w:hAnsiTheme="majorHAnsi" w:cstheme="majorHAnsi"/>
          <w:sz w:val="24"/>
          <w:szCs w:val="24"/>
        </w:rPr>
        <w:t>,</w:t>
      </w:r>
      <w:r>
        <w:rPr>
          <w:rFonts w:asciiTheme="majorHAnsi" w:hAnsiTheme="majorHAnsi" w:cstheme="majorHAnsi"/>
          <w:sz w:val="24"/>
          <w:szCs w:val="24"/>
        </w:rPr>
        <w:t xml:space="preserve"> </w:t>
      </w:r>
      <w:r w:rsidR="00872AE3">
        <w:rPr>
          <w:rFonts w:asciiTheme="majorHAnsi" w:hAnsiTheme="majorHAnsi" w:cstheme="majorHAnsi"/>
          <w:sz w:val="24"/>
          <w:szCs w:val="24"/>
        </w:rPr>
        <w:t xml:space="preserve">briefly, </w:t>
      </w:r>
      <w:r>
        <w:rPr>
          <w:rFonts w:asciiTheme="majorHAnsi" w:hAnsiTheme="majorHAnsi" w:cstheme="majorHAnsi"/>
          <w:sz w:val="24"/>
          <w:szCs w:val="24"/>
        </w:rPr>
        <w:t xml:space="preserve">the causes of why an adult would abuse a child and found that it is </w:t>
      </w:r>
      <w:r w:rsidR="00872AE3">
        <w:rPr>
          <w:rFonts w:asciiTheme="majorHAnsi" w:hAnsiTheme="majorHAnsi" w:cstheme="majorHAnsi"/>
          <w:sz w:val="24"/>
          <w:szCs w:val="24"/>
        </w:rPr>
        <w:t>too</w:t>
      </w:r>
      <w:r>
        <w:rPr>
          <w:rFonts w:asciiTheme="majorHAnsi" w:hAnsiTheme="majorHAnsi" w:cstheme="majorHAnsi"/>
          <w:sz w:val="24"/>
          <w:szCs w:val="24"/>
        </w:rPr>
        <w:t xml:space="preserve"> complex </w:t>
      </w:r>
      <w:r w:rsidR="00872AE3">
        <w:rPr>
          <w:rFonts w:asciiTheme="majorHAnsi" w:hAnsiTheme="majorHAnsi" w:cstheme="majorHAnsi"/>
          <w:sz w:val="24"/>
          <w:szCs w:val="24"/>
        </w:rPr>
        <w:t xml:space="preserve">an </w:t>
      </w:r>
      <w:r>
        <w:rPr>
          <w:rFonts w:asciiTheme="majorHAnsi" w:hAnsiTheme="majorHAnsi" w:cstheme="majorHAnsi"/>
          <w:sz w:val="24"/>
          <w:szCs w:val="24"/>
        </w:rPr>
        <w:t>area</w:t>
      </w:r>
      <w:r w:rsidR="00872AE3">
        <w:rPr>
          <w:rFonts w:asciiTheme="majorHAnsi" w:hAnsiTheme="majorHAnsi" w:cstheme="majorHAnsi"/>
          <w:sz w:val="24"/>
          <w:szCs w:val="24"/>
        </w:rPr>
        <w:t xml:space="preserve"> to pin-point to a specific reason, although r</w:t>
      </w:r>
      <w:r w:rsidR="00E26DF5">
        <w:rPr>
          <w:rFonts w:asciiTheme="majorHAnsi" w:hAnsiTheme="majorHAnsi" w:cstheme="majorHAnsi"/>
          <w:sz w:val="24"/>
          <w:szCs w:val="24"/>
        </w:rPr>
        <w:t>esearch by Davidson (1977) and more recently Glasser et al</w:t>
      </w:r>
      <w:r w:rsidR="00DE1B1A">
        <w:rPr>
          <w:rFonts w:asciiTheme="majorHAnsi" w:hAnsiTheme="majorHAnsi" w:cstheme="majorHAnsi"/>
          <w:sz w:val="24"/>
          <w:szCs w:val="24"/>
        </w:rPr>
        <w:t>. (2001)</w:t>
      </w:r>
      <w:r w:rsidR="00E26DF5">
        <w:rPr>
          <w:rFonts w:asciiTheme="majorHAnsi" w:hAnsiTheme="majorHAnsi" w:cstheme="majorHAnsi"/>
          <w:sz w:val="24"/>
          <w:szCs w:val="24"/>
        </w:rPr>
        <w:t xml:space="preserve"> </w:t>
      </w:r>
      <w:r w:rsidR="00410765">
        <w:rPr>
          <w:rFonts w:asciiTheme="majorHAnsi" w:hAnsiTheme="majorHAnsi" w:cstheme="majorHAnsi"/>
          <w:sz w:val="24"/>
          <w:szCs w:val="24"/>
        </w:rPr>
        <w:t xml:space="preserve">and Jespersen et al. (2009) </w:t>
      </w:r>
      <w:r w:rsidR="00E26DF5">
        <w:rPr>
          <w:rFonts w:asciiTheme="majorHAnsi" w:hAnsiTheme="majorHAnsi" w:cstheme="majorHAnsi"/>
          <w:sz w:val="24"/>
          <w:szCs w:val="24"/>
        </w:rPr>
        <w:t xml:space="preserve">suggests that </w:t>
      </w:r>
      <w:proofErr w:type="gramStart"/>
      <w:r w:rsidR="00E26DF5">
        <w:rPr>
          <w:rFonts w:asciiTheme="majorHAnsi" w:hAnsiTheme="majorHAnsi" w:cstheme="majorHAnsi"/>
          <w:sz w:val="24"/>
          <w:szCs w:val="24"/>
        </w:rPr>
        <w:t>the majority of</w:t>
      </w:r>
      <w:proofErr w:type="gramEnd"/>
      <w:r w:rsidR="00E26DF5">
        <w:rPr>
          <w:rFonts w:asciiTheme="majorHAnsi" w:hAnsiTheme="majorHAnsi" w:cstheme="majorHAnsi"/>
          <w:sz w:val="24"/>
          <w:szCs w:val="24"/>
        </w:rPr>
        <w:t xml:space="preserve"> abusers have a history of abuse as a child, and that in-depth psychological analysis of child abusers show low frustration tolerance, low self-esteem, impulsivity dependence and immaturity as character traits. </w:t>
      </w:r>
    </w:p>
    <w:p w:rsidR="00A40245" w:rsidRDefault="00A40245"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The whole referral process was new to me. I</w:t>
      </w:r>
      <w:r w:rsidR="005044A3">
        <w:rPr>
          <w:rFonts w:asciiTheme="majorHAnsi" w:hAnsiTheme="majorHAnsi" w:cstheme="majorHAnsi"/>
          <w:sz w:val="24"/>
          <w:szCs w:val="24"/>
        </w:rPr>
        <w:t>f a situation I was concerned about arose, I had been trained to listen to the child and take their allegations seriously, not to interrupt, prompt or ask leading questions, not to promise I would keep it a secret, to write down, (using exact words) what I had been told, report my concerns to the Designated Safeguarding Officer, and not to worry about being mistaken, somebody with more experience and responsibility would be better placed to make an assessment. I</w:t>
      </w:r>
      <w:r>
        <w:rPr>
          <w:rFonts w:asciiTheme="majorHAnsi" w:hAnsiTheme="majorHAnsi" w:cstheme="majorHAnsi"/>
          <w:sz w:val="24"/>
          <w:szCs w:val="24"/>
        </w:rPr>
        <w:t xml:space="preserve"> was unaware of what happened once the Designated Safeguarding Officer made the initial referral. I now know that the referral is made to the Local Safeguarding Children Board</w:t>
      </w:r>
      <w:r w:rsidR="00605A8E">
        <w:rPr>
          <w:rFonts w:asciiTheme="majorHAnsi" w:hAnsiTheme="majorHAnsi" w:cstheme="majorHAnsi"/>
          <w:sz w:val="24"/>
          <w:szCs w:val="24"/>
        </w:rPr>
        <w:t xml:space="preserve"> (LSCB)</w:t>
      </w:r>
      <w:r>
        <w:rPr>
          <w:rFonts w:asciiTheme="majorHAnsi" w:hAnsiTheme="majorHAnsi" w:cstheme="majorHAnsi"/>
          <w:sz w:val="24"/>
          <w:szCs w:val="24"/>
        </w:rPr>
        <w:t>, and the level of detail that they require</w:t>
      </w:r>
      <w:r w:rsidR="00605A8E">
        <w:rPr>
          <w:rFonts w:asciiTheme="majorHAnsi" w:hAnsiTheme="majorHAnsi" w:cstheme="majorHAnsi"/>
          <w:sz w:val="24"/>
          <w:szCs w:val="24"/>
        </w:rPr>
        <w:t xml:space="preserve"> (why there are concerns, names, addresses and dates of birth of the child, the child’s family members and any other adults </w:t>
      </w:r>
      <w:r w:rsidR="00605A8E">
        <w:rPr>
          <w:rFonts w:asciiTheme="majorHAnsi" w:hAnsiTheme="majorHAnsi" w:cstheme="majorHAnsi"/>
          <w:sz w:val="24"/>
          <w:szCs w:val="24"/>
        </w:rPr>
        <w:lastRenderedPageBreak/>
        <w:t xml:space="preserve">living at the address, GP details and any information that might affect staff safety). </w:t>
      </w:r>
      <w:r>
        <w:rPr>
          <w:rFonts w:asciiTheme="majorHAnsi" w:hAnsiTheme="majorHAnsi" w:cstheme="majorHAnsi"/>
          <w:sz w:val="24"/>
          <w:szCs w:val="24"/>
        </w:rPr>
        <w:t xml:space="preserve">The Carmarthenshire LSCB website (no date) was invaluable during researching, there was information for everyone </w:t>
      </w:r>
      <w:r w:rsidR="00375CA9">
        <w:rPr>
          <w:rFonts w:asciiTheme="majorHAnsi" w:hAnsiTheme="majorHAnsi" w:cstheme="majorHAnsi"/>
          <w:sz w:val="24"/>
          <w:szCs w:val="24"/>
        </w:rPr>
        <w:t>about</w:t>
      </w:r>
      <w:r>
        <w:rPr>
          <w:rFonts w:asciiTheme="majorHAnsi" w:hAnsiTheme="majorHAnsi" w:cstheme="majorHAnsi"/>
          <w:sz w:val="24"/>
          <w:szCs w:val="24"/>
        </w:rPr>
        <w:t xml:space="preserve"> the referral system, from concerned members of the publi</w:t>
      </w:r>
      <w:r w:rsidR="009A091C">
        <w:rPr>
          <w:rFonts w:asciiTheme="majorHAnsi" w:hAnsiTheme="majorHAnsi" w:cstheme="majorHAnsi"/>
          <w:sz w:val="24"/>
          <w:szCs w:val="24"/>
        </w:rPr>
        <w:t xml:space="preserve">c to professionals and even a section for children which explained in extremely simple terms what a Child Protection Conference is. </w:t>
      </w:r>
      <w:r w:rsidR="003B7852">
        <w:rPr>
          <w:rFonts w:asciiTheme="majorHAnsi" w:hAnsiTheme="majorHAnsi" w:cstheme="majorHAnsi"/>
          <w:sz w:val="24"/>
          <w:szCs w:val="24"/>
        </w:rPr>
        <w:t xml:space="preserve">There was a wealth of sources that explained what happens after a referral is made, (Social Services and Well-Being (Wales) Act 2014; </w:t>
      </w:r>
      <w:r w:rsidR="00016D97">
        <w:rPr>
          <w:rFonts w:asciiTheme="majorHAnsi" w:hAnsiTheme="majorHAnsi" w:cstheme="majorHAnsi"/>
          <w:sz w:val="24"/>
          <w:szCs w:val="24"/>
        </w:rPr>
        <w:t>Family Lives (no date); All Wales Child Protection Procedures 2008)</w:t>
      </w:r>
      <w:r w:rsidR="00E00AE0">
        <w:rPr>
          <w:rFonts w:asciiTheme="majorHAnsi" w:hAnsiTheme="majorHAnsi" w:cstheme="majorHAnsi"/>
          <w:sz w:val="24"/>
          <w:szCs w:val="24"/>
        </w:rPr>
        <w:t xml:space="preserve">, although it was the NSPCC explanation (no date - a) of the referral process that I found to be the most user-friendly and easy to understand. </w:t>
      </w:r>
    </w:p>
    <w:p w:rsidR="00F208D6" w:rsidRDefault="00F208D6"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There are many different names for the different agencies, within many different areas, and this made researching the appropriate roles difficult and confusing. While one area would use ‘Children’s Social Care’ (North Wales Safeguarding Children Forum, 2015), another may use ‘Children’s Services’ </w:t>
      </w:r>
      <w:r w:rsidR="00375CA9">
        <w:rPr>
          <w:rFonts w:asciiTheme="majorHAnsi" w:hAnsiTheme="majorHAnsi" w:cstheme="majorHAnsi"/>
          <w:sz w:val="24"/>
          <w:szCs w:val="24"/>
        </w:rPr>
        <w:t xml:space="preserve">(Carmarthenshire County Council, no date) </w:t>
      </w:r>
      <w:r>
        <w:rPr>
          <w:rFonts w:asciiTheme="majorHAnsi" w:hAnsiTheme="majorHAnsi" w:cstheme="majorHAnsi"/>
          <w:sz w:val="24"/>
          <w:szCs w:val="24"/>
        </w:rPr>
        <w:t xml:space="preserve">to describe the same agency. </w:t>
      </w:r>
      <w:r w:rsidR="007E0AC1">
        <w:rPr>
          <w:rFonts w:asciiTheme="majorHAnsi" w:hAnsiTheme="majorHAnsi" w:cstheme="majorHAnsi"/>
          <w:sz w:val="24"/>
          <w:szCs w:val="24"/>
        </w:rPr>
        <w:t>The vast array of different Acts also confused me;</w:t>
      </w:r>
      <w:r w:rsidR="00D55BC0">
        <w:rPr>
          <w:rFonts w:asciiTheme="majorHAnsi" w:hAnsiTheme="majorHAnsi" w:cstheme="majorHAnsi"/>
          <w:sz w:val="24"/>
          <w:szCs w:val="24"/>
        </w:rPr>
        <w:t xml:space="preserve"> Children Act 1989, Children Act 2004, Protection of Children Act 1999, Care Standards Act</w:t>
      </w:r>
      <w:r w:rsidR="00872AE3">
        <w:rPr>
          <w:rFonts w:asciiTheme="majorHAnsi" w:hAnsiTheme="majorHAnsi" w:cstheme="majorHAnsi"/>
          <w:sz w:val="24"/>
          <w:szCs w:val="24"/>
        </w:rPr>
        <w:t xml:space="preserve"> 2000,</w:t>
      </w:r>
      <w:r w:rsidR="00D55BC0">
        <w:rPr>
          <w:rFonts w:asciiTheme="majorHAnsi" w:hAnsiTheme="majorHAnsi" w:cstheme="majorHAnsi"/>
          <w:sz w:val="24"/>
          <w:szCs w:val="24"/>
        </w:rPr>
        <w:t xml:space="preserve"> Childcare Act 2006</w:t>
      </w:r>
      <w:r w:rsidR="007E0AC1">
        <w:rPr>
          <w:rFonts w:asciiTheme="majorHAnsi" w:hAnsiTheme="majorHAnsi" w:cstheme="majorHAnsi"/>
          <w:sz w:val="24"/>
          <w:szCs w:val="24"/>
        </w:rPr>
        <w:t xml:space="preserve"> to name but a few,</w:t>
      </w:r>
      <w:r w:rsidR="00D55BC0">
        <w:rPr>
          <w:rFonts w:asciiTheme="majorHAnsi" w:hAnsiTheme="majorHAnsi" w:cstheme="majorHAnsi"/>
          <w:sz w:val="24"/>
          <w:szCs w:val="24"/>
        </w:rPr>
        <w:t xml:space="preserve"> and was not sure if they were all still relevant</w:t>
      </w:r>
      <w:r w:rsidR="00872AE3">
        <w:rPr>
          <w:rFonts w:asciiTheme="majorHAnsi" w:hAnsiTheme="majorHAnsi" w:cstheme="majorHAnsi"/>
          <w:sz w:val="24"/>
          <w:szCs w:val="24"/>
        </w:rPr>
        <w:t>, or if they had been replaced with a more recent version.</w:t>
      </w:r>
    </w:p>
    <w:p w:rsidR="00E00AE0" w:rsidRDefault="00E00AE0"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I </w:t>
      </w:r>
      <w:r w:rsidR="00A42751">
        <w:rPr>
          <w:rFonts w:asciiTheme="majorHAnsi" w:hAnsiTheme="majorHAnsi" w:cstheme="majorHAnsi"/>
          <w:sz w:val="24"/>
          <w:szCs w:val="24"/>
        </w:rPr>
        <w:t xml:space="preserve">learned about </w:t>
      </w:r>
      <w:r>
        <w:rPr>
          <w:rFonts w:asciiTheme="majorHAnsi" w:hAnsiTheme="majorHAnsi" w:cstheme="majorHAnsi"/>
          <w:sz w:val="24"/>
          <w:szCs w:val="24"/>
        </w:rPr>
        <w:t>the strict time-scales that Children’s Services must adhere to after a referral is made</w:t>
      </w:r>
      <w:r w:rsidR="006B57F6">
        <w:rPr>
          <w:rFonts w:asciiTheme="majorHAnsi" w:hAnsiTheme="majorHAnsi" w:cstheme="majorHAnsi"/>
          <w:sz w:val="24"/>
          <w:szCs w:val="24"/>
        </w:rPr>
        <w:t>, (</w:t>
      </w:r>
      <w:r w:rsidR="004274B1">
        <w:rPr>
          <w:rFonts w:asciiTheme="majorHAnsi" w:hAnsiTheme="majorHAnsi" w:cstheme="majorHAnsi"/>
          <w:sz w:val="24"/>
          <w:szCs w:val="24"/>
        </w:rPr>
        <w:t xml:space="preserve">decision on how to proceed 24 hours after Strategy Discussion, Strategy meeting no later than 8 days after referral, Initial Child Protection Conference should take place within 15 working days of strategy discussion/meeting, for example) (All Wales Child Protection Procedures 2008). </w:t>
      </w:r>
    </w:p>
    <w:p w:rsidR="00A42751" w:rsidRDefault="00A42751"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lastRenderedPageBreak/>
        <w:t xml:space="preserve">I was aware of the Children’s Commissioner for Wales, that </w:t>
      </w:r>
      <w:proofErr w:type="gramStart"/>
      <w:r>
        <w:rPr>
          <w:rFonts w:asciiTheme="majorHAnsi" w:hAnsiTheme="majorHAnsi" w:cstheme="majorHAnsi"/>
          <w:sz w:val="24"/>
          <w:szCs w:val="24"/>
        </w:rPr>
        <w:t>the role was held by Sally Holland</w:t>
      </w:r>
      <w:proofErr w:type="gramEnd"/>
      <w:r>
        <w:rPr>
          <w:rFonts w:asciiTheme="majorHAnsi" w:hAnsiTheme="majorHAnsi" w:cstheme="majorHAnsi"/>
          <w:sz w:val="24"/>
          <w:szCs w:val="24"/>
        </w:rPr>
        <w:t xml:space="preserve">, and that all her work is underpinned by the United Nations Convention on the Rights of the Child (no date), but did not know that it had been established following the Care Standards Act 2000. I learned what powers the Commissioners have, from reviewing how any proposed exercises of functions by public bodies will </w:t>
      </w:r>
      <w:r w:rsidR="00DE1B1A">
        <w:rPr>
          <w:rFonts w:asciiTheme="majorHAnsi" w:hAnsiTheme="majorHAnsi" w:cstheme="majorHAnsi"/>
          <w:sz w:val="24"/>
          <w:szCs w:val="24"/>
        </w:rPr>
        <w:t>affect</w:t>
      </w:r>
      <w:r>
        <w:rPr>
          <w:rFonts w:asciiTheme="majorHAnsi" w:hAnsiTheme="majorHAnsi" w:cstheme="majorHAnsi"/>
          <w:sz w:val="24"/>
          <w:szCs w:val="24"/>
        </w:rPr>
        <w:t xml:space="preserve"> children, to </w:t>
      </w:r>
      <w:proofErr w:type="gramStart"/>
      <w:r>
        <w:rPr>
          <w:rFonts w:asciiTheme="majorHAnsi" w:hAnsiTheme="majorHAnsi" w:cstheme="majorHAnsi"/>
          <w:sz w:val="24"/>
          <w:szCs w:val="24"/>
        </w:rPr>
        <w:t>providing assistance</w:t>
      </w:r>
      <w:proofErr w:type="gramEnd"/>
      <w:r>
        <w:rPr>
          <w:rFonts w:asciiTheme="majorHAnsi" w:hAnsiTheme="majorHAnsi" w:cstheme="majorHAnsi"/>
          <w:sz w:val="24"/>
          <w:szCs w:val="24"/>
        </w:rPr>
        <w:t xml:space="preserve"> for children or examining cases in certain circumstances and making representations to the Welsh Government about any issues affecting the rights and welfare of children (</w:t>
      </w:r>
      <w:r w:rsidR="00391FD3">
        <w:rPr>
          <w:rFonts w:asciiTheme="majorHAnsi" w:hAnsiTheme="majorHAnsi" w:cstheme="majorHAnsi"/>
          <w:sz w:val="24"/>
          <w:szCs w:val="24"/>
        </w:rPr>
        <w:t>Children’s Commissioner for Wales, 2017).</w:t>
      </w:r>
    </w:p>
    <w:p w:rsidR="003B7852" w:rsidRDefault="003B7852"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Researching for the case study, and discussing the various elements of the case with the other students in my group was interesting. We had initially decided on the ‘Mother’ in the case being at fault and we were heading for a Child Protection Plan</w:t>
      </w:r>
      <w:r w:rsidR="00F44D89">
        <w:rPr>
          <w:rFonts w:asciiTheme="majorHAnsi" w:hAnsiTheme="majorHAnsi" w:cstheme="majorHAnsi"/>
          <w:sz w:val="24"/>
          <w:szCs w:val="24"/>
        </w:rPr>
        <w:t xml:space="preserve"> (CPP)</w:t>
      </w:r>
      <w:r>
        <w:rPr>
          <w:rFonts w:asciiTheme="majorHAnsi" w:hAnsiTheme="majorHAnsi" w:cstheme="majorHAnsi"/>
          <w:sz w:val="24"/>
          <w:szCs w:val="24"/>
        </w:rPr>
        <w:t xml:space="preserve">, but the more we added to the scenario, </w:t>
      </w:r>
      <w:r w:rsidR="00F44D89">
        <w:rPr>
          <w:rFonts w:asciiTheme="majorHAnsi" w:hAnsiTheme="majorHAnsi" w:cstheme="majorHAnsi"/>
          <w:sz w:val="24"/>
          <w:szCs w:val="24"/>
        </w:rPr>
        <w:t xml:space="preserve">the more we </w:t>
      </w:r>
      <w:proofErr w:type="spellStart"/>
      <w:r w:rsidR="00F44D89">
        <w:rPr>
          <w:rFonts w:asciiTheme="majorHAnsi" w:hAnsiTheme="majorHAnsi" w:cstheme="majorHAnsi"/>
          <w:sz w:val="24"/>
          <w:szCs w:val="24"/>
        </w:rPr>
        <w:t>realised</w:t>
      </w:r>
      <w:proofErr w:type="spellEnd"/>
      <w:r>
        <w:rPr>
          <w:rFonts w:asciiTheme="majorHAnsi" w:hAnsiTheme="majorHAnsi" w:cstheme="majorHAnsi"/>
          <w:sz w:val="24"/>
          <w:szCs w:val="24"/>
        </w:rPr>
        <w:t xml:space="preserve"> that the Mother needed more support from Children’s Services, and monitoring of how that support was working, rather than rushing to the extreme of a CPP.</w:t>
      </w:r>
      <w:r w:rsidR="00016D97">
        <w:rPr>
          <w:rFonts w:asciiTheme="majorHAnsi" w:hAnsiTheme="majorHAnsi" w:cstheme="majorHAnsi"/>
          <w:sz w:val="24"/>
          <w:szCs w:val="24"/>
        </w:rPr>
        <w:t xml:space="preserve"> </w:t>
      </w:r>
    </w:p>
    <w:p w:rsidR="00193EBC" w:rsidRDefault="00E00AE0"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During the time my group and I spent researching and debating the scenario, </w:t>
      </w:r>
      <w:r w:rsidR="00CE3AD3">
        <w:rPr>
          <w:rFonts w:asciiTheme="majorHAnsi" w:hAnsiTheme="majorHAnsi" w:cstheme="majorHAnsi"/>
          <w:sz w:val="24"/>
          <w:szCs w:val="24"/>
        </w:rPr>
        <w:t xml:space="preserve">and discussing our various roles and responsibilities, the one thing that raised many questions for myself was how effective multi-agency working is. Although </w:t>
      </w:r>
      <w:r w:rsidR="00F44D89">
        <w:rPr>
          <w:rFonts w:asciiTheme="majorHAnsi" w:hAnsiTheme="majorHAnsi" w:cstheme="majorHAnsi"/>
          <w:sz w:val="24"/>
          <w:szCs w:val="24"/>
        </w:rPr>
        <w:t>there is</w:t>
      </w:r>
      <w:r w:rsidR="00CE3AD3">
        <w:rPr>
          <w:rFonts w:asciiTheme="majorHAnsi" w:hAnsiTheme="majorHAnsi" w:cstheme="majorHAnsi"/>
          <w:sz w:val="24"/>
          <w:szCs w:val="24"/>
        </w:rPr>
        <w:t xml:space="preserve"> a benefit for the child and family, from the specialist skills that each practitioner would bring with them (Department of Education, 2012)</w:t>
      </w:r>
      <w:r w:rsidR="00193EBC">
        <w:rPr>
          <w:rFonts w:asciiTheme="majorHAnsi" w:hAnsiTheme="majorHAnsi" w:cstheme="majorHAnsi"/>
          <w:sz w:val="24"/>
          <w:szCs w:val="24"/>
        </w:rPr>
        <w:t xml:space="preserve">, a few challenges that I </w:t>
      </w:r>
      <w:r w:rsidR="00CB722A">
        <w:rPr>
          <w:rFonts w:asciiTheme="majorHAnsi" w:hAnsiTheme="majorHAnsi" w:cstheme="majorHAnsi"/>
          <w:sz w:val="24"/>
          <w:szCs w:val="24"/>
        </w:rPr>
        <w:t xml:space="preserve">found </w:t>
      </w:r>
      <w:r w:rsidR="00193EBC">
        <w:rPr>
          <w:rFonts w:asciiTheme="majorHAnsi" w:hAnsiTheme="majorHAnsi" w:cstheme="majorHAnsi"/>
          <w:sz w:val="24"/>
          <w:szCs w:val="24"/>
        </w:rPr>
        <w:t xml:space="preserve">while researching </w:t>
      </w:r>
      <w:r w:rsidR="00CB722A">
        <w:rPr>
          <w:rFonts w:asciiTheme="majorHAnsi" w:hAnsiTheme="majorHAnsi" w:cstheme="majorHAnsi"/>
          <w:sz w:val="24"/>
          <w:szCs w:val="24"/>
        </w:rPr>
        <w:t xml:space="preserve">the subject </w:t>
      </w:r>
      <w:r w:rsidR="00193EBC">
        <w:rPr>
          <w:rFonts w:asciiTheme="majorHAnsi" w:hAnsiTheme="majorHAnsi" w:cstheme="majorHAnsi"/>
          <w:sz w:val="24"/>
          <w:szCs w:val="24"/>
        </w:rPr>
        <w:t>were</w:t>
      </w:r>
      <w:r w:rsidR="00CB722A">
        <w:rPr>
          <w:rFonts w:asciiTheme="majorHAnsi" w:hAnsiTheme="majorHAnsi" w:cstheme="majorHAnsi"/>
          <w:sz w:val="24"/>
          <w:szCs w:val="24"/>
        </w:rPr>
        <w:t>:</w:t>
      </w:r>
      <w:r w:rsidR="00193EBC">
        <w:rPr>
          <w:rFonts w:asciiTheme="majorHAnsi" w:hAnsiTheme="majorHAnsi" w:cstheme="majorHAnsi"/>
          <w:sz w:val="24"/>
          <w:szCs w:val="24"/>
        </w:rPr>
        <w:t xml:space="preserve"> </w:t>
      </w:r>
    </w:p>
    <w:p w:rsidR="00E00AE0" w:rsidRDefault="00193EBC" w:rsidP="00193EBC">
      <w:pPr>
        <w:pStyle w:val="ListParagraph"/>
        <w:numPr>
          <w:ilvl w:val="0"/>
          <w:numId w:val="16"/>
        </w:numPr>
        <w:spacing w:line="360" w:lineRule="auto"/>
        <w:jc w:val="both"/>
        <w:rPr>
          <w:rFonts w:asciiTheme="majorHAnsi" w:hAnsiTheme="majorHAnsi" w:cstheme="majorHAnsi"/>
          <w:sz w:val="24"/>
          <w:szCs w:val="24"/>
        </w:rPr>
      </w:pPr>
      <w:r w:rsidRPr="00193EBC">
        <w:rPr>
          <w:rFonts w:asciiTheme="majorHAnsi" w:hAnsiTheme="majorHAnsi" w:cstheme="majorHAnsi"/>
          <w:sz w:val="24"/>
          <w:szCs w:val="24"/>
        </w:rPr>
        <w:t>competing priorities between different agencies (Atkinson et al., 2002)</w:t>
      </w:r>
    </w:p>
    <w:p w:rsidR="00193EBC" w:rsidRDefault="00CB722A" w:rsidP="00193EBC">
      <w:pPr>
        <w:pStyle w:val="ListParagraph"/>
        <w:numPr>
          <w:ilvl w:val="0"/>
          <w:numId w:val="16"/>
        </w:numPr>
        <w:spacing w:line="360" w:lineRule="auto"/>
        <w:jc w:val="both"/>
        <w:rPr>
          <w:rFonts w:asciiTheme="majorHAnsi" w:hAnsiTheme="majorHAnsi" w:cstheme="majorHAnsi"/>
          <w:sz w:val="24"/>
          <w:szCs w:val="24"/>
        </w:rPr>
      </w:pPr>
      <w:r>
        <w:rPr>
          <w:rFonts w:asciiTheme="majorHAnsi" w:hAnsiTheme="majorHAnsi" w:cstheme="majorHAnsi"/>
          <w:sz w:val="24"/>
          <w:szCs w:val="24"/>
        </w:rPr>
        <w:lastRenderedPageBreak/>
        <w:t xml:space="preserve">adhering to </w:t>
      </w:r>
      <w:r w:rsidR="00193EBC">
        <w:rPr>
          <w:rFonts w:asciiTheme="majorHAnsi" w:hAnsiTheme="majorHAnsi" w:cstheme="majorHAnsi"/>
          <w:sz w:val="24"/>
          <w:szCs w:val="24"/>
        </w:rPr>
        <w:t>confidentiality and</w:t>
      </w:r>
      <w:r>
        <w:rPr>
          <w:rFonts w:asciiTheme="majorHAnsi" w:hAnsiTheme="majorHAnsi" w:cstheme="majorHAnsi"/>
          <w:sz w:val="24"/>
          <w:szCs w:val="24"/>
        </w:rPr>
        <w:t xml:space="preserve"> poor</w:t>
      </w:r>
      <w:r w:rsidR="00193EBC">
        <w:rPr>
          <w:rFonts w:asciiTheme="majorHAnsi" w:hAnsiTheme="majorHAnsi" w:cstheme="majorHAnsi"/>
          <w:sz w:val="24"/>
          <w:szCs w:val="24"/>
        </w:rPr>
        <w:t xml:space="preserve"> information-sharing can hinder effective multi-agency working (Dahl </w:t>
      </w:r>
      <w:r w:rsidR="006A2C33">
        <w:rPr>
          <w:rFonts w:asciiTheme="majorHAnsi" w:hAnsiTheme="majorHAnsi" w:cstheme="majorHAnsi"/>
          <w:sz w:val="24"/>
          <w:szCs w:val="24"/>
        </w:rPr>
        <w:t>and</w:t>
      </w:r>
      <w:r w:rsidR="00193EBC">
        <w:rPr>
          <w:rFonts w:asciiTheme="majorHAnsi" w:hAnsiTheme="majorHAnsi" w:cstheme="majorHAnsi"/>
          <w:sz w:val="24"/>
          <w:szCs w:val="24"/>
        </w:rPr>
        <w:t xml:space="preserve"> Aubrey, 2005)</w:t>
      </w:r>
    </w:p>
    <w:p w:rsidR="006A2C33" w:rsidRDefault="006A2C33" w:rsidP="00193EBC">
      <w:pPr>
        <w:pStyle w:val="ListParagraph"/>
        <w:numPr>
          <w:ilvl w:val="0"/>
          <w:numId w:val="16"/>
        </w:numPr>
        <w:spacing w:line="360" w:lineRule="auto"/>
        <w:jc w:val="both"/>
        <w:rPr>
          <w:rFonts w:asciiTheme="majorHAnsi" w:hAnsiTheme="majorHAnsi" w:cstheme="majorHAnsi"/>
          <w:sz w:val="24"/>
          <w:szCs w:val="24"/>
        </w:rPr>
      </w:pPr>
      <w:r>
        <w:rPr>
          <w:rFonts w:asciiTheme="majorHAnsi" w:hAnsiTheme="majorHAnsi" w:cstheme="majorHAnsi"/>
          <w:sz w:val="24"/>
          <w:szCs w:val="24"/>
        </w:rPr>
        <w:t>different ideologies and working practices between different agencies (Rose, 200</w:t>
      </w:r>
      <w:r w:rsidR="00CB722A">
        <w:rPr>
          <w:rFonts w:asciiTheme="majorHAnsi" w:hAnsiTheme="majorHAnsi" w:cstheme="majorHAnsi"/>
          <w:sz w:val="24"/>
          <w:szCs w:val="24"/>
        </w:rPr>
        <w:t>7)</w:t>
      </w:r>
    </w:p>
    <w:p w:rsidR="00CB722A" w:rsidRDefault="00CB722A" w:rsidP="00193EBC">
      <w:pPr>
        <w:pStyle w:val="ListParagraph"/>
        <w:numPr>
          <w:ilvl w:val="0"/>
          <w:numId w:val="16"/>
        </w:numPr>
        <w:spacing w:line="360" w:lineRule="auto"/>
        <w:jc w:val="both"/>
        <w:rPr>
          <w:rFonts w:asciiTheme="majorHAnsi" w:hAnsiTheme="majorHAnsi" w:cstheme="majorHAnsi"/>
          <w:sz w:val="24"/>
          <w:szCs w:val="24"/>
        </w:rPr>
      </w:pPr>
      <w:r>
        <w:rPr>
          <w:rFonts w:asciiTheme="majorHAnsi" w:hAnsiTheme="majorHAnsi" w:cstheme="majorHAnsi"/>
          <w:sz w:val="24"/>
          <w:szCs w:val="24"/>
        </w:rPr>
        <w:t>and, occasionally, a lack of clear channels for communication (Atkinson</w:t>
      </w:r>
      <w:r w:rsidR="00561057">
        <w:rPr>
          <w:rFonts w:asciiTheme="majorHAnsi" w:hAnsiTheme="majorHAnsi" w:cstheme="majorHAnsi"/>
          <w:sz w:val="24"/>
          <w:szCs w:val="24"/>
        </w:rPr>
        <w:t xml:space="preserve"> et al., 2007)</w:t>
      </w:r>
    </w:p>
    <w:p w:rsidR="00DE5D0E" w:rsidRDefault="00F44D89" w:rsidP="00F44D89">
      <w:pPr>
        <w:spacing w:line="360" w:lineRule="auto"/>
        <w:jc w:val="both"/>
        <w:rPr>
          <w:rFonts w:asciiTheme="majorHAnsi" w:hAnsiTheme="majorHAnsi" w:cstheme="majorHAnsi"/>
          <w:sz w:val="24"/>
          <w:szCs w:val="24"/>
        </w:rPr>
      </w:pPr>
      <w:r>
        <w:rPr>
          <w:rFonts w:asciiTheme="majorHAnsi" w:hAnsiTheme="majorHAnsi" w:cstheme="majorHAnsi"/>
          <w:sz w:val="24"/>
          <w:szCs w:val="24"/>
        </w:rPr>
        <w:t>This led me to research what every</w:t>
      </w:r>
      <w:r w:rsidR="00605A8E">
        <w:rPr>
          <w:rFonts w:asciiTheme="majorHAnsi" w:hAnsiTheme="majorHAnsi" w:cstheme="majorHAnsi"/>
          <w:sz w:val="24"/>
          <w:szCs w:val="24"/>
        </w:rPr>
        <w:t xml:space="preserve"> professional’s</w:t>
      </w:r>
      <w:r>
        <w:rPr>
          <w:rFonts w:asciiTheme="majorHAnsi" w:hAnsiTheme="majorHAnsi" w:cstheme="majorHAnsi"/>
          <w:sz w:val="24"/>
          <w:szCs w:val="24"/>
        </w:rPr>
        <w:t xml:space="preserve"> exact roles during a Child Protection Conference are. </w:t>
      </w:r>
      <w:r w:rsidR="00DE5D0E">
        <w:rPr>
          <w:rFonts w:asciiTheme="majorHAnsi" w:hAnsiTheme="majorHAnsi" w:cstheme="majorHAnsi"/>
          <w:sz w:val="24"/>
          <w:szCs w:val="24"/>
        </w:rPr>
        <w:t xml:space="preserve">During our </w:t>
      </w:r>
      <w:r w:rsidR="005C59AE">
        <w:rPr>
          <w:rFonts w:asciiTheme="majorHAnsi" w:hAnsiTheme="majorHAnsi" w:cstheme="majorHAnsi"/>
          <w:sz w:val="24"/>
          <w:szCs w:val="24"/>
        </w:rPr>
        <w:t xml:space="preserve">conference, we had Children’s Services, a police officer and the child’s Key Worker present, and a letter from the family GP. </w:t>
      </w:r>
      <w:r w:rsidR="00DE5D0E">
        <w:rPr>
          <w:rFonts w:asciiTheme="majorHAnsi" w:hAnsiTheme="majorHAnsi" w:cstheme="majorHAnsi"/>
          <w:sz w:val="24"/>
          <w:szCs w:val="24"/>
        </w:rPr>
        <w:t xml:space="preserve">According to </w:t>
      </w:r>
      <w:r w:rsidR="005C59AE">
        <w:rPr>
          <w:rFonts w:asciiTheme="majorHAnsi" w:hAnsiTheme="majorHAnsi" w:cstheme="majorHAnsi"/>
          <w:sz w:val="24"/>
          <w:szCs w:val="24"/>
        </w:rPr>
        <w:t>Denbighshire</w:t>
      </w:r>
      <w:r w:rsidR="00DE5D0E">
        <w:rPr>
          <w:rFonts w:asciiTheme="majorHAnsi" w:hAnsiTheme="majorHAnsi" w:cstheme="majorHAnsi"/>
          <w:sz w:val="24"/>
          <w:szCs w:val="24"/>
        </w:rPr>
        <w:t xml:space="preserve"> </w:t>
      </w:r>
      <w:r w:rsidR="005C59AE">
        <w:rPr>
          <w:rFonts w:asciiTheme="majorHAnsi" w:hAnsiTheme="majorHAnsi" w:cstheme="majorHAnsi"/>
          <w:sz w:val="24"/>
          <w:szCs w:val="24"/>
        </w:rPr>
        <w:t>County</w:t>
      </w:r>
      <w:r w:rsidR="00DE5D0E">
        <w:rPr>
          <w:rFonts w:asciiTheme="majorHAnsi" w:hAnsiTheme="majorHAnsi" w:cstheme="majorHAnsi"/>
          <w:sz w:val="24"/>
          <w:szCs w:val="24"/>
        </w:rPr>
        <w:t xml:space="preserve"> Council (no date) the </w:t>
      </w:r>
      <w:r w:rsidR="005C59AE">
        <w:rPr>
          <w:rFonts w:asciiTheme="majorHAnsi" w:hAnsiTheme="majorHAnsi" w:cstheme="majorHAnsi"/>
          <w:sz w:val="24"/>
          <w:szCs w:val="24"/>
        </w:rPr>
        <w:t xml:space="preserve">responsibilities of the </w:t>
      </w:r>
      <w:r w:rsidR="00DE5D0E">
        <w:rPr>
          <w:rFonts w:asciiTheme="majorHAnsi" w:hAnsiTheme="majorHAnsi" w:cstheme="majorHAnsi"/>
          <w:sz w:val="24"/>
          <w:szCs w:val="24"/>
        </w:rPr>
        <w:t xml:space="preserve">employee making the initial referral, (the key worker in this case) </w:t>
      </w:r>
      <w:r w:rsidR="005C59AE">
        <w:rPr>
          <w:rFonts w:asciiTheme="majorHAnsi" w:hAnsiTheme="majorHAnsi" w:cstheme="majorHAnsi"/>
          <w:sz w:val="24"/>
          <w:szCs w:val="24"/>
        </w:rPr>
        <w:t>are:</w:t>
      </w:r>
    </w:p>
    <w:p w:rsidR="005C59AE" w:rsidRDefault="005C59AE" w:rsidP="005C59AE">
      <w:pPr>
        <w:pStyle w:val="ListParagraph"/>
        <w:numPr>
          <w:ilvl w:val="0"/>
          <w:numId w:val="17"/>
        </w:numPr>
        <w:spacing w:line="360" w:lineRule="auto"/>
        <w:jc w:val="both"/>
        <w:rPr>
          <w:rFonts w:asciiTheme="majorHAnsi" w:hAnsiTheme="majorHAnsi" w:cstheme="majorHAnsi"/>
          <w:sz w:val="24"/>
          <w:szCs w:val="24"/>
        </w:rPr>
      </w:pPr>
      <w:r>
        <w:rPr>
          <w:rFonts w:asciiTheme="majorHAnsi" w:hAnsiTheme="majorHAnsi" w:cstheme="majorHAnsi"/>
          <w:sz w:val="24"/>
          <w:szCs w:val="24"/>
        </w:rPr>
        <w:t>making a referral within 24 hours of a problem, suspicion or concern about a child becoming apparent</w:t>
      </w:r>
    </w:p>
    <w:p w:rsidR="005C59AE" w:rsidRDefault="005C59AE" w:rsidP="005C59AE">
      <w:pPr>
        <w:pStyle w:val="ListParagraph"/>
        <w:numPr>
          <w:ilvl w:val="0"/>
          <w:numId w:val="17"/>
        </w:numPr>
        <w:spacing w:line="360" w:lineRule="auto"/>
        <w:jc w:val="both"/>
        <w:rPr>
          <w:rFonts w:asciiTheme="majorHAnsi" w:hAnsiTheme="majorHAnsi" w:cstheme="majorHAnsi"/>
          <w:sz w:val="24"/>
          <w:szCs w:val="24"/>
        </w:rPr>
      </w:pPr>
      <w:r>
        <w:rPr>
          <w:rFonts w:asciiTheme="majorHAnsi" w:hAnsiTheme="majorHAnsi" w:cstheme="majorHAnsi"/>
          <w:sz w:val="24"/>
          <w:szCs w:val="24"/>
        </w:rPr>
        <w:t>contributing to strategy discussion/meeting</w:t>
      </w:r>
    </w:p>
    <w:p w:rsidR="005C59AE" w:rsidRDefault="005C59AE" w:rsidP="005C59AE">
      <w:pPr>
        <w:pStyle w:val="ListParagraph"/>
        <w:numPr>
          <w:ilvl w:val="0"/>
          <w:numId w:val="17"/>
        </w:numPr>
        <w:spacing w:line="360" w:lineRule="auto"/>
        <w:jc w:val="both"/>
        <w:rPr>
          <w:rFonts w:asciiTheme="majorHAnsi" w:hAnsiTheme="majorHAnsi" w:cstheme="majorHAnsi"/>
          <w:sz w:val="24"/>
          <w:szCs w:val="24"/>
        </w:rPr>
      </w:pPr>
      <w:r>
        <w:rPr>
          <w:rFonts w:asciiTheme="majorHAnsi" w:hAnsiTheme="majorHAnsi" w:cstheme="majorHAnsi"/>
          <w:sz w:val="24"/>
          <w:szCs w:val="24"/>
        </w:rPr>
        <w:t>supporting Child Protection Section 47 enquiries</w:t>
      </w:r>
    </w:p>
    <w:p w:rsidR="005C59AE" w:rsidRDefault="005C59AE" w:rsidP="005C59AE">
      <w:pPr>
        <w:pStyle w:val="ListParagraph"/>
        <w:numPr>
          <w:ilvl w:val="0"/>
          <w:numId w:val="17"/>
        </w:numPr>
        <w:spacing w:line="360" w:lineRule="auto"/>
        <w:jc w:val="both"/>
        <w:rPr>
          <w:rFonts w:asciiTheme="majorHAnsi" w:hAnsiTheme="majorHAnsi" w:cstheme="majorHAnsi"/>
          <w:sz w:val="24"/>
          <w:szCs w:val="24"/>
        </w:rPr>
      </w:pPr>
      <w:r>
        <w:rPr>
          <w:rFonts w:asciiTheme="majorHAnsi" w:hAnsiTheme="majorHAnsi" w:cstheme="majorHAnsi"/>
          <w:sz w:val="24"/>
          <w:szCs w:val="24"/>
        </w:rPr>
        <w:t>Being present at Initial Child Protection Conference</w:t>
      </w:r>
    </w:p>
    <w:p w:rsidR="005C59AE" w:rsidRDefault="005C59AE" w:rsidP="005C59AE">
      <w:pPr>
        <w:pStyle w:val="ListParagraph"/>
        <w:numPr>
          <w:ilvl w:val="0"/>
          <w:numId w:val="17"/>
        </w:numPr>
        <w:spacing w:line="360" w:lineRule="auto"/>
        <w:jc w:val="both"/>
        <w:rPr>
          <w:rFonts w:asciiTheme="majorHAnsi" w:hAnsiTheme="majorHAnsi" w:cstheme="majorHAnsi"/>
          <w:sz w:val="24"/>
          <w:szCs w:val="24"/>
        </w:rPr>
      </w:pPr>
      <w:r>
        <w:rPr>
          <w:rFonts w:asciiTheme="majorHAnsi" w:hAnsiTheme="majorHAnsi" w:cstheme="majorHAnsi"/>
          <w:sz w:val="24"/>
          <w:szCs w:val="24"/>
        </w:rPr>
        <w:t>Preparing a written report for the Conference</w:t>
      </w:r>
    </w:p>
    <w:p w:rsidR="005C59AE" w:rsidRDefault="005C59AE" w:rsidP="005C59AE">
      <w:pPr>
        <w:pStyle w:val="ListParagraph"/>
        <w:numPr>
          <w:ilvl w:val="0"/>
          <w:numId w:val="17"/>
        </w:numPr>
        <w:spacing w:line="360" w:lineRule="auto"/>
        <w:jc w:val="both"/>
        <w:rPr>
          <w:rFonts w:asciiTheme="majorHAnsi" w:hAnsiTheme="majorHAnsi" w:cstheme="majorHAnsi"/>
          <w:sz w:val="24"/>
          <w:szCs w:val="24"/>
        </w:rPr>
      </w:pPr>
      <w:r>
        <w:rPr>
          <w:rFonts w:asciiTheme="majorHAnsi" w:hAnsiTheme="majorHAnsi" w:cstheme="majorHAnsi"/>
          <w:sz w:val="24"/>
          <w:szCs w:val="24"/>
        </w:rPr>
        <w:t>Supplying information for the Initial and Core Assessments</w:t>
      </w:r>
    </w:p>
    <w:p w:rsidR="005C59AE" w:rsidRDefault="005C59AE" w:rsidP="005C59AE">
      <w:pPr>
        <w:pStyle w:val="ListParagraph"/>
        <w:numPr>
          <w:ilvl w:val="0"/>
          <w:numId w:val="17"/>
        </w:numPr>
        <w:spacing w:line="360" w:lineRule="auto"/>
        <w:jc w:val="both"/>
        <w:rPr>
          <w:rFonts w:asciiTheme="majorHAnsi" w:hAnsiTheme="majorHAnsi" w:cstheme="majorHAnsi"/>
          <w:sz w:val="24"/>
          <w:szCs w:val="24"/>
        </w:rPr>
      </w:pPr>
      <w:r>
        <w:rPr>
          <w:rFonts w:asciiTheme="majorHAnsi" w:hAnsiTheme="majorHAnsi" w:cstheme="majorHAnsi"/>
          <w:sz w:val="24"/>
          <w:szCs w:val="24"/>
        </w:rPr>
        <w:t>Following up on the referral to ensure action has been taken</w:t>
      </w:r>
    </w:p>
    <w:p w:rsidR="00C43325" w:rsidRDefault="00C43325" w:rsidP="00C43325">
      <w:pPr>
        <w:spacing w:line="360" w:lineRule="auto"/>
        <w:jc w:val="both"/>
        <w:rPr>
          <w:rFonts w:asciiTheme="majorHAnsi" w:hAnsiTheme="majorHAnsi" w:cstheme="majorHAnsi"/>
          <w:sz w:val="24"/>
          <w:szCs w:val="24"/>
        </w:rPr>
      </w:pPr>
      <w:r>
        <w:rPr>
          <w:rFonts w:asciiTheme="majorHAnsi" w:hAnsiTheme="majorHAnsi" w:cstheme="majorHAnsi"/>
          <w:sz w:val="24"/>
          <w:szCs w:val="24"/>
        </w:rPr>
        <w:t>The</w:t>
      </w:r>
      <w:r w:rsidR="006F23A1">
        <w:rPr>
          <w:rFonts w:asciiTheme="majorHAnsi" w:hAnsiTheme="majorHAnsi" w:cstheme="majorHAnsi"/>
          <w:sz w:val="24"/>
          <w:szCs w:val="24"/>
        </w:rPr>
        <w:t xml:space="preserve"> NSPCC (no date – b)</w:t>
      </w:r>
      <w:r>
        <w:rPr>
          <w:rFonts w:asciiTheme="majorHAnsi" w:hAnsiTheme="majorHAnsi" w:cstheme="majorHAnsi"/>
          <w:sz w:val="24"/>
          <w:szCs w:val="24"/>
        </w:rPr>
        <w:t xml:space="preserve"> </w:t>
      </w:r>
      <w:r w:rsidR="006F23A1">
        <w:rPr>
          <w:rFonts w:asciiTheme="majorHAnsi" w:hAnsiTheme="majorHAnsi" w:cstheme="majorHAnsi"/>
          <w:sz w:val="24"/>
          <w:szCs w:val="24"/>
        </w:rPr>
        <w:t xml:space="preserve">state that the </w:t>
      </w:r>
      <w:r>
        <w:rPr>
          <w:rFonts w:asciiTheme="majorHAnsi" w:hAnsiTheme="majorHAnsi" w:cstheme="majorHAnsi"/>
          <w:sz w:val="24"/>
          <w:szCs w:val="24"/>
        </w:rPr>
        <w:t>role of the police</w:t>
      </w:r>
      <w:r w:rsidR="006F23A1">
        <w:rPr>
          <w:rFonts w:asciiTheme="majorHAnsi" w:hAnsiTheme="majorHAnsi" w:cstheme="majorHAnsi"/>
          <w:sz w:val="24"/>
          <w:szCs w:val="24"/>
        </w:rPr>
        <w:t xml:space="preserve"> in this situation</w:t>
      </w:r>
      <w:r>
        <w:rPr>
          <w:rFonts w:asciiTheme="majorHAnsi" w:hAnsiTheme="majorHAnsi" w:cstheme="majorHAnsi"/>
          <w:sz w:val="24"/>
          <w:szCs w:val="24"/>
        </w:rPr>
        <w:t xml:space="preserve"> is to: </w:t>
      </w:r>
    </w:p>
    <w:p w:rsidR="00C43325" w:rsidRDefault="006F23A1" w:rsidP="00C43325">
      <w:pPr>
        <w:pStyle w:val="ListParagraph"/>
        <w:numPr>
          <w:ilvl w:val="0"/>
          <w:numId w:val="18"/>
        </w:numPr>
        <w:spacing w:line="360" w:lineRule="auto"/>
        <w:jc w:val="both"/>
        <w:rPr>
          <w:rFonts w:asciiTheme="majorHAnsi" w:hAnsiTheme="majorHAnsi" w:cstheme="majorHAnsi"/>
          <w:sz w:val="24"/>
          <w:szCs w:val="24"/>
        </w:rPr>
      </w:pPr>
      <w:r>
        <w:rPr>
          <w:rFonts w:asciiTheme="majorHAnsi" w:hAnsiTheme="majorHAnsi" w:cstheme="majorHAnsi"/>
          <w:sz w:val="24"/>
          <w:szCs w:val="24"/>
        </w:rPr>
        <w:t>Identify any children who may at risk of abuse</w:t>
      </w:r>
    </w:p>
    <w:p w:rsidR="006F23A1" w:rsidRDefault="006F23A1" w:rsidP="00C43325">
      <w:pPr>
        <w:pStyle w:val="ListParagraph"/>
        <w:numPr>
          <w:ilvl w:val="0"/>
          <w:numId w:val="18"/>
        </w:numPr>
        <w:spacing w:line="360" w:lineRule="auto"/>
        <w:jc w:val="both"/>
        <w:rPr>
          <w:rFonts w:asciiTheme="majorHAnsi" w:hAnsiTheme="majorHAnsi" w:cstheme="majorHAnsi"/>
          <w:sz w:val="24"/>
          <w:szCs w:val="24"/>
        </w:rPr>
      </w:pPr>
      <w:r>
        <w:rPr>
          <w:rFonts w:asciiTheme="majorHAnsi" w:hAnsiTheme="majorHAnsi" w:cstheme="majorHAnsi"/>
          <w:sz w:val="24"/>
          <w:szCs w:val="24"/>
        </w:rPr>
        <w:t>Investigate any alleged wrongdoing against children</w:t>
      </w:r>
    </w:p>
    <w:p w:rsidR="006F23A1" w:rsidRDefault="006F23A1" w:rsidP="00C43325">
      <w:pPr>
        <w:pStyle w:val="ListParagraph"/>
        <w:numPr>
          <w:ilvl w:val="0"/>
          <w:numId w:val="18"/>
        </w:numPr>
        <w:spacing w:line="360" w:lineRule="auto"/>
        <w:jc w:val="both"/>
        <w:rPr>
          <w:rFonts w:asciiTheme="majorHAnsi" w:hAnsiTheme="majorHAnsi" w:cstheme="majorHAnsi"/>
          <w:sz w:val="24"/>
          <w:szCs w:val="24"/>
        </w:rPr>
      </w:pPr>
      <w:r>
        <w:rPr>
          <w:rFonts w:asciiTheme="majorHAnsi" w:hAnsiTheme="majorHAnsi" w:cstheme="majorHAnsi"/>
          <w:sz w:val="24"/>
          <w:szCs w:val="24"/>
        </w:rPr>
        <w:t>Secure the welfare and safeguard any child in their area who is suffering (or likely to suffer) significant harm</w:t>
      </w:r>
    </w:p>
    <w:p w:rsidR="006F23A1" w:rsidRDefault="006F23A1" w:rsidP="00C43325">
      <w:pPr>
        <w:pStyle w:val="ListParagraph"/>
        <w:numPr>
          <w:ilvl w:val="0"/>
          <w:numId w:val="18"/>
        </w:numPr>
        <w:spacing w:line="360" w:lineRule="auto"/>
        <w:jc w:val="both"/>
        <w:rPr>
          <w:rFonts w:asciiTheme="majorHAnsi" w:hAnsiTheme="majorHAnsi" w:cstheme="majorHAnsi"/>
          <w:sz w:val="24"/>
          <w:szCs w:val="24"/>
        </w:rPr>
      </w:pPr>
      <w:r>
        <w:rPr>
          <w:rFonts w:asciiTheme="majorHAnsi" w:hAnsiTheme="majorHAnsi" w:cstheme="majorHAnsi"/>
          <w:sz w:val="24"/>
          <w:szCs w:val="24"/>
        </w:rPr>
        <w:lastRenderedPageBreak/>
        <w:t xml:space="preserve">Work with other </w:t>
      </w:r>
      <w:proofErr w:type="spellStart"/>
      <w:r>
        <w:rPr>
          <w:rFonts w:asciiTheme="majorHAnsi" w:hAnsiTheme="majorHAnsi" w:cstheme="majorHAnsi"/>
          <w:sz w:val="24"/>
          <w:szCs w:val="24"/>
        </w:rPr>
        <w:t>organisations</w:t>
      </w:r>
      <w:proofErr w:type="spellEnd"/>
      <w:r>
        <w:rPr>
          <w:rFonts w:asciiTheme="majorHAnsi" w:hAnsiTheme="majorHAnsi" w:cstheme="majorHAnsi"/>
          <w:sz w:val="24"/>
          <w:szCs w:val="24"/>
        </w:rPr>
        <w:t>, especially when there is information relevant to a child protection issue which needs to be shared</w:t>
      </w:r>
    </w:p>
    <w:p w:rsidR="006F23A1" w:rsidRDefault="006F23A1" w:rsidP="00C43325">
      <w:pPr>
        <w:pStyle w:val="ListParagraph"/>
        <w:numPr>
          <w:ilvl w:val="0"/>
          <w:numId w:val="18"/>
        </w:numPr>
        <w:spacing w:line="360" w:lineRule="auto"/>
        <w:jc w:val="both"/>
        <w:rPr>
          <w:rFonts w:asciiTheme="majorHAnsi" w:hAnsiTheme="majorHAnsi" w:cstheme="majorHAnsi"/>
          <w:sz w:val="24"/>
          <w:szCs w:val="24"/>
        </w:rPr>
      </w:pPr>
      <w:r>
        <w:rPr>
          <w:rFonts w:asciiTheme="majorHAnsi" w:hAnsiTheme="majorHAnsi" w:cstheme="majorHAnsi"/>
          <w:sz w:val="24"/>
          <w:szCs w:val="24"/>
        </w:rPr>
        <w:t>Use emergency powers to protect children</w:t>
      </w:r>
    </w:p>
    <w:p w:rsidR="00074E22" w:rsidRDefault="00074E22" w:rsidP="00074E22">
      <w:pPr>
        <w:pStyle w:val="ListParagraph"/>
        <w:spacing w:line="360" w:lineRule="auto"/>
        <w:jc w:val="both"/>
        <w:rPr>
          <w:rFonts w:asciiTheme="majorHAnsi" w:hAnsiTheme="majorHAnsi" w:cstheme="majorHAnsi"/>
          <w:sz w:val="24"/>
          <w:szCs w:val="24"/>
        </w:rPr>
      </w:pPr>
    </w:p>
    <w:p w:rsidR="00074E22" w:rsidRDefault="00872AE3" w:rsidP="00074E22">
      <w:pPr>
        <w:pStyle w:val="ListParagraph"/>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The child and/or their representative or Advocate, and the parents or those with parental responsibility should also be invited to the conference unless the Chairperson of the meeting deems it inappropriate. Other professionals who may be invited, depending on their involvement with the case are health visitors, school nurses, pediatricians, GPs, school staff, early years staff and Education Welfare Officers. </w:t>
      </w:r>
      <w:r w:rsidR="00074E22">
        <w:rPr>
          <w:rFonts w:asciiTheme="majorHAnsi" w:hAnsiTheme="majorHAnsi" w:cstheme="majorHAnsi"/>
          <w:sz w:val="24"/>
          <w:szCs w:val="24"/>
        </w:rPr>
        <w:t xml:space="preserve">According to Citizens Advice (no date), it is the Children’s Social Workers </w:t>
      </w:r>
      <w:r w:rsidR="00724B24">
        <w:rPr>
          <w:rFonts w:asciiTheme="majorHAnsi" w:hAnsiTheme="majorHAnsi" w:cstheme="majorHAnsi"/>
          <w:sz w:val="24"/>
          <w:szCs w:val="24"/>
        </w:rPr>
        <w:t xml:space="preserve">duty to respond to any new referrals from members of the public or professionals. They must decide what actions to take, and carry out any investigations. Pending enquiries, the local authority must then decide, within specific time scales, whether to offer on-going support, or to call a Child Protection Conference with </w:t>
      </w:r>
      <w:proofErr w:type="gramStart"/>
      <w:r w:rsidR="00724B24">
        <w:rPr>
          <w:rFonts w:asciiTheme="majorHAnsi" w:hAnsiTheme="majorHAnsi" w:cstheme="majorHAnsi"/>
          <w:sz w:val="24"/>
          <w:szCs w:val="24"/>
        </w:rPr>
        <w:t xml:space="preserve">all </w:t>
      </w:r>
      <w:r>
        <w:rPr>
          <w:rFonts w:asciiTheme="majorHAnsi" w:hAnsiTheme="majorHAnsi" w:cstheme="majorHAnsi"/>
          <w:sz w:val="24"/>
          <w:szCs w:val="24"/>
        </w:rPr>
        <w:t>of</w:t>
      </w:r>
      <w:proofErr w:type="gramEnd"/>
      <w:r>
        <w:rPr>
          <w:rFonts w:asciiTheme="majorHAnsi" w:hAnsiTheme="majorHAnsi" w:cstheme="majorHAnsi"/>
          <w:sz w:val="24"/>
          <w:szCs w:val="24"/>
        </w:rPr>
        <w:t xml:space="preserve"> the </w:t>
      </w:r>
      <w:r w:rsidR="00724B24">
        <w:rPr>
          <w:rFonts w:asciiTheme="majorHAnsi" w:hAnsiTheme="majorHAnsi" w:cstheme="majorHAnsi"/>
          <w:sz w:val="24"/>
          <w:szCs w:val="24"/>
        </w:rPr>
        <w:t>other professionals involved</w:t>
      </w:r>
      <w:r>
        <w:rPr>
          <w:rFonts w:asciiTheme="majorHAnsi" w:hAnsiTheme="majorHAnsi" w:cstheme="majorHAnsi"/>
          <w:sz w:val="24"/>
          <w:szCs w:val="24"/>
        </w:rPr>
        <w:t xml:space="preserve"> in the case</w:t>
      </w:r>
      <w:r w:rsidR="00724B24">
        <w:rPr>
          <w:rFonts w:asciiTheme="majorHAnsi" w:hAnsiTheme="majorHAnsi" w:cstheme="majorHAnsi"/>
          <w:sz w:val="24"/>
          <w:szCs w:val="24"/>
        </w:rPr>
        <w:t xml:space="preserve">, and the parents/guardians, and the child if appropriate. </w:t>
      </w:r>
    </w:p>
    <w:p w:rsidR="00872AE3" w:rsidRDefault="00872AE3" w:rsidP="00074E22">
      <w:pPr>
        <w:pStyle w:val="ListParagraph"/>
        <w:spacing w:line="360" w:lineRule="auto"/>
        <w:jc w:val="both"/>
        <w:rPr>
          <w:rFonts w:asciiTheme="majorHAnsi" w:hAnsiTheme="majorHAnsi" w:cstheme="majorHAnsi"/>
          <w:sz w:val="24"/>
          <w:szCs w:val="24"/>
        </w:rPr>
      </w:pPr>
    </w:p>
    <w:p w:rsidR="00622144" w:rsidRDefault="005901BA" w:rsidP="00074E22">
      <w:pPr>
        <w:pStyle w:val="ListParagraph"/>
        <w:spacing w:line="360" w:lineRule="auto"/>
        <w:jc w:val="both"/>
        <w:rPr>
          <w:rFonts w:asciiTheme="majorHAnsi" w:hAnsiTheme="majorHAnsi" w:cstheme="majorHAnsi"/>
          <w:sz w:val="24"/>
          <w:szCs w:val="24"/>
        </w:rPr>
      </w:pPr>
      <w:r>
        <w:rPr>
          <w:rFonts w:asciiTheme="majorHAnsi" w:hAnsiTheme="majorHAnsi" w:cstheme="majorHAnsi"/>
          <w:sz w:val="24"/>
          <w:szCs w:val="24"/>
        </w:rPr>
        <w:t>Although the module was on a difficult subject, and I found the case studies during lectures emotional, I believe it was an important part of my development as a practitioner.</w:t>
      </w:r>
      <w:r w:rsidR="00B76BD8">
        <w:rPr>
          <w:rFonts w:asciiTheme="majorHAnsi" w:hAnsiTheme="majorHAnsi" w:cstheme="majorHAnsi"/>
          <w:sz w:val="24"/>
          <w:szCs w:val="24"/>
        </w:rPr>
        <w:t xml:space="preserve"> I have, as a consequence of </w:t>
      </w:r>
      <w:r w:rsidR="00F152D6">
        <w:rPr>
          <w:rFonts w:asciiTheme="majorHAnsi" w:hAnsiTheme="majorHAnsi" w:cstheme="majorHAnsi"/>
          <w:sz w:val="24"/>
          <w:szCs w:val="24"/>
        </w:rPr>
        <w:t>this module signed myself up to the NSPCC’s ‘Current Awareness Service for Practice, Policy and Research’ (CASPAR, no date) e-mail service, to keep up to date with safeguarding and child-protection news</w:t>
      </w:r>
      <w:r w:rsidR="00622144">
        <w:rPr>
          <w:rFonts w:asciiTheme="majorHAnsi" w:hAnsiTheme="majorHAnsi" w:cstheme="majorHAnsi"/>
          <w:sz w:val="24"/>
          <w:szCs w:val="24"/>
        </w:rPr>
        <w:t>, and also ‘followed’ Sally Holland, The Children’s Commissioner for Wales on Twitter</w:t>
      </w:r>
      <w:r w:rsidR="00F152D6">
        <w:rPr>
          <w:rFonts w:asciiTheme="majorHAnsi" w:hAnsiTheme="majorHAnsi" w:cstheme="majorHAnsi"/>
          <w:sz w:val="24"/>
          <w:szCs w:val="24"/>
        </w:rPr>
        <w:t xml:space="preserve">. Since </w:t>
      </w:r>
      <w:r w:rsidR="00207468">
        <w:rPr>
          <w:rFonts w:asciiTheme="majorHAnsi" w:hAnsiTheme="majorHAnsi" w:cstheme="majorHAnsi"/>
          <w:sz w:val="24"/>
          <w:szCs w:val="24"/>
        </w:rPr>
        <w:t>partaking</w:t>
      </w:r>
      <w:r w:rsidR="00F152D6">
        <w:rPr>
          <w:rFonts w:asciiTheme="majorHAnsi" w:hAnsiTheme="majorHAnsi" w:cstheme="majorHAnsi"/>
          <w:sz w:val="24"/>
          <w:szCs w:val="24"/>
        </w:rPr>
        <w:t xml:space="preserve"> in a basic Child Protection </w:t>
      </w:r>
      <w:r w:rsidR="00F152D6">
        <w:rPr>
          <w:rFonts w:asciiTheme="majorHAnsi" w:hAnsiTheme="majorHAnsi" w:cstheme="majorHAnsi"/>
          <w:sz w:val="24"/>
          <w:szCs w:val="24"/>
        </w:rPr>
        <w:lastRenderedPageBreak/>
        <w:t xml:space="preserve">course, I have been promoted from a lunchtime supervisor to an assistant in a </w:t>
      </w:r>
      <w:proofErr w:type="spellStart"/>
      <w:r w:rsidR="00F152D6">
        <w:rPr>
          <w:rFonts w:asciiTheme="majorHAnsi" w:hAnsiTheme="majorHAnsi" w:cstheme="majorHAnsi"/>
          <w:sz w:val="24"/>
          <w:szCs w:val="24"/>
        </w:rPr>
        <w:t>Meithrin</w:t>
      </w:r>
      <w:proofErr w:type="spellEnd"/>
      <w:r w:rsidR="00F152D6">
        <w:rPr>
          <w:rFonts w:asciiTheme="majorHAnsi" w:hAnsiTheme="majorHAnsi" w:cstheme="majorHAnsi"/>
          <w:sz w:val="24"/>
          <w:szCs w:val="24"/>
        </w:rPr>
        <w:t xml:space="preserve">, and I believe it will be beneficial </w:t>
      </w:r>
      <w:r w:rsidR="005D5AF1">
        <w:rPr>
          <w:rFonts w:asciiTheme="majorHAnsi" w:hAnsiTheme="majorHAnsi" w:cstheme="majorHAnsi"/>
          <w:sz w:val="24"/>
          <w:szCs w:val="24"/>
        </w:rPr>
        <w:t>to</w:t>
      </w:r>
      <w:r w:rsidR="00622144">
        <w:rPr>
          <w:rFonts w:asciiTheme="majorHAnsi" w:hAnsiTheme="majorHAnsi" w:cstheme="majorHAnsi"/>
          <w:sz w:val="24"/>
          <w:szCs w:val="24"/>
        </w:rPr>
        <w:t xml:space="preserve"> my Continued Professional Development to</w:t>
      </w:r>
      <w:r w:rsidR="005D5AF1">
        <w:rPr>
          <w:rFonts w:asciiTheme="majorHAnsi" w:hAnsiTheme="majorHAnsi" w:cstheme="majorHAnsi"/>
          <w:sz w:val="24"/>
          <w:szCs w:val="24"/>
        </w:rPr>
        <w:t xml:space="preserve"> attend a more comprehensive training session on Child Protection issues. I spend more time with children than I did previously, and </w:t>
      </w:r>
      <w:r w:rsidR="001F2EE6">
        <w:rPr>
          <w:rFonts w:asciiTheme="majorHAnsi" w:hAnsiTheme="majorHAnsi" w:cstheme="majorHAnsi"/>
          <w:sz w:val="24"/>
          <w:szCs w:val="24"/>
        </w:rPr>
        <w:t xml:space="preserve">I am now getting experience of a different </w:t>
      </w:r>
      <w:r w:rsidR="005D5AF1">
        <w:rPr>
          <w:rFonts w:asciiTheme="majorHAnsi" w:hAnsiTheme="majorHAnsi" w:cstheme="majorHAnsi"/>
          <w:sz w:val="24"/>
          <w:szCs w:val="24"/>
        </w:rPr>
        <w:t>age group, therefore refreshing what I already know and learning about the issue more in-depth would be advantageous</w:t>
      </w:r>
      <w:r w:rsidR="00622144">
        <w:rPr>
          <w:rFonts w:asciiTheme="majorHAnsi" w:hAnsiTheme="majorHAnsi" w:cstheme="majorHAnsi"/>
          <w:sz w:val="24"/>
          <w:szCs w:val="24"/>
        </w:rPr>
        <w:t>.</w:t>
      </w:r>
    </w:p>
    <w:p w:rsidR="005901BA" w:rsidRPr="00C43325" w:rsidRDefault="005901BA" w:rsidP="00074E22">
      <w:pPr>
        <w:pStyle w:val="ListParagraph"/>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 It was Lord Laming, in </w:t>
      </w:r>
      <w:r w:rsidR="008640BE">
        <w:rPr>
          <w:rFonts w:asciiTheme="majorHAnsi" w:hAnsiTheme="majorHAnsi" w:cstheme="majorHAnsi"/>
          <w:sz w:val="24"/>
          <w:szCs w:val="24"/>
        </w:rPr>
        <w:t>T</w:t>
      </w:r>
      <w:r>
        <w:rPr>
          <w:rFonts w:asciiTheme="majorHAnsi" w:hAnsiTheme="majorHAnsi" w:cstheme="majorHAnsi"/>
          <w:sz w:val="24"/>
          <w:szCs w:val="24"/>
        </w:rPr>
        <w:t xml:space="preserve">he Victoria Climbie Inquiry 2003, who stated that </w:t>
      </w:r>
      <w:r w:rsidR="008640BE">
        <w:rPr>
          <w:rFonts w:asciiTheme="majorHAnsi" w:hAnsiTheme="majorHAnsi" w:cstheme="majorHAnsi"/>
          <w:sz w:val="24"/>
          <w:szCs w:val="24"/>
        </w:rPr>
        <w:t xml:space="preserve">‘Doing the basic things well keeps children safe’, and </w:t>
      </w:r>
      <w:r w:rsidR="00F635E9">
        <w:rPr>
          <w:rFonts w:asciiTheme="majorHAnsi" w:hAnsiTheme="majorHAnsi" w:cstheme="majorHAnsi"/>
          <w:sz w:val="24"/>
          <w:szCs w:val="24"/>
        </w:rPr>
        <w:t>having the read the scathing report, I agree. It affected me deeply to read the report, from Victoria’s many injuries and the harrowing way she was treated, to the serious failings of all professionals involved</w:t>
      </w:r>
      <w:r w:rsidR="001F2EE6">
        <w:rPr>
          <w:rFonts w:asciiTheme="majorHAnsi" w:hAnsiTheme="majorHAnsi" w:cstheme="majorHAnsi"/>
          <w:sz w:val="24"/>
          <w:szCs w:val="24"/>
        </w:rPr>
        <w:t xml:space="preserve"> and the many opportunities that were missed that could have saved her life</w:t>
      </w:r>
      <w:r w:rsidR="00F635E9">
        <w:rPr>
          <w:rFonts w:asciiTheme="majorHAnsi" w:hAnsiTheme="majorHAnsi" w:cstheme="majorHAnsi"/>
          <w:sz w:val="24"/>
          <w:szCs w:val="24"/>
        </w:rPr>
        <w:t xml:space="preserve">. It proved to me that Child Protection truly is everyone’s responsibility, from Government, right down to the Lunchtime Supervisors and school caretakers, and that if all practitioners carry out their duty, the lives of children will be saved. </w:t>
      </w:r>
    </w:p>
    <w:p w:rsidR="00B80EB7" w:rsidRDefault="00B80EB7"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b/>
          <w:sz w:val="24"/>
          <w:szCs w:val="24"/>
          <w:u w:val="single"/>
        </w:rPr>
      </w:pPr>
      <w:r>
        <w:rPr>
          <w:rFonts w:asciiTheme="majorHAnsi" w:hAnsiTheme="majorHAnsi" w:cstheme="majorHAnsi"/>
          <w:b/>
          <w:sz w:val="24"/>
          <w:szCs w:val="24"/>
          <w:u w:val="single"/>
        </w:rPr>
        <w:lastRenderedPageBreak/>
        <w:t>References</w:t>
      </w:r>
    </w:p>
    <w:p w:rsidR="00016D97" w:rsidRDefault="00016D97"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All Wales Child Protection Procedures 2008. Cardiff: Welsh Government. Available at: </w:t>
      </w:r>
      <w:hyperlink r:id="rId7" w:history="1">
        <w:r w:rsidRPr="006E0990">
          <w:rPr>
            <w:rStyle w:val="Hyperlink"/>
            <w:rFonts w:asciiTheme="majorHAnsi" w:hAnsiTheme="majorHAnsi" w:cstheme="majorHAnsi"/>
            <w:sz w:val="24"/>
            <w:szCs w:val="24"/>
          </w:rPr>
          <w:t>https://www.google.co.uk/search?q=all+wales+child+protection+procedures+2008&amp;oq=all+wales+child+protection+procedures+2008+&amp;aqs=chrome..69i57j69i59j69i60j69i59j0l2.9209j0j0&amp;sourceid=chrome&amp;ie=UTF-8#</w:t>
        </w:r>
      </w:hyperlink>
      <w:r>
        <w:rPr>
          <w:rFonts w:asciiTheme="majorHAnsi" w:hAnsiTheme="majorHAnsi" w:cstheme="majorHAnsi"/>
          <w:sz w:val="24"/>
          <w:szCs w:val="24"/>
        </w:rPr>
        <w:t xml:space="preserve"> [Accessed: 22</w:t>
      </w:r>
      <w:r w:rsidRPr="00016D97">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w:t>
      </w:r>
    </w:p>
    <w:p w:rsidR="00CE3AD3" w:rsidRDefault="00CE3AD3"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Atkinson, M., Wilkin, A., Stott, A., </w:t>
      </w:r>
      <w:r w:rsidR="00193EBC">
        <w:rPr>
          <w:rFonts w:asciiTheme="majorHAnsi" w:hAnsiTheme="majorHAnsi" w:cstheme="majorHAnsi"/>
          <w:sz w:val="24"/>
          <w:szCs w:val="24"/>
        </w:rPr>
        <w:t xml:space="preserve">Doherty, P. </w:t>
      </w:r>
      <w:r w:rsidR="006A2C33">
        <w:rPr>
          <w:rFonts w:asciiTheme="majorHAnsi" w:hAnsiTheme="majorHAnsi" w:cstheme="majorHAnsi"/>
          <w:sz w:val="24"/>
          <w:szCs w:val="24"/>
        </w:rPr>
        <w:t>and</w:t>
      </w:r>
      <w:r w:rsidR="00193EBC">
        <w:rPr>
          <w:rFonts w:asciiTheme="majorHAnsi" w:hAnsiTheme="majorHAnsi" w:cstheme="majorHAnsi"/>
          <w:sz w:val="24"/>
          <w:szCs w:val="24"/>
        </w:rPr>
        <w:t xml:space="preserve"> Kinder, K. (2002) </w:t>
      </w:r>
      <w:r w:rsidR="00193EBC">
        <w:rPr>
          <w:rFonts w:asciiTheme="majorHAnsi" w:hAnsiTheme="majorHAnsi" w:cstheme="majorHAnsi"/>
          <w:i/>
          <w:sz w:val="24"/>
          <w:szCs w:val="24"/>
        </w:rPr>
        <w:t xml:space="preserve">Multi-Agency Working: A Detailed Study. </w:t>
      </w:r>
      <w:r w:rsidR="00193EBC">
        <w:rPr>
          <w:rFonts w:asciiTheme="majorHAnsi" w:hAnsiTheme="majorHAnsi" w:cstheme="majorHAnsi"/>
          <w:sz w:val="24"/>
          <w:szCs w:val="24"/>
        </w:rPr>
        <w:t xml:space="preserve">Slough: National Foundation for Educational Research. [e-book]. Available at: </w:t>
      </w:r>
      <w:hyperlink r:id="rId8" w:history="1">
        <w:r w:rsidR="00193EBC" w:rsidRPr="006E0990">
          <w:rPr>
            <w:rStyle w:val="Hyperlink"/>
            <w:rFonts w:asciiTheme="majorHAnsi" w:hAnsiTheme="majorHAnsi" w:cstheme="majorHAnsi"/>
            <w:sz w:val="24"/>
            <w:szCs w:val="24"/>
          </w:rPr>
          <w:t>https://www.researchgate.net/profile/Alison_Stott/publication/44827561_Multi-Agency_Working_A_Detailed_Study/links/0deec5236caefb1524000000.pdf</w:t>
        </w:r>
      </w:hyperlink>
      <w:r w:rsidR="00193EBC">
        <w:rPr>
          <w:rFonts w:asciiTheme="majorHAnsi" w:hAnsiTheme="majorHAnsi" w:cstheme="majorHAnsi"/>
          <w:sz w:val="24"/>
          <w:szCs w:val="24"/>
        </w:rPr>
        <w:t xml:space="preserve"> [Accessed: 23</w:t>
      </w:r>
      <w:r w:rsidR="00193EBC" w:rsidRPr="00193EBC">
        <w:rPr>
          <w:rFonts w:asciiTheme="majorHAnsi" w:hAnsiTheme="majorHAnsi" w:cstheme="majorHAnsi"/>
          <w:sz w:val="24"/>
          <w:szCs w:val="24"/>
          <w:vertAlign w:val="superscript"/>
        </w:rPr>
        <w:t>rd</w:t>
      </w:r>
      <w:r w:rsidR="00193EBC">
        <w:rPr>
          <w:rFonts w:asciiTheme="majorHAnsi" w:hAnsiTheme="majorHAnsi" w:cstheme="majorHAnsi"/>
          <w:sz w:val="24"/>
          <w:szCs w:val="24"/>
        </w:rPr>
        <w:t xml:space="preserve"> November 2017].</w:t>
      </w:r>
    </w:p>
    <w:p w:rsidR="00561057" w:rsidRDefault="00561057"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Atkinson, M., Jones, M. and Lamont, E. (2007) </w:t>
      </w:r>
      <w:r>
        <w:rPr>
          <w:rFonts w:asciiTheme="majorHAnsi" w:hAnsiTheme="majorHAnsi" w:cstheme="majorHAnsi"/>
          <w:i/>
          <w:sz w:val="24"/>
          <w:szCs w:val="24"/>
        </w:rPr>
        <w:t xml:space="preserve">Multi-agency working and its implications for practice. </w:t>
      </w:r>
      <w:r>
        <w:rPr>
          <w:rFonts w:asciiTheme="majorHAnsi" w:hAnsiTheme="majorHAnsi" w:cstheme="majorHAnsi"/>
          <w:sz w:val="24"/>
          <w:szCs w:val="24"/>
        </w:rPr>
        <w:t xml:space="preserve">Reading: Education Development Trust. [e-book]. Available at: </w:t>
      </w:r>
      <w:hyperlink r:id="rId9" w:history="1">
        <w:r w:rsidRPr="006E0990">
          <w:rPr>
            <w:rStyle w:val="Hyperlink"/>
            <w:rFonts w:asciiTheme="majorHAnsi" w:hAnsiTheme="majorHAnsi" w:cstheme="majorHAnsi"/>
            <w:sz w:val="24"/>
            <w:szCs w:val="24"/>
          </w:rPr>
          <w:t>https://www.educationdevelopmenttrust.com/~/media/cfbtcorporate/files/research/2007/r-multi-agency-working-and-its-implications-for-practice-2007.pdf</w:t>
        </w:r>
      </w:hyperlink>
      <w:r>
        <w:rPr>
          <w:rFonts w:asciiTheme="majorHAnsi" w:hAnsiTheme="majorHAnsi" w:cstheme="majorHAnsi"/>
          <w:sz w:val="24"/>
          <w:szCs w:val="24"/>
        </w:rPr>
        <w:t xml:space="preserve"> [Accessed: 22</w:t>
      </w:r>
      <w:r w:rsidRPr="00561057">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 </w:t>
      </w:r>
    </w:p>
    <w:p w:rsidR="00683B03" w:rsidRDefault="00683B03"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Care Standards Act 2000. London: Her Majesty’s Stationary Office. [Online]. Available at: </w:t>
      </w:r>
      <w:hyperlink r:id="rId10" w:history="1">
        <w:r w:rsidRPr="0018799F">
          <w:rPr>
            <w:rStyle w:val="Hyperlink"/>
            <w:rFonts w:asciiTheme="majorHAnsi" w:hAnsiTheme="majorHAnsi" w:cstheme="majorHAnsi"/>
            <w:sz w:val="24"/>
            <w:szCs w:val="24"/>
          </w:rPr>
          <w:t>https://www.legislation.gov.uk/ukpga/2000/14/pdfs/ukpga_20000014_en.pdf</w:t>
        </w:r>
      </w:hyperlink>
      <w:r>
        <w:rPr>
          <w:rFonts w:asciiTheme="majorHAnsi" w:hAnsiTheme="majorHAnsi" w:cstheme="majorHAnsi"/>
          <w:sz w:val="24"/>
          <w:szCs w:val="24"/>
        </w:rPr>
        <w:t xml:space="preserve"> [Accessed: 26</w:t>
      </w:r>
      <w:r w:rsidRPr="00683B03">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w:t>
      </w:r>
      <w:r w:rsidR="00CF01A0" w:rsidRPr="00CF01A0">
        <w:t xml:space="preserve"> </w:t>
      </w:r>
    </w:p>
    <w:p w:rsidR="00375CA9" w:rsidRPr="00561057" w:rsidRDefault="00375CA9"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Carmarthenshire County Council. (no date) ‘Are you worried about a child?’</w:t>
      </w:r>
      <w:bookmarkStart w:id="0" w:name="_GoBack"/>
      <w:bookmarkEnd w:id="0"/>
      <w:r>
        <w:rPr>
          <w:rFonts w:asciiTheme="majorHAnsi" w:hAnsiTheme="majorHAnsi" w:cstheme="majorHAnsi"/>
          <w:sz w:val="24"/>
          <w:szCs w:val="24"/>
        </w:rPr>
        <w:t xml:space="preserve"> </w:t>
      </w:r>
      <w:hyperlink r:id="rId11" w:history="1">
        <w:r w:rsidRPr="006E0990">
          <w:rPr>
            <w:rStyle w:val="Hyperlink"/>
            <w:rFonts w:asciiTheme="majorHAnsi" w:hAnsiTheme="majorHAnsi" w:cstheme="majorHAnsi"/>
            <w:sz w:val="24"/>
            <w:szCs w:val="24"/>
          </w:rPr>
          <w:t>http://www.carmarthenshire.gov.wales/home/residents/children-</w:t>
        </w:r>
        <w:r w:rsidRPr="006E0990">
          <w:rPr>
            <w:rStyle w:val="Hyperlink"/>
            <w:rFonts w:asciiTheme="majorHAnsi" w:hAnsiTheme="majorHAnsi" w:cstheme="majorHAnsi"/>
            <w:sz w:val="24"/>
            <w:szCs w:val="24"/>
          </w:rPr>
          <w:lastRenderedPageBreak/>
          <w:t>family-services/worried-about-a-child.aspx</w:t>
        </w:r>
      </w:hyperlink>
      <w:r>
        <w:rPr>
          <w:rFonts w:asciiTheme="majorHAnsi" w:hAnsiTheme="majorHAnsi" w:cstheme="majorHAnsi"/>
          <w:sz w:val="24"/>
          <w:szCs w:val="24"/>
        </w:rPr>
        <w:t xml:space="preserve"> [Accessed: 21</w:t>
      </w:r>
      <w:r w:rsidRPr="00375CA9">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2017].</w:t>
      </w:r>
    </w:p>
    <w:p w:rsidR="00A40245" w:rsidRDefault="00A40245"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Carmarthenshire Local Safeguarding Children Board. (no date) </w:t>
      </w:r>
      <w:hyperlink r:id="rId12" w:history="1">
        <w:r w:rsidRPr="004E7A61">
          <w:rPr>
            <w:rStyle w:val="Hyperlink"/>
            <w:rFonts w:asciiTheme="majorHAnsi" w:hAnsiTheme="majorHAnsi" w:cstheme="majorHAnsi"/>
            <w:sz w:val="24"/>
            <w:szCs w:val="24"/>
          </w:rPr>
          <w:t>http://www.blldpsirgar.org.uk/intro_e.htm</w:t>
        </w:r>
      </w:hyperlink>
      <w:r>
        <w:rPr>
          <w:rFonts w:asciiTheme="majorHAnsi" w:hAnsiTheme="majorHAnsi" w:cstheme="majorHAnsi"/>
          <w:sz w:val="24"/>
          <w:szCs w:val="24"/>
        </w:rPr>
        <w:t xml:space="preserve"> [Accessed: 22</w:t>
      </w:r>
      <w:r w:rsidRPr="00A40245">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 </w:t>
      </w:r>
    </w:p>
    <w:p w:rsidR="00F152D6" w:rsidRPr="00A40245" w:rsidRDefault="00F152D6"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CASPAR. (no date) ‘Sign up to CASPAR’ </w:t>
      </w:r>
      <w:hyperlink r:id="rId13" w:history="1">
        <w:r w:rsidRPr="0018799F">
          <w:rPr>
            <w:rStyle w:val="Hyperlink"/>
            <w:rFonts w:asciiTheme="majorHAnsi" w:hAnsiTheme="majorHAnsi" w:cstheme="majorHAnsi"/>
            <w:sz w:val="24"/>
            <w:szCs w:val="24"/>
          </w:rPr>
          <w:t>https://www.nspcc.org.uk/services-and-resources/research-and-resources/sign-up-to-caspar/</w:t>
        </w:r>
      </w:hyperlink>
      <w:r>
        <w:rPr>
          <w:rFonts w:asciiTheme="majorHAnsi" w:hAnsiTheme="majorHAnsi" w:cstheme="majorHAnsi"/>
          <w:sz w:val="24"/>
          <w:szCs w:val="24"/>
        </w:rPr>
        <w:t xml:space="preserve"> [Accessed: 21</w:t>
      </w:r>
      <w:r w:rsidRPr="00F152D6">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2017]. </w:t>
      </w:r>
    </w:p>
    <w:p w:rsidR="0070197B" w:rsidRDefault="00A34644"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Children Act 1989. London: </w:t>
      </w:r>
      <w:r w:rsidR="00F635E9">
        <w:rPr>
          <w:rFonts w:asciiTheme="majorHAnsi" w:hAnsiTheme="majorHAnsi" w:cstheme="majorHAnsi"/>
          <w:sz w:val="24"/>
          <w:szCs w:val="24"/>
        </w:rPr>
        <w:t xml:space="preserve">Her Majesty’s </w:t>
      </w:r>
      <w:r>
        <w:rPr>
          <w:rFonts w:asciiTheme="majorHAnsi" w:hAnsiTheme="majorHAnsi" w:cstheme="majorHAnsi"/>
          <w:sz w:val="24"/>
          <w:szCs w:val="24"/>
        </w:rPr>
        <w:t xml:space="preserve">Stationery Office. [Online]. Available at: </w:t>
      </w:r>
      <w:hyperlink r:id="rId14" w:history="1">
        <w:r w:rsidRPr="00AA636E">
          <w:rPr>
            <w:rStyle w:val="Hyperlink"/>
            <w:rFonts w:asciiTheme="majorHAnsi" w:hAnsiTheme="majorHAnsi" w:cstheme="majorHAnsi"/>
            <w:sz w:val="24"/>
            <w:szCs w:val="24"/>
          </w:rPr>
          <w:t>https://www.legislation.gov.uk/ukpga/1989/41/contents</w:t>
        </w:r>
      </w:hyperlink>
      <w:r>
        <w:rPr>
          <w:rFonts w:asciiTheme="majorHAnsi" w:hAnsiTheme="majorHAnsi" w:cstheme="majorHAnsi"/>
          <w:sz w:val="24"/>
          <w:szCs w:val="24"/>
        </w:rPr>
        <w:t xml:space="preserve"> [Accessed: 21</w:t>
      </w:r>
      <w:r w:rsidRPr="00A34644">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2017].</w:t>
      </w:r>
    </w:p>
    <w:p w:rsidR="006125A7" w:rsidRDefault="006125A7"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Children Act 2004. London: </w:t>
      </w:r>
      <w:r w:rsidR="00F635E9">
        <w:rPr>
          <w:rFonts w:asciiTheme="majorHAnsi" w:hAnsiTheme="majorHAnsi" w:cstheme="majorHAnsi"/>
          <w:sz w:val="24"/>
          <w:szCs w:val="24"/>
        </w:rPr>
        <w:t xml:space="preserve">Her Majesty’s </w:t>
      </w:r>
      <w:r>
        <w:rPr>
          <w:rFonts w:asciiTheme="majorHAnsi" w:hAnsiTheme="majorHAnsi" w:cstheme="majorHAnsi"/>
          <w:sz w:val="24"/>
          <w:szCs w:val="24"/>
        </w:rPr>
        <w:t xml:space="preserve">Stationery Office. [Online]. </w:t>
      </w:r>
      <w:r w:rsidR="00561057">
        <w:rPr>
          <w:rFonts w:asciiTheme="majorHAnsi" w:hAnsiTheme="majorHAnsi" w:cstheme="majorHAnsi"/>
          <w:sz w:val="24"/>
          <w:szCs w:val="24"/>
        </w:rPr>
        <w:t>Available</w:t>
      </w:r>
      <w:r>
        <w:rPr>
          <w:rFonts w:asciiTheme="majorHAnsi" w:hAnsiTheme="majorHAnsi" w:cstheme="majorHAnsi"/>
          <w:sz w:val="24"/>
          <w:szCs w:val="24"/>
        </w:rPr>
        <w:t xml:space="preserve"> at: </w:t>
      </w:r>
      <w:hyperlink r:id="rId15" w:history="1">
        <w:r w:rsidRPr="00AA636E">
          <w:rPr>
            <w:rStyle w:val="Hyperlink"/>
            <w:rFonts w:asciiTheme="majorHAnsi" w:hAnsiTheme="majorHAnsi" w:cstheme="majorHAnsi"/>
            <w:sz w:val="24"/>
            <w:szCs w:val="24"/>
          </w:rPr>
          <w:t>https://www.legislation.gov.uk/ukpga/2004/31/pdfs/ukpga_20040031_en.pdf</w:t>
        </w:r>
      </w:hyperlink>
      <w:r>
        <w:rPr>
          <w:rFonts w:asciiTheme="majorHAnsi" w:hAnsiTheme="majorHAnsi" w:cstheme="majorHAnsi"/>
          <w:sz w:val="24"/>
          <w:szCs w:val="24"/>
        </w:rPr>
        <w:t xml:space="preserve"> [Accessed: 21</w:t>
      </w:r>
      <w:r w:rsidRPr="006125A7">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2017].</w:t>
      </w:r>
    </w:p>
    <w:p w:rsidR="00391FD3" w:rsidRDefault="00391FD3"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Children’s Commissioner for Wales. (2017) ‘Introduction’ </w:t>
      </w:r>
      <w:hyperlink r:id="rId16" w:history="1">
        <w:r w:rsidRPr="0018799F">
          <w:rPr>
            <w:rStyle w:val="Hyperlink"/>
            <w:rFonts w:asciiTheme="majorHAnsi" w:hAnsiTheme="majorHAnsi" w:cstheme="majorHAnsi"/>
            <w:sz w:val="24"/>
            <w:szCs w:val="24"/>
          </w:rPr>
          <w:t>https://www.childcomwales.org.uk/wp-content/uploads/2017/10/CCfWPowersPaper_Final_E.pdf</w:t>
        </w:r>
      </w:hyperlink>
      <w:r>
        <w:rPr>
          <w:rFonts w:asciiTheme="majorHAnsi" w:hAnsiTheme="majorHAnsi" w:cstheme="majorHAnsi"/>
          <w:sz w:val="24"/>
          <w:szCs w:val="24"/>
        </w:rPr>
        <w:t xml:space="preserve"> [Accessed: 26</w:t>
      </w:r>
      <w:r w:rsidRPr="00391FD3">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 </w:t>
      </w:r>
    </w:p>
    <w:p w:rsidR="00074E22" w:rsidRDefault="00074E22"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Children in Wales. (no date) ‘Safeguarding’ </w:t>
      </w:r>
      <w:hyperlink r:id="rId17" w:history="1">
        <w:r w:rsidRPr="0018799F">
          <w:rPr>
            <w:rStyle w:val="Hyperlink"/>
            <w:rFonts w:asciiTheme="majorHAnsi" w:hAnsiTheme="majorHAnsi" w:cstheme="majorHAnsi"/>
            <w:sz w:val="24"/>
            <w:szCs w:val="24"/>
          </w:rPr>
          <w:t>http://www.childreninwales.org.uk/our-work/safeguarding/</w:t>
        </w:r>
      </w:hyperlink>
      <w:r>
        <w:rPr>
          <w:rFonts w:asciiTheme="majorHAnsi" w:hAnsiTheme="majorHAnsi" w:cstheme="majorHAnsi"/>
          <w:sz w:val="24"/>
          <w:szCs w:val="24"/>
        </w:rPr>
        <w:t xml:space="preserve"> [Accessed: 26</w:t>
      </w:r>
      <w:r w:rsidRPr="00074E22">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w:t>
      </w:r>
    </w:p>
    <w:p w:rsidR="007E0AC1" w:rsidRDefault="007E0AC1"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Children’s Rights in Wales. (no date) ‘Children Act 1989’ </w:t>
      </w:r>
      <w:hyperlink r:id="rId18" w:history="1">
        <w:r w:rsidRPr="006E0990">
          <w:rPr>
            <w:rStyle w:val="Hyperlink"/>
            <w:rFonts w:asciiTheme="majorHAnsi" w:hAnsiTheme="majorHAnsi" w:cstheme="majorHAnsi"/>
            <w:sz w:val="24"/>
            <w:szCs w:val="24"/>
          </w:rPr>
          <w:t>http://www.childrensrightswales.org.uk/childrens-act-1989.aspx</w:t>
        </w:r>
      </w:hyperlink>
      <w:r>
        <w:rPr>
          <w:rFonts w:asciiTheme="majorHAnsi" w:hAnsiTheme="majorHAnsi" w:cstheme="majorHAnsi"/>
          <w:sz w:val="24"/>
          <w:szCs w:val="24"/>
        </w:rPr>
        <w:t xml:space="preserve"> [Accessed: 23</w:t>
      </w:r>
      <w:r w:rsidRPr="007E0AC1">
        <w:rPr>
          <w:rFonts w:asciiTheme="majorHAnsi" w:hAnsiTheme="majorHAnsi" w:cstheme="majorHAnsi"/>
          <w:sz w:val="24"/>
          <w:szCs w:val="24"/>
          <w:vertAlign w:val="superscript"/>
        </w:rPr>
        <w:t>rd</w:t>
      </w:r>
      <w:r>
        <w:rPr>
          <w:rFonts w:asciiTheme="majorHAnsi" w:hAnsiTheme="majorHAnsi" w:cstheme="majorHAnsi"/>
          <w:sz w:val="24"/>
          <w:szCs w:val="24"/>
        </w:rPr>
        <w:t xml:space="preserve"> November 2017]. </w:t>
      </w:r>
    </w:p>
    <w:p w:rsidR="00857E57" w:rsidRDefault="00857E57"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Citizens Advice. (no date) ‘Local Authority involvement in child abuse cases – where to start’ </w:t>
      </w:r>
      <w:hyperlink r:id="rId19" w:history="1">
        <w:r w:rsidRPr="0018799F">
          <w:rPr>
            <w:rStyle w:val="Hyperlink"/>
            <w:rFonts w:asciiTheme="majorHAnsi" w:hAnsiTheme="majorHAnsi" w:cstheme="majorHAnsi"/>
            <w:sz w:val="24"/>
            <w:szCs w:val="24"/>
          </w:rPr>
          <w:t>https://www.citizensadvice.org.uk/cymraeg/family/children-and-young-people/child-abuse/local-authority-involvement/local-authority-involvement-in-child-abuse-cases-where-to-start/</w:t>
        </w:r>
      </w:hyperlink>
      <w:r>
        <w:rPr>
          <w:rFonts w:asciiTheme="majorHAnsi" w:hAnsiTheme="majorHAnsi" w:cstheme="majorHAnsi"/>
          <w:sz w:val="24"/>
          <w:szCs w:val="24"/>
        </w:rPr>
        <w:t xml:space="preserve"> [Accessed: 26</w:t>
      </w:r>
      <w:r w:rsidRPr="00857E57">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w:t>
      </w:r>
    </w:p>
    <w:p w:rsidR="00193EBC" w:rsidRDefault="00193EBC"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Dahl, S. </w:t>
      </w:r>
      <w:r w:rsidR="006A2C33">
        <w:rPr>
          <w:rFonts w:asciiTheme="majorHAnsi" w:hAnsiTheme="majorHAnsi" w:cstheme="majorHAnsi"/>
          <w:sz w:val="24"/>
          <w:szCs w:val="24"/>
        </w:rPr>
        <w:t>and</w:t>
      </w:r>
      <w:r>
        <w:rPr>
          <w:rFonts w:asciiTheme="majorHAnsi" w:hAnsiTheme="majorHAnsi" w:cstheme="majorHAnsi"/>
          <w:sz w:val="24"/>
          <w:szCs w:val="24"/>
        </w:rPr>
        <w:t xml:space="preserve"> Aubrey, C. (2005) </w:t>
      </w:r>
      <w:r>
        <w:rPr>
          <w:rFonts w:asciiTheme="majorHAnsi" w:hAnsiTheme="majorHAnsi" w:cstheme="majorHAnsi"/>
          <w:i/>
          <w:sz w:val="24"/>
          <w:szCs w:val="24"/>
        </w:rPr>
        <w:t xml:space="preserve">Multi Agency Working in </w:t>
      </w:r>
      <w:r w:rsidR="006A2C33">
        <w:rPr>
          <w:rFonts w:asciiTheme="majorHAnsi" w:hAnsiTheme="majorHAnsi" w:cstheme="majorHAnsi"/>
          <w:i/>
          <w:sz w:val="24"/>
          <w:szCs w:val="24"/>
        </w:rPr>
        <w:t xml:space="preserve">Sure Start Projects: Successes and Challenges. </w:t>
      </w:r>
      <w:r w:rsidR="006A2C33">
        <w:rPr>
          <w:rFonts w:asciiTheme="majorHAnsi" w:hAnsiTheme="majorHAnsi" w:cstheme="majorHAnsi"/>
          <w:sz w:val="24"/>
          <w:szCs w:val="24"/>
        </w:rPr>
        <w:t xml:space="preserve">Coventry: University of Warwick. [e-book]. Available at: </w:t>
      </w:r>
      <w:hyperlink r:id="rId20" w:history="1">
        <w:r w:rsidR="006A2C33" w:rsidRPr="006E0990">
          <w:rPr>
            <w:rStyle w:val="Hyperlink"/>
            <w:rFonts w:asciiTheme="majorHAnsi" w:hAnsiTheme="majorHAnsi" w:cstheme="majorHAnsi"/>
            <w:sz w:val="24"/>
            <w:szCs w:val="24"/>
          </w:rPr>
          <w:t>http://www.ness.bbk.ac.uk/support/local-evaluation-findings/documents/1310.pdf</w:t>
        </w:r>
      </w:hyperlink>
      <w:r w:rsidR="006A2C33">
        <w:rPr>
          <w:rFonts w:asciiTheme="majorHAnsi" w:hAnsiTheme="majorHAnsi" w:cstheme="majorHAnsi"/>
          <w:sz w:val="24"/>
          <w:szCs w:val="24"/>
        </w:rPr>
        <w:t xml:space="preserve"> [Accessed: 23</w:t>
      </w:r>
      <w:r w:rsidR="006A2C33" w:rsidRPr="006A2C33">
        <w:rPr>
          <w:rFonts w:asciiTheme="majorHAnsi" w:hAnsiTheme="majorHAnsi" w:cstheme="majorHAnsi"/>
          <w:sz w:val="24"/>
          <w:szCs w:val="24"/>
          <w:vertAlign w:val="superscript"/>
        </w:rPr>
        <w:t>rd</w:t>
      </w:r>
      <w:r w:rsidR="006A2C33">
        <w:rPr>
          <w:rFonts w:asciiTheme="majorHAnsi" w:hAnsiTheme="majorHAnsi" w:cstheme="majorHAnsi"/>
          <w:sz w:val="24"/>
          <w:szCs w:val="24"/>
        </w:rPr>
        <w:t xml:space="preserve"> November 2017].  </w:t>
      </w:r>
    </w:p>
    <w:p w:rsidR="00E26DF5" w:rsidRPr="00E26DF5" w:rsidRDefault="00E26DF5"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Davidson, A. (1977) ‘Child Abuse: Causes and Prevention’, </w:t>
      </w:r>
      <w:r>
        <w:rPr>
          <w:rFonts w:asciiTheme="majorHAnsi" w:hAnsiTheme="majorHAnsi" w:cstheme="majorHAnsi"/>
          <w:i/>
          <w:sz w:val="24"/>
          <w:szCs w:val="24"/>
        </w:rPr>
        <w:t xml:space="preserve">Journal of the National Medical Association, </w:t>
      </w:r>
      <w:r>
        <w:rPr>
          <w:rFonts w:asciiTheme="majorHAnsi" w:hAnsiTheme="majorHAnsi" w:cstheme="majorHAnsi"/>
          <w:sz w:val="24"/>
          <w:szCs w:val="24"/>
        </w:rPr>
        <w:t xml:space="preserve">volume 69, Issue 11, pp. 817-820, 1977. [Online]. Available at: </w:t>
      </w:r>
      <w:hyperlink r:id="rId21" w:history="1">
        <w:r w:rsidRPr="0018799F">
          <w:rPr>
            <w:rStyle w:val="Hyperlink"/>
            <w:rFonts w:asciiTheme="majorHAnsi" w:hAnsiTheme="majorHAnsi" w:cstheme="majorHAnsi"/>
            <w:sz w:val="24"/>
            <w:szCs w:val="24"/>
          </w:rPr>
          <w:t>https://www.ncbi.nlm.nih.gov/pmc/articles/PMC2536913/pdf/jnma00009-0059.pdf</w:t>
        </w:r>
      </w:hyperlink>
      <w:r>
        <w:rPr>
          <w:rFonts w:asciiTheme="majorHAnsi" w:hAnsiTheme="majorHAnsi" w:cstheme="majorHAnsi"/>
          <w:sz w:val="24"/>
          <w:szCs w:val="24"/>
        </w:rPr>
        <w:t xml:space="preserve"> [Accessed: 26</w:t>
      </w:r>
      <w:r w:rsidRPr="00E26DF5">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 </w:t>
      </w:r>
    </w:p>
    <w:p w:rsidR="00DE5D0E" w:rsidRPr="006A2C33" w:rsidRDefault="00DE5D0E"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Denbighshire County Council. (no date) ‘All Wales Child Protection Procedures’ </w:t>
      </w:r>
      <w:hyperlink r:id="rId22" w:history="1">
        <w:r w:rsidRPr="006E0990">
          <w:rPr>
            <w:rStyle w:val="Hyperlink"/>
            <w:rFonts w:asciiTheme="majorHAnsi" w:hAnsiTheme="majorHAnsi" w:cstheme="majorHAnsi"/>
            <w:sz w:val="24"/>
            <w:szCs w:val="24"/>
          </w:rPr>
          <w:t>https://www.denbighshire.gov.uk/en/resident/health-and-social-care/children-young-people-and-families/children-families-services-referral-guidance-en.pdf</w:t>
        </w:r>
      </w:hyperlink>
      <w:r>
        <w:rPr>
          <w:rFonts w:asciiTheme="majorHAnsi" w:hAnsiTheme="majorHAnsi" w:cstheme="majorHAnsi"/>
          <w:sz w:val="24"/>
          <w:szCs w:val="24"/>
        </w:rPr>
        <w:t xml:space="preserve"> [Accessed: 23</w:t>
      </w:r>
      <w:r w:rsidRPr="00DE5D0E">
        <w:rPr>
          <w:rFonts w:asciiTheme="majorHAnsi" w:hAnsiTheme="majorHAnsi" w:cstheme="majorHAnsi"/>
          <w:sz w:val="24"/>
          <w:szCs w:val="24"/>
          <w:vertAlign w:val="superscript"/>
        </w:rPr>
        <w:t>rd</w:t>
      </w:r>
      <w:r>
        <w:rPr>
          <w:rFonts w:asciiTheme="majorHAnsi" w:hAnsiTheme="majorHAnsi" w:cstheme="majorHAnsi"/>
          <w:sz w:val="24"/>
          <w:szCs w:val="24"/>
        </w:rPr>
        <w:t xml:space="preserve"> November 2017].</w:t>
      </w:r>
    </w:p>
    <w:p w:rsidR="00CE3AD3" w:rsidRDefault="00CE3AD3"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Department of Education. (2012) ‘Multi-Agency Working’ </w:t>
      </w:r>
      <w:hyperlink r:id="rId23" w:history="1">
        <w:r w:rsidRPr="006E0990">
          <w:rPr>
            <w:rStyle w:val="Hyperlink"/>
            <w:rFonts w:asciiTheme="majorHAnsi" w:hAnsiTheme="majorHAnsi" w:cstheme="majorHAnsi"/>
            <w:sz w:val="24"/>
            <w:szCs w:val="24"/>
          </w:rPr>
          <w:t>http://webarchive.nationalarchives.gov.uk/20130104164035/https://www.education.gov.uk/childrenandyoungpeople/strategy/integratedworking/a0069013/multi-agency-working</w:t>
        </w:r>
      </w:hyperlink>
      <w:r>
        <w:rPr>
          <w:rFonts w:asciiTheme="majorHAnsi" w:hAnsiTheme="majorHAnsi" w:cstheme="majorHAnsi"/>
          <w:sz w:val="24"/>
          <w:szCs w:val="24"/>
        </w:rPr>
        <w:t xml:space="preserve"> [Accessed: 22</w:t>
      </w:r>
      <w:r w:rsidRPr="00CE3AD3">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 </w:t>
      </w:r>
    </w:p>
    <w:p w:rsidR="00016D97" w:rsidRDefault="00016D97"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Family Lives. (No date) ‘Social Services and your family’ </w:t>
      </w:r>
      <w:hyperlink r:id="rId24" w:history="1">
        <w:r w:rsidRPr="006E0990">
          <w:rPr>
            <w:rStyle w:val="Hyperlink"/>
            <w:rFonts w:asciiTheme="majorHAnsi" w:hAnsiTheme="majorHAnsi" w:cstheme="majorHAnsi"/>
            <w:sz w:val="24"/>
            <w:szCs w:val="24"/>
          </w:rPr>
          <w:t>https://www.familylives.org.uk/advice/your-family/social-services-and-your-family/social-services-and-your-family/</w:t>
        </w:r>
      </w:hyperlink>
      <w:r>
        <w:rPr>
          <w:rFonts w:asciiTheme="majorHAnsi" w:hAnsiTheme="majorHAnsi" w:cstheme="majorHAnsi"/>
          <w:sz w:val="24"/>
          <w:szCs w:val="24"/>
        </w:rPr>
        <w:t xml:space="preserve"> [Accessed: 21</w:t>
      </w:r>
      <w:r w:rsidRPr="00016D97">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2017]. </w:t>
      </w:r>
    </w:p>
    <w:p w:rsidR="00DE1B1A" w:rsidRDefault="00DE1B1A"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lastRenderedPageBreak/>
        <w:t xml:space="preserve">Glasser, M., </w:t>
      </w:r>
      <w:proofErr w:type="spellStart"/>
      <w:r>
        <w:rPr>
          <w:rFonts w:asciiTheme="majorHAnsi" w:hAnsiTheme="majorHAnsi" w:cstheme="majorHAnsi"/>
          <w:sz w:val="24"/>
          <w:szCs w:val="24"/>
        </w:rPr>
        <w:t>Kolvin</w:t>
      </w:r>
      <w:proofErr w:type="spellEnd"/>
      <w:r>
        <w:rPr>
          <w:rFonts w:asciiTheme="majorHAnsi" w:hAnsiTheme="majorHAnsi" w:cstheme="majorHAnsi"/>
          <w:sz w:val="24"/>
          <w:szCs w:val="24"/>
        </w:rPr>
        <w:t xml:space="preserve">, I., Campbell, D., Glasser, A., Leitch, I. and </w:t>
      </w:r>
      <w:proofErr w:type="spellStart"/>
      <w:r>
        <w:rPr>
          <w:rFonts w:asciiTheme="majorHAnsi" w:hAnsiTheme="majorHAnsi" w:cstheme="majorHAnsi"/>
          <w:sz w:val="24"/>
          <w:szCs w:val="24"/>
        </w:rPr>
        <w:t>Farrelly</w:t>
      </w:r>
      <w:proofErr w:type="spellEnd"/>
      <w:r>
        <w:rPr>
          <w:rFonts w:asciiTheme="majorHAnsi" w:hAnsiTheme="majorHAnsi" w:cstheme="majorHAnsi"/>
          <w:sz w:val="24"/>
          <w:szCs w:val="24"/>
        </w:rPr>
        <w:t xml:space="preserve">, S. (2001) ‘Cycle of child abuse: links between being a victim and being a perpetrator’, </w:t>
      </w:r>
      <w:r>
        <w:rPr>
          <w:rFonts w:asciiTheme="majorHAnsi" w:hAnsiTheme="majorHAnsi" w:cstheme="majorHAnsi"/>
          <w:i/>
          <w:sz w:val="24"/>
          <w:szCs w:val="24"/>
        </w:rPr>
        <w:t xml:space="preserve">The British Journal of Psychiatry, </w:t>
      </w:r>
      <w:r>
        <w:rPr>
          <w:rFonts w:asciiTheme="majorHAnsi" w:hAnsiTheme="majorHAnsi" w:cstheme="majorHAnsi"/>
          <w:sz w:val="24"/>
          <w:szCs w:val="24"/>
        </w:rPr>
        <w:t xml:space="preserve">Volume 179, Issue 6, pp. 482-494. [Online]. Available at: </w:t>
      </w:r>
      <w:hyperlink r:id="rId25" w:history="1">
        <w:r w:rsidRPr="0018799F">
          <w:rPr>
            <w:rStyle w:val="Hyperlink"/>
            <w:rFonts w:asciiTheme="majorHAnsi" w:hAnsiTheme="majorHAnsi" w:cstheme="majorHAnsi"/>
            <w:sz w:val="24"/>
            <w:szCs w:val="24"/>
          </w:rPr>
          <w:t>http://bjp.rcpsych.org/content/179/6/482</w:t>
        </w:r>
      </w:hyperlink>
      <w:r>
        <w:rPr>
          <w:rFonts w:asciiTheme="majorHAnsi" w:hAnsiTheme="majorHAnsi" w:cstheme="majorHAnsi"/>
          <w:sz w:val="24"/>
          <w:szCs w:val="24"/>
        </w:rPr>
        <w:t xml:space="preserve"> [Accessed: 26</w:t>
      </w:r>
      <w:r w:rsidRPr="00DE1B1A">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 </w:t>
      </w:r>
    </w:p>
    <w:p w:rsidR="00410765" w:rsidRPr="00410765" w:rsidRDefault="00410765"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Jespersen, A., </w:t>
      </w:r>
      <w:proofErr w:type="spellStart"/>
      <w:r>
        <w:rPr>
          <w:rFonts w:asciiTheme="majorHAnsi" w:hAnsiTheme="majorHAnsi" w:cstheme="majorHAnsi"/>
          <w:sz w:val="24"/>
          <w:szCs w:val="24"/>
        </w:rPr>
        <w:t>Lalumiere</w:t>
      </w:r>
      <w:proofErr w:type="spellEnd"/>
      <w:r>
        <w:rPr>
          <w:rFonts w:asciiTheme="majorHAnsi" w:hAnsiTheme="majorHAnsi" w:cstheme="majorHAnsi"/>
          <w:sz w:val="24"/>
          <w:szCs w:val="24"/>
        </w:rPr>
        <w:t xml:space="preserve">, M. and </w:t>
      </w:r>
      <w:proofErr w:type="spellStart"/>
      <w:r>
        <w:rPr>
          <w:rFonts w:asciiTheme="majorHAnsi" w:hAnsiTheme="majorHAnsi" w:cstheme="majorHAnsi"/>
          <w:sz w:val="24"/>
          <w:szCs w:val="24"/>
        </w:rPr>
        <w:t>Seto</w:t>
      </w:r>
      <w:proofErr w:type="spellEnd"/>
      <w:r>
        <w:rPr>
          <w:rFonts w:asciiTheme="majorHAnsi" w:hAnsiTheme="majorHAnsi" w:cstheme="majorHAnsi"/>
          <w:sz w:val="24"/>
          <w:szCs w:val="24"/>
        </w:rPr>
        <w:t xml:space="preserve">, M. (2009) ‘Sexual abuse history among adult sex offenders and non-sex offenders: A meta-analysis’, </w:t>
      </w:r>
      <w:r>
        <w:rPr>
          <w:rFonts w:asciiTheme="majorHAnsi" w:hAnsiTheme="majorHAnsi" w:cstheme="majorHAnsi"/>
          <w:i/>
          <w:sz w:val="24"/>
          <w:szCs w:val="24"/>
        </w:rPr>
        <w:t xml:space="preserve">Child Abuse &amp; Neglect: An International Journal, </w:t>
      </w:r>
      <w:r>
        <w:rPr>
          <w:rFonts w:asciiTheme="majorHAnsi" w:hAnsiTheme="majorHAnsi" w:cstheme="majorHAnsi"/>
          <w:sz w:val="24"/>
          <w:szCs w:val="24"/>
        </w:rPr>
        <w:t xml:space="preserve">Volume 33, Issue 3, March 2009, pp. 179-192. [Online]. Available at: </w:t>
      </w:r>
      <w:hyperlink r:id="rId26" w:history="1">
        <w:r w:rsidRPr="0018799F">
          <w:rPr>
            <w:rStyle w:val="Hyperlink"/>
            <w:rFonts w:asciiTheme="majorHAnsi" w:hAnsiTheme="majorHAnsi" w:cstheme="majorHAnsi"/>
            <w:sz w:val="24"/>
            <w:szCs w:val="24"/>
          </w:rPr>
          <w:t>http://www.sciencedirect.com/science/article/pii/S0145213409000374</w:t>
        </w:r>
      </w:hyperlink>
      <w:r>
        <w:rPr>
          <w:rFonts w:asciiTheme="majorHAnsi" w:hAnsiTheme="majorHAnsi" w:cstheme="majorHAnsi"/>
          <w:sz w:val="24"/>
          <w:szCs w:val="24"/>
        </w:rPr>
        <w:t xml:space="preserve"> [Accessed: 26</w:t>
      </w:r>
      <w:r w:rsidRPr="00410765">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 </w:t>
      </w:r>
    </w:p>
    <w:p w:rsidR="00F208D6" w:rsidRDefault="00F208D6"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North Wales </w:t>
      </w:r>
      <w:r w:rsidR="00375CA9">
        <w:rPr>
          <w:rFonts w:asciiTheme="majorHAnsi" w:hAnsiTheme="majorHAnsi" w:cstheme="majorHAnsi"/>
          <w:sz w:val="24"/>
          <w:szCs w:val="24"/>
        </w:rPr>
        <w:t xml:space="preserve">Safeguarding Children Forum. (2015) ‘Supporting Children, Supporting Parents: A North Wales Multi-Agency protocol’ </w:t>
      </w:r>
      <w:hyperlink r:id="rId27" w:history="1">
        <w:r w:rsidR="00375CA9" w:rsidRPr="006E0990">
          <w:rPr>
            <w:rStyle w:val="Hyperlink"/>
            <w:rFonts w:asciiTheme="majorHAnsi" w:hAnsiTheme="majorHAnsi" w:cstheme="majorHAnsi"/>
            <w:sz w:val="24"/>
            <w:szCs w:val="24"/>
          </w:rPr>
          <w:t>http://www.northwalessafeguardingboard.wales/wp-content/uploads/2015/04/North-Wales-protocol-for-Supporting-Children-when-working-with-parents-with-severe-mental-health-problems-and-or-substance-misuse.pdf</w:t>
        </w:r>
      </w:hyperlink>
      <w:r w:rsidR="00375CA9">
        <w:rPr>
          <w:rFonts w:asciiTheme="majorHAnsi" w:hAnsiTheme="majorHAnsi" w:cstheme="majorHAnsi"/>
          <w:sz w:val="24"/>
          <w:szCs w:val="24"/>
        </w:rPr>
        <w:t xml:space="preserve"> [Accessed: 21</w:t>
      </w:r>
      <w:r w:rsidR="00375CA9" w:rsidRPr="00375CA9">
        <w:rPr>
          <w:rFonts w:asciiTheme="majorHAnsi" w:hAnsiTheme="majorHAnsi" w:cstheme="majorHAnsi"/>
          <w:sz w:val="24"/>
          <w:szCs w:val="24"/>
          <w:vertAlign w:val="superscript"/>
        </w:rPr>
        <w:t>st</w:t>
      </w:r>
      <w:r w:rsidR="00375CA9">
        <w:rPr>
          <w:rFonts w:asciiTheme="majorHAnsi" w:hAnsiTheme="majorHAnsi" w:cstheme="majorHAnsi"/>
          <w:sz w:val="24"/>
          <w:szCs w:val="24"/>
        </w:rPr>
        <w:t xml:space="preserve"> November 2017]. </w:t>
      </w:r>
    </w:p>
    <w:p w:rsidR="006125A7" w:rsidRDefault="006125A7"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NSPCC. (no date) ‘The history of the UK child protection system’ </w:t>
      </w:r>
      <w:hyperlink r:id="rId28" w:history="1">
        <w:r w:rsidRPr="00AA636E">
          <w:rPr>
            <w:rStyle w:val="Hyperlink"/>
            <w:rFonts w:asciiTheme="majorHAnsi" w:hAnsiTheme="majorHAnsi" w:cstheme="majorHAnsi"/>
            <w:sz w:val="24"/>
            <w:szCs w:val="24"/>
          </w:rPr>
          <w:t>https://www.nspcc.org.uk/preventing-abuse/child-protection-system/</w:t>
        </w:r>
      </w:hyperlink>
      <w:r>
        <w:rPr>
          <w:rFonts w:asciiTheme="majorHAnsi" w:hAnsiTheme="majorHAnsi" w:cstheme="majorHAnsi"/>
          <w:sz w:val="24"/>
          <w:szCs w:val="24"/>
        </w:rPr>
        <w:t xml:space="preserve"> [Accessed: 21</w:t>
      </w:r>
      <w:r w:rsidRPr="006125A7">
        <w:rPr>
          <w:rFonts w:asciiTheme="majorHAnsi" w:hAnsiTheme="majorHAnsi" w:cstheme="majorHAnsi"/>
          <w:sz w:val="24"/>
          <w:szCs w:val="24"/>
          <w:vertAlign w:val="superscript"/>
        </w:rPr>
        <w:t>st</w:t>
      </w:r>
      <w:r>
        <w:rPr>
          <w:rFonts w:asciiTheme="majorHAnsi" w:hAnsiTheme="majorHAnsi" w:cstheme="majorHAnsi"/>
          <w:sz w:val="24"/>
          <w:szCs w:val="24"/>
        </w:rPr>
        <w:t xml:space="preserve"> November 2017].</w:t>
      </w:r>
    </w:p>
    <w:p w:rsidR="00E00AE0" w:rsidRDefault="00E00AE0"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NSPCC. (no date – a) ‘Child Protection in Wales – Referrals and Investigations’ </w:t>
      </w:r>
      <w:hyperlink r:id="rId29" w:history="1">
        <w:r w:rsidRPr="006E0990">
          <w:rPr>
            <w:rStyle w:val="Hyperlink"/>
            <w:rFonts w:asciiTheme="majorHAnsi" w:hAnsiTheme="majorHAnsi" w:cstheme="majorHAnsi"/>
            <w:sz w:val="24"/>
            <w:szCs w:val="24"/>
          </w:rPr>
          <w:t>https://www.nspcc.org.uk/preventing-abuse/child-protection-system/wales/referrals-investigations/</w:t>
        </w:r>
      </w:hyperlink>
      <w:r>
        <w:rPr>
          <w:rFonts w:asciiTheme="majorHAnsi" w:hAnsiTheme="majorHAnsi" w:cstheme="majorHAnsi"/>
          <w:sz w:val="24"/>
          <w:szCs w:val="24"/>
        </w:rPr>
        <w:t xml:space="preserve"> [Accessed: 22</w:t>
      </w:r>
      <w:r w:rsidRPr="00E00AE0">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w:t>
      </w:r>
    </w:p>
    <w:p w:rsidR="006F23A1" w:rsidRDefault="006F23A1"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lastRenderedPageBreak/>
        <w:t xml:space="preserve">NSPCC. (no date – b) ‘If a report has been made about you’ </w:t>
      </w:r>
      <w:hyperlink r:id="rId30" w:history="1">
        <w:r w:rsidRPr="006E0990">
          <w:rPr>
            <w:rStyle w:val="Hyperlink"/>
            <w:rFonts w:asciiTheme="majorHAnsi" w:hAnsiTheme="majorHAnsi" w:cstheme="majorHAnsi"/>
            <w:sz w:val="24"/>
            <w:szCs w:val="24"/>
          </w:rPr>
          <w:t>https://www.nspcc.org.uk/what-you-can-do/report-abuse/reported-to-nspcc/</w:t>
        </w:r>
      </w:hyperlink>
      <w:r>
        <w:rPr>
          <w:rFonts w:asciiTheme="majorHAnsi" w:hAnsiTheme="majorHAnsi" w:cstheme="majorHAnsi"/>
          <w:sz w:val="24"/>
          <w:szCs w:val="24"/>
        </w:rPr>
        <w:t xml:space="preserve"> [Accessed: 23</w:t>
      </w:r>
      <w:r w:rsidRPr="006F23A1">
        <w:rPr>
          <w:rFonts w:asciiTheme="majorHAnsi" w:hAnsiTheme="majorHAnsi" w:cstheme="majorHAnsi"/>
          <w:sz w:val="24"/>
          <w:szCs w:val="24"/>
          <w:vertAlign w:val="superscript"/>
        </w:rPr>
        <w:t>rd</w:t>
      </w:r>
      <w:r>
        <w:rPr>
          <w:rFonts w:asciiTheme="majorHAnsi" w:hAnsiTheme="majorHAnsi" w:cstheme="majorHAnsi"/>
          <w:sz w:val="24"/>
          <w:szCs w:val="24"/>
        </w:rPr>
        <w:t xml:space="preserve"> November 2017].</w:t>
      </w:r>
    </w:p>
    <w:p w:rsidR="003B7852" w:rsidRDefault="003B7852" w:rsidP="0070197B">
      <w:pPr>
        <w:spacing w:line="360" w:lineRule="auto"/>
        <w:jc w:val="both"/>
        <w:rPr>
          <w:rFonts w:asciiTheme="majorHAnsi" w:hAnsiTheme="majorHAnsi" w:cstheme="majorHAnsi"/>
          <w:sz w:val="24"/>
          <w:szCs w:val="24"/>
        </w:rPr>
      </w:pPr>
      <w:r>
        <w:rPr>
          <w:rFonts w:asciiTheme="majorHAnsi" w:hAnsiTheme="majorHAnsi" w:cstheme="majorHAnsi"/>
          <w:sz w:val="24"/>
          <w:szCs w:val="24"/>
        </w:rPr>
        <w:t>Social Services and Well-Being (Wales) Act 2014. Cardiff: Welsh Government. Availabl</w:t>
      </w:r>
      <w:r w:rsidR="00E00AE0">
        <w:rPr>
          <w:rFonts w:asciiTheme="majorHAnsi" w:hAnsiTheme="majorHAnsi" w:cstheme="majorHAnsi"/>
          <w:sz w:val="24"/>
          <w:szCs w:val="24"/>
        </w:rPr>
        <w:t xml:space="preserve">e </w:t>
      </w:r>
      <w:r>
        <w:rPr>
          <w:rFonts w:asciiTheme="majorHAnsi" w:hAnsiTheme="majorHAnsi" w:cstheme="majorHAnsi"/>
          <w:sz w:val="24"/>
          <w:szCs w:val="24"/>
        </w:rPr>
        <w:t xml:space="preserve">at: </w:t>
      </w:r>
      <w:hyperlink r:id="rId31" w:history="1">
        <w:r w:rsidRPr="004E7A61">
          <w:rPr>
            <w:rStyle w:val="Hyperlink"/>
            <w:rFonts w:asciiTheme="majorHAnsi" w:hAnsiTheme="majorHAnsi" w:cstheme="majorHAnsi"/>
            <w:sz w:val="24"/>
            <w:szCs w:val="24"/>
          </w:rPr>
          <w:t>https://consultations.gov.wales/sites/default/files/consultation_doc_files/170131guidance-childrenen.pdf</w:t>
        </w:r>
      </w:hyperlink>
      <w:r>
        <w:rPr>
          <w:rFonts w:asciiTheme="majorHAnsi" w:hAnsiTheme="majorHAnsi" w:cstheme="majorHAnsi"/>
          <w:sz w:val="24"/>
          <w:szCs w:val="24"/>
        </w:rPr>
        <w:t xml:space="preserve"> [Accessed: 22</w:t>
      </w:r>
      <w:r w:rsidRPr="003B7852">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 </w:t>
      </w:r>
    </w:p>
    <w:p w:rsidR="00A40245" w:rsidRDefault="00A40245" w:rsidP="00A40245">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The </w:t>
      </w:r>
      <w:proofErr w:type="spellStart"/>
      <w:r>
        <w:rPr>
          <w:rFonts w:asciiTheme="majorHAnsi" w:hAnsiTheme="majorHAnsi" w:cstheme="majorHAnsi"/>
          <w:sz w:val="24"/>
          <w:szCs w:val="24"/>
        </w:rPr>
        <w:t>Bichard</w:t>
      </w:r>
      <w:proofErr w:type="spellEnd"/>
      <w:r>
        <w:rPr>
          <w:rFonts w:asciiTheme="majorHAnsi" w:hAnsiTheme="majorHAnsi" w:cstheme="majorHAnsi"/>
          <w:sz w:val="24"/>
          <w:szCs w:val="24"/>
        </w:rPr>
        <w:t xml:space="preserve"> Inquiry Report. (2004). London: </w:t>
      </w:r>
      <w:r w:rsidR="00F635E9">
        <w:rPr>
          <w:rFonts w:asciiTheme="majorHAnsi" w:hAnsiTheme="majorHAnsi" w:cstheme="majorHAnsi"/>
          <w:sz w:val="24"/>
          <w:szCs w:val="24"/>
        </w:rPr>
        <w:t xml:space="preserve">Her Majesty’s </w:t>
      </w:r>
      <w:r>
        <w:rPr>
          <w:rFonts w:asciiTheme="majorHAnsi" w:hAnsiTheme="majorHAnsi" w:cstheme="majorHAnsi"/>
          <w:sz w:val="24"/>
          <w:szCs w:val="24"/>
        </w:rPr>
        <w:t>Station</w:t>
      </w:r>
      <w:r w:rsidR="00B45510">
        <w:rPr>
          <w:rFonts w:asciiTheme="majorHAnsi" w:hAnsiTheme="majorHAnsi" w:cstheme="majorHAnsi"/>
          <w:sz w:val="24"/>
          <w:szCs w:val="24"/>
        </w:rPr>
        <w:t>e</w:t>
      </w:r>
      <w:r>
        <w:rPr>
          <w:rFonts w:asciiTheme="majorHAnsi" w:hAnsiTheme="majorHAnsi" w:cstheme="majorHAnsi"/>
          <w:sz w:val="24"/>
          <w:szCs w:val="24"/>
        </w:rPr>
        <w:t xml:space="preserve">ry Office. [Online]. Available at: </w:t>
      </w:r>
      <w:hyperlink r:id="rId32" w:history="1">
        <w:r w:rsidRPr="004E7A61">
          <w:rPr>
            <w:rStyle w:val="Hyperlink"/>
            <w:rFonts w:asciiTheme="majorHAnsi" w:hAnsiTheme="majorHAnsi" w:cstheme="majorHAnsi"/>
            <w:sz w:val="24"/>
            <w:szCs w:val="24"/>
          </w:rPr>
          <w:t>http://dera.ioe.ac.uk/6394/1/report.pdf</w:t>
        </w:r>
      </w:hyperlink>
      <w:r>
        <w:rPr>
          <w:rFonts w:asciiTheme="majorHAnsi" w:hAnsiTheme="majorHAnsi" w:cstheme="majorHAnsi"/>
          <w:sz w:val="24"/>
          <w:szCs w:val="24"/>
        </w:rPr>
        <w:t xml:space="preserve"> [Accessed: 22</w:t>
      </w:r>
      <w:r w:rsidRPr="00B80EB7">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w:t>
      </w:r>
    </w:p>
    <w:p w:rsidR="008640BE" w:rsidRDefault="008640BE" w:rsidP="00A40245">
      <w:pPr>
        <w:spacing w:line="360" w:lineRule="auto"/>
        <w:jc w:val="both"/>
        <w:rPr>
          <w:rFonts w:asciiTheme="majorHAnsi" w:hAnsiTheme="majorHAnsi" w:cstheme="majorHAnsi"/>
          <w:sz w:val="24"/>
          <w:szCs w:val="24"/>
        </w:rPr>
      </w:pPr>
      <w:r>
        <w:rPr>
          <w:rFonts w:asciiTheme="majorHAnsi" w:hAnsiTheme="majorHAnsi" w:cstheme="majorHAnsi"/>
          <w:sz w:val="24"/>
          <w:szCs w:val="24"/>
        </w:rPr>
        <w:t>The Victoria Climbie Inquiry</w:t>
      </w:r>
      <w:r w:rsidR="00F635E9">
        <w:rPr>
          <w:rFonts w:asciiTheme="majorHAnsi" w:hAnsiTheme="majorHAnsi" w:cstheme="majorHAnsi"/>
          <w:sz w:val="24"/>
          <w:szCs w:val="24"/>
        </w:rPr>
        <w:t>. (2003). London: Her Majesty’s Station</w:t>
      </w:r>
      <w:r w:rsidR="00B45510">
        <w:rPr>
          <w:rFonts w:asciiTheme="majorHAnsi" w:hAnsiTheme="majorHAnsi" w:cstheme="majorHAnsi"/>
          <w:sz w:val="24"/>
          <w:szCs w:val="24"/>
        </w:rPr>
        <w:t>e</w:t>
      </w:r>
      <w:r w:rsidR="00F635E9">
        <w:rPr>
          <w:rFonts w:asciiTheme="majorHAnsi" w:hAnsiTheme="majorHAnsi" w:cstheme="majorHAnsi"/>
          <w:sz w:val="24"/>
          <w:szCs w:val="24"/>
        </w:rPr>
        <w:t xml:space="preserve">ry Office. [Online]. Available at: </w:t>
      </w:r>
      <w:hyperlink r:id="rId33" w:history="1">
        <w:r w:rsidR="00F635E9" w:rsidRPr="0018799F">
          <w:rPr>
            <w:rStyle w:val="Hyperlink"/>
            <w:rFonts w:asciiTheme="majorHAnsi" w:hAnsiTheme="majorHAnsi" w:cstheme="majorHAnsi"/>
            <w:sz w:val="24"/>
            <w:szCs w:val="24"/>
          </w:rPr>
          <w:t>https://www.gov.uk/government/uploads/system/uploads/attachment_data/file/273183/5730.pdf</w:t>
        </w:r>
      </w:hyperlink>
      <w:r w:rsidR="00F635E9">
        <w:rPr>
          <w:rFonts w:asciiTheme="majorHAnsi" w:hAnsiTheme="majorHAnsi" w:cstheme="majorHAnsi"/>
          <w:sz w:val="24"/>
          <w:szCs w:val="24"/>
        </w:rPr>
        <w:t xml:space="preserve"> [Accessed: 26</w:t>
      </w:r>
      <w:r w:rsidR="00F635E9" w:rsidRPr="00F635E9">
        <w:rPr>
          <w:rFonts w:asciiTheme="majorHAnsi" w:hAnsiTheme="majorHAnsi" w:cstheme="majorHAnsi"/>
          <w:sz w:val="24"/>
          <w:szCs w:val="24"/>
          <w:vertAlign w:val="superscript"/>
        </w:rPr>
        <w:t>th</w:t>
      </w:r>
      <w:r w:rsidR="00F635E9">
        <w:rPr>
          <w:rFonts w:asciiTheme="majorHAnsi" w:hAnsiTheme="majorHAnsi" w:cstheme="majorHAnsi"/>
          <w:sz w:val="24"/>
          <w:szCs w:val="24"/>
        </w:rPr>
        <w:t xml:space="preserve"> November 2017].</w:t>
      </w:r>
    </w:p>
    <w:p w:rsidR="00CB722A" w:rsidRDefault="00CB722A" w:rsidP="00A40245">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Rose, J. (2007) ‘Multi-agency collaboration: A new theoretical model’. </w:t>
      </w:r>
      <w:r>
        <w:rPr>
          <w:rFonts w:asciiTheme="majorHAnsi" w:hAnsiTheme="majorHAnsi" w:cstheme="majorHAnsi"/>
          <w:i/>
          <w:sz w:val="24"/>
          <w:szCs w:val="24"/>
        </w:rPr>
        <w:t xml:space="preserve">British Educational Research Association Annual Conference. </w:t>
      </w:r>
      <w:r>
        <w:rPr>
          <w:rFonts w:asciiTheme="majorHAnsi" w:hAnsiTheme="majorHAnsi" w:cstheme="majorHAnsi"/>
          <w:sz w:val="24"/>
          <w:szCs w:val="24"/>
        </w:rPr>
        <w:t>Institute of Education, University of London. (5</w:t>
      </w:r>
      <w:r w:rsidRPr="00CB722A">
        <w:rPr>
          <w:rFonts w:asciiTheme="majorHAnsi" w:hAnsiTheme="majorHAnsi" w:cstheme="majorHAnsi"/>
          <w:sz w:val="24"/>
          <w:szCs w:val="24"/>
          <w:vertAlign w:val="superscript"/>
        </w:rPr>
        <w:t>th</w:t>
      </w:r>
      <w:r>
        <w:rPr>
          <w:rFonts w:asciiTheme="majorHAnsi" w:hAnsiTheme="majorHAnsi" w:cstheme="majorHAnsi"/>
          <w:sz w:val="24"/>
          <w:szCs w:val="24"/>
        </w:rPr>
        <w:t>-8</w:t>
      </w:r>
      <w:r w:rsidRPr="00CB722A">
        <w:rPr>
          <w:rFonts w:asciiTheme="majorHAnsi" w:hAnsiTheme="majorHAnsi" w:cstheme="majorHAnsi"/>
          <w:sz w:val="24"/>
          <w:szCs w:val="24"/>
          <w:vertAlign w:val="superscript"/>
        </w:rPr>
        <w:t>th</w:t>
      </w:r>
      <w:r>
        <w:rPr>
          <w:rFonts w:asciiTheme="majorHAnsi" w:hAnsiTheme="majorHAnsi" w:cstheme="majorHAnsi"/>
          <w:sz w:val="24"/>
          <w:szCs w:val="24"/>
        </w:rPr>
        <w:t xml:space="preserve"> September 2007). [Online]. Available at: </w:t>
      </w:r>
      <w:hyperlink r:id="rId34" w:history="1">
        <w:r w:rsidRPr="006E0990">
          <w:rPr>
            <w:rStyle w:val="Hyperlink"/>
            <w:rFonts w:asciiTheme="majorHAnsi" w:hAnsiTheme="majorHAnsi" w:cstheme="majorHAnsi"/>
            <w:sz w:val="24"/>
            <w:szCs w:val="24"/>
          </w:rPr>
          <w:t>http://www.leeds.ac.uk/educol/documents/167930.htm</w:t>
        </w:r>
      </w:hyperlink>
      <w:r>
        <w:rPr>
          <w:rFonts w:asciiTheme="majorHAnsi" w:hAnsiTheme="majorHAnsi" w:cstheme="majorHAnsi"/>
          <w:sz w:val="24"/>
          <w:szCs w:val="24"/>
        </w:rPr>
        <w:t xml:space="preserve"> [Accessed: 22</w:t>
      </w:r>
      <w:r w:rsidRPr="00CB722A">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 </w:t>
      </w:r>
    </w:p>
    <w:p w:rsidR="00A42751" w:rsidRPr="00CB722A" w:rsidRDefault="00A42751" w:rsidP="00A40245">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United Nations Convention on the Rights of the Child. (no date) </w:t>
      </w:r>
      <w:hyperlink r:id="rId35" w:history="1">
        <w:r w:rsidRPr="0018799F">
          <w:rPr>
            <w:rStyle w:val="Hyperlink"/>
            <w:rFonts w:asciiTheme="majorHAnsi" w:hAnsiTheme="majorHAnsi" w:cstheme="majorHAnsi"/>
            <w:sz w:val="24"/>
            <w:szCs w:val="24"/>
          </w:rPr>
          <w:t>http://www.unicef.org.uk/wp-content/uploads/2010/05/UNCRC_summary-1.pdf</w:t>
        </w:r>
      </w:hyperlink>
      <w:r>
        <w:rPr>
          <w:rFonts w:asciiTheme="majorHAnsi" w:hAnsiTheme="majorHAnsi" w:cstheme="majorHAnsi"/>
          <w:sz w:val="24"/>
          <w:szCs w:val="24"/>
        </w:rPr>
        <w:t xml:space="preserve"> [Accessed: 22</w:t>
      </w:r>
      <w:r w:rsidRPr="00A42751">
        <w:rPr>
          <w:rFonts w:asciiTheme="majorHAnsi" w:hAnsiTheme="majorHAnsi" w:cstheme="majorHAnsi"/>
          <w:sz w:val="24"/>
          <w:szCs w:val="24"/>
          <w:vertAlign w:val="superscript"/>
        </w:rPr>
        <w:t>nd</w:t>
      </w:r>
      <w:r>
        <w:rPr>
          <w:rFonts w:asciiTheme="majorHAnsi" w:hAnsiTheme="majorHAnsi" w:cstheme="majorHAnsi"/>
          <w:sz w:val="24"/>
          <w:szCs w:val="24"/>
        </w:rPr>
        <w:t xml:space="preserve"> November 2017]. </w:t>
      </w:r>
    </w:p>
    <w:p w:rsidR="00A40245" w:rsidRDefault="00A40245" w:rsidP="0070197B">
      <w:pPr>
        <w:spacing w:line="360" w:lineRule="auto"/>
        <w:jc w:val="both"/>
        <w:rPr>
          <w:rFonts w:asciiTheme="majorHAnsi" w:hAnsiTheme="majorHAnsi" w:cstheme="majorHAnsi"/>
          <w:sz w:val="24"/>
          <w:szCs w:val="24"/>
        </w:rPr>
      </w:pPr>
    </w:p>
    <w:p w:rsidR="006125A7" w:rsidRDefault="006125A7" w:rsidP="0070197B">
      <w:pPr>
        <w:spacing w:line="360" w:lineRule="auto"/>
        <w:jc w:val="both"/>
        <w:rPr>
          <w:rFonts w:asciiTheme="majorHAnsi" w:hAnsiTheme="majorHAnsi" w:cstheme="majorHAnsi"/>
          <w:sz w:val="24"/>
          <w:szCs w:val="24"/>
        </w:rPr>
      </w:pPr>
    </w:p>
    <w:p w:rsidR="00A34644" w:rsidRPr="0070197B" w:rsidRDefault="00A34644"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Default="0070197B" w:rsidP="0070197B">
      <w:pPr>
        <w:spacing w:line="360" w:lineRule="auto"/>
        <w:jc w:val="both"/>
        <w:rPr>
          <w:rFonts w:asciiTheme="majorHAnsi" w:hAnsiTheme="majorHAnsi" w:cstheme="majorHAnsi"/>
          <w:sz w:val="24"/>
          <w:szCs w:val="24"/>
        </w:rPr>
      </w:pPr>
    </w:p>
    <w:p w:rsidR="0070197B" w:rsidRPr="0070197B" w:rsidRDefault="0070197B" w:rsidP="0070197B">
      <w:pPr>
        <w:spacing w:line="360" w:lineRule="auto"/>
        <w:jc w:val="both"/>
        <w:rPr>
          <w:rFonts w:asciiTheme="majorHAnsi" w:hAnsiTheme="majorHAnsi" w:cstheme="majorHAnsi"/>
          <w:sz w:val="24"/>
          <w:szCs w:val="24"/>
        </w:rPr>
      </w:pPr>
    </w:p>
    <w:sectPr w:rsidR="0070197B" w:rsidRPr="0070197B" w:rsidSect="006724D3">
      <w:headerReference w:type="default" r:id="rId36"/>
      <w:footerReference w:type="default" r:id="rId37"/>
      <w:pgSz w:w="12240" w:h="15840"/>
      <w:pgMar w:top="1440" w:right="3600" w:bottom="1800" w:left="1440" w:header="964"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0BDA" w:rsidRDefault="004F0BDA">
      <w:pPr>
        <w:spacing w:line="240" w:lineRule="auto"/>
      </w:pPr>
      <w:r>
        <w:separator/>
      </w:r>
    </w:p>
  </w:endnote>
  <w:endnote w:type="continuationSeparator" w:id="0">
    <w:p w:rsidR="004F0BDA" w:rsidRDefault="004F0B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969369"/>
      <w:docPartObj>
        <w:docPartGallery w:val="Page Numbers (Bottom of Page)"/>
        <w:docPartUnique/>
      </w:docPartObj>
    </w:sdtPr>
    <w:sdtEndPr>
      <w:rPr>
        <w:noProof/>
      </w:rPr>
    </w:sdtEndPr>
    <w:sdtContent>
      <w:p w:rsidR="006724D3" w:rsidRDefault="006724D3">
        <w:pPr>
          <w:pStyle w:val="Footer"/>
        </w:pPr>
        <w:r>
          <w:fldChar w:fldCharType="begin"/>
        </w:r>
        <w:r>
          <w:instrText xml:space="preserve"> PAGE   \* MERGEFORMAT </w:instrText>
        </w:r>
        <w:r>
          <w:fldChar w:fldCharType="separate"/>
        </w:r>
        <w:r w:rsidR="00B45510">
          <w:rPr>
            <w:noProof/>
          </w:rPr>
          <w:t>13</w:t>
        </w:r>
        <w:r>
          <w:rPr>
            <w:noProof/>
          </w:rPr>
          <w:fldChar w:fldCharType="end"/>
        </w:r>
      </w:p>
    </w:sdtContent>
  </w:sdt>
  <w:p w:rsidR="00DE1B1A" w:rsidRPr="00190922" w:rsidRDefault="00DE1B1A" w:rsidP="00190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0BDA" w:rsidRDefault="004F0BDA">
      <w:pPr>
        <w:spacing w:line="240" w:lineRule="auto"/>
      </w:pPr>
      <w:r>
        <w:separator/>
      </w:r>
    </w:p>
  </w:footnote>
  <w:footnote w:type="continuationSeparator" w:id="0">
    <w:p w:rsidR="004F0BDA" w:rsidRDefault="004F0BD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24D3" w:rsidRDefault="006724D3">
    <w:pPr>
      <w:pStyle w:val="Header"/>
    </w:pPr>
    <w:r>
      <w:t>Student: 1601596 Module: EAEE5006/C</w:t>
    </w:r>
  </w:p>
  <w:p w:rsidR="006724D3" w:rsidRDefault="006724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0264D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227819C1"/>
    <w:multiLevelType w:val="hybridMultilevel"/>
    <w:tmpl w:val="7E447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C2D3D"/>
    <w:multiLevelType w:val="hybridMultilevel"/>
    <w:tmpl w:val="549A1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8E763B3"/>
    <w:multiLevelType w:val="hybridMultilevel"/>
    <w:tmpl w:val="27148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lvlOverride w:ilvl="0">
      <w:startOverride w:val="1"/>
    </w:lvlOverride>
  </w:num>
  <w:num w:numId="3">
    <w:abstractNumId w:val="8"/>
  </w:num>
  <w:num w:numId="4">
    <w:abstractNumId w:val="12"/>
  </w:num>
  <w:num w:numId="5">
    <w:abstractNumId w:val="14"/>
  </w:num>
  <w:num w:numId="6">
    <w:abstractNumId w:val="16"/>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0"/>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97B"/>
    <w:rsid w:val="00016917"/>
    <w:rsid w:val="00016D97"/>
    <w:rsid w:val="000228C0"/>
    <w:rsid w:val="00074E22"/>
    <w:rsid w:val="00122300"/>
    <w:rsid w:val="00164D64"/>
    <w:rsid w:val="001668E8"/>
    <w:rsid w:val="00190922"/>
    <w:rsid w:val="00192BA9"/>
    <w:rsid w:val="00193EBC"/>
    <w:rsid w:val="001C30B8"/>
    <w:rsid w:val="001D022C"/>
    <w:rsid w:val="001D02B7"/>
    <w:rsid w:val="001F2EE6"/>
    <w:rsid w:val="00207468"/>
    <w:rsid w:val="002D6D73"/>
    <w:rsid w:val="002F1C41"/>
    <w:rsid w:val="00344B83"/>
    <w:rsid w:val="00375CA9"/>
    <w:rsid w:val="00391FD3"/>
    <w:rsid w:val="003B7852"/>
    <w:rsid w:val="003C1E78"/>
    <w:rsid w:val="003E1CD2"/>
    <w:rsid w:val="00410765"/>
    <w:rsid w:val="004274B1"/>
    <w:rsid w:val="00430D21"/>
    <w:rsid w:val="0047082C"/>
    <w:rsid w:val="00492067"/>
    <w:rsid w:val="004A7C78"/>
    <w:rsid w:val="004C0184"/>
    <w:rsid w:val="004F0BDA"/>
    <w:rsid w:val="005044A3"/>
    <w:rsid w:val="00541D83"/>
    <w:rsid w:val="00561057"/>
    <w:rsid w:val="00566A88"/>
    <w:rsid w:val="005901BA"/>
    <w:rsid w:val="005C59AE"/>
    <w:rsid w:val="005D5AF1"/>
    <w:rsid w:val="00605A8E"/>
    <w:rsid w:val="006125A7"/>
    <w:rsid w:val="00622144"/>
    <w:rsid w:val="006724D3"/>
    <w:rsid w:val="00683B03"/>
    <w:rsid w:val="006A2C33"/>
    <w:rsid w:val="006B57F6"/>
    <w:rsid w:val="006C287D"/>
    <w:rsid w:val="006E4ED3"/>
    <w:rsid w:val="006F23A1"/>
    <w:rsid w:val="0070197B"/>
    <w:rsid w:val="00712D08"/>
    <w:rsid w:val="00717041"/>
    <w:rsid w:val="00724B24"/>
    <w:rsid w:val="00744187"/>
    <w:rsid w:val="00776ECC"/>
    <w:rsid w:val="007A0A5B"/>
    <w:rsid w:val="007B00EB"/>
    <w:rsid w:val="007B345F"/>
    <w:rsid w:val="007B5BFF"/>
    <w:rsid w:val="007E0AC1"/>
    <w:rsid w:val="007F020B"/>
    <w:rsid w:val="0081305F"/>
    <w:rsid w:val="00857E57"/>
    <w:rsid w:val="008640BE"/>
    <w:rsid w:val="00872AE3"/>
    <w:rsid w:val="00882E6A"/>
    <w:rsid w:val="009466EC"/>
    <w:rsid w:val="009A091C"/>
    <w:rsid w:val="009B0674"/>
    <w:rsid w:val="00A152AB"/>
    <w:rsid w:val="00A34644"/>
    <w:rsid w:val="00A40245"/>
    <w:rsid w:val="00A42751"/>
    <w:rsid w:val="00AA480C"/>
    <w:rsid w:val="00B45510"/>
    <w:rsid w:val="00B46725"/>
    <w:rsid w:val="00B76BD8"/>
    <w:rsid w:val="00B80EB7"/>
    <w:rsid w:val="00C43325"/>
    <w:rsid w:val="00CB722A"/>
    <w:rsid w:val="00CE3AD3"/>
    <w:rsid w:val="00CF01A0"/>
    <w:rsid w:val="00CF05DA"/>
    <w:rsid w:val="00CF34F2"/>
    <w:rsid w:val="00D55BC0"/>
    <w:rsid w:val="00DE1B1A"/>
    <w:rsid w:val="00DE5D0E"/>
    <w:rsid w:val="00E00AE0"/>
    <w:rsid w:val="00E26DF5"/>
    <w:rsid w:val="00EF74E1"/>
    <w:rsid w:val="00F152D6"/>
    <w:rsid w:val="00F208D6"/>
    <w:rsid w:val="00F44D89"/>
    <w:rsid w:val="00F635E9"/>
    <w:rsid w:val="00F72A56"/>
    <w:rsid w:val="00FC7FAC"/>
    <w:rsid w:val="00FE6664"/>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922530F"/>
  <w15:chartTrackingRefBased/>
  <w15:docId w15:val="{AB9689EB-457D-4C21-BA24-BC7558F50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character" w:styleId="UnresolvedMention">
    <w:name w:val="Unresolved Mention"/>
    <w:basedOn w:val="DefaultParagraphFont"/>
    <w:uiPriority w:val="99"/>
    <w:semiHidden/>
    <w:unhideWhenUsed/>
    <w:rsid w:val="00A34644"/>
    <w:rPr>
      <w:color w:val="808080"/>
      <w:shd w:val="clear" w:color="auto" w:fill="E6E6E6"/>
    </w:rPr>
  </w:style>
  <w:style w:type="paragraph" w:styleId="ListParagraph">
    <w:name w:val="List Paragraph"/>
    <w:basedOn w:val="Normal"/>
    <w:uiPriority w:val="34"/>
    <w:unhideWhenUsed/>
    <w:qFormat/>
    <w:rsid w:val="00193E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lison_Stott/publication/44827561_Multi-Agency_Working_A_Detailed_Study/links/0deec5236caefb1524000000.pdf" TargetMode="External"/><Relationship Id="rId13" Type="http://schemas.openxmlformats.org/officeDocument/2006/relationships/hyperlink" Target="https://www.nspcc.org.uk/services-and-resources/research-and-resources/sign-up-to-caspar/" TargetMode="External"/><Relationship Id="rId18" Type="http://schemas.openxmlformats.org/officeDocument/2006/relationships/hyperlink" Target="http://www.childrensrightswales.org.uk/childrens-act-1989.aspx" TargetMode="External"/><Relationship Id="rId26" Type="http://schemas.openxmlformats.org/officeDocument/2006/relationships/hyperlink" Target="http://www.sciencedirect.com/science/article/pii/S0145213409000374" TargetMode="External"/><Relationship Id="rId39"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www.ncbi.nlm.nih.gov/pmc/articles/PMC2536913/pdf/jnma00009-0059.pdf" TargetMode="External"/><Relationship Id="rId34" Type="http://schemas.openxmlformats.org/officeDocument/2006/relationships/hyperlink" Target="http://www.leeds.ac.uk/educol/documents/167930.htm" TargetMode="External"/><Relationship Id="rId7" Type="http://schemas.openxmlformats.org/officeDocument/2006/relationships/hyperlink" Target="https://www.google.co.uk/search?q=all+wales+child+protection+procedures+2008&amp;oq=all+wales+child+protection+procedures+2008+&amp;aqs=chrome..69i57j69i59j69i60j69i59j0l2.9209j0j0&amp;sourceid=chrome&amp;ie=UTF-8" TargetMode="External"/><Relationship Id="rId12" Type="http://schemas.openxmlformats.org/officeDocument/2006/relationships/hyperlink" Target="http://www.blldpsirgar.org.uk/intro_e.htm" TargetMode="External"/><Relationship Id="rId17" Type="http://schemas.openxmlformats.org/officeDocument/2006/relationships/hyperlink" Target="http://www.childreninwales.org.uk/our-work/safeguarding/" TargetMode="External"/><Relationship Id="rId25" Type="http://schemas.openxmlformats.org/officeDocument/2006/relationships/hyperlink" Target="http://bjp.rcpsych.org/content/179/6/482" TargetMode="External"/><Relationship Id="rId33" Type="http://schemas.openxmlformats.org/officeDocument/2006/relationships/hyperlink" Target="https://www.gov.uk/government/uploads/system/uploads/attachment_data/file/273183/5730.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hildcomwales.org.uk/wp-content/uploads/2017/10/CCfWPowersPaper_Final_E.pdf" TargetMode="External"/><Relationship Id="rId20" Type="http://schemas.openxmlformats.org/officeDocument/2006/relationships/hyperlink" Target="http://www.ness.bbk.ac.uk/support/local-evaluation-findings/documents/1310.pdf" TargetMode="External"/><Relationship Id="rId29" Type="http://schemas.openxmlformats.org/officeDocument/2006/relationships/hyperlink" Target="https://www.nspcc.org.uk/preventing-abuse/child-protection-system/wales/referrals-investig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rmarthenshire.gov.wales/home/residents/children-family-services/worried-about-a-child.aspx" TargetMode="External"/><Relationship Id="rId24" Type="http://schemas.openxmlformats.org/officeDocument/2006/relationships/hyperlink" Target="https://www.familylives.org.uk/advice/your-family/social-services-and-your-family/social-services-and-your-family/" TargetMode="External"/><Relationship Id="rId32" Type="http://schemas.openxmlformats.org/officeDocument/2006/relationships/hyperlink" Target="http://dera.ioe.ac.uk/6394/1/report.pdf"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egislation.gov.uk/ukpga/2004/31/pdfs/ukpga_20040031_en.pdf" TargetMode="External"/><Relationship Id="rId23" Type="http://schemas.openxmlformats.org/officeDocument/2006/relationships/hyperlink" Target="http://webarchive.nationalarchives.gov.uk/20130104164035/https://www.education.gov.uk/childrenandyoungpeople/strategy/integratedworking/a0069013/multi-agency-working" TargetMode="External"/><Relationship Id="rId28" Type="http://schemas.openxmlformats.org/officeDocument/2006/relationships/hyperlink" Target="https://www.nspcc.org.uk/preventing-abuse/child-protection-system/" TargetMode="External"/><Relationship Id="rId36" Type="http://schemas.openxmlformats.org/officeDocument/2006/relationships/header" Target="header1.xml"/><Relationship Id="rId10" Type="http://schemas.openxmlformats.org/officeDocument/2006/relationships/hyperlink" Target="https://www.legislation.gov.uk/ukpga/2000/14/pdfs/ukpga_20000014_en.pdf" TargetMode="External"/><Relationship Id="rId19" Type="http://schemas.openxmlformats.org/officeDocument/2006/relationships/hyperlink" Target="https://www.citizensadvice.org.uk/cymraeg/family/children-and-young-people/child-abuse/local-authority-involvement/local-authority-involvement-in-child-abuse-cases-where-to-start/" TargetMode="External"/><Relationship Id="rId31" Type="http://schemas.openxmlformats.org/officeDocument/2006/relationships/hyperlink" Target="https://consultations.gov.wales/sites/default/files/consultation_doc_files/170131guidance-childrenen.pdf" TargetMode="External"/><Relationship Id="rId4" Type="http://schemas.openxmlformats.org/officeDocument/2006/relationships/webSettings" Target="webSettings.xml"/><Relationship Id="rId9" Type="http://schemas.openxmlformats.org/officeDocument/2006/relationships/hyperlink" Target="https://www.educationdevelopmenttrust.com/~/media/cfbtcorporate/files/research/2007/r-multi-agency-working-and-its-implications-for-practice-2007.pdf" TargetMode="External"/><Relationship Id="rId14" Type="http://schemas.openxmlformats.org/officeDocument/2006/relationships/hyperlink" Target="https://www.legislation.gov.uk/ukpga/1989/41/contents" TargetMode="External"/><Relationship Id="rId22" Type="http://schemas.openxmlformats.org/officeDocument/2006/relationships/hyperlink" Target="https://www.denbighshire.gov.uk/en/resident/health-and-social-care/children-young-people-and-families/children-families-services-referral-guidance-en.pdf" TargetMode="External"/><Relationship Id="rId27" Type="http://schemas.openxmlformats.org/officeDocument/2006/relationships/hyperlink" Target="http://www.northwalessafeguardingboard.wales/wp-content/uploads/2015/04/North-Wales-protocol-for-Supporting-Children-when-working-with-parents-with-severe-mental-health-problems-and-or-substance-misuse.pdf" TargetMode="External"/><Relationship Id="rId30" Type="http://schemas.openxmlformats.org/officeDocument/2006/relationships/hyperlink" Target="https://www.nspcc.org.uk/what-you-can-do/report-abuse/reported-to-nspcc/" TargetMode="External"/><Relationship Id="rId35" Type="http://schemas.openxmlformats.org/officeDocument/2006/relationships/hyperlink" Target="http://www.unicef.org.uk/wp-content/uploads/2010/05/UNCRC_summary-1.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imberly\AppData\Roaming\Microsoft\Templates\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A54"/>
    <w:rsid w:val="00624A54"/>
    <w:rsid w:val="00714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EC707D95184FCC95BFDB443585299C">
    <w:name w:val="DCEC707D95184FCC95BFDB443585299C"/>
    <w:rsid w:val="00624A54"/>
  </w:style>
  <w:style w:type="paragraph" w:customStyle="1" w:styleId="96E14F0066F4456ABD51EF9639039677">
    <w:name w:val="96E14F0066F4456ABD51EF9639039677"/>
    <w:rsid w:val="00624A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Student report</Template>
  <TotalTime>837</TotalTime>
  <Pages>14</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Kimberly Rees</dc:creator>
  <cp:keywords/>
  <dc:description/>
  <cp:lastModifiedBy>Kimberly Rees</cp:lastModifiedBy>
  <cp:revision>4</cp:revision>
  <dcterms:created xsi:type="dcterms:W3CDTF">2017-11-21T19:53:00Z</dcterms:created>
  <dcterms:modified xsi:type="dcterms:W3CDTF">2017-11-28T10:52:00Z</dcterms:modified>
  <cp:contentStatus/>
</cp:coreProperties>
</file>