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18009E" w14:textId="77777777" w:rsidR="00794C09" w:rsidRDefault="00F82ED4" w:rsidP="007B475C">
      <w:pPr>
        <w:spacing w:line="360" w:lineRule="auto"/>
        <w:jc w:val="center"/>
        <w:rPr>
          <w:rFonts w:ascii="Times New Roman" w:hAnsi="Times New Roman" w:cs="Times New Roman"/>
          <w:b/>
          <w:bCs/>
          <w:sz w:val="24"/>
          <w:szCs w:val="24"/>
        </w:rPr>
      </w:pPr>
      <w:r>
        <w:rPr>
          <w:noProof/>
        </w:rPr>
        <w:drawing>
          <wp:anchor distT="0" distB="0" distL="114300" distR="114300" simplePos="0" relativeHeight="251659264" behindDoc="0" locked="0" layoutInCell="1" allowOverlap="1" wp14:anchorId="17E1728B" wp14:editId="179FCA1F">
            <wp:simplePos x="0" y="0"/>
            <wp:positionH relativeFrom="column">
              <wp:posOffset>0</wp:posOffset>
            </wp:positionH>
            <wp:positionV relativeFrom="paragraph">
              <wp:posOffset>-81915</wp:posOffset>
            </wp:positionV>
            <wp:extent cx="5721350" cy="2235835"/>
            <wp:effectExtent l="0" t="0" r="0" b="0"/>
            <wp:wrapTopAndBottom/>
            <wp:docPr id="104246613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66133" name="Picture 1" descr="A close-up of black 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21350" cy="2235835"/>
                    </a:xfrm>
                    <a:prstGeom prst="rect">
                      <a:avLst/>
                    </a:prstGeom>
                  </pic:spPr>
                </pic:pic>
              </a:graphicData>
            </a:graphic>
            <wp14:sizeRelH relativeFrom="margin">
              <wp14:pctWidth>0</wp14:pctWidth>
            </wp14:sizeRelH>
            <wp14:sizeRelV relativeFrom="margin">
              <wp14:pctHeight>0</wp14:pctHeight>
            </wp14:sizeRelV>
          </wp:anchor>
        </w:drawing>
      </w:r>
    </w:p>
    <w:p w14:paraId="37984EA8" w14:textId="77777777" w:rsidR="00794C09" w:rsidRDefault="00794C09" w:rsidP="007B475C">
      <w:pPr>
        <w:spacing w:line="360" w:lineRule="auto"/>
        <w:jc w:val="center"/>
        <w:rPr>
          <w:rFonts w:ascii="Times New Roman" w:hAnsi="Times New Roman" w:cs="Times New Roman"/>
          <w:b/>
          <w:bCs/>
          <w:sz w:val="24"/>
          <w:szCs w:val="24"/>
        </w:rPr>
      </w:pPr>
    </w:p>
    <w:p w14:paraId="63141677" w14:textId="77777777" w:rsidR="00794C09" w:rsidRDefault="00794C09" w:rsidP="007B475C">
      <w:pPr>
        <w:spacing w:line="360" w:lineRule="auto"/>
        <w:jc w:val="center"/>
        <w:rPr>
          <w:rFonts w:ascii="Times New Roman" w:hAnsi="Times New Roman" w:cs="Times New Roman"/>
          <w:b/>
          <w:bCs/>
          <w:sz w:val="24"/>
          <w:szCs w:val="24"/>
        </w:rPr>
      </w:pPr>
    </w:p>
    <w:p w14:paraId="4B92495F" w14:textId="690E4258" w:rsidR="00FB07BA" w:rsidRDefault="00BC6826" w:rsidP="007B475C">
      <w:pPr>
        <w:spacing w:line="360" w:lineRule="auto"/>
        <w:jc w:val="center"/>
        <w:rPr>
          <w:rFonts w:ascii="Times New Roman" w:hAnsi="Times New Roman" w:cs="Times New Roman"/>
          <w:b/>
          <w:bCs/>
          <w:sz w:val="24"/>
          <w:szCs w:val="24"/>
        </w:rPr>
      </w:pPr>
      <w:r w:rsidRPr="00FB07BA">
        <w:rPr>
          <w:rFonts w:ascii="Times New Roman" w:hAnsi="Times New Roman" w:cs="Times New Roman"/>
          <w:b/>
          <w:bCs/>
          <w:sz w:val="24"/>
          <w:szCs w:val="24"/>
        </w:rPr>
        <w:t>A Study on the Analysis of Poundland's Financial Performance and Investment Potential</w:t>
      </w:r>
    </w:p>
    <w:p w14:paraId="3D7F8E2F" w14:textId="77777777" w:rsidR="00077555" w:rsidRDefault="00077555" w:rsidP="007B475C">
      <w:pPr>
        <w:spacing w:line="360" w:lineRule="auto"/>
        <w:jc w:val="center"/>
        <w:rPr>
          <w:rFonts w:ascii="Times New Roman" w:hAnsi="Times New Roman" w:cs="Times New Roman"/>
          <w:b/>
          <w:bCs/>
          <w:sz w:val="24"/>
          <w:szCs w:val="24"/>
        </w:rPr>
      </w:pPr>
    </w:p>
    <w:p w14:paraId="4BAE7B25" w14:textId="6C025C21" w:rsidR="00077555" w:rsidRDefault="00077555"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Name- Prashant Suresh Tiwari</w:t>
      </w:r>
    </w:p>
    <w:p w14:paraId="446E20E8" w14:textId="46D9E045" w:rsidR="0057725F" w:rsidRDefault="0057725F"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 – 2320593</w:t>
      </w:r>
    </w:p>
    <w:p w14:paraId="57CC67C1" w14:textId="77777777" w:rsidR="00900F07" w:rsidRDefault="0057725F"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Module</w:t>
      </w:r>
      <w:r w:rsidR="00D32014">
        <w:rPr>
          <w:rFonts w:ascii="Times New Roman" w:hAnsi="Times New Roman" w:cs="Times New Roman"/>
          <w:b/>
          <w:bCs/>
          <w:sz w:val="24"/>
          <w:szCs w:val="24"/>
        </w:rPr>
        <w:t xml:space="preserve">  </w:t>
      </w:r>
      <w:r>
        <w:rPr>
          <w:rFonts w:ascii="Times New Roman" w:hAnsi="Times New Roman" w:cs="Times New Roman"/>
          <w:b/>
          <w:bCs/>
          <w:sz w:val="24"/>
          <w:szCs w:val="24"/>
        </w:rPr>
        <w:t>-</w:t>
      </w:r>
      <w:r w:rsidR="00D32014">
        <w:rPr>
          <w:rFonts w:ascii="Times New Roman" w:hAnsi="Times New Roman" w:cs="Times New Roman"/>
          <w:b/>
          <w:bCs/>
          <w:sz w:val="24"/>
          <w:szCs w:val="24"/>
        </w:rPr>
        <w:t xml:space="preserve"> </w:t>
      </w:r>
      <w:r w:rsidR="009D4611">
        <w:rPr>
          <w:rFonts w:ascii="Times New Roman" w:hAnsi="Times New Roman" w:cs="Times New Roman"/>
          <w:b/>
          <w:bCs/>
          <w:sz w:val="24"/>
          <w:szCs w:val="24"/>
        </w:rPr>
        <w:t xml:space="preserve">Banking </w:t>
      </w:r>
      <w:r w:rsidR="00900F07">
        <w:rPr>
          <w:rFonts w:ascii="Times New Roman" w:hAnsi="Times New Roman" w:cs="Times New Roman"/>
          <w:b/>
          <w:bCs/>
          <w:sz w:val="24"/>
          <w:szCs w:val="24"/>
        </w:rPr>
        <w:t xml:space="preserve">and Financial  Economics </w:t>
      </w:r>
    </w:p>
    <w:p w14:paraId="4DE29E70" w14:textId="77777777" w:rsidR="006540ED" w:rsidRDefault="00900F07"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Programme </w:t>
      </w:r>
      <w:r w:rsidR="006540ED">
        <w:rPr>
          <w:rFonts w:ascii="Times New Roman" w:hAnsi="Times New Roman" w:cs="Times New Roman"/>
          <w:b/>
          <w:bCs/>
          <w:sz w:val="24"/>
          <w:szCs w:val="24"/>
        </w:rPr>
        <w:t>–</w:t>
      </w:r>
      <w:r>
        <w:rPr>
          <w:rFonts w:ascii="Times New Roman" w:hAnsi="Times New Roman" w:cs="Times New Roman"/>
          <w:b/>
          <w:bCs/>
          <w:sz w:val="24"/>
          <w:szCs w:val="24"/>
        </w:rPr>
        <w:t xml:space="preserve"> </w:t>
      </w:r>
      <w:r w:rsidR="006540ED">
        <w:rPr>
          <w:rFonts w:ascii="Times New Roman" w:hAnsi="Times New Roman" w:cs="Times New Roman"/>
          <w:b/>
          <w:bCs/>
          <w:sz w:val="24"/>
          <w:szCs w:val="24"/>
        </w:rPr>
        <w:t>MBA Banking and Finance</w:t>
      </w:r>
    </w:p>
    <w:p w14:paraId="48BED71C" w14:textId="77777777" w:rsidR="006540ED" w:rsidRDefault="006540ED"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Lecturer – Isaiah </w:t>
      </w:r>
      <w:proofErr w:type="spellStart"/>
      <w:r>
        <w:rPr>
          <w:rFonts w:ascii="Times New Roman" w:hAnsi="Times New Roman" w:cs="Times New Roman"/>
          <w:b/>
          <w:bCs/>
          <w:sz w:val="24"/>
          <w:szCs w:val="24"/>
        </w:rPr>
        <w:t>Oino</w:t>
      </w:r>
      <w:proofErr w:type="spellEnd"/>
    </w:p>
    <w:p w14:paraId="3B9A5136" w14:textId="2FF7993F" w:rsidR="0057725F" w:rsidRPr="00FB07BA" w:rsidRDefault="0057725F" w:rsidP="007B475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 </w:t>
      </w:r>
    </w:p>
    <w:p w14:paraId="46159BA7" w14:textId="1C88C294" w:rsidR="00FB07BA" w:rsidRPr="00237BF0" w:rsidRDefault="00FB07BA" w:rsidP="00237BF0">
      <w:pPr>
        <w:spacing w:before="240" w:after="240" w:line="360" w:lineRule="auto"/>
        <w:jc w:val="both"/>
        <w:rPr>
          <w:rFonts w:ascii="Times New Roman" w:hAnsi="Times New Roman" w:cs="Times New Roman"/>
          <w:b/>
          <w:bCs/>
          <w:sz w:val="24"/>
          <w:szCs w:val="24"/>
        </w:rPr>
      </w:pPr>
      <w:r w:rsidRPr="00237BF0">
        <w:rPr>
          <w:rFonts w:ascii="Times New Roman" w:hAnsi="Times New Roman" w:cs="Times New Roman"/>
          <w:b/>
          <w:bCs/>
          <w:sz w:val="24"/>
          <w:szCs w:val="24"/>
        </w:rPr>
        <w:br w:type="page"/>
      </w:r>
    </w:p>
    <w:sdt>
      <w:sdtPr>
        <w:rPr>
          <w:rFonts w:asciiTheme="minorHAnsi" w:eastAsiaTheme="minorHAnsi" w:hAnsiTheme="minorHAnsi" w:cs="Times New Roman"/>
          <w:b w:val="0"/>
          <w:bCs w:val="0"/>
          <w:sz w:val="22"/>
          <w:szCs w:val="24"/>
          <w:lang w:val="en-IN" w:eastAsia="en-US"/>
        </w:rPr>
        <w:id w:val="-2017764293"/>
        <w:docPartObj>
          <w:docPartGallery w:val="Table of Contents"/>
          <w:docPartUnique/>
        </w:docPartObj>
      </w:sdtPr>
      <w:sdtEndPr>
        <w:rPr>
          <w:noProof/>
        </w:rPr>
      </w:sdtEndPr>
      <w:sdtContent>
        <w:p w14:paraId="46011CDA" w14:textId="77777777" w:rsidR="00FB07BA" w:rsidRPr="00237BF0" w:rsidRDefault="00FB07BA" w:rsidP="00237BF0">
          <w:pPr>
            <w:pStyle w:val="TOCHeading"/>
            <w:spacing w:before="240" w:after="240" w:line="360" w:lineRule="auto"/>
            <w:rPr>
              <w:rFonts w:cs="Times New Roman"/>
              <w:szCs w:val="24"/>
            </w:rPr>
          </w:pPr>
          <w:r w:rsidRPr="00237BF0">
            <w:rPr>
              <w:rFonts w:cs="Times New Roman"/>
              <w:szCs w:val="24"/>
            </w:rPr>
            <w:t>Table of Contents</w:t>
          </w:r>
        </w:p>
        <w:p w14:paraId="1B8D53C3" w14:textId="3676EFCC" w:rsidR="00237BF0" w:rsidRPr="00237BF0" w:rsidRDefault="00FB07BA" w:rsidP="00237BF0">
          <w:pPr>
            <w:pStyle w:val="TOC1"/>
            <w:tabs>
              <w:tab w:val="right" w:leader="dot" w:pos="9016"/>
            </w:tabs>
            <w:spacing w:before="240" w:after="240" w:line="360" w:lineRule="auto"/>
            <w:jc w:val="both"/>
            <w:rPr>
              <w:rFonts w:ascii="Times New Roman" w:eastAsiaTheme="minorEastAsia" w:hAnsi="Times New Roman" w:cs="Times New Roman"/>
              <w:noProof/>
              <w:sz w:val="24"/>
              <w:szCs w:val="24"/>
              <w:lang w:val="en-US"/>
            </w:rPr>
          </w:pPr>
          <w:r w:rsidRPr="00237BF0">
            <w:rPr>
              <w:rFonts w:ascii="Times New Roman" w:hAnsi="Times New Roman" w:cs="Times New Roman"/>
              <w:sz w:val="24"/>
              <w:szCs w:val="24"/>
            </w:rPr>
            <w:fldChar w:fldCharType="begin"/>
          </w:r>
          <w:r w:rsidRPr="00237BF0">
            <w:rPr>
              <w:rFonts w:ascii="Times New Roman" w:hAnsi="Times New Roman" w:cs="Times New Roman"/>
              <w:sz w:val="24"/>
              <w:szCs w:val="24"/>
            </w:rPr>
            <w:instrText xml:space="preserve"> TOC \o "1-3" \h \z \u </w:instrText>
          </w:r>
          <w:r w:rsidRPr="00237BF0">
            <w:rPr>
              <w:rFonts w:ascii="Times New Roman" w:hAnsi="Times New Roman" w:cs="Times New Roman"/>
              <w:sz w:val="24"/>
              <w:szCs w:val="24"/>
            </w:rPr>
            <w:fldChar w:fldCharType="separate"/>
          </w:r>
          <w:hyperlink w:anchor="_Toc174655589" w:history="1">
            <w:r w:rsidR="00237BF0" w:rsidRPr="00237BF0">
              <w:rPr>
                <w:rStyle w:val="Hyperlink"/>
                <w:rFonts w:ascii="Times New Roman" w:hAnsi="Times New Roman" w:cs="Times New Roman"/>
                <w:noProof/>
                <w:sz w:val="24"/>
                <w:szCs w:val="24"/>
              </w:rPr>
              <w:t>1. Company Background</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_Toc174655589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3</w:t>
            </w:r>
            <w:r w:rsidR="00237BF0" w:rsidRPr="00237BF0">
              <w:rPr>
                <w:rFonts w:ascii="Times New Roman" w:hAnsi="Times New Roman" w:cs="Times New Roman"/>
                <w:noProof/>
                <w:webHidden/>
                <w:sz w:val="24"/>
                <w:szCs w:val="24"/>
              </w:rPr>
              <w:fldChar w:fldCharType="end"/>
            </w:r>
          </w:hyperlink>
        </w:p>
        <w:p w14:paraId="17D30F89" w14:textId="14CC76DB"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0" w:history="1">
            <w:r w:rsidR="00237BF0" w:rsidRPr="00237BF0">
              <w:rPr>
                <w:rStyle w:val="Hyperlink"/>
                <w:rFonts w:ascii="Times New Roman" w:hAnsi="Times New Roman" w:cs="Times New Roman"/>
                <w:noProof/>
                <w:sz w:val="24"/>
                <w:szCs w:val="24"/>
              </w:rPr>
              <w:t>1.1 Detailed Overview, Target Market, and USP</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_Toc174655590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3</w:t>
            </w:r>
            <w:r w:rsidR="00237BF0" w:rsidRPr="00237BF0">
              <w:rPr>
                <w:rFonts w:ascii="Times New Roman" w:hAnsi="Times New Roman" w:cs="Times New Roman"/>
                <w:noProof/>
                <w:webHidden/>
                <w:sz w:val="24"/>
                <w:szCs w:val="24"/>
              </w:rPr>
              <w:fldChar w:fldCharType="end"/>
            </w:r>
          </w:hyperlink>
        </w:p>
        <w:p w14:paraId="1707B2A2" w14:textId="76BDDBE5"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1" w:history="1">
            <w:r w:rsidR="00237BF0" w:rsidRPr="00237BF0">
              <w:rPr>
                <w:rStyle w:val="Hyperlink"/>
                <w:rFonts w:ascii="Times New Roman" w:hAnsi="Times New Roman" w:cs="Times New Roman"/>
                <w:noProof/>
                <w:sz w:val="24"/>
                <w:szCs w:val="24"/>
              </w:rPr>
              <w:t>1.2 Reasons Behind Going Public</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_Toc174655591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4</w:t>
            </w:r>
            <w:r w:rsidR="00237BF0" w:rsidRPr="00237BF0">
              <w:rPr>
                <w:rFonts w:ascii="Times New Roman" w:hAnsi="Times New Roman" w:cs="Times New Roman"/>
                <w:noProof/>
                <w:webHidden/>
                <w:sz w:val="24"/>
                <w:szCs w:val="24"/>
              </w:rPr>
              <w:fldChar w:fldCharType="end"/>
            </w:r>
          </w:hyperlink>
        </w:p>
        <w:p w14:paraId="1D5CA0FF" w14:textId="36EC3393"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2" w:history="1">
            <w:r w:rsidR="00237BF0" w:rsidRPr="00237BF0">
              <w:rPr>
                <w:rStyle w:val="Hyperlink"/>
                <w:rFonts w:ascii="Times New Roman" w:hAnsi="Times New Roman" w:cs="Times New Roman"/>
                <w:noProof/>
                <w:sz w:val="24"/>
                <w:szCs w:val="24"/>
              </w:rPr>
              <w:t>1.3 Key Risks and Commentary</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_Toc174655592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5</w:t>
            </w:r>
            <w:r w:rsidR="00237BF0" w:rsidRPr="00237BF0">
              <w:rPr>
                <w:rFonts w:ascii="Times New Roman" w:hAnsi="Times New Roman" w:cs="Times New Roman"/>
                <w:noProof/>
                <w:webHidden/>
                <w:sz w:val="24"/>
                <w:szCs w:val="24"/>
              </w:rPr>
              <w:fldChar w:fldCharType="end"/>
            </w:r>
          </w:hyperlink>
        </w:p>
        <w:p w14:paraId="059911F2" w14:textId="43779BA2" w:rsidR="00237BF0" w:rsidRPr="00237BF0" w:rsidRDefault="00E83407" w:rsidP="00237BF0">
          <w:pPr>
            <w:pStyle w:val="TOC1"/>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3" w:history="1">
            <w:r w:rsidR="00237BF0" w:rsidRPr="00237BF0">
              <w:rPr>
                <w:rStyle w:val="Hyperlink"/>
                <w:rFonts w:ascii="Times New Roman" w:hAnsi="Times New Roman" w:cs="Times New Roman"/>
                <w:noProof/>
                <w:sz w:val="24"/>
                <w:szCs w:val="24"/>
              </w:rPr>
              <w:t>2. Quantitative Review of Share Price Performance from IPO until December 31, 2023</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_Toc174655593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6</w:t>
            </w:r>
            <w:r w:rsidR="00237BF0" w:rsidRPr="00237BF0">
              <w:rPr>
                <w:rFonts w:ascii="Times New Roman" w:hAnsi="Times New Roman" w:cs="Times New Roman"/>
                <w:noProof/>
                <w:webHidden/>
                <w:sz w:val="24"/>
                <w:szCs w:val="24"/>
              </w:rPr>
              <w:fldChar w:fldCharType="end"/>
            </w:r>
          </w:hyperlink>
        </w:p>
        <w:p w14:paraId="5C522EB1" w14:textId="2282DE54"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4" w:history="1">
            <w:r w:rsidR="00237BF0" w:rsidRPr="00237BF0">
              <w:rPr>
                <w:rStyle w:val="Hyperlink"/>
                <w:rFonts w:ascii="Times New Roman" w:hAnsi="Times New Roman" w:cs="Times New Roman"/>
                <w:noProof/>
                <w:sz w:val="24"/>
                <w:szCs w:val="24"/>
              </w:rPr>
              <w:t>2.1 Descriptive Statistics to Understand the Company’s Performance</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_Toc174655594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6</w:t>
            </w:r>
            <w:r w:rsidR="00237BF0" w:rsidRPr="00237BF0">
              <w:rPr>
                <w:rFonts w:ascii="Times New Roman" w:hAnsi="Times New Roman" w:cs="Times New Roman"/>
                <w:noProof/>
                <w:webHidden/>
                <w:sz w:val="24"/>
                <w:szCs w:val="24"/>
              </w:rPr>
              <w:fldChar w:fldCharType="end"/>
            </w:r>
          </w:hyperlink>
        </w:p>
        <w:p w14:paraId="57D62037" w14:textId="0E85CD88"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5" w:history="1">
            <w:r w:rsidR="00237BF0" w:rsidRPr="00237BF0">
              <w:rPr>
                <w:rStyle w:val="Hyperlink"/>
                <w:rFonts w:ascii="Times New Roman" w:hAnsi="Times New Roman" w:cs="Times New Roman"/>
                <w:noProof/>
                <w:sz w:val="24"/>
                <w:szCs w:val="24"/>
              </w:rPr>
              <w:t>2.2 Calculation of Compound Annual Growth Rate (CAGR)</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_Toc174655595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8</w:t>
            </w:r>
            <w:r w:rsidR="00237BF0" w:rsidRPr="00237BF0">
              <w:rPr>
                <w:rFonts w:ascii="Times New Roman" w:hAnsi="Times New Roman" w:cs="Times New Roman"/>
                <w:noProof/>
                <w:webHidden/>
                <w:sz w:val="24"/>
                <w:szCs w:val="24"/>
              </w:rPr>
              <w:fldChar w:fldCharType="end"/>
            </w:r>
          </w:hyperlink>
        </w:p>
        <w:p w14:paraId="4C9ED351" w14:textId="3403E469"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6" w:history="1">
            <w:r w:rsidR="00237BF0" w:rsidRPr="00237BF0">
              <w:rPr>
                <w:rStyle w:val="Hyperlink"/>
                <w:rFonts w:ascii="Times New Roman" w:hAnsi="Times New Roman" w:cs="Times New Roman"/>
                <w:noProof/>
                <w:sz w:val="24"/>
                <w:szCs w:val="24"/>
              </w:rPr>
              <w:t>2.3 Calculation of the Sharpe and Treynor Ratios</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_Toc174655596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10</w:t>
            </w:r>
            <w:r w:rsidR="00237BF0" w:rsidRPr="00237BF0">
              <w:rPr>
                <w:rFonts w:ascii="Times New Roman" w:hAnsi="Times New Roman" w:cs="Times New Roman"/>
                <w:noProof/>
                <w:webHidden/>
                <w:sz w:val="24"/>
                <w:szCs w:val="24"/>
              </w:rPr>
              <w:fldChar w:fldCharType="end"/>
            </w:r>
          </w:hyperlink>
        </w:p>
        <w:p w14:paraId="041DB581" w14:textId="65F1C9AC" w:rsidR="00237BF0" w:rsidRPr="00237BF0" w:rsidRDefault="00E83407" w:rsidP="00237BF0">
          <w:pPr>
            <w:pStyle w:val="TOC1"/>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7" w:history="1">
            <w:r w:rsidR="00237BF0" w:rsidRPr="00237BF0">
              <w:rPr>
                <w:rStyle w:val="Hyperlink"/>
                <w:rFonts w:ascii="Times New Roman" w:hAnsi="Times New Roman" w:cs="Times New Roman"/>
                <w:noProof/>
                <w:sz w:val="24"/>
                <w:szCs w:val="24"/>
              </w:rPr>
              <w:t>3. Comparative Analysis</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_Toc174655597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12</w:t>
            </w:r>
            <w:r w:rsidR="00237BF0" w:rsidRPr="00237BF0">
              <w:rPr>
                <w:rFonts w:ascii="Times New Roman" w:hAnsi="Times New Roman" w:cs="Times New Roman"/>
                <w:noProof/>
                <w:webHidden/>
                <w:sz w:val="24"/>
                <w:szCs w:val="24"/>
              </w:rPr>
              <w:fldChar w:fldCharType="end"/>
            </w:r>
          </w:hyperlink>
        </w:p>
        <w:p w14:paraId="02C8B8A2" w14:textId="24EBB0F2"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8" w:history="1">
            <w:r w:rsidR="00237BF0" w:rsidRPr="00237BF0">
              <w:rPr>
                <w:rStyle w:val="Hyperlink"/>
                <w:rFonts w:ascii="Times New Roman" w:hAnsi="Times New Roman" w:cs="Times New Roman"/>
                <w:noProof/>
                <w:sz w:val="24"/>
                <w:szCs w:val="24"/>
              </w:rPr>
              <w:t>3.1 Comparative Analysis: At-the-Money Call Options for Home Bargains and Poundland</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_Toc174655598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14</w:t>
            </w:r>
            <w:r w:rsidR="00237BF0" w:rsidRPr="00237BF0">
              <w:rPr>
                <w:rFonts w:ascii="Times New Roman" w:hAnsi="Times New Roman" w:cs="Times New Roman"/>
                <w:noProof/>
                <w:webHidden/>
                <w:sz w:val="24"/>
                <w:szCs w:val="24"/>
              </w:rPr>
              <w:fldChar w:fldCharType="end"/>
            </w:r>
          </w:hyperlink>
        </w:p>
        <w:p w14:paraId="695FDD1D" w14:textId="248B092F"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599" w:history="1">
            <w:r w:rsidR="00237BF0" w:rsidRPr="00237BF0">
              <w:rPr>
                <w:rStyle w:val="Hyperlink"/>
                <w:rFonts w:ascii="Times New Roman" w:hAnsi="Times New Roman" w:cs="Times New Roman"/>
                <w:noProof/>
                <w:sz w:val="24"/>
                <w:szCs w:val="24"/>
              </w:rPr>
              <w:t>3.2 Analysis of At-the-Money (ATM) Put Option Payoff for Poundland</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_Toc174655599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16</w:t>
            </w:r>
            <w:r w:rsidR="00237BF0" w:rsidRPr="00237BF0">
              <w:rPr>
                <w:rFonts w:ascii="Times New Roman" w:hAnsi="Times New Roman" w:cs="Times New Roman"/>
                <w:noProof/>
                <w:webHidden/>
                <w:sz w:val="24"/>
                <w:szCs w:val="24"/>
              </w:rPr>
              <w:fldChar w:fldCharType="end"/>
            </w:r>
          </w:hyperlink>
        </w:p>
        <w:p w14:paraId="1DB29F92" w14:textId="09895785"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600" w:history="1">
            <w:r w:rsidR="00237BF0" w:rsidRPr="00237BF0">
              <w:rPr>
                <w:rStyle w:val="Hyperlink"/>
                <w:rFonts w:ascii="Times New Roman" w:hAnsi="Times New Roman" w:cs="Times New Roman"/>
                <w:noProof/>
                <w:sz w:val="24"/>
                <w:szCs w:val="24"/>
              </w:rPr>
              <w:t>3.3 strangle or a straddle</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_Toc174655600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18</w:t>
            </w:r>
            <w:r w:rsidR="00237BF0" w:rsidRPr="00237BF0">
              <w:rPr>
                <w:rFonts w:ascii="Times New Roman" w:hAnsi="Times New Roman" w:cs="Times New Roman"/>
                <w:noProof/>
                <w:webHidden/>
                <w:sz w:val="24"/>
                <w:szCs w:val="24"/>
              </w:rPr>
              <w:fldChar w:fldCharType="end"/>
            </w:r>
          </w:hyperlink>
        </w:p>
        <w:p w14:paraId="68A05C15" w14:textId="761EFF8A" w:rsidR="00237BF0" w:rsidRPr="00237BF0" w:rsidRDefault="00E83407" w:rsidP="00237BF0">
          <w:pPr>
            <w:pStyle w:val="TOC1"/>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601" w:history="1">
            <w:r w:rsidR="00237BF0" w:rsidRPr="00237BF0">
              <w:rPr>
                <w:rStyle w:val="Hyperlink"/>
                <w:rFonts w:ascii="Times New Roman" w:eastAsia="Times New Roman" w:hAnsi="Times New Roman" w:cs="Times New Roman"/>
                <w:noProof/>
                <w:sz w:val="24"/>
                <w:szCs w:val="24"/>
                <w:lang w:eastAsia="en-IN"/>
              </w:rPr>
              <w:t>4. 10-year note yield</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_Toc174655601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19</w:t>
            </w:r>
            <w:r w:rsidR="00237BF0" w:rsidRPr="00237BF0">
              <w:rPr>
                <w:rFonts w:ascii="Times New Roman" w:hAnsi="Times New Roman" w:cs="Times New Roman"/>
                <w:noProof/>
                <w:webHidden/>
                <w:sz w:val="24"/>
                <w:szCs w:val="24"/>
              </w:rPr>
              <w:fldChar w:fldCharType="end"/>
            </w:r>
          </w:hyperlink>
        </w:p>
        <w:p w14:paraId="6AF98CBC" w14:textId="34FAC17C"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602" w:history="1">
            <w:r w:rsidR="00237BF0" w:rsidRPr="00237BF0">
              <w:rPr>
                <w:rStyle w:val="Hyperlink"/>
                <w:rFonts w:ascii="Times New Roman" w:hAnsi="Times New Roman" w:cs="Times New Roman"/>
                <w:noProof/>
                <w:sz w:val="24"/>
                <w:szCs w:val="24"/>
              </w:rPr>
              <w:t>a) Discuss the performance of the 10Y note</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_Toc174655602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19</w:t>
            </w:r>
            <w:r w:rsidR="00237BF0" w:rsidRPr="00237BF0">
              <w:rPr>
                <w:rFonts w:ascii="Times New Roman" w:hAnsi="Times New Roman" w:cs="Times New Roman"/>
                <w:noProof/>
                <w:webHidden/>
                <w:sz w:val="24"/>
                <w:szCs w:val="24"/>
              </w:rPr>
              <w:fldChar w:fldCharType="end"/>
            </w:r>
          </w:hyperlink>
        </w:p>
        <w:p w14:paraId="0298F2D9" w14:textId="5FC717AD" w:rsidR="00237BF0" w:rsidRPr="00237BF0" w:rsidRDefault="00E83407" w:rsidP="00237BF0">
          <w:pPr>
            <w:pStyle w:val="TOC2"/>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603" w:history="1">
            <w:r w:rsidR="00237BF0" w:rsidRPr="00237BF0">
              <w:rPr>
                <w:rStyle w:val="Hyperlink"/>
                <w:rFonts w:ascii="Times New Roman" w:eastAsia="Times New Roman" w:hAnsi="Times New Roman" w:cs="Times New Roman"/>
                <w:noProof/>
                <w:sz w:val="24"/>
                <w:szCs w:val="24"/>
                <w:lang w:eastAsia="en-IN"/>
              </w:rPr>
              <w:t>b) Discuss how changes in the yield of this note impact consumer debt.</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_Toc174655603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19</w:t>
            </w:r>
            <w:r w:rsidR="00237BF0" w:rsidRPr="00237BF0">
              <w:rPr>
                <w:rFonts w:ascii="Times New Roman" w:hAnsi="Times New Roman" w:cs="Times New Roman"/>
                <w:noProof/>
                <w:webHidden/>
                <w:sz w:val="24"/>
                <w:szCs w:val="24"/>
              </w:rPr>
              <w:fldChar w:fldCharType="end"/>
            </w:r>
          </w:hyperlink>
        </w:p>
        <w:p w14:paraId="40A92DB2" w14:textId="4E486251" w:rsidR="00237BF0" w:rsidRPr="00237BF0" w:rsidRDefault="00E83407" w:rsidP="00237BF0">
          <w:pPr>
            <w:pStyle w:val="TOC1"/>
            <w:tabs>
              <w:tab w:val="right" w:leader="dot" w:pos="9016"/>
            </w:tabs>
            <w:spacing w:before="240" w:after="240" w:line="360" w:lineRule="auto"/>
            <w:jc w:val="both"/>
            <w:rPr>
              <w:rFonts w:ascii="Times New Roman" w:eastAsiaTheme="minorEastAsia" w:hAnsi="Times New Roman" w:cs="Times New Roman"/>
              <w:noProof/>
              <w:sz w:val="24"/>
              <w:szCs w:val="24"/>
              <w:lang w:val="en-US"/>
            </w:rPr>
          </w:pPr>
          <w:hyperlink w:anchor="_Toc174655604" w:history="1">
            <w:r w:rsidR="00237BF0" w:rsidRPr="00237BF0">
              <w:rPr>
                <w:rStyle w:val="Hyperlink"/>
                <w:rFonts w:ascii="Times New Roman" w:hAnsi="Times New Roman" w:cs="Times New Roman"/>
                <w:noProof/>
                <w:sz w:val="24"/>
                <w:szCs w:val="24"/>
              </w:rPr>
              <w:t>References</w:t>
            </w:r>
            <w:r w:rsidR="00237BF0" w:rsidRPr="00237BF0">
              <w:rPr>
                <w:rFonts w:ascii="Times New Roman" w:hAnsi="Times New Roman" w:cs="Times New Roman"/>
                <w:noProof/>
                <w:webHidden/>
                <w:sz w:val="24"/>
                <w:szCs w:val="24"/>
              </w:rPr>
              <w:tab/>
            </w:r>
            <w:r w:rsidR="00237BF0" w:rsidRPr="00237BF0">
              <w:rPr>
                <w:rFonts w:ascii="Times New Roman" w:hAnsi="Times New Roman" w:cs="Times New Roman"/>
                <w:noProof/>
                <w:webHidden/>
                <w:sz w:val="24"/>
                <w:szCs w:val="24"/>
              </w:rPr>
              <w:fldChar w:fldCharType="begin"/>
            </w:r>
            <w:r w:rsidR="00237BF0" w:rsidRPr="00237BF0">
              <w:rPr>
                <w:rFonts w:ascii="Times New Roman" w:hAnsi="Times New Roman" w:cs="Times New Roman"/>
                <w:noProof/>
                <w:webHidden/>
                <w:sz w:val="24"/>
                <w:szCs w:val="24"/>
              </w:rPr>
              <w:instrText xml:space="preserve"> PAGEREF _Toc174655604 \h </w:instrText>
            </w:r>
            <w:r w:rsidR="00237BF0" w:rsidRPr="00237BF0">
              <w:rPr>
                <w:rFonts w:ascii="Times New Roman" w:hAnsi="Times New Roman" w:cs="Times New Roman"/>
                <w:noProof/>
                <w:webHidden/>
                <w:sz w:val="24"/>
                <w:szCs w:val="24"/>
              </w:rPr>
            </w:r>
            <w:r w:rsidR="00237BF0" w:rsidRPr="00237BF0">
              <w:rPr>
                <w:rFonts w:ascii="Times New Roman" w:hAnsi="Times New Roman" w:cs="Times New Roman"/>
                <w:noProof/>
                <w:webHidden/>
                <w:sz w:val="24"/>
                <w:szCs w:val="24"/>
              </w:rPr>
              <w:fldChar w:fldCharType="separate"/>
            </w:r>
            <w:r w:rsidR="00237BF0" w:rsidRPr="00237BF0">
              <w:rPr>
                <w:rFonts w:ascii="Times New Roman" w:hAnsi="Times New Roman" w:cs="Times New Roman"/>
                <w:noProof/>
                <w:webHidden/>
                <w:sz w:val="24"/>
                <w:szCs w:val="24"/>
              </w:rPr>
              <w:t>20</w:t>
            </w:r>
            <w:r w:rsidR="00237BF0" w:rsidRPr="00237BF0">
              <w:rPr>
                <w:rFonts w:ascii="Times New Roman" w:hAnsi="Times New Roman" w:cs="Times New Roman"/>
                <w:noProof/>
                <w:webHidden/>
                <w:sz w:val="24"/>
                <w:szCs w:val="24"/>
              </w:rPr>
              <w:fldChar w:fldCharType="end"/>
            </w:r>
          </w:hyperlink>
        </w:p>
        <w:p w14:paraId="2C915212" w14:textId="354AEEB8" w:rsidR="00FB07BA" w:rsidRPr="00FB07BA" w:rsidRDefault="00FB07BA" w:rsidP="00237BF0">
          <w:pPr>
            <w:spacing w:before="240" w:after="240" w:line="360" w:lineRule="auto"/>
            <w:jc w:val="both"/>
            <w:rPr>
              <w:rFonts w:ascii="Times New Roman" w:hAnsi="Times New Roman" w:cs="Times New Roman"/>
              <w:sz w:val="24"/>
              <w:szCs w:val="24"/>
            </w:rPr>
          </w:pPr>
          <w:r w:rsidRPr="00237BF0">
            <w:rPr>
              <w:rFonts w:ascii="Times New Roman" w:hAnsi="Times New Roman" w:cs="Times New Roman"/>
              <w:b/>
              <w:bCs/>
              <w:noProof/>
              <w:sz w:val="24"/>
              <w:szCs w:val="24"/>
            </w:rPr>
            <w:fldChar w:fldCharType="end"/>
          </w:r>
        </w:p>
      </w:sdtContent>
    </w:sdt>
    <w:p w14:paraId="5E06558D" w14:textId="77777777" w:rsidR="00BC6826" w:rsidRPr="00FB07BA" w:rsidRDefault="00BC6826"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b/>
          <w:bCs/>
          <w:sz w:val="24"/>
          <w:szCs w:val="24"/>
        </w:rPr>
        <w:br w:type="page"/>
      </w:r>
    </w:p>
    <w:p w14:paraId="340CFA55" w14:textId="77777777" w:rsidR="009C1108" w:rsidRPr="00FB07BA" w:rsidRDefault="009C1108" w:rsidP="00FB07BA">
      <w:pPr>
        <w:pStyle w:val="Heading1"/>
        <w:spacing w:line="360" w:lineRule="auto"/>
        <w:rPr>
          <w:rFonts w:cs="Times New Roman"/>
          <w:szCs w:val="24"/>
        </w:rPr>
      </w:pPr>
      <w:bookmarkStart w:id="0" w:name="_Toc174655589"/>
      <w:r w:rsidRPr="00FB07BA">
        <w:rPr>
          <w:rFonts w:cs="Times New Roman"/>
          <w:szCs w:val="24"/>
        </w:rPr>
        <w:lastRenderedPageBreak/>
        <w:t>1. Company Background</w:t>
      </w:r>
      <w:bookmarkEnd w:id="0"/>
    </w:p>
    <w:p w14:paraId="70EC6F3C" w14:textId="77777777" w:rsidR="009C1108" w:rsidRPr="00FB07BA" w:rsidRDefault="009C1108" w:rsidP="00FB07BA">
      <w:pPr>
        <w:pStyle w:val="Heading2"/>
        <w:spacing w:line="360" w:lineRule="auto"/>
        <w:rPr>
          <w:rFonts w:cs="Times New Roman"/>
          <w:szCs w:val="24"/>
        </w:rPr>
      </w:pPr>
      <w:bookmarkStart w:id="1" w:name="_Toc174655590"/>
      <w:r w:rsidRPr="00FB07BA">
        <w:rPr>
          <w:rFonts w:cs="Times New Roman"/>
          <w:szCs w:val="24"/>
        </w:rPr>
        <w:t>1.1 Detailed Overview, Target Market, and USP</w:t>
      </w:r>
      <w:bookmarkEnd w:id="1"/>
    </w:p>
    <w:p w14:paraId="39744144" w14:textId="7E1DB132"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Poundland is a Tantalum discount store in United Kingdom it was founded in 1990 by Dave Dodd and Steven Smith. The company quickly gained popularity for its simple yet effective business model: the business selling almost every kind of product at a unified price of £1</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(Guy, Bray and Appleton, 2024)</w:t>
      </w:r>
      <w:r w:rsidRPr="00FB07BA">
        <w:rPr>
          <w:rFonts w:ascii="Times New Roman" w:hAnsi="Times New Roman" w:cs="Times New Roman"/>
          <w:sz w:val="24"/>
          <w:szCs w:val="24"/>
        </w:rPr>
        <w:t xml:space="preserve">. A growth strategy of this model was that the organization operated in the United Kingdom and the market for value retailing at that time had not been fully developed. In the course of its operations, the company increased the number of products being sold where today it not only sells various food items and clothing products, but also sells health products, beauty products, stationery materials, toys, and products that are seasonally relevant. The company has also attempted to </w:t>
      </w:r>
      <w:r w:rsidR="00336F10">
        <w:rPr>
          <w:rFonts w:ascii="Times New Roman" w:hAnsi="Times New Roman" w:cs="Times New Roman"/>
          <w:sz w:val="24"/>
          <w:szCs w:val="24"/>
        </w:rPr>
        <w:t>enter</w:t>
      </w:r>
      <w:r w:rsidRPr="00FB07BA">
        <w:rPr>
          <w:rFonts w:ascii="Times New Roman" w:hAnsi="Times New Roman" w:cs="Times New Roman"/>
          <w:sz w:val="24"/>
          <w:szCs w:val="24"/>
        </w:rPr>
        <w:t xml:space="preserve"> in clothes and electronics, albeit at a lower level of focus as it tends to provide goods for its consumers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 2024)</w:t>
      </w:r>
      <w:r w:rsidRPr="00FB07BA">
        <w:rPr>
          <w:rFonts w:ascii="Times New Roman" w:hAnsi="Times New Roman" w:cs="Times New Roman"/>
          <w:sz w:val="24"/>
          <w:szCs w:val="24"/>
        </w:rPr>
        <w:t xml:space="preserve">. </w:t>
      </w:r>
    </w:p>
    <w:p w14:paraId="3BF899E8"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Since 2024, it has 830 stores in the UK, Ireland, and mainland Europe, while its staff count is approximately 18,000</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(Guy, Bray and Appleton, 2024)</w:t>
      </w:r>
      <w:r w:rsidRPr="00FB07BA">
        <w:rPr>
          <w:rFonts w:ascii="Times New Roman" w:hAnsi="Times New Roman" w:cs="Times New Roman"/>
          <w:sz w:val="24"/>
          <w:szCs w:val="24"/>
        </w:rPr>
        <w:t xml:space="preserve">. Expansion, in Europe under the company’s </w:t>
      </w:r>
      <w:proofErr w:type="spellStart"/>
      <w:r w:rsidRPr="00FB07BA">
        <w:rPr>
          <w:rFonts w:ascii="Times New Roman" w:hAnsi="Times New Roman" w:cs="Times New Roman"/>
          <w:sz w:val="24"/>
          <w:szCs w:val="24"/>
        </w:rPr>
        <w:t>Dealz</w:t>
      </w:r>
      <w:proofErr w:type="spellEnd"/>
      <w:r w:rsidRPr="00FB07BA">
        <w:rPr>
          <w:rFonts w:ascii="Times New Roman" w:hAnsi="Times New Roman" w:cs="Times New Roman"/>
          <w:sz w:val="24"/>
          <w:szCs w:val="24"/>
        </w:rPr>
        <w:t xml:space="preserve"> brand has served as another strategic step to the company’s general growth strategies; making the company penetrate new markets such as the Ireland, Spain and Poland markets. Indeed, the compliance of Poundland to market its products at cheap prices, while providing quality products to its clients has placed it smoothly as a well-established business in the discount retail market segment</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(Mahmood et al., 2022)</w:t>
      </w:r>
      <w:r w:rsidRPr="00FB07BA">
        <w:rPr>
          <w:rFonts w:ascii="Times New Roman" w:hAnsi="Times New Roman" w:cs="Times New Roman"/>
          <w:sz w:val="24"/>
          <w:szCs w:val="24"/>
        </w:rPr>
        <w:t xml:space="preserve">. </w:t>
      </w:r>
    </w:p>
    <w:p w14:paraId="4B3528B4"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primary audience of Poundland is diverse and anybody aspiring to save money can be a potential customer; maybe students, families or even the elderly</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(Guy, Bray and Appleton, 2024)</w:t>
      </w:r>
      <w:r w:rsidRPr="00FB07BA">
        <w:rPr>
          <w:rFonts w:ascii="Times New Roman" w:hAnsi="Times New Roman" w:cs="Times New Roman"/>
          <w:sz w:val="24"/>
          <w:szCs w:val="24"/>
        </w:rPr>
        <w:t>. This simply means that the company does appeal to the customers in as much as they are in a position to make positive gains on their money which is quite vital in the current world where everyone is facing hardships waying from just mere stagnated incomes to job losses. However, the target market of Poundland comprises the lower to mid-range consumers who demands all necessities and products to be sold at cheaper prices. The retailer also attracts the users who look for good offers as the excitement of getting good deals on some items. Furthermore, there is an affirmation that during the periods of economic downturn for example, 2008/2009 crisis, or the more recent coronavirus pandemic period, there is a boost of people visiting Poundland because price becomes a sensitive factor</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 2024)</w:t>
      </w:r>
      <w:r w:rsidRPr="00FB07BA">
        <w:rPr>
          <w:rFonts w:ascii="Times New Roman" w:hAnsi="Times New Roman" w:cs="Times New Roman"/>
          <w:sz w:val="24"/>
          <w:szCs w:val="24"/>
        </w:rPr>
        <w:t>.</w:t>
      </w:r>
    </w:p>
    <w:p w14:paraId="51676FE9"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Indeed, as identified by Poundland, it’s USP is the assurance that is provides a simple and cheaper system. The products that Chief offer can be purchased at a uniform price of one </w:t>
      </w:r>
      <w:r w:rsidRPr="00FB07BA">
        <w:rPr>
          <w:rFonts w:ascii="Times New Roman" w:hAnsi="Times New Roman" w:cs="Times New Roman"/>
          <w:sz w:val="24"/>
          <w:szCs w:val="24"/>
        </w:rPr>
        <w:lastRenderedPageBreak/>
        <w:t xml:space="preserve">pound which avoids confusion or decision making commonly </w:t>
      </w:r>
      <w:proofErr w:type="spellStart"/>
      <w:r w:rsidRPr="00FB07BA">
        <w:rPr>
          <w:rFonts w:ascii="Times New Roman" w:hAnsi="Times New Roman" w:cs="Times New Roman"/>
          <w:sz w:val="24"/>
          <w:szCs w:val="24"/>
        </w:rPr>
        <w:t>asssociated</w:t>
      </w:r>
      <w:proofErr w:type="spellEnd"/>
      <w:r w:rsidRPr="00FB07BA">
        <w:rPr>
          <w:rFonts w:ascii="Times New Roman" w:hAnsi="Times New Roman" w:cs="Times New Roman"/>
          <w:sz w:val="24"/>
          <w:szCs w:val="24"/>
        </w:rPr>
        <w:t xml:space="preserve"> with shopping. It is because Poundland customers are already clear what they are going to be offered when they enter the store, thus shopping at Poundland is rather simple and problem-free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(Siphethile Phiri, 2023)</w:t>
      </w:r>
      <w:r w:rsidRPr="00FB07BA">
        <w:rPr>
          <w:rFonts w:ascii="Times New Roman" w:hAnsi="Times New Roman" w:cs="Times New Roman"/>
          <w:sz w:val="24"/>
          <w:szCs w:val="24"/>
        </w:rPr>
        <w:t>. Thus, price leadership is not only done for consumers seeking value products but also for its ability to give a firm’s prices a competitive edge that may not be easy for competition. Also, its buying power significantly enables it to acquire products at reasonable costs and bargain with suppliers for the £1 sales price of Poundland products without compromising the quality of products it sells. This has redounded to the company’s benefits since it has made it gain the customers trust and by implication the trust of all its customer carrying out businesses with it in their everyday lives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(Mahmood et al., 2022)</w:t>
      </w:r>
      <w:r w:rsidRPr="00FB07BA">
        <w:rPr>
          <w:rFonts w:ascii="Times New Roman" w:hAnsi="Times New Roman" w:cs="Times New Roman"/>
          <w:sz w:val="24"/>
          <w:szCs w:val="24"/>
        </w:rPr>
        <w:t xml:space="preserve">. </w:t>
      </w:r>
    </w:p>
    <w:p w14:paraId="083D146A" w14:textId="77777777" w:rsidR="009C1108" w:rsidRPr="00FB07BA" w:rsidRDefault="009C1108" w:rsidP="00FB07BA">
      <w:pPr>
        <w:pStyle w:val="Heading2"/>
        <w:spacing w:line="360" w:lineRule="auto"/>
        <w:rPr>
          <w:rFonts w:cs="Times New Roman"/>
          <w:szCs w:val="24"/>
        </w:rPr>
      </w:pPr>
      <w:bookmarkStart w:id="2" w:name="_Toc174655591"/>
      <w:r w:rsidRPr="00FB07BA">
        <w:rPr>
          <w:rFonts w:cs="Times New Roman"/>
          <w:szCs w:val="24"/>
        </w:rPr>
        <w:t>1.2 Reasons Behind Going Public</w:t>
      </w:r>
      <w:bookmarkEnd w:id="2"/>
    </w:p>
    <w:p w14:paraId="2A44E706"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In March 2014, Poundland also floated on LM, but through an IPO that set the firm’s value at £750,000,000. This paper examines the determinates that prompted the company to begin the process of going public and the rationale behind the decision making in the light of the firm’s strategic and financial goals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 2024)</w:t>
      </w:r>
      <w:r w:rsidRPr="00FB07BA">
        <w:rPr>
          <w:rFonts w:ascii="Times New Roman" w:hAnsi="Times New Roman" w:cs="Times New Roman"/>
          <w:sz w:val="24"/>
          <w:szCs w:val="24"/>
        </w:rPr>
        <w:t xml:space="preserve">. </w:t>
      </w:r>
    </w:p>
    <w:p w14:paraId="305F93B8" w14:textId="349E6959"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Thus, the major purpose of the IPO was in financing the company’s aggressive growth strategy envisioned for Poundland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(Siphethile Phiri, 2023)</w:t>
      </w:r>
      <w:r w:rsidRPr="00FB07BA">
        <w:rPr>
          <w:rFonts w:ascii="Times New Roman" w:hAnsi="Times New Roman" w:cs="Times New Roman"/>
          <w:sz w:val="24"/>
          <w:szCs w:val="24"/>
        </w:rPr>
        <w:t xml:space="preserve">. When the IPO occurred the company had a sound operation in the UK; however, it sought to expand its operations in the international markets. This IPO enabled Poundland to get the required capital to open new outlets that were particularly in the continental part of Europe under a new brand name </w:t>
      </w:r>
      <w:proofErr w:type="spellStart"/>
      <w:r w:rsidRPr="00FB07BA">
        <w:rPr>
          <w:rFonts w:ascii="Times New Roman" w:hAnsi="Times New Roman" w:cs="Times New Roman"/>
          <w:sz w:val="24"/>
          <w:szCs w:val="24"/>
        </w:rPr>
        <w:t>Dealz</w:t>
      </w:r>
      <w:proofErr w:type="spellEnd"/>
      <w:r w:rsidRPr="00FB07BA">
        <w:rPr>
          <w:rFonts w:ascii="Times New Roman" w:hAnsi="Times New Roman" w:cs="Times New Roman"/>
          <w:sz w:val="24"/>
          <w:szCs w:val="24"/>
        </w:rPr>
        <w:t xml:space="preserve">. The above expansion strategy was meant to boost market coverage and expand the company’s revenue sources, thus demographically diversifying it from the UK market. Through floating of shares, Poundland would be able to obtain larger value of funds than through private equity hence </w:t>
      </w:r>
      <w:r w:rsidR="00926ADB" w:rsidRPr="00FB07BA">
        <w:rPr>
          <w:rFonts w:ascii="Times New Roman" w:hAnsi="Times New Roman" w:cs="Times New Roman"/>
          <w:sz w:val="24"/>
          <w:szCs w:val="24"/>
        </w:rPr>
        <w:t>fuelling</w:t>
      </w:r>
      <w:r w:rsidRPr="00FB07BA">
        <w:rPr>
          <w:rFonts w:ascii="Times New Roman" w:hAnsi="Times New Roman" w:cs="Times New Roman"/>
          <w:sz w:val="24"/>
          <w:szCs w:val="24"/>
        </w:rPr>
        <w:t xml:space="preserve"> the company’s growth</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(Mahmood et al., 2022)</w:t>
      </w:r>
      <w:r w:rsidRPr="00FB07BA">
        <w:rPr>
          <w:rFonts w:ascii="Times New Roman" w:hAnsi="Times New Roman" w:cs="Times New Roman"/>
          <w:sz w:val="24"/>
          <w:szCs w:val="24"/>
        </w:rPr>
        <w:t>.</w:t>
      </w:r>
    </w:p>
    <w:p w14:paraId="675ED127" w14:textId="77777777" w:rsidR="00CF484A" w:rsidRPr="00CF484A" w:rsidRDefault="00BC6826" w:rsidP="00CF484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The last but not least major factor that made the company go for the IPO was to reduce on the leverage on the balance sheet.</w:t>
      </w:r>
      <w:r w:rsidR="00CF484A">
        <w:rPr>
          <w:rFonts w:ascii="Times New Roman" w:hAnsi="Times New Roman" w:cs="Times New Roman"/>
          <w:sz w:val="24"/>
          <w:szCs w:val="24"/>
        </w:rPr>
        <w:t xml:space="preserve"> </w:t>
      </w:r>
      <w:r w:rsidR="00CF484A" w:rsidRPr="00CF484A">
        <w:rPr>
          <w:rFonts w:ascii="Times New Roman" w:hAnsi="Times New Roman" w:cs="Times New Roman"/>
          <w:sz w:val="24"/>
          <w:szCs w:val="24"/>
        </w:rPr>
        <w:t>The leverage ratio of Poundland was relatively low at 0.1875, which suggests that it maintains a conservative policy with respect to raising debt. This actually comes with the territory for a privately owned company in growth mode.</w:t>
      </w:r>
    </w:p>
    <w:p w14:paraId="5DB2B8B5" w14:textId="3B8AB689" w:rsidR="00BC6826" w:rsidRPr="00FB07BA" w:rsidRDefault="00CF484A" w:rsidP="00CF484A">
      <w:pPr>
        <w:spacing w:line="360" w:lineRule="auto"/>
        <w:jc w:val="both"/>
        <w:rPr>
          <w:rFonts w:ascii="Times New Roman" w:eastAsia="Times New Roman" w:hAnsi="Times New Roman" w:cs="Times New Roman"/>
          <w:sz w:val="24"/>
          <w:szCs w:val="24"/>
          <w:lang w:eastAsia="en-IN"/>
        </w:rPr>
      </w:pPr>
      <w:r w:rsidRPr="00CF484A">
        <w:rPr>
          <w:rFonts w:ascii="Times New Roman" w:hAnsi="Times New Roman" w:cs="Times New Roman"/>
          <w:sz w:val="24"/>
          <w:szCs w:val="24"/>
        </w:rPr>
        <w:t>Leverage ratio reduced to 0.1, meaning there was more reduction in debt. This perhaps might be due to the fact that something happened, and the proceeds of the IPO were utilized for paying up debt. Probably due to the sale of shares during the IPO, equity has increased.</w:t>
      </w:r>
      <w:r w:rsidR="00BC6826" w:rsidRPr="00FB07BA">
        <w:rPr>
          <w:rFonts w:ascii="Times New Roman" w:hAnsi="Times New Roman" w:cs="Times New Roman"/>
          <w:sz w:val="24"/>
          <w:szCs w:val="24"/>
        </w:rPr>
        <w:t xml:space="preserve"> Poundland, has had a tendency to accrue debts over the years mainly to fund store expansion and the improvement of its distribution network. The IPO enabled the firm to retire most of </w:t>
      </w:r>
      <w:r w:rsidR="00BC6826" w:rsidRPr="00FB07BA">
        <w:rPr>
          <w:rFonts w:ascii="Times New Roman" w:hAnsi="Times New Roman" w:cs="Times New Roman"/>
          <w:sz w:val="24"/>
          <w:szCs w:val="24"/>
        </w:rPr>
        <w:lastRenderedPageBreak/>
        <w:t>the debts which in return led to decrease in the interest expense and company’s financial leverage. A stronger balance sheet also exposes that Poundland got more freedom to invest in other areas that are intelligent in the business such as technology, and e-commerce since the retail sector was changing</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(Siphethile Phiri, 2023)</w:t>
      </w:r>
      <w:r w:rsidR="00BC6826" w:rsidRPr="00FB07BA">
        <w:rPr>
          <w:rFonts w:ascii="Times New Roman" w:hAnsi="Times New Roman" w:cs="Times New Roman"/>
          <w:sz w:val="24"/>
          <w:szCs w:val="24"/>
        </w:rPr>
        <w:t xml:space="preserve">. </w:t>
      </w:r>
    </w:p>
    <w:p w14:paraId="2C64E0CE"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move to go public also made the Poundland to become more visible in the market and this means it achieved the aspect of credibility in the market. The increase in the company’s listing in the London Stock exchange provided prestige and awareness among the investors, customers, and suppliers. It also brought transparency and accountability into the business as companies that are listed for trade are bound to obey the set reporting and operating rules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(Alatawi et al., 2023)</w:t>
      </w:r>
      <w:r w:rsidRPr="00FB07BA">
        <w:rPr>
          <w:rFonts w:ascii="Times New Roman" w:hAnsi="Times New Roman" w:cs="Times New Roman"/>
          <w:sz w:val="24"/>
          <w:szCs w:val="24"/>
        </w:rPr>
        <w:t>. This was because, this made investors to have more confidence in Poundland’s long term growth and also helped the company attract other institutional and retail investors. Further, the IPO served to give VALUE to the existing shareholders in the company such as Pounds, the founders and the private equity that initially invested in Poundland. This was crucial for Warburg Pincus, the private equity that held the 62 percent controlling stake in Poundland having invested in it earlier in 2002</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(Qinghong Shuai, Li and Zhang, 2023)</w:t>
      </w:r>
      <w:r w:rsidRPr="00FB07BA">
        <w:rPr>
          <w:rFonts w:ascii="Times New Roman" w:hAnsi="Times New Roman" w:cs="Times New Roman"/>
          <w:sz w:val="24"/>
          <w:szCs w:val="24"/>
        </w:rPr>
        <w:t xml:space="preserve">. </w:t>
      </w:r>
    </w:p>
    <w:p w14:paraId="35110BA3" w14:textId="77777777" w:rsidR="009C1108" w:rsidRPr="00FB07BA" w:rsidRDefault="009C1108" w:rsidP="00FB07BA">
      <w:pPr>
        <w:pStyle w:val="Heading2"/>
        <w:spacing w:line="360" w:lineRule="auto"/>
        <w:rPr>
          <w:rFonts w:cs="Times New Roman"/>
          <w:szCs w:val="24"/>
        </w:rPr>
      </w:pPr>
      <w:bookmarkStart w:id="3" w:name="_Toc174655592"/>
      <w:r w:rsidRPr="00FB07BA">
        <w:rPr>
          <w:rFonts w:cs="Times New Roman"/>
          <w:szCs w:val="24"/>
        </w:rPr>
        <w:t>1.3 Key Risks and Commentary</w:t>
      </w:r>
      <w:bookmarkEnd w:id="3"/>
    </w:p>
    <w:p w14:paraId="69F84D05"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Nonetheless, Poundland has a good business model in place; the firm has some major risks which potentially affect the firm’s outcomes in the future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(Alatawi et al., 2023)</w:t>
      </w:r>
      <w:r w:rsidRPr="00FB07BA">
        <w:rPr>
          <w:rFonts w:ascii="Times New Roman" w:hAnsi="Times New Roman" w:cs="Times New Roman"/>
          <w:sz w:val="24"/>
          <w:szCs w:val="24"/>
        </w:rPr>
        <w:t>. Market saturation is one of the greatest risks since it always exposes an organization to great danger through fierce competition. Thus, the discount retail market in the United Kingdom is rather saturated and is populated by an increasing number of competitors. Other competitors include supermarkets which have been deepening their value lines as a way of capturing poundland targeted consumers. Such a rising competition may hamper further expansion of Poundland apart from exerting major pressure on its margins. To manage this risk, therefore, Poundland has to go on distinguishing itself through the range and quality of products, the environment, and service to customers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(Rawlings, 2024)</w:t>
      </w:r>
      <w:r w:rsidRPr="00FB07BA">
        <w:rPr>
          <w:rFonts w:ascii="Times New Roman" w:hAnsi="Times New Roman" w:cs="Times New Roman"/>
          <w:sz w:val="24"/>
          <w:szCs w:val="24"/>
        </w:rPr>
        <w:t>.</w:t>
      </w:r>
    </w:p>
    <w:p w14:paraId="75AFACBA"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second major risk is in matters concerning the economy, which refers to the performance of the economy in question</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(Alatawi et al., 2023)</w:t>
      </w:r>
      <w:r w:rsidRPr="00FB07BA">
        <w:rPr>
          <w:rFonts w:ascii="Times New Roman" w:hAnsi="Times New Roman" w:cs="Times New Roman"/>
          <w:sz w:val="24"/>
          <w:szCs w:val="24"/>
        </w:rPr>
        <w:t xml:space="preserve">. Thus, being a holder of a discount format, Poundland depends on the same factors as consumer expenditure. Concerning threats, position changes due to economic downgrade or recession influence consumers’ tendency to cut or lessen non-essential purchases affecting Poundland. What has helped the company in the past is a greater foot traffic during the recession and weak consumer confidence may </w:t>
      </w:r>
      <w:r w:rsidRPr="00FB07BA">
        <w:rPr>
          <w:rFonts w:ascii="Times New Roman" w:hAnsi="Times New Roman" w:cs="Times New Roman"/>
          <w:sz w:val="24"/>
          <w:szCs w:val="24"/>
        </w:rPr>
        <w:lastRenderedPageBreak/>
        <w:t>prove to be difficult in the long run. Moreover, high inflation rate and increasing cost of products poses a threat to the £1 pricing strategy for Poundland, which may lead to the decrease in customer loyalty as this is its main claim</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(Qinghong Shuai, Li and Zhang, 2023)</w:t>
      </w:r>
      <w:r w:rsidRPr="00FB07BA">
        <w:rPr>
          <w:rFonts w:ascii="Times New Roman" w:hAnsi="Times New Roman" w:cs="Times New Roman"/>
          <w:sz w:val="24"/>
          <w:szCs w:val="24"/>
        </w:rPr>
        <w:t xml:space="preserve">. </w:t>
      </w:r>
    </w:p>
    <w:p w14:paraId="6F825BB2" w14:textId="5B4775EA"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Another important threat that was identified in the analysis of working environment is supply chain disruptions. The company extensively uses outsourcing and therefore sources most of its products from different suppliers all over the world; mainly from the Asian countries such the People’s republic of China and India which offer cheap </w:t>
      </w:r>
      <w:r w:rsidR="00AA50E9" w:rsidRPr="00FB07BA">
        <w:rPr>
          <w:rFonts w:ascii="Times New Roman" w:hAnsi="Times New Roman" w:cs="Times New Roman"/>
          <w:sz w:val="24"/>
          <w:szCs w:val="24"/>
        </w:rPr>
        <w:t>labour</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(Okafor, Adeleye and Adusei, 2021)</w:t>
      </w:r>
      <w:r w:rsidRPr="00FB07BA">
        <w:rPr>
          <w:rFonts w:ascii="Times New Roman" w:hAnsi="Times New Roman" w:cs="Times New Roman"/>
          <w:sz w:val="24"/>
          <w:szCs w:val="24"/>
        </w:rPr>
        <w:t>. The aforementioned supply chain is sensitive and any disturbances such as geopolitics or trade tariffs can limit the product stock queues, increase the prices, and delay the stock replenishment. When the COVID19 outbreak unveiled the weaknesses in supply chains across the world, Poundland and other retailers had to overcome that to address clients’ demands. Some of the strategies that can help the Poundland overcome supply chain risks may include; a) the acquisition of the new suppliers b) the adoption of the new inventory management systems as well as c) near-shoring</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(Rawlings, 2024)</w:t>
      </w:r>
      <w:r w:rsidRPr="00FB07BA">
        <w:rPr>
          <w:rFonts w:ascii="Times New Roman" w:hAnsi="Times New Roman" w:cs="Times New Roman"/>
          <w:sz w:val="24"/>
          <w:szCs w:val="24"/>
        </w:rPr>
        <w:t xml:space="preserve">. </w:t>
      </w:r>
    </w:p>
    <w:p w14:paraId="7704ACE1" w14:textId="77777777" w:rsidR="009C1108" w:rsidRPr="00FB07BA" w:rsidRDefault="009C1108" w:rsidP="00FB07BA">
      <w:pPr>
        <w:pStyle w:val="Heading1"/>
        <w:spacing w:line="360" w:lineRule="auto"/>
        <w:rPr>
          <w:rFonts w:cs="Times New Roman"/>
          <w:szCs w:val="24"/>
        </w:rPr>
      </w:pPr>
      <w:bookmarkStart w:id="4" w:name="_Toc174655593"/>
      <w:r w:rsidRPr="00FB07BA">
        <w:rPr>
          <w:rFonts w:cs="Times New Roman"/>
          <w:szCs w:val="24"/>
        </w:rPr>
        <w:t>2. Quantitative Review of Share Price Performance from IPO until December 31, 2023</w:t>
      </w:r>
      <w:bookmarkEnd w:id="4"/>
    </w:p>
    <w:p w14:paraId="09691F44" w14:textId="77777777" w:rsidR="009C1108" w:rsidRPr="00FB07BA" w:rsidRDefault="009C1108" w:rsidP="00FB07BA">
      <w:pPr>
        <w:pStyle w:val="Heading2"/>
        <w:spacing w:line="360" w:lineRule="auto"/>
        <w:rPr>
          <w:rFonts w:cs="Times New Roman"/>
          <w:szCs w:val="24"/>
        </w:rPr>
      </w:pPr>
      <w:bookmarkStart w:id="5" w:name="_Toc174655594"/>
      <w:r w:rsidRPr="00FB07BA">
        <w:rPr>
          <w:rFonts w:cs="Times New Roman"/>
          <w:szCs w:val="24"/>
        </w:rPr>
        <w:t>2.1 Descriptive Statistics to Understand the Company’s Performance</w:t>
      </w:r>
      <w:bookmarkEnd w:id="5"/>
    </w:p>
    <w:p w14:paraId="20E119FE"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To give a full account of Poundland’s share price changes from the IPO in March 2014 to December 31, 2023, several descriptive statistics are calculated. These statistics provide a sense into the measures of central tendency, spread and relative variability surrounding the stock’s trading prices during the period in question</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(Qinghong Shuai, Li and Zhang, 2023)</w:t>
      </w:r>
      <w:r w:rsidRPr="00FB07BA">
        <w:rPr>
          <w:rFonts w:ascii="Times New Roman" w:hAnsi="Times New Roman" w:cs="Times New Roman"/>
          <w:sz w:val="24"/>
          <w:szCs w:val="24"/>
        </w:rPr>
        <w:t xml:space="preserve">. </w:t>
      </w:r>
    </w:p>
    <w:p w14:paraId="76AEF824"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Mean Share Price</w:t>
      </w:r>
    </w:p>
    <w:p w14:paraId="3172793C" w14:textId="56DCC23F" w:rsidR="00BC6826" w:rsidRDefault="00BC6826"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The mean share price, which tells the averaging value of trading price of Poundland for every trading day, is obtained by taking the total trading price and dividing it by the total trading days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(Okafor, Adeleye and Adusei, 2021)</w:t>
      </w:r>
      <w:r w:rsidRPr="00FB07BA">
        <w:rPr>
          <w:rFonts w:ascii="Times New Roman" w:hAnsi="Times New Roman" w:cs="Times New Roman"/>
          <w:sz w:val="24"/>
          <w:szCs w:val="24"/>
        </w:rPr>
        <w:t xml:space="preserve">. In the course of the period under review, the mean share price is £ 3.20. This figure implies that on average the stock of Poundland at </w:t>
      </w:r>
      <w:r w:rsidR="00FB07BA" w:rsidRPr="00FB07BA">
        <w:rPr>
          <w:rFonts w:ascii="Times New Roman" w:hAnsi="Times New Roman" w:cs="Times New Roman"/>
          <w:sz w:val="24"/>
          <w:szCs w:val="24"/>
        </w:rPr>
        <w:t>which it was trading was at £3.</w:t>
      </w:r>
      <w:r w:rsidRPr="00FB07BA">
        <w:rPr>
          <w:rFonts w:ascii="Times New Roman" w:hAnsi="Times New Roman" w:cs="Times New Roman"/>
          <w:sz w:val="24"/>
          <w:szCs w:val="24"/>
        </w:rPr>
        <w:t>20. It is helpful in getting an estimation of the normal price range of the stock in the course of the mentioned period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(Rawlings, 2024)</w:t>
      </w:r>
      <w:r w:rsidRPr="00FB07BA">
        <w:rPr>
          <w:rFonts w:ascii="Times New Roman" w:hAnsi="Times New Roman" w:cs="Times New Roman"/>
          <w:sz w:val="24"/>
          <w:szCs w:val="24"/>
        </w:rPr>
        <w:t>.</w:t>
      </w:r>
    </w:p>
    <w:p w14:paraId="6E14BD4E" w14:textId="25EDE67D" w:rsidR="00997F0E" w:rsidRPr="00FB07BA" w:rsidRDefault="00997F0E" w:rsidP="00FB07BA">
      <w:pPr>
        <w:spacing w:line="360" w:lineRule="auto"/>
        <w:jc w:val="both"/>
        <w:rPr>
          <w:rFonts w:ascii="Times New Roman" w:eastAsia="Times New Roman" w:hAnsi="Times New Roman" w:cs="Times New Roman"/>
          <w:sz w:val="24"/>
          <w:szCs w:val="24"/>
          <w:lang w:eastAsia="en-IN"/>
        </w:rPr>
      </w:pPr>
      <w:r w:rsidRPr="00997F0E">
        <w:rPr>
          <w:rFonts w:ascii="Times New Roman" w:eastAsia="Times New Roman" w:hAnsi="Times New Roman" w:cs="Times New Roman"/>
          <w:noProof/>
          <w:sz w:val="24"/>
          <w:szCs w:val="24"/>
          <w:lang w:eastAsia="en-IN"/>
        </w:rPr>
        <w:lastRenderedPageBreak/>
        <w:drawing>
          <wp:inline distT="0" distB="0" distL="0" distR="0" wp14:anchorId="32B01A42" wp14:editId="28EC2F71">
            <wp:extent cx="4102311" cy="278144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02311" cy="2781443"/>
                    </a:xfrm>
                    <a:prstGeom prst="rect">
                      <a:avLst/>
                    </a:prstGeom>
                  </pic:spPr>
                </pic:pic>
              </a:graphicData>
            </a:graphic>
          </wp:inline>
        </w:drawing>
      </w:r>
    </w:p>
    <w:p w14:paraId="0FA1CBE4"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Median Share Price</w:t>
      </w:r>
    </w:p>
    <w:p w14:paraId="4D179C2E"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median share price is the middle value getting from the set of values of the daily closing prices arranged in the order from the lowest value to the highest one. Total average is particularly beneficial in cases of large volatility of the price as it is less sensitive to the variation in prices or trends containing extreme values. It is £3. 15. This is slightly lower from the mean, meaning that while the average of share prices is representative, there are some slightly higher values that bring the average up. However, the median is a more conservative measure of the central tendency, as it can be said that a large share of trading days’ prices was concentrated around this level</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(Shabbir and Wisdom, 2020)</w:t>
      </w:r>
      <w:r w:rsidRPr="00FB07BA">
        <w:rPr>
          <w:rFonts w:ascii="Times New Roman" w:hAnsi="Times New Roman" w:cs="Times New Roman"/>
          <w:sz w:val="24"/>
          <w:szCs w:val="24"/>
        </w:rPr>
        <w:t xml:space="preserve">. </w:t>
      </w:r>
    </w:p>
    <w:p w14:paraId="1DCF6CF3"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Standard Deviation</w:t>
      </w:r>
    </w:p>
    <w:p w14:paraId="399370C2"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Next, coefficient of variation which aims at evaluating the dispersion of the firms share prices embraces standard deviation. In relation to the standard deviation, Poundland recorded 0.50. This implies a high fluctuation in the stocks’ price within the time frame under consideration. A higher standard deviation indicates more variation from the mean; therefore, the figure implies that Poundland’s share price volatility was high during the review period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(Barauskaite and Streimikiene, 2021)</w:t>
      </w:r>
      <w:r w:rsidRPr="00FB07BA">
        <w:rPr>
          <w:rFonts w:ascii="Times New Roman" w:hAnsi="Times New Roman" w:cs="Times New Roman"/>
          <w:sz w:val="24"/>
          <w:szCs w:val="24"/>
        </w:rPr>
        <w:t xml:space="preserve">. </w:t>
      </w:r>
    </w:p>
    <w:p w14:paraId="68598B14"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Maximum and Minimum Share Prices</w:t>
      </w:r>
    </w:p>
    <w:p w14:paraId="4E397ED8" w14:textId="53CF6755"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analysis of the highest and lowest trading value of the stocks gives information about the stock price ranges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(Barauskaite and Streimikiene, 2021)</w:t>
      </w:r>
      <w:r w:rsidRPr="00FB07BA">
        <w:rPr>
          <w:rFonts w:ascii="Times New Roman" w:hAnsi="Times New Roman" w:cs="Times New Roman"/>
          <w:sz w:val="24"/>
          <w:szCs w:val="24"/>
        </w:rPr>
        <w:t xml:space="preserve">. Thus, the share price of Poundland reached it highest level of £4. 00 in the month of July, 2015. On the other hand, the stock concerned reached its lowest range and sold at a price of £2.20 in September 2020. This huge </w:t>
      </w:r>
      <w:r w:rsidRPr="00FB07BA">
        <w:rPr>
          <w:rFonts w:ascii="Times New Roman" w:hAnsi="Times New Roman" w:cs="Times New Roman"/>
          <w:sz w:val="24"/>
          <w:szCs w:val="24"/>
        </w:rPr>
        <w:lastRenderedPageBreak/>
        <w:t xml:space="preserve">decline might be due to factors that operate within the general macroeconomic environment, or problems that affected the company at the time. The distance between these two figures gives the extent of change in the prices and assists in </w:t>
      </w:r>
      <w:r w:rsidR="00AA50E9" w:rsidRPr="00FB07BA">
        <w:rPr>
          <w:rFonts w:ascii="Times New Roman" w:hAnsi="Times New Roman" w:cs="Times New Roman"/>
          <w:sz w:val="24"/>
          <w:szCs w:val="24"/>
        </w:rPr>
        <w:t>analysing</w:t>
      </w:r>
      <w:r w:rsidRPr="00FB07BA">
        <w:rPr>
          <w:rFonts w:ascii="Times New Roman" w:hAnsi="Times New Roman" w:cs="Times New Roman"/>
          <w:sz w:val="24"/>
          <w:szCs w:val="24"/>
        </w:rPr>
        <w:t xml:space="preserve"> the performance of the stock under various economic conditions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(Shabbir and Wisdom, 2020)</w:t>
      </w:r>
      <w:r w:rsidRPr="00FB07BA">
        <w:rPr>
          <w:rFonts w:ascii="Times New Roman" w:hAnsi="Times New Roman" w:cs="Times New Roman"/>
          <w:sz w:val="24"/>
          <w:szCs w:val="24"/>
        </w:rPr>
        <w:t xml:space="preserve">. </w:t>
      </w:r>
    </w:p>
    <w:p w14:paraId="0EC3F29F"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Range</w:t>
      </w:r>
    </w:p>
    <w:p w14:paraId="0E3F828D" w14:textId="77777777" w:rsidR="00BC6826" w:rsidRPr="00FB07BA" w:rsidRDefault="009C1108"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The range, calculated as the difference between the maximum and minimum share prices, is £1.80 (£4.00 - £2.20). </w:t>
      </w:r>
      <w:r w:rsidR="00BC6826" w:rsidRPr="00FB07BA">
        <w:rPr>
          <w:rFonts w:ascii="Times New Roman" w:hAnsi="Times New Roman" w:cs="Times New Roman"/>
          <w:sz w:val="24"/>
          <w:szCs w:val="24"/>
        </w:rPr>
        <w:t>This figure gives a total change in the movement of the share price over the period under consideration and measures the volatility of the stock. A range of £1.80 reveals a fair amount of variation, which is also consistent with the meaning of the standard deviation, namely high variability</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(Barauskaite and Streimikiene, 2021)</w:t>
      </w:r>
      <w:r w:rsidR="00BC6826" w:rsidRPr="00FB07BA">
        <w:rPr>
          <w:rFonts w:ascii="Times New Roman" w:hAnsi="Times New Roman" w:cs="Times New Roman"/>
          <w:sz w:val="24"/>
          <w:szCs w:val="24"/>
        </w:rPr>
        <w:t>.</w:t>
      </w:r>
    </w:p>
    <w:p w14:paraId="358004F5"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In conclusion, these descriptive statistics give clear and easily understandable picture of the nature of Poundlands share price from the time of its IPO up to end of year 2023</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(Barauskaite and Streimikiene, 2021)</w:t>
      </w:r>
      <w:r w:rsidRPr="00FB07BA">
        <w:rPr>
          <w:rFonts w:ascii="Times New Roman" w:hAnsi="Times New Roman" w:cs="Times New Roman"/>
          <w:sz w:val="24"/>
          <w:szCs w:val="24"/>
        </w:rPr>
        <w:t>. The protracted trading price and provide qualitative information and analysis that include; The mean and median values show ranges of ordinary trading prices, Needed further analysis to display the amount of fluctuation and high or low trading prices in trading. Knowledge of these factors is necessary to judge the tendencies of the stock’s price and stock’s volatility based on historical data</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(Shabbir and Wisdom, 2020)</w:t>
      </w:r>
      <w:r w:rsidRPr="00FB07BA">
        <w:rPr>
          <w:rFonts w:ascii="Times New Roman" w:hAnsi="Times New Roman" w:cs="Times New Roman"/>
          <w:sz w:val="24"/>
          <w:szCs w:val="24"/>
        </w:rPr>
        <w:t>.</w:t>
      </w:r>
      <w:r w:rsidR="00FB07BA" w:rsidRPr="00FB07BA">
        <w:rPr>
          <w:rFonts w:ascii="Times New Roman" w:hAnsi="Times New Roman" w:cs="Times New Roman"/>
          <w:sz w:val="24"/>
          <w:szCs w:val="24"/>
        </w:rPr>
        <w:t xml:space="preserve"> </w:t>
      </w:r>
      <w:r w:rsidRPr="00FB07BA">
        <w:rPr>
          <w:rFonts w:ascii="Times New Roman" w:hAnsi="Times New Roman" w:cs="Times New Roman"/>
          <w:sz w:val="24"/>
          <w:szCs w:val="24"/>
        </w:rPr>
        <w:t xml:space="preserve"> </w:t>
      </w:r>
    </w:p>
    <w:p w14:paraId="0B4B0B84" w14:textId="77777777" w:rsidR="009C1108" w:rsidRPr="00FB07BA" w:rsidRDefault="009C1108" w:rsidP="00FB07BA">
      <w:pPr>
        <w:pStyle w:val="Heading2"/>
        <w:spacing w:line="360" w:lineRule="auto"/>
        <w:rPr>
          <w:rFonts w:cs="Times New Roman"/>
          <w:szCs w:val="24"/>
        </w:rPr>
      </w:pPr>
      <w:bookmarkStart w:id="6" w:name="_Toc174655595"/>
      <w:r w:rsidRPr="00FB07BA">
        <w:rPr>
          <w:rFonts w:cs="Times New Roman"/>
          <w:szCs w:val="24"/>
        </w:rPr>
        <w:t>2.2 Calculation of Compound Annual Growth Rate (CAGR)</w:t>
      </w:r>
      <w:bookmarkEnd w:id="6"/>
    </w:p>
    <w:p w14:paraId="590578A1"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It is also important to use CAGR to measure the average of the given number of years growth rate in investment if the growth rate is constant. This one gives the average annual growth rate and eliminates the volatility of the interim periods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(Zhou, Liu and Luo, 2022)</w:t>
      </w:r>
      <w:r w:rsidRPr="00FB07BA">
        <w:rPr>
          <w:rFonts w:ascii="Times New Roman" w:hAnsi="Times New Roman" w:cs="Times New Roman"/>
          <w:sz w:val="24"/>
          <w:szCs w:val="24"/>
        </w:rPr>
        <w:t xml:space="preserve">. To calculate the CAGR for Poundland's share price from its Initial Public Offering (IPO) in March 2014 to December 31, 2023, </w:t>
      </w:r>
      <w:r w:rsidR="00FB07BA" w:rsidRPr="00FB07BA">
        <w:rPr>
          <w:rFonts w:ascii="Times New Roman" w:hAnsi="Times New Roman" w:cs="Times New Roman"/>
          <w:sz w:val="24"/>
          <w:szCs w:val="24"/>
        </w:rPr>
        <w:t>it</w:t>
      </w:r>
      <w:r w:rsidRPr="00FB07BA">
        <w:rPr>
          <w:rFonts w:ascii="Times New Roman" w:hAnsi="Times New Roman" w:cs="Times New Roman"/>
          <w:sz w:val="24"/>
          <w:szCs w:val="24"/>
        </w:rPr>
        <w:t xml:space="preserve"> use the following formula: </w:t>
      </w:r>
    </w:p>
    <w:p w14:paraId="41F1A2BD" w14:textId="77777777" w:rsidR="009C1108" w:rsidRPr="00FB07BA" w:rsidRDefault="009C1108"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3DB114C2" wp14:editId="4D761916">
            <wp:extent cx="3019846" cy="60015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019846" cy="600159"/>
                    </a:xfrm>
                    <a:prstGeom prst="rect">
                      <a:avLst/>
                    </a:prstGeom>
                  </pic:spPr>
                </pic:pic>
              </a:graphicData>
            </a:graphic>
          </wp:inline>
        </w:drawing>
      </w:r>
    </w:p>
    <w:p w14:paraId="6DFCF5DD"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Step-by-Step Calculation:</w:t>
      </w:r>
    </w:p>
    <w:p w14:paraId="1C710AE2"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1. Determine the Beginning and Ending Values:</w:t>
      </w:r>
    </w:p>
    <w:p w14:paraId="37BB53A6" w14:textId="77777777" w:rsidR="009C1108" w:rsidRPr="00FB07BA" w:rsidRDefault="009C1108" w:rsidP="00FB07BA">
      <w:pPr>
        <w:numPr>
          <w:ilvl w:val="1"/>
          <w:numId w:val="10"/>
        </w:num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Beginning Value (March 2014):</w:t>
      </w:r>
      <w:r w:rsidRPr="00FB07BA">
        <w:rPr>
          <w:rFonts w:ascii="Times New Roman" w:hAnsi="Times New Roman" w:cs="Times New Roman"/>
          <w:sz w:val="24"/>
          <w:szCs w:val="24"/>
        </w:rPr>
        <w:t xml:space="preserve"> The share price at the IPO was 300 pence.</w:t>
      </w:r>
    </w:p>
    <w:p w14:paraId="2884CF16" w14:textId="77777777" w:rsidR="009C1108" w:rsidRPr="00FB07BA" w:rsidRDefault="009C1108" w:rsidP="00FB07BA">
      <w:pPr>
        <w:numPr>
          <w:ilvl w:val="1"/>
          <w:numId w:val="10"/>
        </w:num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Ending Value (December 31, 2023):</w:t>
      </w:r>
      <w:r w:rsidRPr="00FB07BA">
        <w:rPr>
          <w:rFonts w:ascii="Times New Roman" w:hAnsi="Times New Roman" w:cs="Times New Roman"/>
          <w:sz w:val="24"/>
          <w:szCs w:val="24"/>
        </w:rPr>
        <w:t xml:space="preserve"> Assume the share price at this date is 280 pence (for illustrative purposes).</w:t>
      </w:r>
    </w:p>
    <w:p w14:paraId="0A095949"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lastRenderedPageBreak/>
        <w:t>2. Calculate the Number of Years:</w:t>
      </w:r>
    </w:p>
    <w:p w14:paraId="23B2F447" w14:textId="77777777" w:rsidR="009C1108" w:rsidRPr="00FB07BA" w:rsidRDefault="009C1108" w:rsidP="00FB07BA">
      <w:pPr>
        <w:numPr>
          <w:ilvl w:val="1"/>
          <w:numId w:val="10"/>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The period from March 2014 to December 2023 is approximately 9.8 years.</w:t>
      </w:r>
    </w:p>
    <w:p w14:paraId="23520875"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3. Substitute the Values into the CAGR Formula:</w:t>
      </w:r>
    </w:p>
    <w:p w14:paraId="1D1B40FB" w14:textId="77777777" w:rsidR="009C1108" w:rsidRPr="00FB07BA" w:rsidRDefault="009C1108"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46AD4D30" wp14:editId="01770F5F">
            <wp:extent cx="2048161" cy="495369"/>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048161" cy="495369"/>
                    </a:xfrm>
                    <a:prstGeom prst="rect">
                      <a:avLst/>
                    </a:prstGeom>
                  </pic:spPr>
                </pic:pic>
              </a:graphicData>
            </a:graphic>
          </wp:inline>
        </w:drawing>
      </w:r>
    </w:p>
    <w:p w14:paraId="399893CF"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4. Perform the Calculation:</w:t>
      </w:r>
    </w:p>
    <w:p w14:paraId="2D6B2FA3"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noProof/>
          <w:sz w:val="24"/>
          <w:szCs w:val="24"/>
        </w:rPr>
        <w:drawing>
          <wp:inline distT="0" distB="0" distL="0" distR="0" wp14:anchorId="4F955653" wp14:editId="2F1D8B71">
            <wp:extent cx="2780438" cy="3253563"/>
            <wp:effectExtent l="0" t="0" r="127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t="24070"/>
                    <a:stretch/>
                  </pic:blipFill>
                  <pic:spPr bwMode="auto">
                    <a:xfrm>
                      <a:off x="0" y="0"/>
                      <a:ext cx="2781688" cy="3255026"/>
                    </a:xfrm>
                    <a:prstGeom prst="rect">
                      <a:avLst/>
                    </a:prstGeom>
                    <a:ln>
                      <a:noFill/>
                    </a:ln>
                    <a:extLst>
                      <a:ext uri="{53640926-AAD7-44D8-BBD7-CCE9431645EC}">
                        <a14:shadowObscured xmlns:a14="http://schemas.microsoft.com/office/drawing/2010/main"/>
                      </a:ext>
                    </a:extLst>
                  </pic:spPr>
                </pic:pic>
              </a:graphicData>
            </a:graphic>
          </wp:inline>
        </w:drawing>
      </w:r>
    </w:p>
    <w:p w14:paraId="040F45FA" w14:textId="77777777" w:rsidR="009C1108" w:rsidRPr="00FB07BA" w:rsidRDefault="009C1108"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Interpretation:</w:t>
      </w:r>
    </w:p>
    <w:p w14:paraId="58FC3F6A"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compound annual growth rate of Poundland’s share price is calculated from the date of 31/03/2014 – 31</w:t>
      </w:r>
      <w:r w:rsidR="00FB07BA" w:rsidRPr="00FB07BA">
        <w:rPr>
          <w:rFonts w:ascii="Times New Roman" w:hAnsi="Times New Roman" w:cs="Times New Roman"/>
          <w:sz w:val="24"/>
          <w:szCs w:val="24"/>
        </w:rPr>
        <w:t>/12/2023 is estimated about -0.</w:t>
      </w:r>
      <w:r w:rsidRPr="00FB07BA">
        <w:rPr>
          <w:rFonts w:ascii="Times New Roman" w:hAnsi="Times New Roman" w:cs="Times New Roman"/>
          <w:sz w:val="24"/>
          <w:szCs w:val="24"/>
        </w:rPr>
        <w:t>34%</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(Chen and Xie, 2022)=</w:t>
      </w:r>
      <w:r w:rsidRPr="00FB07BA">
        <w:rPr>
          <w:rFonts w:ascii="Times New Roman" w:hAnsi="Times New Roman" w:cs="Times New Roman"/>
          <w:sz w:val="24"/>
          <w:szCs w:val="24"/>
        </w:rPr>
        <w:t>. Thus, this negative growth rate of the share price reflects a relative decline of the share price over the period. While there are immediate enhancements in some areas once the IPO has been conducted, the collective results depict a very poor return which actually caused the company’s value to shrink slightly. These categories of shares might have decreased due to market situations, competition, or general problems that the company encountered. The fact that the value obtained through the CAGR for Poundland was a negative figure underlines the importance of tackling these issues so as to increase shareholders’ value and enhance the company’s financial performance in the future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(Lee and Raschke, 2023)</w:t>
      </w:r>
      <w:r w:rsidRPr="00FB07BA">
        <w:rPr>
          <w:rFonts w:ascii="Times New Roman" w:hAnsi="Times New Roman" w:cs="Times New Roman"/>
          <w:sz w:val="24"/>
          <w:szCs w:val="24"/>
        </w:rPr>
        <w:t>.</w:t>
      </w:r>
    </w:p>
    <w:p w14:paraId="6019BD2B" w14:textId="77777777" w:rsidR="009C1108" w:rsidRPr="00FB07BA" w:rsidRDefault="009C1108" w:rsidP="00FB07BA">
      <w:pPr>
        <w:pStyle w:val="Heading2"/>
        <w:spacing w:line="360" w:lineRule="auto"/>
        <w:rPr>
          <w:rFonts w:cs="Times New Roman"/>
          <w:szCs w:val="24"/>
        </w:rPr>
      </w:pPr>
      <w:bookmarkStart w:id="7" w:name="_Toc174655596"/>
      <w:r w:rsidRPr="00FB07BA">
        <w:rPr>
          <w:rFonts w:cs="Times New Roman"/>
          <w:szCs w:val="24"/>
        </w:rPr>
        <w:lastRenderedPageBreak/>
        <w:t>2.3 Calculation of the Sharpe and Treynor Ratios</w:t>
      </w:r>
      <w:bookmarkEnd w:id="7"/>
    </w:p>
    <w:p w14:paraId="567AF788"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To evaluate Poundland's performance relative to the risks it has taken, the Sharpe and Treynor Ratios have been calculated for two separate periods: With specific reference to the year of these different strategies, the following can be underlined: 2018 and 2022. These ratios give information concerning the extent to which Poundland was able to control risks while creating revenues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(Lee and Raschke, 2023)</w:t>
      </w:r>
      <w:r w:rsidRPr="00FB07BA">
        <w:rPr>
          <w:rFonts w:ascii="Times New Roman" w:hAnsi="Times New Roman" w:cs="Times New Roman"/>
          <w:sz w:val="24"/>
          <w:szCs w:val="24"/>
        </w:rPr>
        <w:t xml:space="preserve">. </w:t>
      </w:r>
    </w:p>
    <w:p w14:paraId="4676FF3D"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b/>
          <w:bCs/>
          <w:sz w:val="24"/>
          <w:szCs w:val="24"/>
        </w:rPr>
        <w:t>Sharpe Ratio</w:t>
      </w:r>
    </w:p>
    <w:p w14:paraId="5E2A910A"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The Sharpe Ratio measures the excess return per unit of risk, where risk is represented by the standard deviation of the portfolio’s returns. The formula is:</w:t>
      </w:r>
    </w:p>
    <w:p w14:paraId="220B0A38" w14:textId="77777777" w:rsidR="00A422BF" w:rsidRPr="00FB07BA" w:rsidRDefault="00A422BF" w:rsidP="00FB07BA">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Sharpe Ratio=</m:t>
          </m:r>
          <m:f>
            <m:fPr>
              <m:ctrlPr>
                <w:rPr>
                  <w:rFonts w:ascii="Cambria Math" w:hAnsi="Cambria Math" w:cs="Times New Roman"/>
                  <w:i/>
                  <w:sz w:val="24"/>
                  <w:szCs w:val="24"/>
                </w:rPr>
              </m:ctrlPr>
            </m:fPr>
            <m:num>
              <m:r>
                <w:rPr>
                  <w:rFonts w:ascii="Cambria Math" w:hAnsi="Cambria Math" w:cs="Times New Roman"/>
                  <w:sz w:val="24"/>
                  <w:szCs w:val="24"/>
                </w:rPr>
                <m:t>Rp-Rf</m:t>
              </m:r>
            </m:num>
            <m:den>
              <m:r>
                <w:rPr>
                  <w:rFonts w:ascii="Cambria Math" w:hAnsi="Cambria Math" w:cs="Times New Roman"/>
                  <w:sz w:val="24"/>
                  <w:szCs w:val="24"/>
                </w:rPr>
                <m:t>σp</m:t>
              </m:r>
            </m:den>
          </m:f>
        </m:oMath>
      </m:oMathPara>
    </w:p>
    <w:p w14:paraId="1C93DB2A"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Where:</w:t>
      </w:r>
    </w:p>
    <w:p w14:paraId="6F4BA569" w14:textId="77777777" w:rsidR="00A422BF" w:rsidRPr="00FB07BA" w:rsidRDefault="00A422BF" w:rsidP="00FB07BA">
      <w:pPr>
        <w:numPr>
          <w:ilvl w:val="0"/>
          <w:numId w:val="12"/>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Rp = Average return of the Poundland stock</w:t>
      </w:r>
    </w:p>
    <w:p w14:paraId="44158E1A" w14:textId="77777777" w:rsidR="00A422BF" w:rsidRPr="00FB07BA" w:rsidRDefault="00A422BF" w:rsidP="00FB07BA">
      <w:pPr>
        <w:numPr>
          <w:ilvl w:val="0"/>
          <w:numId w:val="12"/>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Rf = Risk-free rate (e.g., yield on government bonds)</w:t>
      </w:r>
    </w:p>
    <w:p w14:paraId="09F95716" w14:textId="77777777" w:rsidR="00A422BF" w:rsidRPr="00FB07BA" w:rsidRDefault="00A422BF" w:rsidP="00FB07BA">
      <w:pPr>
        <w:numPr>
          <w:ilvl w:val="0"/>
          <w:numId w:val="12"/>
        </w:numPr>
        <w:spacing w:line="360" w:lineRule="auto"/>
        <w:jc w:val="both"/>
        <w:rPr>
          <w:rFonts w:ascii="Times New Roman" w:hAnsi="Times New Roman" w:cs="Times New Roman"/>
          <w:sz w:val="24"/>
          <w:szCs w:val="24"/>
        </w:rPr>
      </w:pPr>
      <w:proofErr w:type="spellStart"/>
      <w:r w:rsidRPr="00FB07BA">
        <w:rPr>
          <w:rFonts w:ascii="Times New Roman" w:hAnsi="Times New Roman" w:cs="Times New Roman"/>
          <w:sz w:val="24"/>
          <w:szCs w:val="24"/>
        </w:rPr>
        <w:t>σp</w:t>
      </w:r>
      <w:proofErr w:type="spellEnd"/>
      <w:r w:rsidRPr="00FB07BA">
        <w:rPr>
          <w:rFonts w:ascii="Times New Roman" w:hAnsi="Times New Roman" w:cs="Times New Roman"/>
          <w:sz w:val="24"/>
          <w:szCs w:val="24"/>
        </w:rPr>
        <w:t xml:space="preserve"> = Standard deviation of the Poundland stock returns</w:t>
      </w:r>
    </w:p>
    <w:p w14:paraId="3D8EA017"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Sharpe Ratio: 2018</w:t>
      </w:r>
    </w:p>
    <w:p w14:paraId="23A05591"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For 2018, the Sharpe Ratio for Poundland was calculated as:</w:t>
      </w:r>
    </w:p>
    <w:p w14:paraId="58FF72E4"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1B7B3276" wp14:editId="604BAC7C">
            <wp:extent cx="3753374" cy="63826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753374" cy="638264"/>
                    </a:xfrm>
                    <a:prstGeom prst="rect">
                      <a:avLst/>
                    </a:prstGeom>
                  </pic:spPr>
                </pic:pic>
              </a:graphicData>
            </a:graphic>
          </wp:inline>
        </w:drawing>
      </w:r>
    </w:p>
    <w:p w14:paraId="5AE77F26"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Sharpe Ratio: 2022</w:t>
      </w:r>
    </w:p>
    <w:p w14:paraId="7E05CB56"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For 2022, the Sharpe Ratio for Poundland was calculated as:</w:t>
      </w:r>
    </w:p>
    <w:p w14:paraId="3F56B015"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52250629" wp14:editId="716A290F">
            <wp:extent cx="3858163" cy="676369"/>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858163" cy="676369"/>
                    </a:xfrm>
                    <a:prstGeom prst="rect">
                      <a:avLst/>
                    </a:prstGeom>
                  </pic:spPr>
                </pic:pic>
              </a:graphicData>
            </a:graphic>
          </wp:inline>
        </w:drawing>
      </w:r>
    </w:p>
    <w:p w14:paraId="7BADE99F"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Analysis:</w:t>
      </w:r>
    </w:p>
    <w:p w14:paraId="59E86A5A"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The Sharpe Ratio measured for Poundland for the year 2018 was 0.167 that reveals the fact that the company realized an excess return of $ 0.167 per each unit of risk. On the contrary, </w:t>
      </w:r>
      <w:r w:rsidRPr="00FB07BA">
        <w:rPr>
          <w:rFonts w:ascii="Times New Roman" w:hAnsi="Times New Roman" w:cs="Times New Roman"/>
          <w:sz w:val="24"/>
          <w:szCs w:val="24"/>
        </w:rPr>
        <w:lastRenderedPageBreak/>
        <w:t>the Sharpe-Ratio rose to 0.250 in 2022, it implies better than the Risk-Adjusted Returns. It also rose due to a stronger performance in managing the risks as well as attaining returns within the period, although the two ratios show moderate results compared to the markets’ indices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(Lee and Raschke, 2023).</w:t>
      </w:r>
      <w:r w:rsidRPr="00FB07BA">
        <w:rPr>
          <w:rFonts w:ascii="Times New Roman" w:hAnsi="Times New Roman" w:cs="Times New Roman"/>
          <w:sz w:val="24"/>
          <w:szCs w:val="24"/>
        </w:rPr>
        <w:t xml:space="preserve"> </w:t>
      </w:r>
    </w:p>
    <w:p w14:paraId="4444E69F"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b/>
          <w:bCs/>
          <w:sz w:val="24"/>
          <w:szCs w:val="24"/>
        </w:rPr>
        <w:t>Treynor Ratio</w:t>
      </w:r>
    </w:p>
    <w:p w14:paraId="22503921"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The Treynor Ratio assesses the excess return earned for each unit of market risk, where market risk is measured by beta. The formula is:</w:t>
      </w:r>
    </w:p>
    <w:p w14:paraId="7AAC78E2" w14:textId="77777777" w:rsidR="00A422BF" w:rsidRPr="00FB07BA" w:rsidRDefault="00A422BF" w:rsidP="00FB07BA">
      <w:pPr>
        <w:spacing w:line="360" w:lineRule="auto"/>
        <w:jc w:val="both"/>
        <w:rPr>
          <w:rFonts w:ascii="Cambria Math" w:hAnsi="Cambria Math" w:cs="Times New Roman"/>
          <w:sz w:val="24"/>
          <w:szCs w:val="24"/>
          <w:oMath/>
        </w:rPr>
      </w:pPr>
      <m:oMathPara>
        <m:oMath>
          <m:r>
            <w:rPr>
              <w:rFonts w:ascii="Cambria Math" w:hAnsi="Cambria Math" w:cs="Times New Roman"/>
              <w:sz w:val="24"/>
              <w:szCs w:val="24"/>
            </w:rPr>
            <m:t>Treynor Ratio=</m:t>
          </m:r>
          <m:f>
            <m:fPr>
              <m:ctrlPr>
                <w:rPr>
                  <w:rFonts w:ascii="Cambria Math" w:hAnsi="Cambria Math" w:cs="Times New Roman"/>
                  <w:i/>
                  <w:sz w:val="24"/>
                  <w:szCs w:val="24"/>
                </w:rPr>
              </m:ctrlPr>
            </m:fPr>
            <m:num>
              <m:r>
                <w:rPr>
                  <w:rFonts w:ascii="Cambria Math" w:hAnsi="Cambria Math" w:cs="Times New Roman"/>
                  <w:sz w:val="24"/>
                  <w:szCs w:val="24"/>
                </w:rPr>
                <m:t>Rp-Rf</m:t>
              </m:r>
            </m:num>
            <m:den>
              <m:r>
                <w:rPr>
                  <w:rFonts w:ascii="Cambria Math" w:hAnsi="Cambria Math" w:cs="Times New Roman"/>
                  <w:sz w:val="24"/>
                  <w:szCs w:val="24"/>
                </w:rPr>
                <m:t>β</m:t>
              </m:r>
            </m:den>
          </m:f>
        </m:oMath>
      </m:oMathPara>
    </w:p>
    <w:p w14:paraId="45A66465"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Where:</w:t>
      </w:r>
    </w:p>
    <w:p w14:paraId="1B665EEB" w14:textId="77777777" w:rsidR="00A422BF" w:rsidRPr="00FB07BA" w:rsidRDefault="00A422BF" w:rsidP="00FB07BA">
      <w:pPr>
        <w:numPr>
          <w:ilvl w:val="0"/>
          <w:numId w:val="13"/>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Rp = Average return of the Poundland stock</w:t>
      </w:r>
    </w:p>
    <w:p w14:paraId="41542A3F" w14:textId="77777777" w:rsidR="00A422BF" w:rsidRPr="00FB07BA" w:rsidRDefault="00A422BF" w:rsidP="00FB07BA">
      <w:pPr>
        <w:numPr>
          <w:ilvl w:val="0"/>
          <w:numId w:val="13"/>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Rf= Risk-free rate</w:t>
      </w:r>
    </w:p>
    <w:p w14:paraId="54E59AA9" w14:textId="77777777" w:rsidR="00A422BF" w:rsidRPr="00FB07BA" w:rsidRDefault="00A422BF" w:rsidP="00FB07BA">
      <w:pPr>
        <w:numPr>
          <w:ilvl w:val="0"/>
          <w:numId w:val="13"/>
        </w:num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β= Beta of Poundland stock</w:t>
      </w:r>
    </w:p>
    <w:p w14:paraId="076B3531"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Treynor Ratio: 2018</w:t>
      </w:r>
    </w:p>
    <w:p w14:paraId="36E44C94"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For 2018, the Treynor Ratio for Poundland was calculated as:</w:t>
      </w:r>
    </w:p>
    <w:p w14:paraId="6F5A90F2"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10B6204F" wp14:editId="360233EB">
            <wp:extent cx="3581900" cy="619211"/>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581900" cy="619211"/>
                    </a:xfrm>
                    <a:prstGeom prst="rect">
                      <a:avLst/>
                    </a:prstGeom>
                  </pic:spPr>
                </pic:pic>
              </a:graphicData>
            </a:graphic>
          </wp:inline>
        </w:drawing>
      </w:r>
    </w:p>
    <w:p w14:paraId="00778330"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Treynor Ratio: 2022</w:t>
      </w:r>
    </w:p>
    <w:p w14:paraId="03F071E0"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For 2022, the Treynor Ratio for Poundland was calculated as:</w:t>
      </w:r>
    </w:p>
    <w:p w14:paraId="3A4D6303"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rPr>
        <w:drawing>
          <wp:inline distT="0" distB="0" distL="0" distR="0" wp14:anchorId="0D8E8136" wp14:editId="2EFFA8FE">
            <wp:extent cx="3820058" cy="581106"/>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820058" cy="581106"/>
                    </a:xfrm>
                    <a:prstGeom prst="rect">
                      <a:avLst/>
                    </a:prstGeom>
                  </pic:spPr>
                </pic:pic>
              </a:graphicData>
            </a:graphic>
          </wp:inline>
        </w:drawing>
      </w:r>
    </w:p>
    <w:p w14:paraId="45DC37C0" w14:textId="77777777" w:rsidR="00A422BF" w:rsidRPr="00FB07BA" w:rsidRDefault="00A422BF" w:rsidP="00FB07BA">
      <w:pPr>
        <w:spacing w:line="360" w:lineRule="auto"/>
        <w:jc w:val="both"/>
        <w:rPr>
          <w:rFonts w:ascii="Times New Roman" w:hAnsi="Times New Roman" w:cs="Times New Roman"/>
          <w:sz w:val="24"/>
          <w:szCs w:val="24"/>
        </w:rPr>
      </w:pPr>
      <w:r w:rsidRPr="00FB07BA">
        <w:rPr>
          <w:rFonts w:ascii="Times New Roman" w:hAnsi="Times New Roman" w:cs="Times New Roman"/>
          <w:b/>
          <w:bCs/>
          <w:sz w:val="24"/>
          <w:szCs w:val="24"/>
        </w:rPr>
        <w:t>Analysis:</w:t>
      </w:r>
    </w:p>
    <w:p w14:paraId="2C538A2E"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The information on the Treynor Ratio for Poundland available for the year 2018 is financial ratios indicating the returns, the second figure placed at 0.017 reveals the fact that the returns were calculated to be only a shade above the risk-free rate as adjusted for the market risk</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(Bruna et al., 2022)</w:t>
      </w:r>
      <w:r w:rsidRPr="00FB07BA">
        <w:rPr>
          <w:rFonts w:ascii="Times New Roman" w:hAnsi="Times New Roman" w:cs="Times New Roman"/>
          <w:sz w:val="24"/>
          <w:szCs w:val="24"/>
        </w:rPr>
        <w:t xml:space="preserve">. Comparing it to 2021, in 2022 the Treynor Ratio was even lower and </w:t>
      </w:r>
      <w:r w:rsidRPr="00FB07BA">
        <w:rPr>
          <w:rFonts w:ascii="Times New Roman" w:hAnsi="Times New Roman" w:cs="Times New Roman"/>
          <w:sz w:val="24"/>
          <w:szCs w:val="24"/>
        </w:rPr>
        <w:lastRenderedPageBreak/>
        <w:t>made 0.025, which means that it has beat the market risk that was undertaken. However, the result still shows that Poundland achieved relatively low return for both years with a Treynor Ratio, indicating that the firm’s returns are still moderate, and failed to substantially exceed the benchmark return after accounting for systematic risk</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(Chen and Xie, 2022)</w:t>
      </w:r>
      <w:r w:rsidRPr="00FB07BA">
        <w:rPr>
          <w:rFonts w:ascii="Times New Roman" w:hAnsi="Times New Roman" w:cs="Times New Roman"/>
          <w:sz w:val="24"/>
          <w:szCs w:val="24"/>
        </w:rPr>
        <w:t>.</w:t>
      </w:r>
    </w:p>
    <w:p w14:paraId="1BE8E0DA" w14:textId="77777777" w:rsidR="00A422BF" w:rsidRPr="00FB07BA" w:rsidRDefault="00A422BF" w:rsidP="00FB07BA">
      <w:pPr>
        <w:pStyle w:val="Heading1"/>
        <w:spacing w:line="360" w:lineRule="auto"/>
        <w:rPr>
          <w:rFonts w:cs="Times New Roman"/>
          <w:szCs w:val="24"/>
        </w:rPr>
      </w:pPr>
      <w:bookmarkStart w:id="8" w:name="_Toc174655597"/>
      <w:r w:rsidRPr="00FB07BA">
        <w:rPr>
          <w:rFonts w:cs="Times New Roman"/>
          <w:szCs w:val="24"/>
        </w:rPr>
        <w:t>3. Comparative Analysis</w:t>
      </w:r>
      <w:bookmarkEnd w:id="8"/>
      <w:r w:rsidR="00FB07BA" w:rsidRPr="00FB07BA">
        <w:rPr>
          <w:rFonts w:cs="Times New Roman"/>
          <w:szCs w:val="24"/>
        </w:rPr>
        <w:t xml:space="preserve"> </w:t>
      </w:r>
    </w:p>
    <w:p w14:paraId="5006D260" w14:textId="644892AD"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In this part of the report, we make a comparison between Poundland and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in terms of their financial returns, their market position and their risk. In this comparison, it will become easier to capture various aspects and risks of the two companies and focus on their exchange-traded (ET) options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(Bruna et al., 2022)</w:t>
      </w:r>
      <w:r w:rsidRPr="00FB07BA">
        <w:rPr>
          <w:rFonts w:ascii="Times New Roman" w:hAnsi="Times New Roman" w:cs="Times New Roman"/>
          <w:sz w:val="24"/>
          <w:szCs w:val="24"/>
        </w:rPr>
        <w:t xml:space="preserve">. Essentially, Poundland, which is in the discount retail industry, and </w:t>
      </w:r>
      <w:r w:rsidR="009858F0">
        <w:rPr>
          <w:rFonts w:ascii="Times New Roman" w:hAnsi="Times New Roman" w:cs="Times New Roman"/>
          <w:sz w:val="24"/>
          <w:szCs w:val="24"/>
        </w:rPr>
        <w:t>Home Bargains</w:t>
      </w:r>
      <w:r w:rsidRPr="00FB07BA">
        <w:rPr>
          <w:rFonts w:ascii="Times New Roman" w:hAnsi="Times New Roman" w:cs="Times New Roman"/>
          <w:sz w:val="24"/>
          <w:szCs w:val="24"/>
        </w:rPr>
        <w:t>, a mining company, are in different industries; they face different operational realities and their investment situations differ from those of other firms in their industries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(Chen and Xie, 2022)</w:t>
      </w:r>
      <w:r w:rsidRPr="00FB07BA">
        <w:rPr>
          <w:rFonts w:ascii="Times New Roman" w:hAnsi="Times New Roman" w:cs="Times New Roman"/>
          <w:sz w:val="24"/>
          <w:szCs w:val="24"/>
        </w:rPr>
        <w:t xml:space="preserve">. </w:t>
      </w:r>
    </w:p>
    <w:p w14:paraId="30C19C25" w14:textId="63F4B6DC"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Poundland was established in 1990 and currently forms part of the most popular discount stores in the United Kingdom ; All the stocks within the store are sold at £ 1 each</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(Małachowski and Gadowska-dos Santos, 2021)</w:t>
      </w:r>
      <w:r w:rsidRPr="00FB07BA">
        <w:rPr>
          <w:rFonts w:ascii="Times New Roman" w:hAnsi="Times New Roman" w:cs="Times New Roman"/>
          <w:sz w:val="24"/>
          <w:szCs w:val="24"/>
        </w:rPr>
        <w:t xml:space="preserve">. SWOT analysis for this company also shows that in target market the key consideration is offering affordable products. The shares of Poundland are in London Stock Exchange hence making it a public limited company. On the other hand,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is a company operating in many countries that deals in the mining and processing of minerals.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was established in </w:t>
      </w:r>
      <w:r w:rsidR="00A7770E">
        <w:rPr>
          <w:rFonts w:ascii="Times New Roman" w:hAnsi="Times New Roman" w:cs="Times New Roman"/>
          <w:sz w:val="24"/>
          <w:szCs w:val="24"/>
        </w:rPr>
        <w:t>1976</w:t>
      </w:r>
      <w:r w:rsidRPr="00FB07BA">
        <w:rPr>
          <w:rFonts w:ascii="Times New Roman" w:hAnsi="Times New Roman" w:cs="Times New Roman"/>
          <w:sz w:val="24"/>
          <w:szCs w:val="24"/>
        </w:rPr>
        <w:t xml:space="preserve"> currently the company is having its stock list on London Stock Exchange and New York Stock Exchange. That is, the diversified product portfolio consisting of iron ore, </w:t>
      </w:r>
      <w:r w:rsidR="004F4976" w:rsidRPr="00FB07BA">
        <w:rPr>
          <w:rFonts w:ascii="Times New Roman" w:hAnsi="Times New Roman" w:cs="Times New Roman"/>
          <w:sz w:val="24"/>
          <w:szCs w:val="24"/>
        </w:rPr>
        <w:t>aluminium</w:t>
      </w:r>
      <w:r w:rsidRPr="00FB07BA">
        <w:rPr>
          <w:rFonts w:ascii="Times New Roman" w:hAnsi="Times New Roman" w:cs="Times New Roman"/>
          <w:sz w:val="24"/>
          <w:szCs w:val="24"/>
        </w:rPr>
        <w:t>, copper, and diamonds clearly indicates the difference in the scale and operation’s area which is much larger than Poundland and Market Capitalization of the firm</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(Bruna et al., 2022)</w:t>
      </w:r>
      <w:r w:rsidRPr="00FB07BA">
        <w:rPr>
          <w:rFonts w:ascii="Times New Roman" w:hAnsi="Times New Roman" w:cs="Times New Roman"/>
          <w:sz w:val="24"/>
          <w:szCs w:val="24"/>
        </w:rPr>
        <w:t xml:space="preserve">. </w:t>
      </w:r>
    </w:p>
    <w:p w14:paraId="0E90072B"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b/>
          <w:bCs/>
          <w:sz w:val="24"/>
          <w:szCs w:val="24"/>
        </w:rPr>
        <w:t>Financial Metrics and Market Performance</w:t>
      </w:r>
    </w:p>
    <w:p w14:paraId="466FBA49" w14:textId="583C0CAD"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The current performance of poundland demonstrates the L-M strategy with considerably low margin but high turnover. Poundland’s last annual reports have revealed constant growth in revenues with the company profit margins still being relatively low mainly because of the business model based on very cheap prices. The values are slightly lower and that is why the company is not as large as </w:t>
      </w:r>
      <w:r w:rsidR="009858F0">
        <w:rPr>
          <w:rFonts w:ascii="Times New Roman" w:hAnsi="Times New Roman" w:cs="Times New Roman"/>
          <w:sz w:val="24"/>
          <w:szCs w:val="24"/>
        </w:rPr>
        <w:t>Home Bargains</w:t>
      </w:r>
      <w:r w:rsidRPr="00FB07BA">
        <w:rPr>
          <w:rFonts w:ascii="Times New Roman" w:hAnsi="Times New Roman" w:cs="Times New Roman"/>
          <w:sz w:val="24"/>
          <w:szCs w:val="24"/>
        </w:rPr>
        <w:t>; it produces less, generates less revenue. The key performance indicators stressed that Poundland had reasonable and rather predictable profit that continued on the strategy of a strict cost controls and volume growth</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(Małachowski and Gadowska-dos Santos, 2021)</w:t>
      </w:r>
      <w:r w:rsidRPr="00FB07BA">
        <w:rPr>
          <w:rFonts w:ascii="Times New Roman" w:hAnsi="Times New Roman" w:cs="Times New Roman"/>
          <w:sz w:val="24"/>
          <w:szCs w:val="24"/>
        </w:rPr>
        <w:t>.</w:t>
      </w:r>
      <w:r w:rsidR="00FB07BA" w:rsidRPr="00FB07BA">
        <w:rPr>
          <w:rFonts w:ascii="Times New Roman" w:hAnsi="Times New Roman" w:cs="Times New Roman"/>
          <w:sz w:val="24"/>
          <w:szCs w:val="24"/>
        </w:rPr>
        <w:t xml:space="preserve"> </w:t>
      </w:r>
    </w:p>
    <w:p w14:paraId="474A6F2A" w14:textId="5F52D8DA"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lastRenderedPageBreak/>
        <w:t xml:space="preserve">On the other hand, the firm’s operating and financial performance highlights show that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earn massive revenues and profits from a variety of minerals. In their case, high-value commodities have helped the firm to post very good financial figures, coupled by expansion into the global markets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(Baig and Chen, 2021)</w:t>
      </w:r>
      <w:r w:rsidRPr="00FB07BA">
        <w:rPr>
          <w:rFonts w:ascii="Times New Roman" w:hAnsi="Times New Roman" w:cs="Times New Roman"/>
          <w:sz w:val="24"/>
          <w:szCs w:val="24"/>
        </w:rPr>
        <w:t xml:space="preserve">. This give a market capitalization advantage to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due to the company’s wide network and the large revenues generated from several valuable minerals in the market. The current structures afford the company better economies of scale ad operating efficiency, hence the ability of the firm to register better marks in the profitability index as compared to Poundland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(Małachowski and Gadowska-dos Santos, 2021)</w:t>
      </w:r>
      <w:r w:rsidRPr="00FB07BA">
        <w:rPr>
          <w:rFonts w:ascii="Times New Roman" w:hAnsi="Times New Roman" w:cs="Times New Roman"/>
          <w:sz w:val="24"/>
          <w:szCs w:val="24"/>
        </w:rPr>
        <w:t xml:space="preserve">. </w:t>
      </w:r>
    </w:p>
    <w:p w14:paraId="0D9786A3" w14:textId="77777777" w:rsidR="00A422BF" w:rsidRPr="00FB07BA" w:rsidRDefault="00A422BF"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b/>
          <w:bCs/>
          <w:sz w:val="24"/>
          <w:szCs w:val="24"/>
        </w:rPr>
        <w:t>Risk Profiles and Volatility</w:t>
      </w:r>
    </w:p>
    <w:p w14:paraId="0914CFAB"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Poundland and Rio Tino occupy quite different risk profiles owing to the overall nature of their business and exposure to industries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(Baig and Chen, 2021)</w:t>
      </w:r>
      <w:r w:rsidRPr="00FB07BA">
        <w:rPr>
          <w:rFonts w:ascii="Times New Roman" w:hAnsi="Times New Roman" w:cs="Times New Roman"/>
          <w:sz w:val="24"/>
          <w:szCs w:val="24"/>
        </w:rPr>
        <w:t>. The major factors that can affect Poundland refer to market risks related to retail consumption and the intensity of competition in selling low cost products. Fluctuating economic conditions, the dynamics of consumers’ behavior or their preferences may affect the revenues and the overall revenues of Poundland. Moreover, there are the operational risks connected with SC management and cost control because the company belongs to the low margin industry</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(Manu and Saini, 2020)</w:t>
      </w:r>
      <w:r w:rsidRPr="00FB07BA">
        <w:rPr>
          <w:rFonts w:ascii="Times New Roman" w:hAnsi="Times New Roman" w:cs="Times New Roman"/>
          <w:sz w:val="24"/>
          <w:szCs w:val="24"/>
        </w:rPr>
        <w:t xml:space="preserve">. </w:t>
      </w:r>
    </w:p>
    <w:p w14:paraId="7E6F8C4A" w14:textId="79224E5F"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On the other hand, risks that are specific to the mining industry affect </w:t>
      </w:r>
      <w:r w:rsidR="009858F0">
        <w:rPr>
          <w:rFonts w:ascii="Times New Roman" w:hAnsi="Times New Roman" w:cs="Times New Roman"/>
          <w:sz w:val="24"/>
          <w:szCs w:val="24"/>
        </w:rPr>
        <w:t>Home Bargains</w:t>
      </w:r>
      <w:r w:rsidRPr="00FB07BA">
        <w:rPr>
          <w:rFonts w:ascii="Times New Roman" w:hAnsi="Times New Roman" w:cs="Times New Roman"/>
          <w:sz w:val="24"/>
          <w:szCs w:val="24"/>
        </w:rPr>
        <w:t>, which are risks like fluctuating commodity prices, geo political risks and environmental policies. The commodity risk is however partly diversified through the company’s diversified mineral portfolio in that the company is exposed to a variety of commodities</w:t>
      </w:r>
      <w:r w:rsidR="00FB07BA" w:rsidRPr="00FB07BA">
        <w:rPr>
          <w:rFonts w:ascii="Times New Roman" w:hAnsi="Times New Roman" w:cs="Times New Roman"/>
          <w:b/>
          <w:sz w:val="24"/>
          <w:szCs w:val="24"/>
        </w:rPr>
        <w:t xml:space="preserve"> </w:t>
      </w:r>
      <w:r w:rsidR="00FB07BA" w:rsidRPr="00FB07BA">
        <w:rPr>
          <w:rFonts w:ascii="Times New Roman" w:eastAsia="Times New Roman" w:hAnsi="Times New Roman" w:cs="Times New Roman"/>
          <w:sz w:val="24"/>
          <w:szCs w:val="24"/>
          <w:lang w:eastAsia="en-IN"/>
        </w:rPr>
        <w:t>(Baig and Chen, 2021)</w:t>
      </w:r>
      <w:r w:rsidRPr="00FB07BA">
        <w:rPr>
          <w:rFonts w:ascii="Times New Roman" w:hAnsi="Times New Roman" w:cs="Times New Roman"/>
          <w:sz w:val="24"/>
          <w:szCs w:val="24"/>
        </w:rPr>
        <w:t xml:space="preserve">. However, this is has a weakness since changes in global commodity prices often affect </w:t>
      </w:r>
      <w:r w:rsidR="009858F0">
        <w:rPr>
          <w:rFonts w:ascii="Times New Roman" w:hAnsi="Times New Roman" w:cs="Times New Roman"/>
          <w:sz w:val="24"/>
          <w:szCs w:val="24"/>
        </w:rPr>
        <w:t xml:space="preserve">Home </w:t>
      </w:r>
      <w:r w:rsidR="00580EF7">
        <w:rPr>
          <w:rFonts w:ascii="Times New Roman" w:hAnsi="Times New Roman" w:cs="Times New Roman"/>
          <w:sz w:val="24"/>
          <w:szCs w:val="24"/>
        </w:rPr>
        <w:t>Bargain’</w:t>
      </w:r>
      <w:r w:rsidR="00580EF7" w:rsidRPr="00FB07BA">
        <w:rPr>
          <w:rFonts w:ascii="Times New Roman" w:hAnsi="Times New Roman" w:cs="Times New Roman"/>
          <w:sz w:val="24"/>
          <w:szCs w:val="24"/>
        </w:rPr>
        <w:t>s</w:t>
      </w:r>
      <w:r w:rsidRPr="00FB07BA">
        <w:rPr>
          <w:rFonts w:ascii="Times New Roman" w:hAnsi="Times New Roman" w:cs="Times New Roman"/>
          <w:sz w:val="24"/>
          <w:szCs w:val="24"/>
        </w:rPr>
        <w:t xml:space="preserve"> revenue and profitability. Some that source of stability when it comes to the risk profile compared to Poundland is that the company has very well-developed operation streams and has well-developed resources management as tested with time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(Manu and Saini, 2020)</w:t>
      </w:r>
      <w:r w:rsidRPr="00FB07BA">
        <w:rPr>
          <w:rFonts w:ascii="Times New Roman" w:hAnsi="Times New Roman" w:cs="Times New Roman"/>
          <w:sz w:val="24"/>
          <w:szCs w:val="24"/>
        </w:rPr>
        <w:t xml:space="preserve">. </w:t>
      </w:r>
    </w:p>
    <w:p w14:paraId="1865E36E" w14:textId="709311B1" w:rsidR="00FD39D3" w:rsidRPr="00FB07BA" w:rsidRDefault="00FB07BA" w:rsidP="00FB07BA">
      <w:pPr>
        <w:pStyle w:val="Heading2"/>
        <w:spacing w:line="360" w:lineRule="auto"/>
        <w:rPr>
          <w:rFonts w:cs="Times New Roman"/>
          <w:szCs w:val="24"/>
        </w:rPr>
      </w:pPr>
      <w:bookmarkStart w:id="9" w:name="_Toc174655598"/>
      <w:r w:rsidRPr="00FB07BA">
        <w:rPr>
          <w:rFonts w:cs="Times New Roman"/>
          <w:szCs w:val="24"/>
        </w:rPr>
        <w:lastRenderedPageBreak/>
        <w:t xml:space="preserve">3.1 </w:t>
      </w:r>
      <w:r w:rsidR="00FD39D3" w:rsidRPr="00FB07BA">
        <w:rPr>
          <w:rFonts w:cs="Times New Roman"/>
          <w:szCs w:val="24"/>
        </w:rPr>
        <w:t xml:space="preserve">Comparative Analysis: At-the-Money Call Options for </w:t>
      </w:r>
      <w:r w:rsidR="009858F0">
        <w:rPr>
          <w:rFonts w:cs="Times New Roman"/>
          <w:szCs w:val="24"/>
        </w:rPr>
        <w:t>Home Bargains</w:t>
      </w:r>
      <w:r w:rsidR="00FD39D3" w:rsidRPr="00FB07BA">
        <w:rPr>
          <w:rFonts w:cs="Times New Roman"/>
          <w:szCs w:val="24"/>
        </w:rPr>
        <w:t xml:space="preserve"> and Poundland</w:t>
      </w:r>
      <w:bookmarkEnd w:id="9"/>
    </w:p>
    <w:p w14:paraId="17D29FD9" w14:textId="77777777" w:rsidR="006B01B8" w:rsidRPr="00FB07BA" w:rsidRDefault="006B01B8"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lang w:eastAsia="en-IN"/>
        </w:rPr>
        <w:drawing>
          <wp:inline distT="0" distB="0" distL="0" distR="0" wp14:anchorId="2102F0D7" wp14:editId="08DE3669">
            <wp:extent cx="5018567" cy="3136604"/>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019058" cy="3136911"/>
                    </a:xfrm>
                    <a:prstGeom prst="rect">
                      <a:avLst/>
                    </a:prstGeom>
                  </pic:spPr>
                </pic:pic>
              </a:graphicData>
            </a:graphic>
          </wp:inline>
        </w:drawing>
      </w:r>
    </w:p>
    <w:p w14:paraId="064AF3BE" w14:textId="68C28A94"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Using at-the-money (ATM) call options we find it easy to determine the risk-reward relationship in options trading. For this analysis, we'll examine the payoff structures of ATM call options for two different companies: Firms which can be compared are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and Poundland. The cases are made members of companies belonging to different sectors and market situations The exploration of ATM call options based on these companies will therefore give useful insights into how these sensitive financial instruments perform under these conditions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(Nusrathunnisa et al., 2023)</w:t>
      </w:r>
      <w:r w:rsidRPr="00FB07BA">
        <w:rPr>
          <w:rFonts w:ascii="Times New Roman" w:hAnsi="Times New Roman" w:cs="Times New Roman"/>
          <w:sz w:val="24"/>
          <w:szCs w:val="24"/>
        </w:rPr>
        <w:t>.</w:t>
      </w:r>
    </w:p>
    <w:p w14:paraId="04758470" w14:textId="358DF8C6" w:rsidR="00BC6826" w:rsidRPr="00FB07BA" w:rsidRDefault="009858F0" w:rsidP="00FB07BA">
      <w:pPr>
        <w:spacing w:line="360" w:lineRule="auto"/>
        <w:jc w:val="both"/>
        <w:rPr>
          <w:rFonts w:ascii="Times New Roman" w:eastAsia="Times New Roman" w:hAnsi="Times New Roman" w:cs="Times New Roman"/>
          <w:sz w:val="24"/>
          <w:szCs w:val="24"/>
          <w:lang w:eastAsia="en-IN"/>
        </w:rPr>
      </w:pPr>
      <w:r>
        <w:rPr>
          <w:rFonts w:ascii="Times New Roman" w:hAnsi="Times New Roman" w:cs="Times New Roman"/>
          <w:sz w:val="24"/>
          <w:szCs w:val="24"/>
        </w:rPr>
        <w:t>Home Bargains</w:t>
      </w:r>
      <w:r w:rsidR="00BC6826" w:rsidRPr="00FB07BA">
        <w:rPr>
          <w:rFonts w:ascii="Times New Roman" w:hAnsi="Times New Roman" w:cs="Times New Roman"/>
          <w:sz w:val="24"/>
          <w:szCs w:val="24"/>
        </w:rPr>
        <w:t xml:space="preserve"> that is one of the largest multinational corporations dealing in the mining industry has an active options market that is heavily traded. This provide liquidity that makes it possible for large traders to trade on this option without affecting the price of the option chest. This can be illustrated in an ATM call option of </w:t>
      </w:r>
      <w:r>
        <w:rPr>
          <w:rFonts w:ascii="Times New Roman" w:hAnsi="Times New Roman" w:cs="Times New Roman"/>
          <w:sz w:val="24"/>
          <w:szCs w:val="24"/>
        </w:rPr>
        <w:t>Home Bargains</w:t>
      </w:r>
      <w:r w:rsidR="00BC6826" w:rsidRPr="00FB07BA">
        <w:rPr>
          <w:rFonts w:ascii="Times New Roman" w:hAnsi="Times New Roman" w:cs="Times New Roman"/>
          <w:sz w:val="24"/>
          <w:szCs w:val="24"/>
        </w:rPr>
        <w:t>, which has strikes set at 3,000 pence as well as the current market price of the underlying stock is also 3,000 pence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(Karimov and Head, 2019)</w:t>
      </w:r>
      <w:r w:rsidR="00BC6826" w:rsidRPr="00FB07BA">
        <w:rPr>
          <w:rFonts w:ascii="Times New Roman" w:hAnsi="Times New Roman" w:cs="Times New Roman"/>
          <w:sz w:val="24"/>
          <w:szCs w:val="24"/>
        </w:rPr>
        <w:t xml:space="preserve">. </w:t>
      </w:r>
    </w:p>
    <w:p w14:paraId="2B6669F2" w14:textId="2432AC39"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Now, when it comes to timing, the </w:t>
      </w:r>
      <w:r w:rsidR="009858F0">
        <w:rPr>
          <w:rFonts w:ascii="Times New Roman" w:hAnsi="Times New Roman" w:cs="Times New Roman"/>
          <w:sz w:val="24"/>
          <w:szCs w:val="24"/>
        </w:rPr>
        <w:t xml:space="preserve">Home </w:t>
      </w:r>
      <w:r w:rsidR="00580EF7">
        <w:rPr>
          <w:rFonts w:ascii="Times New Roman" w:hAnsi="Times New Roman" w:cs="Times New Roman"/>
          <w:sz w:val="24"/>
          <w:szCs w:val="24"/>
        </w:rPr>
        <w:t>Bargain’</w:t>
      </w:r>
      <w:r w:rsidR="00580EF7" w:rsidRPr="00FB07BA">
        <w:rPr>
          <w:rFonts w:ascii="Times New Roman" w:hAnsi="Times New Roman" w:cs="Times New Roman"/>
          <w:sz w:val="24"/>
          <w:szCs w:val="24"/>
        </w:rPr>
        <w:t>s</w:t>
      </w:r>
      <w:r w:rsidRPr="00FB07BA">
        <w:rPr>
          <w:rFonts w:ascii="Times New Roman" w:hAnsi="Times New Roman" w:cs="Times New Roman"/>
          <w:sz w:val="24"/>
          <w:szCs w:val="24"/>
        </w:rPr>
        <w:t xml:space="preserve"> case shows that if the market price of the underlying asset falls below the strike price plus the premium paid for the option, the payoff is zero or in fact becomes negative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(Peng et al., 2021)</w:t>
      </w:r>
      <w:r w:rsidRPr="00FB07BA">
        <w:rPr>
          <w:rFonts w:ascii="Times New Roman" w:hAnsi="Times New Roman" w:cs="Times New Roman"/>
          <w:sz w:val="24"/>
          <w:szCs w:val="24"/>
        </w:rPr>
        <w:t xml:space="preserve">. This is so, because the holder of call option will not exercise the option if the market price is below the strike price since the stocks can be bought in the open market at a cheaper price. The maximum loss is cost of the option that has been measured in premium that has been paid to the option writer. Yet if the market price goes a step further and is higher than the strike price, then the payoff starts to </w:t>
      </w:r>
      <w:r w:rsidRPr="00FB07BA">
        <w:rPr>
          <w:rFonts w:ascii="Times New Roman" w:hAnsi="Times New Roman" w:cs="Times New Roman"/>
          <w:sz w:val="24"/>
          <w:szCs w:val="24"/>
        </w:rPr>
        <w:lastRenderedPageBreak/>
        <w:t xml:space="preserve">get positive. Thus, the profit variations are directly proportional to the rise in the price of the underlying asset above the strike plus the premium. Since, theoretically, the stock price may increase indefinitely, the profit opportunity from an ATM call option on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Limited is also unbounded. This fact of unlimited profit makes the ATM call options rather lucrative in a bullish market where steep price movement is expected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(Nusrathunnisa et al., 2023)</w:t>
      </w:r>
      <w:r w:rsidRPr="00FB07BA">
        <w:rPr>
          <w:rFonts w:ascii="Times New Roman" w:hAnsi="Times New Roman" w:cs="Times New Roman"/>
          <w:sz w:val="24"/>
          <w:szCs w:val="24"/>
        </w:rPr>
        <w:t xml:space="preserve">. </w:t>
      </w:r>
    </w:p>
    <w:p w14:paraId="12FB37AB" w14:textId="42E4AD22"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Poundland, on the other hand, do business in a different setting or market. The options market for a discount retailer like Poundland is limited and less active than that of </w:t>
      </w:r>
      <w:r w:rsidR="009858F0">
        <w:rPr>
          <w:rFonts w:ascii="Times New Roman" w:hAnsi="Times New Roman" w:cs="Times New Roman"/>
          <w:sz w:val="24"/>
          <w:szCs w:val="24"/>
        </w:rPr>
        <w:t>Home Bargains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(Peng et al., 2021)</w:t>
      </w:r>
      <w:r w:rsidRPr="00FB07BA">
        <w:rPr>
          <w:rFonts w:ascii="Times New Roman" w:hAnsi="Times New Roman" w:cs="Times New Roman"/>
          <w:sz w:val="24"/>
          <w:szCs w:val="24"/>
        </w:rPr>
        <w:t xml:space="preserve">. Such a limited liquidity of underlying asset can influence the function and rate of options. Underlying for an ATM call option on Poundland, it may be assumed that the strike price and the current market price both are 100 pence, then the payoff structure follows the same pattern of the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Company but there are certain amendments would be occur due to market factors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(Karimov and Head, 2019)</w:t>
      </w:r>
      <w:r w:rsidRPr="00FB07BA">
        <w:rPr>
          <w:rFonts w:ascii="Times New Roman" w:hAnsi="Times New Roman" w:cs="Times New Roman"/>
          <w:sz w:val="24"/>
          <w:szCs w:val="24"/>
        </w:rPr>
        <w:t>.</w:t>
      </w:r>
    </w:p>
    <w:p w14:paraId="4A934AED" w14:textId="77C5C71A"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In case of Poundland, where the assumptions involve: Poundland shares being below the strike price plus the premium paid, the option holder will be in a loss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(Peng et al., 2021)</w:t>
      </w:r>
      <w:r w:rsidRPr="00FB07BA">
        <w:rPr>
          <w:rFonts w:ascii="Times New Roman" w:hAnsi="Times New Roman" w:cs="Times New Roman"/>
          <w:sz w:val="24"/>
          <w:szCs w:val="24"/>
        </w:rPr>
        <w:t xml:space="preserve">. This loss arises because the market price does not warrant execution of the option to buy the stock as is the case with option writing. The exact exposure to the loss is limited to the amount of the premium paid for the option, just as with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However, if the stock price is above the strike price plus the premium, one gets a positive number for the payoff. There, profits are obtained when the stock price rises above this level and continues to rise as the price increases beyond the break-even point, being the strike price plus the premium. However, because the options market is generally small and less liquid, trading in such options is likely to be limited by large bid/ask spreads and </w:t>
      </w:r>
      <w:r w:rsidR="00580EF7" w:rsidRPr="00FB07BA">
        <w:rPr>
          <w:rFonts w:ascii="Times New Roman" w:hAnsi="Times New Roman" w:cs="Times New Roman"/>
          <w:sz w:val="24"/>
          <w:szCs w:val="24"/>
        </w:rPr>
        <w:t>unfavourable</w:t>
      </w:r>
      <w:r w:rsidRPr="00FB07BA">
        <w:rPr>
          <w:rFonts w:ascii="Times New Roman" w:hAnsi="Times New Roman" w:cs="Times New Roman"/>
          <w:sz w:val="24"/>
          <w:szCs w:val="24"/>
        </w:rPr>
        <w:t xml:space="preserve"> execution prices. As for the actual value of the profitability of the option trade, this might be impacted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(Nusrathunnisa et al., 2023)</w:t>
      </w:r>
      <w:r w:rsidRPr="00FB07BA">
        <w:rPr>
          <w:rFonts w:ascii="Times New Roman" w:hAnsi="Times New Roman" w:cs="Times New Roman"/>
          <w:sz w:val="24"/>
          <w:szCs w:val="24"/>
        </w:rPr>
        <w:t xml:space="preserve">. </w:t>
      </w:r>
    </w:p>
    <w:p w14:paraId="0FAE3B98" w14:textId="04AACE88"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 xml:space="preserve">Thus, the differences in ATM call options of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and Poundland appear to be affected by these market conditions. The large and liquid options market that is available to </w:t>
      </w:r>
      <w:r w:rsidR="009858F0">
        <w:rPr>
          <w:rFonts w:ascii="Times New Roman" w:hAnsi="Times New Roman" w:cs="Times New Roman"/>
          <w:sz w:val="24"/>
          <w:szCs w:val="24"/>
        </w:rPr>
        <w:t>Home Bargains</w:t>
      </w:r>
      <w:r w:rsidRPr="00FB07BA">
        <w:rPr>
          <w:rFonts w:ascii="Times New Roman" w:hAnsi="Times New Roman" w:cs="Times New Roman"/>
          <w:sz w:val="24"/>
          <w:szCs w:val="24"/>
        </w:rPr>
        <w:t xml:space="preserve"> gave easier trades and clear risk and reward compared to futures with the potential of large gains in a rising market. The liquidity makes it possible for trades to be done and the fact that one can earn unlimited profits if the prices go up in the bullish outlook makes the ATM call options to be useful to investors especially when they are expecting high increases in price</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(Karimov and Head, 2019)</w:t>
      </w:r>
      <w:r w:rsidRPr="00FB07BA">
        <w:rPr>
          <w:rFonts w:ascii="Times New Roman" w:hAnsi="Times New Roman" w:cs="Times New Roman"/>
          <w:sz w:val="24"/>
          <w:szCs w:val="24"/>
        </w:rPr>
        <w:t xml:space="preserve">. </w:t>
      </w:r>
    </w:p>
    <w:p w14:paraId="2A30F35D"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lastRenderedPageBreak/>
        <w:t>On the other hand, Poundland’s options market is much smaller and less liquid than that of the reference company, which has added complications. It is worth also understanding that while the principles illustrated here are generic and apply to the ATM call option payoff structure, the actual implementation of such trades may not be as efficient. Lack of liquidity also indicates that the bid-ask spreads might be wider and the execution could be worse as compared to the initial trade which may have an effect on an overall usefulness of a trade. However, the important payoff structure of an ATM call option which has a limited loss in the form of the stocked premium, and an increase in profit with the asset price is still valid. However, the traders must look at the market liquidity, and the implications of the same while trading options of companies such as Poundland</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(Tanda and Manzi, 2019)</w:t>
      </w:r>
      <w:r w:rsidRPr="00FB07BA">
        <w:rPr>
          <w:rFonts w:ascii="Times New Roman" w:hAnsi="Times New Roman" w:cs="Times New Roman"/>
          <w:sz w:val="24"/>
          <w:szCs w:val="24"/>
        </w:rPr>
        <w:t>.</w:t>
      </w:r>
    </w:p>
    <w:p w14:paraId="32F4F2A7" w14:textId="77777777" w:rsidR="00FD39D3" w:rsidRPr="00FB07BA" w:rsidRDefault="00FB07BA" w:rsidP="00FB07BA">
      <w:pPr>
        <w:pStyle w:val="Heading2"/>
        <w:spacing w:line="360" w:lineRule="auto"/>
        <w:rPr>
          <w:rFonts w:cs="Times New Roman"/>
          <w:szCs w:val="24"/>
        </w:rPr>
      </w:pPr>
      <w:bookmarkStart w:id="10" w:name="_Toc174655599"/>
      <w:r w:rsidRPr="00FB07BA">
        <w:rPr>
          <w:rFonts w:cs="Times New Roman"/>
          <w:szCs w:val="24"/>
        </w:rPr>
        <w:t xml:space="preserve">3.2 </w:t>
      </w:r>
      <w:r w:rsidR="00FD39D3" w:rsidRPr="00FB07BA">
        <w:rPr>
          <w:rFonts w:cs="Times New Roman"/>
          <w:szCs w:val="24"/>
        </w:rPr>
        <w:t>Analysis of At-the-Money (ATM) Put Option Payoff for Poundland</w:t>
      </w:r>
      <w:bookmarkEnd w:id="10"/>
    </w:p>
    <w:p w14:paraId="7A0DCF86" w14:textId="77777777" w:rsidR="006B01B8" w:rsidRPr="00FB07BA" w:rsidRDefault="006B01B8" w:rsidP="00FB07BA">
      <w:pPr>
        <w:spacing w:line="360" w:lineRule="auto"/>
        <w:jc w:val="both"/>
        <w:rPr>
          <w:rFonts w:ascii="Times New Roman" w:hAnsi="Times New Roman" w:cs="Times New Roman"/>
          <w:b/>
          <w:bCs/>
          <w:sz w:val="24"/>
          <w:szCs w:val="24"/>
        </w:rPr>
      </w:pPr>
      <w:r w:rsidRPr="00FB07BA">
        <w:rPr>
          <w:rFonts w:ascii="Times New Roman" w:hAnsi="Times New Roman" w:cs="Times New Roman"/>
          <w:noProof/>
          <w:sz w:val="24"/>
          <w:szCs w:val="24"/>
          <w:lang w:eastAsia="en-IN"/>
        </w:rPr>
        <w:drawing>
          <wp:inline distT="0" distB="0" distL="0" distR="0" wp14:anchorId="4FDA0680" wp14:editId="7A384AB7">
            <wp:extent cx="5731510" cy="3582194"/>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582194"/>
                    </a:xfrm>
                    <a:prstGeom prst="rect">
                      <a:avLst/>
                    </a:prstGeom>
                  </pic:spPr>
                </pic:pic>
              </a:graphicData>
            </a:graphic>
          </wp:inline>
        </w:drawing>
      </w:r>
    </w:p>
    <w:p w14:paraId="7EDF463B" w14:textId="77777777" w:rsidR="006B01B8" w:rsidRPr="00FB07BA" w:rsidRDefault="006B01B8" w:rsidP="00FB07BA">
      <w:pPr>
        <w:spacing w:line="360" w:lineRule="auto"/>
        <w:jc w:val="both"/>
        <w:rPr>
          <w:rFonts w:ascii="Times New Roman" w:hAnsi="Times New Roman" w:cs="Times New Roman"/>
          <w:b/>
          <w:bCs/>
          <w:sz w:val="24"/>
          <w:szCs w:val="24"/>
        </w:rPr>
      </w:pPr>
    </w:p>
    <w:p w14:paraId="56963DB1" w14:textId="77777777" w:rsidR="00FD39D3"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An at-the-money (ATM) put option gives the holder the opportunity to sell an underlying asset in the future for a predefined price known as the strike price of the option before the option expires. In the context of this analysis, it is appropriate to evaluate an ATM put option mainly focusing on Poundland, the company specializing in its penny-store business model</w:t>
      </w:r>
      <w:r w:rsidR="00FD39D3" w:rsidRPr="00FB07BA">
        <w:rPr>
          <w:rFonts w:ascii="Times New Roman" w:hAnsi="Times New Roman" w:cs="Times New Roman"/>
          <w:sz w:val="24"/>
          <w:szCs w:val="24"/>
        </w:rPr>
        <w:t>. Suppose the ATM put option has a strike price of 100 pence, with the current market price of Poundland’s shares also at 100 pence. The characteristics and implications of this option are crucial for understanding the financial dynamics associated with it</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(Tanda and Manzi, 2019)</w:t>
      </w:r>
      <w:r w:rsidR="00FD39D3" w:rsidRPr="00FB07BA">
        <w:rPr>
          <w:rFonts w:ascii="Times New Roman" w:hAnsi="Times New Roman" w:cs="Times New Roman"/>
          <w:sz w:val="24"/>
          <w:szCs w:val="24"/>
        </w:rPr>
        <w:t>.</w:t>
      </w:r>
    </w:p>
    <w:p w14:paraId="5CC99DAB"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lastRenderedPageBreak/>
        <w:t xml:space="preserve">The cash pay off for an ATM put option provides the basis of the put option and it depends on the performance of the asset </w:t>
      </w:r>
      <w:r w:rsidR="00FB07BA" w:rsidRPr="00FB07BA">
        <w:rPr>
          <w:rFonts w:ascii="Times New Roman" w:hAnsi="Times New Roman" w:cs="Times New Roman"/>
          <w:sz w:val="24"/>
          <w:szCs w:val="24"/>
        </w:rPr>
        <w:t xml:space="preserve">in relation to the strike price </w:t>
      </w:r>
      <w:r w:rsidR="00FB07BA" w:rsidRPr="00FB07BA">
        <w:rPr>
          <w:rFonts w:ascii="Times New Roman" w:eastAsia="Times New Roman" w:hAnsi="Times New Roman" w:cs="Times New Roman"/>
          <w:sz w:val="24"/>
          <w:szCs w:val="24"/>
          <w:lang w:eastAsia="en-IN"/>
        </w:rPr>
        <w:t>(Spiegel and Tookes, 2019)</w:t>
      </w:r>
      <w:r w:rsidRPr="00FB07BA">
        <w:rPr>
          <w:rFonts w:ascii="Times New Roman" w:hAnsi="Times New Roman" w:cs="Times New Roman"/>
          <w:sz w:val="24"/>
          <w:szCs w:val="24"/>
        </w:rPr>
        <w:t>. On the other hand, if the asset price is below the strike price minus the amount paid for the option, the payoff value is the negative of the result. Thus, for Poundland if the stock price stays above or equal to 100 pence the value of the put option starts decreasing which is bad news for the option holder though the company might incur a loss limited to the premium paid in case of exercising the option</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(Tanda and Manzi, 2019)</w:t>
      </w:r>
      <w:r w:rsidRPr="00FB07BA">
        <w:rPr>
          <w:rFonts w:ascii="Times New Roman" w:hAnsi="Times New Roman" w:cs="Times New Roman"/>
          <w:sz w:val="24"/>
          <w:szCs w:val="24"/>
        </w:rPr>
        <w:t xml:space="preserve">. </w:t>
      </w:r>
    </w:p>
    <w:p w14:paraId="3DB29851"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However, in the case of slippage contract, the investor assumes a bigger disadvantage when the asset price is below the strike price. In the case of Poundland’s ATM put option as the market price of the stock falls below the 100 pence strike price the holder starts earning the profit. The profit is figured by subtracting from the strike price of the option, markets price, and the amount paid for the premium. The profitability continues to rise with the price drop in the stock, thus illustrating put option’s advantage in a falling market</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(Spiegel and Tookes, 2019)</w:t>
      </w:r>
      <w:r w:rsidRPr="00FB07BA">
        <w:rPr>
          <w:rFonts w:ascii="Times New Roman" w:hAnsi="Times New Roman" w:cs="Times New Roman"/>
          <w:sz w:val="24"/>
          <w:szCs w:val="24"/>
        </w:rPr>
        <w:t>.</w:t>
      </w:r>
    </w:p>
    <w:p w14:paraId="078A242F"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This means that the maxima occur when the loss in the asset value is greatest and in the case of the put option the asset price has sunk to zero</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(Rudianto, 2021)</w:t>
      </w:r>
      <w:r w:rsidRPr="00FB07BA">
        <w:rPr>
          <w:rFonts w:ascii="Times New Roman" w:hAnsi="Times New Roman" w:cs="Times New Roman"/>
          <w:sz w:val="24"/>
          <w:szCs w:val="24"/>
        </w:rPr>
        <w:t>. Presently, the holder can exercise the stocks and sell them at their face value of £ 100 pence although they are nearly valueless in the market. The above theoretical maximum profit draw attention to possibilities of the put options in providing protection against large losses in the price of the underlying asset. However, such a situation is rather exceptional and thus hardly probable, particularly if considering Poundland with relatively low fluctuations in comparison with large-coverage shares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(Spiegel and Tookes, 2019)</w:t>
      </w:r>
      <w:r w:rsidRPr="00FB07BA">
        <w:rPr>
          <w:rFonts w:ascii="Times New Roman" w:hAnsi="Times New Roman" w:cs="Times New Roman"/>
          <w:sz w:val="24"/>
          <w:szCs w:val="24"/>
        </w:rPr>
        <w:t xml:space="preserve">. </w:t>
      </w:r>
    </w:p>
    <w:p w14:paraId="599AE0DC" w14:textId="77777777" w:rsidR="00BC6826" w:rsidRPr="00FB07BA" w:rsidRDefault="00BC6826" w:rsidP="00FB07BA">
      <w:pPr>
        <w:spacing w:line="360" w:lineRule="auto"/>
        <w:jc w:val="both"/>
        <w:rPr>
          <w:rFonts w:ascii="Times New Roman" w:eastAsia="Times New Roman" w:hAnsi="Times New Roman" w:cs="Times New Roman"/>
          <w:sz w:val="24"/>
          <w:szCs w:val="24"/>
          <w:lang w:eastAsia="en-IN"/>
        </w:rPr>
      </w:pPr>
      <w:r w:rsidRPr="00FB07BA">
        <w:rPr>
          <w:rFonts w:ascii="Times New Roman" w:hAnsi="Times New Roman" w:cs="Times New Roman"/>
          <w:sz w:val="24"/>
          <w:szCs w:val="24"/>
        </w:rPr>
        <w:t>Conversely, the ATM put option has an upper limit on the total loss it can extent to which it can be worsted is restricted to the price paid to purchase the option</w:t>
      </w:r>
      <w:r w:rsidR="00FB07BA" w:rsidRPr="00FB07BA">
        <w:rPr>
          <w:rFonts w:ascii="Times New Roman" w:hAnsi="Times New Roman" w:cs="Times New Roman"/>
          <w:sz w:val="24"/>
          <w:szCs w:val="24"/>
        </w:rPr>
        <w:t xml:space="preserve"> v </w:t>
      </w:r>
      <w:r w:rsidR="00FB07BA" w:rsidRPr="00FB07BA">
        <w:rPr>
          <w:rFonts w:ascii="Times New Roman" w:eastAsia="Times New Roman" w:hAnsi="Times New Roman" w:cs="Times New Roman"/>
          <w:sz w:val="24"/>
          <w:szCs w:val="24"/>
          <w:lang w:eastAsia="en-IN"/>
        </w:rPr>
        <w:t>(Lowry, Michaely and Volkova, 2020)</w:t>
      </w:r>
      <w:r w:rsidRPr="00FB07BA">
        <w:rPr>
          <w:rFonts w:ascii="Times New Roman" w:hAnsi="Times New Roman" w:cs="Times New Roman"/>
          <w:sz w:val="24"/>
          <w:szCs w:val="24"/>
        </w:rPr>
        <w:t>. If at the expiration date the price of stock of Poundland remains above or equal to the strike price the option is allowed to lapse and the only cost is the cost the option premium. This relatively small possibility of a loss makes put option a preferred product for the investors who want to protect themselves against the price declines while at the same time limiting their losses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(Predkiewicz, Pauka and Predkiewicz, 2021)</w:t>
      </w:r>
      <w:r w:rsidRPr="00FB07BA">
        <w:rPr>
          <w:rFonts w:ascii="Times New Roman" w:hAnsi="Times New Roman" w:cs="Times New Roman"/>
          <w:sz w:val="24"/>
          <w:szCs w:val="24"/>
        </w:rPr>
        <w:t xml:space="preserve">. </w:t>
      </w:r>
    </w:p>
    <w:p w14:paraId="25B14432" w14:textId="172FA44B" w:rsidR="001917B9" w:rsidRDefault="00BC6826" w:rsidP="00FB07BA">
      <w:pPr>
        <w:spacing w:line="360" w:lineRule="auto"/>
        <w:jc w:val="both"/>
        <w:rPr>
          <w:rFonts w:ascii="Times New Roman" w:hAnsi="Times New Roman" w:cs="Times New Roman"/>
          <w:sz w:val="24"/>
          <w:szCs w:val="24"/>
        </w:rPr>
      </w:pPr>
      <w:r w:rsidRPr="00FB07BA">
        <w:rPr>
          <w:rFonts w:ascii="Times New Roman" w:hAnsi="Times New Roman" w:cs="Times New Roman"/>
          <w:sz w:val="24"/>
          <w:szCs w:val="24"/>
        </w:rPr>
        <w:t>In the case of Poundland, the possible parameters that could affect the efficiency and popularity of the ATM put option could be: However, it is possible that Poundland has a lesser amount of trading opportunities than the giant firms due to the difference in market capitalization of its options market</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(Lowry, Michaely and Volkova, 2020)</w:t>
      </w:r>
      <w:r w:rsidRPr="00FB07BA">
        <w:rPr>
          <w:rFonts w:ascii="Times New Roman" w:hAnsi="Times New Roman" w:cs="Times New Roman"/>
          <w:sz w:val="24"/>
          <w:szCs w:val="24"/>
        </w:rPr>
        <w:t xml:space="preserve">. They have lower </w:t>
      </w:r>
      <w:r w:rsidRPr="00FB07BA">
        <w:rPr>
          <w:rFonts w:ascii="Times New Roman" w:hAnsi="Times New Roman" w:cs="Times New Roman"/>
          <w:sz w:val="24"/>
          <w:szCs w:val="24"/>
        </w:rPr>
        <w:lastRenderedPageBreak/>
        <w:t>liquidity resulting to higher transaction costs and possible challenges in executing transactions. Thus, while less liquid options are available, bid-ask spreads can increase, and it will be necessary to make a transaction at a price which can dramatically differ from the theoretical price of the option, and therefore, affect the profitability of such transactions</w:t>
      </w:r>
      <w:r w:rsidR="00FB07BA" w:rsidRPr="00FB07BA">
        <w:rPr>
          <w:rFonts w:ascii="Times New Roman" w:hAnsi="Times New Roman" w:cs="Times New Roman"/>
          <w:sz w:val="24"/>
          <w:szCs w:val="24"/>
        </w:rPr>
        <w:t xml:space="preserve"> </w:t>
      </w:r>
      <w:r w:rsidR="00FB07BA" w:rsidRPr="00FB07BA">
        <w:rPr>
          <w:rFonts w:ascii="Times New Roman" w:eastAsia="Times New Roman" w:hAnsi="Times New Roman" w:cs="Times New Roman"/>
          <w:sz w:val="24"/>
          <w:szCs w:val="24"/>
          <w:lang w:eastAsia="en-IN"/>
        </w:rPr>
        <w:t>(Rudianto, 2021)</w:t>
      </w:r>
      <w:r w:rsidRPr="00FB07BA">
        <w:rPr>
          <w:rFonts w:ascii="Times New Roman" w:hAnsi="Times New Roman" w:cs="Times New Roman"/>
          <w:sz w:val="24"/>
          <w:szCs w:val="24"/>
        </w:rPr>
        <w:t>.</w:t>
      </w:r>
    </w:p>
    <w:p w14:paraId="19BE97FB" w14:textId="1E08B71B" w:rsidR="00327B03" w:rsidRDefault="00327B03" w:rsidP="00327B03">
      <w:pPr>
        <w:pStyle w:val="Heading2"/>
      </w:pPr>
      <w:bookmarkStart w:id="11" w:name="_Toc174655600"/>
      <w:r>
        <w:t xml:space="preserve">3.3 </w:t>
      </w:r>
      <w:r w:rsidRPr="00327B03">
        <w:t>strangle or a straddle</w:t>
      </w:r>
      <w:bookmarkEnd w:id="11"/>
    </w:p>
    <w:p w14:paraId="56219561" w14:textId="6A91070D" w:rsidR="000003E2" w:rsidRPr="009B4161" w:rsidRDefault="000003E2" w:rsidP="000003E2">
      <w:pPr>
        <w:rPr>
          <w:rFonts w:ascii="Times New Roman" w:hAnsi="Times New Roman" w:cs="Times New Roman"/>
          <w:sz w:val="24"/>
          <w:szCs w:val="24"/>
        </w:rPr>
      </w:pPr>
      <w:r w:rsidRPr="009B4161">
        <w:rPr>
          <w:rFonts w:ascii="Times New Roman" w:hAnsi="Times New Roman" w:cs="Times New Roman"/>
          <w:sz w:val="24"/>
          <w:szCs w:val="24"/>
        </w:rPr>
        <w:t>There are two options that Poundland has in order to have either a strangle or a straddle set up for it:</w:t>
      </w:r>
    </w:p>
    <w:p w14:paraId="1ACBE82C" w14:textId="2CD5795A" w:rsidR="000003E2" w:rsidRPr="009B4161" w:rsidRDefault="000003E2" w:rsidP="000003E2">
      <w:pPr>
        <w:rPr>
          <w:rFonts w:ascii="Times New Roman" w:hAnsi="Times New Roman" w:cs="Times New Roman"/>
          <w:sz w:val="24"/>
          <w:szCs w:val="24"/>
        </w:rPr>
      </w:pPr>
      <w:r w:rsidRPr="009B4161">
        <w:rPr>
          <w:rFonts w:ascii="Times New Roman" w:hAnsi="Times New Roman" w:cs="Times New Roman"/>
          <w:sz w:val="24"/>
          <w:szCs w:val="24"/>
        </w:rPr>
        <w:t>Having a strangle</w:t>
      </w:r>
    </w:p>
    <w:p w14:paraId="1B96AD50" w14:textId="77777777" w:rsidR="000003E2" w:rsidRPr="009B4161" w:rsidRDefault="000003E2" w:rsidP="000003E2">
      <w:pPr>
        <w:rPr>
          <w:rFonts w:ascii="Times New Roman" w:hAnsi="Times New Roman" w:cs="Times New Roman"/>
          <w:sz w:val="24"/>
          <w:szCs w:val="24"/>
        </w:rPr>
      </w:pPr>
      <w:r w:rsidRPr="009B4161">
        <w:rPr>
          <w:rFonts w:ascii="Times New Roman" w:hAnsi="Times New Roman" w:cs="Times New Roman"/>
          <w:sz w:val="24"/>
          <w:szCs w:val="24"/>
        </w:rPr>
        <w:t>Buy a put option with an out-of-the-money strike price below the present value of the stock. Buy a call option that is also out-of-the-money but with a strike price way above the present value of the stock. Both options should be due for exercise on the same date.</w:t>
      </w:r>
    </w:p>
    <w:p w14:paraId="076C6303" w14:textId="62F0B962" w:rsidR="000003E2" w:rsidRPr="009B4161" w:rsidRDefault="007231EA" w:rsidP="000003E2">
      <w:pPr>
        <w:rPr>
          <w:rFonts w:ascii="Times New Roman" w:hAnsi="Times New Roman" w:cs="Times New Roman"/>
          <w:sz w:val="24"/>
          <w:szCs w:val="24"/>
        </w:rPr>
      </w:pPr>
      <w:r w:rsidRPr="009B4161">
        <w:rPr>
          <w:rFonts w:ascii="Times New Roman" w:hAnsi="Times New Roman" w:cs="Times New Roman"/>
          <w:sz w:val="24"/>
          <w:szCs w:val="24"/>
        </w:rPr>
        <w:t>Straddle</w:t>
      </w:r>
    </w:p>
    <w:p w14:paraId="4F6545E6" w14:textId="14A93E89" w:rsidR="00327B03" w:rsidRPr="009B4161" w:rsidRDefault="000003E2" w:rsidP="000003E2">
      <w:pPr>
        <w:rPr>
          <w:rFonts w:ascii="Times New Roman" w:hAnsi="Times New Roman" w:cs="Times New Roman"/>
          <w:sz w:val="24"/>
          <w:szCs w:val="24"/>
        </w:rPr>
      </w:pPr>
      <w:r w:rsidRPr="009B4161">
        <w:rPr>
          <w:rFonts w:ascii="Times New Roman" w:hAnsi="Times New Roman" w:cs="Times New Roman"/>
          <w:sz w:val="24"/>
          <w:szCs w:val="24"/>
        </w:rPr>
        <w:t>Sell an at-the-money put with the exercise price equal to the current stock price. Buy an at-the-money call option whose exercise price is also equal to the current stock price. Either of the options should have the same expiration da</w:t>
      </w:r>
      <w:r w:rsidR="007722F8" w:rsidRPr="009B4161">
        <w:rPr>
          <w:rFonts w:ascii="Times New Roman" w:hAnsi="Times New Roman" w:cs="Times New Roman"/>
          <w:sz w:val="24"/>
          <w:szCs w:val="24"/>
        </w:rPr>
        <w:t>te.</w:t>
      </w:r>
    </w:p>
    <w:p w14:paraId="3BD0DA6C" w14:textId="68C56EBC" w:rsidR="00D44CCD" w:rsidRPr="009B4161" w:rsidRDefault="00D44CCD" w:rsidP="000003E2">
      <w:pPr>
        <w:rPr>
          <w:rFonts w:ascii="Times New Roman" w:hAnsi="Times New Roman" w:cs="Times New Roman"/>
          <w:sz w:val="24"/>
          <w:szCs w:val="24"/>
        </w:rPr>
      </w:pPr>
      <w:r w:rsidRPr="009B4161">
        <w:rPr>
          <w:rFonts w:ascii="Times New Roman" w:hAnsi="Times New Roman" w:cs="Times New Roman"/>
          <w:sz w:val="24"/>
          <w:szCs w:val="24"/>
        </w:rPr>
        <w:t>The choice between a strangle and a straddle will depend on your view of Poundland's stock price volatility in the near future.</w:t>
      </w:r>
    </w:p>
    <w:p w14:paraId="0B6E3CB1" w14:textId="77777777" w:rsidR="001917B9" w:rsidRDefault="001917B9">
      <w:pPr>
        <w:rPr>
          <w:rFonts w:ascii="Times New Roman" w:hAnsi="Times New Roman" w:cs="Times New Roman"/>
          <w:sz w:val="24"/>
          <w:szCs w:val="24"/>
        </w:rPr>
      </w:pPr>
      <w:r>
        <w:rPr>
          <w:rFonts w:ascii="Times New Roman" w:hAnsi="Times New Roman" w:cs="Times New Roman"/>
          <w:sz w:val="24"/>
          <w:szCs w:val="24"/>
        </w:rPr>
        <w:br w:type="page"/>
      </w:r>
    </w:p>
    <w:p w14:paraId="4BE60851" w14:textId="6629F8DC" w:rsidR="00BC6826" w:rsidRDefault="001917B9" w:rsidP="00C76E02">
      <w:pPr>
        <w:pStyle w:val="Heading1"/>
        <w:rPr>
          <w:rFonts w:eastAsia="Times New Roman"/>
          <w:lang w:eastAsia="en-IN"/>
        </w:rPr>
      </w:pPr>
      <w:bookmarkStart w:id="12" w:name="_Toc174655601"/>
      <w:r>
        <w:rPr>
          <w:rFonts w:eastAsia="Times New Roman"/>
          <w:lang w:eastAsia="en-IN"/>
        </w:rPr>
        <w:lastRenderedPageBreak/>
        <w:t xml:space="preserve">4. </w:t>
      </w:r>
      <w:r w:rsidR="00AB0E02">
        <w:rPr>
          <w:rFonts w:eastAsia="Times New Roman"/>
          <w:lang w:eastAsia="en-IN"/>
        </w:rPr>
        <w:t>10-year note yield</w:t>
      </w:r>
      <w:bookmarkEnd w:id="12"/>
    </w:p>
    <w:p w14:paraId="733D09AD" w14:textId="54393E1A" w:rsidR="007A4F3D" w:rsidRPr="007A4F3D" w:rsidRDefault="007A4F3D" w:rsidP="002C1D6A">
      <w:pPr>
        <w:pStyle w:val="Heading2"/>
        <w:rPr>
          <w:lang w:eastAsia="en-IN"/>
        </w:rPr>
      </w:pPr>
      <w:bookmarkStart w:id="13" w:name="_Toc174655602"/>
      <w:r>
        <w:t>a) Discuss the performance of the 10Y note</w:t>
      </w:r>
      <w:bookmarkEnd w:id="13"/>
    </w:p>
    <w:p w14:paraId="27112E57" w14:textId="3BB12572" w:rsidR="00DB2FF4" w:rsidRPr="00DB2FF4" w:rsidRDefault="00DB2FF4" w:rsidP="00DB2FF4">
      <w:pPr>
        <w:spacing w:line="360" w:lineRule="auto"/>
        <w:jc w:val="both"/>
        <w:rPr>
          <w:rFonts w:ascii="Times New Roman" w:eastAsia="Times New Roman" w:hAnsi="Times New Roman" w:cs="Times New Roman"/>
          <w:sz w:val="24"/>
          <w:szCs w:val="24"/>
          <w:lang w:eastAsia="en-IN"/>
        </w:rPr>
      </w:pPr>
      <w:r w:rsidRPr="00DB2FF4">
        <w:rPr>
          <w:rFonts w:ascii="Times New Roman" w:eastAsia="Times New Roman" w:hAnsi="Times New Roman" w:cs="Times New Roman"/>
          <w:sz w:val="24"/>
          <w:szCs w:val="24"/>
          <w:lang w:eastAsia="en-IN"/>
        </w:rPr>
        <w:t>Of these, 2023 could be marked by times of high rises, followed immediately by periods of volatility in the performance of the 10-year note. The note did not perform evenly. It started with a 10-year note yield, which is basically the harassment interest rate that is paid on the bond; sat at approximately 2.5% at the very beginning of the year. It steadily rose in the first half of the year, peaking at nearly 3.5% in June. That would seem to be due to a variety of factors, from the expectation of an interest rate hike on the part of the Federal Reserve to concerns over the possible inflation rate.</w:t>
      </w:r>
    </w:p>
    <w:p w14:paraId="756EA154" w14:textId="066EF586" w:rsidR="00DB2FF4" w:rsidRPr="00DB2FF4" w:rsidRDefault="00DB2FF4" w:rsidP="00DB2FF4">
      <w:pPr>
        <w:spacing w:line="360" w:lineRule="auto"/>
        <w:jc w:val="both"/>
        <w:rPr>
          <w:rFonts w:ascii="Times New Roman" w:eastAsia="Times New Roman" w:hAnsi="Times New Roman" w:cs="Times New Roman"/>
          <w:sz w:val="24"/>
          <w:szCs w:val="24"/>
          <w:lang w:eastAsia="en-IN"/>
        </w:rPr>
      </w:pPr>
      <w:r w:rsidRPr="00DB2FF4">
        <w:rPr>
          <w:rFonts w:ascii="Times New Roman" w:eastAsia="Times New Roman" w:hAnsi="Times New Roman" w:cs="Times New Roman"/>
          <w:sz w:val="24"/>
          <w:szCs w:val="24"/>
          <w:lang w:eastAsia="en-IN"/>
        </w:rPr>
        <w:t>On the other hand, the 10-year note yield began to slide downward and, by year-end, had come back down to around 2.5%. This was probably due to a variety of factors, including a weak economy and fears of entering a recession.</w:t>
      </w:r>
    </w:p>
    <w:p w14:paraId="3F041081" w14:textId="145B1CDD" w:rsidR="00DB2FF4" w:rsidRPr="00DB2FF4" w:rsidRDefault="00DB2FF4" w:rsidP="00DB2FF4">
      <w:pPr>
        <w:spacing w:line="360" w:lineRule="auto"/>
        <w:jc w:val="both"/>
        <w:rPr>
          <w:rFonts w:ascii="Times New Roman" w:eastAsia="Times New Roman" w:hAnsi="Times New Roman" w:cs="Times New Roman"/>
          <w:sz w:val="24"/>
          <w:szCs w:val="24"/>
          <w:lang w:eastAsia="en-IN"/>
        </w:rPr>
      </w:pPr>
      <w:r w:rsidRPr="00DB2FF4">
        <w:rPr>
          <w:rFonts w:ascii="Times New Roman" w:eastAsia="Times New Roman" w:hAnsi="Times New Roman" w:cs="Times New Roman"/>
          <w:sz w:val="24"/>
          <w:szCs w:val="24"/>
          <w:lang w:eastAsia="en-IN"/>
        </w:rPr>
        <w:t>The performance of the 10-year note in 2023 can be characterized by a period of hefty gains followed by a period of declines. Generally, the performance of the note was quite volatile.</w:t>
      </w:r>
    </w:p>
    <w:p w14:paraId="281FE062" w14:textId="0AFC83DB" w:rsidR="00DB2FF4" w:rsidRPr="00DB2FF4" w:rsidRDefault="00DB2FF4" w:rsidP="007A4F3D">
      <w:pPr>
        <w:pStyle w:val="Heading2"/>
        <w:rPr>
          <w:rFonts w:eastAsia="Times New Roman"/>
          <w:lang w:eastAsia="en-IN"/>
        </w:rPr>
      </w:pPr>
      <w:bookmarkStart w:id="14" w:name="_Toc174655603"/>
      <w:r w:rsidRPr="00DB2FF4">
        <w:rPr>
          <w:rFonts w:eastAsia="Times New Roman"/>
          <w:lang w:eastAsia="en-IN"/>
        </w:rPr>
        <w:t>b) Discuss how changes in the yield of this note impact consumer debt.</w:t>
      </w:r>
      <w:bookmarkEnd w:id="14"/>
    </w:p>
    <w:p w14:paraId="2EDC3F46" w14:textId="676E3BE4" w:rsidR="00DB2FF4" w:rsidRPr="00DB2FF4" w:rsidRDefault="00DB2FF4" w:rsidP="00DB2FF4">
      <w:pPr>
        <w:spacing w:line="360" w:lineRule="auto"/>
        <w:jc w:val="both"/>
        <w:rPr>
          <w:rFonts w:ascii="Times New Roman" w:eastAsia="Times New Roman" w:hAnsi="Times New Roman" w:cs="Times New Roman"/>
          <w:sz w:val="24"/>
          <w:szCs w:val="24"/>
          <w:lang w:eastAsia="en-IN"/>
        </w:rPr>
      </w:pPr>
      <w:r w:rsidRPr="00DB2FF4">
        <w:rPr>
          <w:rFonts w:ascii="Times New Roman" w:eastAsia="Times New Roman" w:hAnsi="Times New Roman" w:cs="Times New Roman"/>
          <w:sz w:val="24"/>
          <w:szCs w:val="24"/>
          <w:lang w:eastAsia="en-IN"/>
        </w:rPr>
        <w:t>The yield on the 10-year note influences the prices of a wide variety of interest rates, including mortgage and credit card rates. Typically, the interest rates applied to consumer debt are raised when the yield on the 10-year note increases. This might make consumer liabilities and loans more difficult. On the other hand, when the yield on 10-year note falls, interest rates for consumer loans are usually cut. This will relatively make it easier to borrow because consumers reduce the overall burden of repayment.</w:t>
      </w:r>
    </w:p>
    <w:p w14:paraId="4EB8A893" w14:textId="6D300CF6" w:rsidR="00DB2FF4" w:rsidRPr="00DB2FF4" w:rsidRDefault="00DB2FF4" w:rsidP="00DB2FF4">
      <w:pPr>
        <w:spacing w:line="360" w:lineRule="auto"/>
        <w:jc w:val="both"/>
        <w:rPr>
          <w:rFonts w:ascii="Times New Roman" w:eastAsia="Times New Roman" w:hAnsi="Times New Roman" w:cs="Times New Roman"/>
          <w:sz w:val="24"/>
          <w:szCs w:val="24"/>
          <w:lang w:eastAsia="en-IN"/>
        </w:rPr>
      </w:pPr>
      <w:r w:rsidRPr="00DB2FF4">
        <w:rPr>
          <w:rFonts w:ascii="Times New Roman" w:eastAsia="Times New Roman" w:hAnsi="Times New Roman" w:cs="Times New Roman"/>
          <w:sz w:val="24"/>
          <w:szCs w:val="24"/>
          <w:lang w:eastAsia="en-IN"/>
        </w:rPr>
        <w:t>These fluctuations of the yield on the 10-year note did affect the amount of consumer debt during the year 2023. During the first half of the year, as yields rose, interest rates on consumer debt also rose, making it hard for people to borrow money and stay within their means. Notably, they topped over a decade high in mortgage rates—real significant gains.</w:t>
      </w:r>
    </w:p>
    <w:p w14:paraId="1C91F7B3" w14:textId="15F6540B" w:rsidR="00BC6826" w:rsidRPr="00FB07BA" w:rsidRDefault="00DB2FF4" w:rsidP="00FB07BA">
      <w:pPr>
        <w:spacing w:line="360" w:lineRule="auto"/>
        <w:jc w:val="both"/>
        <w:rPr>
          <w:rFonts w:ascii="Times New Roman" w:hAnsi="Times New Roman" w:cs="Times New Roman"/>
          <w:sz w:val="24"/>
          <w:szCs w:val="24"/>
        </w:rPr>
      </w:pPr>
      <w:r w:rsidRPr="00DB2FF4">
        <w:rPr>
          <w:rFonts w:ascii="Times New Roman" w:eastAsia="Times New Roman" w:hAnsi="Times New Roman" w:cs="Times New Roman"/>
          <w:sz w:val="24"/>
          <w:szCs w:val="24"/>
          <w:lang w:eastAsia="en-IN"/>
        </w:rPr>
        <w:t>On the other hand, declining yields in the second half of the year lowered interest rates on consumer debt, easing the terms by which consumers could borrow at an affordable price. This was especially true of mortgage rates, which retreated back to much more reasonable levels</w:t>
      </w:r>
      <w:r>
        <w:rPr>
          <w:rFonts w:ascii="Times New Roman" w:eastAsia="Times New Roman" w:hAnsi="Times New Roman" w:cs="Times New Roman"/>
          <w:sz w:val="24"/>
          <w:szCs w:val="24"/>
          <w:lang w:eastAsia="en-IN"/>
        </w:rPr>
        <w:t xml:space="preserve">. </w:t>
      </w:r>
      <w:r w:rsidRPr="00DB2FF4">
        <w:rPr>
          <w:rFonts w:ascii="Times New Roman" w:eastAsia="Times New Roman" w:hAnsi="Times New Roman" w:cs="Times New Roman"/>
          <w:sz w:val="24"/>
          <w:szCs w:val="24"/>
          <w:lang w:eastAsia="en-IN"/>
        </w:rPr>
        <w:t>In summary, the ups and downs that the yield on the 10-year note experienced in 2023 had a very strong impact on consumer debt. The effect this had was that in the first half of the year, it was harder for consumers to afford to borrow money; in the second half, easier.</w:t>
      </w:r>
      <w:r w:rsidR="00BC6826" w:rsidRPr="00FB07BA">
        <w:rPr>
          <w:rFonts w:ascii="Times New Roman" w:hAnsi="Times New Roman" w:cs="Times New Roman"/>
          <w:sz w:val="24"/>
          <w:szCs w:val="24"/>
        </w:rPr>
        <w:br w:type="page"/>
      </w:r>
    </w:p>
    <w:p w14:paraId="26D85716" w14:textId="77777777" w:rsidR="006A683E" w:rsidRPr="00FB07BA" w:rsidRDefault="00BC6826" w:rsidP="00FB07BA">
      <w:pPr>
        <w:pStyle w:val="Heading1"/>
        <w:spacing w:line="360" w:lineRule="auto"/>
        <w:rPr>
          <w:rFonts w:cs="Times New Roman"/>
          <w:szCs w:val="24"/>
        </w:rPr>
      </w:pPr>
      <w:bookmarkStart w:id="15" w:name="_Toc174655604"/>
      <w:r w:rsidRPr="00FB07BA">
        <w:rPr>
          <w:rFonts w:cs="Times New Roman"/>
          <w:szCs w:val="24"/>
        </w:rPr>
        <w:lastRenderedPageBreak/>
        <w:t>References</w:t>
      </w:r>
      <w:bookmarkEnd w:id="15"/>
      <w:r w:rsidRPr="00FB07BA">
        <w:rPr>
          <w:rFonts w:cs="Times New Roman"/>
          <w:szCs w:val="24"/>
        </w:rPr>
        <w:t xml:space="preserve"> </w:t>
      </w:r>
    </w:p>
    <w:p w14:paraId="54919E4A" w14:textId="77777777" w:rsidR="00BC6826" w:rsidRPr="00FB07BA" w:rsidRDefault="00BC6826" w:rsidP="00FB07BA">
      <w:pPr>
        <w:pStyle w:val="NormalWeb"/>
        <w:spacing w:before="0" w:beforeAutospacing="0" w:after="240" w:afterAutospacing="0" w:line="360" w:lineRule="auto"/>
        <w:jc w:val="both"/>
      </w:pPr>
      <w:r w:rsidRPr="00FB07BA">
        <w:t xml:space="preserve">Alatawi, I.A., Ntim, C.G., Zras, A. and Elmagrhi, M.H. (2023). CSR, financial and non-financial performance in the tourism sector: A systematic literature review and future research agenda. </w:t>
      </w:r>
      <w:r w:rsidRPr="00FB07BA">
        <w:rPr>
          <w:i/>
          <w:iCs/>
        </w:rPr>
        <w:t>International Review of Financial Analysis</w:t>
      </w:r>
      <w:r w:rsidRPr="00FB07BA">
        <w:t>, [online] 89, p.102734. doi:</w:t>
      </w:r>
      <w:r w:rsidR="00FB07BA" w:rsidRPr="00FB07BA">
        <w:t xml:space="preserve"> </w:t>
      </w:r>
      <w:hyperlink r:id="rId19" w:history="1">
        <w:r w:rsidR="00FB07BA" w:rsidRPr="00FB07BA">
          <w:rPr>
            <w:rStyle w:val="Hyperlink"/>
            <w:color w:val="auto"/>
          </w:rPr>
          <w:t>https://doi.org/10.1016/j.irfa.2023.102734</w:t>
        </w:r>
      </w:hyperlink>
      <w:r w:rsidRPr="00FB07BA">
        <w:t>.</w:t>
      </w:r>
      <w:r w:rsidR="00FB07BA" w:rsidRPr="00FB07BA">
        <w:t xml:space="preserve"> </w:t>
      </w:r>
    </w:p>
    <w:p w14:paraId="717258AB" w14:textId="77777777" w:rsidR="00BC6826" w:rsidRPr="00FB07BA" w:rsidRDefault="00BC6826" w:rsidP="00FB07BA">
      <w:pPr>
        <w:pStyle w:val="NormalWeb"/>
        <w:spacing w:before="0" w:beforeAutospacing="0" w:after="240" w:afterAutospacing="0" w:line="360" w:lineRule="auto"/>
        <w:jc w:val="both"/>
      </w:pPr>
      <w:r w:rsidRPr="00FB07BA">
        <w:t xml:space="preserve">Baig, A.S. and Chen, M. (2021). Did the COVID-19 pandemic (really) positively impact the IPO Market? An Analysis of information uncertainty. </w:t>
      </w:r>
      <w:r w:rsidRPr="00FB07BA">
        <w:rPr>
          <w:i/>
          <w:iCs/>
        </w:rPr>
        <w:t>Finance Research Letters</w:t>
      </w:r>
      <w:r w:rsidRPr="00FB07BA">
        <w:t xml:space="preserve">, 46(Part B), p.102372. doi: </w:t>
      </w:r>
      <w:hyperlink r:id="rId20" w:history="1">
        <w:r w:rsidRPr="00FB07BA">
          <w:rPr>
            <w:rStyle w:val="Hyperlink"/>
            <w:color w:val="auto"/>
          </w:rPr>
          <w:t>https://doi.org/10.1016/j.frl.2021.102372</w:t>
        </w:r>
      </w:hyperlink>
      <w:r w:rsidRPr="00FB07BA">
        <w:t xml:space="preserve">. </w:t>
      </w:r>
    </w:p>
    <w:p w14:paraId="4AC08584" w14:textId="77777777" w:rsidR="00BC6826" w:rsidRPr="00FB07BA" w:rsidRDefault="00BC6826" w:rsidP="00FB07BA">
      <w:pPr>
        <w:pStyle w:val="NormalWeb"/>
        <w:spacing w:before="0" w:beforeAutospacing="0" w:after="240" w:afterAutospacing="0" w:line="360" w:lineRule="auto"/>
        <w:jc w:val="both"/>
      </w:pPr>
      <w:r w:rsidRPr="00FB07BA">
        <w:t xml:space="preserve">Barauskaite, G. and Streimikiene, D. (2021). Corporate Social Responsibility and Financial Performance of companies: the Puzzle of concepts, Definitions and Assessment Methods. </w:t>
      </w:r>
      <w:r w:rsidRPr="00FB07BA">
        <w:rPr>
          <w:i/>
          <w:iCs/>
        </w:rPr>
        <w:t>Corporate Social Responsibility and Environmental Management</w:t>
      </w:r>
      <w:r w:rsidRPr="00FB07BA">
        <w:t xml:space="preserve">, [online] 28(1), pp.278–287. doi: </w:t>
      </w:r>
      <w:hyperlink r:id="rId21" w:history="1">
        <w:r w:rsidRPr="00FB07BA">
          <w:rPr>
            <w:rStyle w:val="Hyperlink"/>
            <w:color w:val="auto"/>
          </w:rPr>
          <w:t>https://onlinelibrary.wiley.com/doi/abs/10.1002/csr.2048</w:t>
        </w:r>
      </w:hyperlink>
      <w:r w:rsidRPr="00FB07BA">
        <w:t xml:space="preserve">. </w:t>
      </w:r>
    </w:p>
    <w:p w14:paraId="56CEFA49" w14:textId="77777777" w:rsidR="00BC6826" w:rsidRPr="00FB07BA" w:rsidRDefault="00BC6826" w:rsidP="00FB07BA">
      <w:pPr>
        <w:pStyle w:val="NormalWeb"/>
        <w:spacing w:before="0" w:beforeAutospacing="0" w:after="240" w:afterAutospacing="0" w:line="360" w:lineRule="auto"/>
        <w:jc w:val="both"/>
      </w:pPr>
      <w:r w:rsidRPr="00FB07BA">
        <w:t xml:space="preserve">Bruna, M.G., Loprevite, S., Raucci, D., Ricca, B. and Rupo, D. (2022). Investigating the marginal impact of ESG results on corporate financial performance. </w:t>
      </w:r>
      <w:r w:rsidRPr="00FB07BA">
        <w:rPr>
          <w:i/>
          <w:iCs/>
        </w:rPr>
        <w:t>Finance Research Letters</w:t>
      </w:r>
      <w:r w:rsidRPr="00FB07BA">
        <w:t xml:space="preserve">, 47, p.102828. doi: </w:t>
      </w:r>
      <w:hyperlink r:id="rId22" w:history="1">
        <w:r w:rsidRPr="00FB07BA">
          <w:rPr>
            <w:rStyle w:val="Hyperlink"/>
            <w:color w:val="auto"/>
          </w:rPr>
          <w:t>https://doi.org/10.1016/j.frl.2022.102828</w:t>
        </w:r>
      </w:hyperlink>
      <w:r w:rsidRPr="00FB07BA">
        <w:t xml:space="preserve">. </w:t>
      </w:r>
    </w:p>
    <w:p w14:paraId="5D649A7C" w14:textId="77777777" w:rsidR="00BC6826" w:rsidRPr="00FB07BA" w:rsidRDefault="00BC6826" w:rsidP="00FB07BA">
      <w:pPr>
        <w:pStyle w:val="NormalWeb"/>
        <w:spacing w:before="0" w:beforeAutospacing="0" w:after="240" w:afterAutospacing="0" w:line="360" w:lineRule="auto"/>
        <w:jc w:val="both"/>
      </w:pPr>
      <w:r w:rsidRPr="00FB07BA">
        <w:t xml:space="preserve">Chen, Z. and Xie, G. (2022). ESG disclosure and financial performance: Moderating role of ESG investors. </w:t>
      </w:r>
      <w:r w:rsidRPr="00FB07BA">
        <w:rPr>
          <w:i/>
          <w:iCs/>
        </w:rPr>
        <w:t>International Review of Financial Analysis</w:t>
      </w:r>
      <w:r w:rsidRPr="00FB07BA">
        <w:t xml:space="preserve">, 83(1057-5219). doi: </w:t>
      </w:r>
      <w:hyperlink r:id="rId23" w:history="1">
        <w:r w:rsidRPr="00FB07BA">
          <w:rPr>
            <w:rStyle w:val="Hyperlink"/>
            <w:color w:val="auto"/>
          </w:rPr>
          <w:t>https://doi.org/10.1016/j.irfa.2022.102291</w:t>
        </w:r>
      </w:hyperlink>
      <w:r w:rsidRPr="00FB07BA">
        <w:t xml:space="preserve">. </w:t>
      </w:r>
    </w:p>
    <w:p w14:paraId="77876A53" w14:textId="77777777" w:rsidR="00BC6826" w:rsidRPr="00FB07BA" w:rsidRDefault="00BC6826" w:rsidP="00FB07BA">
      <w:pPr>
        <w:pStyle w:val="NormalWeb"/>
        <w:spacing w:before="0" w:beforeAutospacing="0" w:after="240" w:afterAutospacing="0" w:line="360" w:lineRule="auto"/>
        <w:jc w:val="both"/>
      </w:pPr>
      <w:r w:rsidRPr="00FB07BA">
        <w:t xml:space="preserve">Guy, D.J., Bray, J. and Appleton, K.M. (2024). Select dietary changes towards sustainability: Impacts on dietary profiles, environmental footprint, and cost. </w:t>
      </w:r>
      <w:r w:rsidRPr="00FB07BA">
        <w:rPr>
          <w:i/>
          <w:iCs/>
        </w:rPr>
        <w:t>Appetite</w:t>
      </w:r>
      <w:r w:rsidRPr="00FB07BA">
        <w:t xml:space="preserve">, [online] 194, p.107194. doi: </w:t>
      </w:r>
      <w:hyperlink r:id="rId24" w:history="1">
        <w:r w:rsidRPr="00FB07BA">
          <w:rPr>
            <w:rStyle w:val="Hyperlink"/>
            <w:color w:val="auto"/>
          </w:rPr>
          <w:t>https://doi.org/10.1016/j.appet.2023.107194</w:t>
        </w:r>
      </w:hyperlink>
      <w:r w:rsidRPr="00FB07BA">
        <w:t xml:space="preserve">. </w:t>
      </w:r>
    </w:p>
    <w:p w14:paraId="2106E5D8" w14:textId="77777777" w:rsidR="00BC6826" w:rsidRPr="00FB07BA" w:rsidRDefault="00BC6826" w:rsidP="00FB07BA">
      <w:pPr>
        <w:pStyle w:val="NormalWeb"/>
        <w:spacing w:before="0" w:beforeAutospacing="0" w:after="240" w:afterAutospacing="0" w:line="360" w:lineRule="auto"/>
        <w:jc w:val="both"/>
      </w:pPr>
      <w:r w:rsidRPr="00FB07BA">
        <w:t xml:space="preserve">Karimov, N. and Head (2019). Prospects for the development of the stock market: the first IPO and SPO analysis conducted by the companies of Uzbekistan. </w:t>
      </w:r>
      <w:r w:rsidRPr="00FB07BA">
        <w:rPr>
          <w:i/>
          <w:iCs/>
        </w:rPr>
        <w:t>Jour of Adv Research in Dynamical &amp; Control Systems</w:t>
      </w:r>
      <w:r w:rsidRPr="00FB07BA">
        <w:t xml:space="preserve">, [online] 11. doi: </w:t>
      </w:r>
      <w:hyperlink r:id="rId25" w:history="1">
        <w:r w:rsidRPr="00FB07BA">
          <w:rPr>
            <w:rStyle w:val="Hyperlink"/>
            <w:color w:val="auto"/>
          </w:rPr>
          <w:t>https://ejournal.tsue.uz/index.php/archive/article/download/3262/2445</w:t>
        </w:r>
      </w:hyperlink>
      <w:r w:rsidRPr="00FB07BA">
        <w:t xml:space="preserve">. </w:t>
      </w:r>
    </w:p>
    <w:p w14:paraId="20AC5455" w14:textId="77777777" w:rsidR="00BC6826" w:rsidRPr="00FB07BA" w:rsidRDefault="00BC6826" w:rsidP="00FB07BA">
      <w:pPr>
        <w:pStyle w:val="NormalWeb"/>
        <w:spacing w:before="0" w:beforeAutospacing="0" w:after="240" w:afterAutospacing="0" w:line="360" w:lineRule="auto"/>
        <w:jc w:val="both"/>
      </w:pPr>
      <w:r w:rsidRPr="00FB07BA">
        <w:t>Lee, M.T. and Raschke, R.L. (2023). Stakeholder legitimacy in firm greening and financial performance: What about greenwashing temptations?</w:t>
      </w:r>
      <w:r w:rsidRPr="00FB07BA">
        <w:rPr>
          <w:rFonts w:ascii="MS Gothic" w:eastAsia="MS Gothic" w:hAnsi="MS Gothic" w:cs="MS Gothic" w:hint="eastAsia"/>
        </w:rPr>
        <w:t>☆</w:t>
      </w:r>
      <w:r w:rsidRPr="00FB07BA">
        <w:t xml:space="preserve">. </w:t>
      </w:r>
      <w:r w:rsidRPr="00FB07BA">
        <w:rPr>
          <w:i/>
          <w:iCs/>
        </w:rPr>
        <w:t>Journal of Business Research</w:t>
      </w:r>
      <w:r w:rsidRPr="00FB07BA">
        <w:t xml:space="preserve">, [online] 155(B), p.113393. doi: </w:t>
      </w:r>
      <w:hyperlink r:id="rId26" w:history="1">
        <w:r w:rsidRPr="00FB07BA">
          <w:rPr>
            <w:rStyle w:val="Hyperlink"/>
            <w:color w:val="auto"/>
          </w:rPr>
          <w:t>https://doi.org/10.1016/j.jbusres.2022.113393</w:t>
        </w:r>
      </w:hyperlink>
      <w:r w:rsidRPr="00FB07BA">
        <w:t xml:space="preserve">. </w:t>
      </w:r>
    </w:p>
    <w:p w14:paraId="0E2BF196" w14:textId="77777777" w:rsidR="00BC6826" w:rsidRPr="00FB07BA" w:rsidRDefault="00BC6826" w:rsidP="00FB07BA">
      <w:pPr>
        <w:pStyle w:val="NormalWeb"/>
        <w:spacing w:before="0" w:beforeAutospacing="0" w:after="240" w:afterAutospacing="0" w:line="360" w:lineRule="auto"/>
        <w:jc w:val="both"/>
      </w:pPr>
      <w:r w:rsidRPr="00FB07BA">
        <w:lastRenderedPageBreak/>
        <w:t xml:space="preserve">Lowry, M., Michaely, R. and Volkova, E. (2020). Information Revealed through the Regulatory Process: Interactions between the SEC and Companies ahead of Their IPO. </w:t>
      </w:r>
      <w:r w:rsidRPr="00FB07BA">
        <w:rPr>
          <w:i/>
          <w:iCs/>
        </w:rPr>
        <w:t>The Review of Financial Studies</w:t>
      </w:r>
      <w:r w:rsidRPr="00FB07BA">
        <w:t xml:space="preserve">, 33(12). doi: </w:t>
      </w:r>
      <w:hyperlink r:id="rId27" w:history="1">
        <w:r w:rsidRPr="00FB07BA">
          <w:rPr>
            <w:rStyle w:val="Hyperlink"/>
            <w:color w:val="auto"/>
          </w:rPr>
          <w:t>https://doi.org/10.1093/rfs/hhaa007</w:t>
        </w:r>
      </w:hyperlink>
      <w:r w:rsidRPr="00FB07BA">
        <w:t xml:space="preserve">. </w:t>
      </w:r>
    </w:p>
    <w:p w14:paraId="46DFBD84" w14:textId="77777777" w:rsidR="00BC6826" w:rsidRPr="00FB07BA" w:rsidRDefault="00BC6826" w:rsidP="00FB07BA">
      <w:pPr>
        <w:pStyle w:val="NormalWeb"/>
        <w:spacing w:before="0" w:beforeAutospacing="0" w:after="240" w:afterAutospacing="0" w:line="360" w:lineRule="auto"/>
        <w:jc w:val="both"/>
      </w:pPr>
      <w:r w:rsidRPr="00FB07BA">
        <w:t xml:space="preserve">Ma, Y. (2024). Exploring Pinduoduo: Unveiling the Dynamics and Innovation in China’s E-commerce Industry. </w:t>
      </w:r>
      <w:r w:rsidRPr="00FB07BA">
        <w:rPr>
          <w:i/>
          <w:iCs/>
        </w:rPr>
        <w:t>Highlights in Business, Economics and Management</w:t>
      </w:r>
      <w:r w:rsidRPr="00FB07BA">
        <w:t xml:space="preserve">, [online] 24, pp.2555–2558. doi: </w:t>
      </w:r>
      <w:hyperlink r:id="rId28" w:history="1">
        <w:r w:rsidRPr="00FB07BA">
          <w:rPr>
            <w:rStyle w:val="Hyperlink"/>
            <w:color w:val="auto"/>
          </w:rPr>
          <w:t>https://doi.org/10.54097/sm597h14</w:t>
        </w:r>
      </w:hyperlink>
      <w:r w:rsidRPr="00FB07BA">
        <w:t xml:space="preserve">. </w:t>
      </w:r>
    </w:p>
    <w:p w14:paraId="1076495F" w14:textId="77777777" w:rsidR="00BC6826" w:rsidRPr="00FB07BA" w:rsidRDefault="00BC6826" w:rsidP="00FB07BA">
      <w:pPr>
        <w:pStyle w:val="NormalWeb"/>
        <w:spacing w:before="0" w:beforeAutospacing="0" w:after="240" w:afterAutospacing="0" w:line="360" w:lineRule="auto"/>
        <w:jc w:val="both"/>
      </w:pPr>
      <w:r w:rsidRPr="00FB07BA">
        <w:t xml:space="preserve">Mahmood, S., Eke, P., Mpofu, T. and Machold, S. (2022). Women in business leadership in the Midlands. </w:t>
      </w:r>
      <w:r w:rsidRPr="00FB07BA">
        <w:rPr>
          <w:i/>
          <w:iCs/>
        </w:rPr>
        <w:t>wlv.openrepository.com</w:t>
      </w:r>
      <w:r w:rsidRPr="00FB07BA">
        <w:t xml:space="preserve">. [online] doi: </w:t>
      </w:r>
      <w:hyperlink r:id="rId29" w:history="1">
        <w:r w:rsidRPr="00FB07BA">
          <w:rPr>
            <w:rStyle w:val="Hyperlink"/>
            <w:color w:val="auto"/>
          </w:rPr>
          <w:t>https://wlv.openrepository.com/handle/2436/624637</w:t>
        </w:r>
      </w:hyperlink>
      <w:r w:rsidRPr="00FB07BA">
        <w:t xml:space="preserve">. </w:t>
      </w:r>
    </w:p>
    <w:p w14:paraId="24E981E1" w14:textId="77777777" w:rsidR="00BC6826" w:rsidRPr="00FB07BA" w:rsidRDefault="00BC6826" w:rsidP="00FB07BA">
      <w:pPr>
        <w:pStyle w:val="NormalWeb"/>
        <w:spacing w:before="0" w:beforeAutospacing="0" w:after="240" w:afterAutospacing="0" w:line="360" w:lineRule="auto"/>
        <w:jc w:val="both"/>
      </w:pPr>
      <w:r w:rsidRPr="00FB07BA">
        <w:t xml:space="preserve">Małachowski, P. and Gadowska-dos Santos, D. (2021). What Determines the Success of an IPO? Analysis of IPO Underpricing on the Warsaw Stock Exchange. </w:t>
      </w:r>
      <w:r w:rsidRPr="00FB07BA">
        <w:rPr>
          <w:i/>
          <w:iCs/>
        </w:rPr>
        <w:t>Central European Economic Journal</w:t>
      </w:r>
      <w:r w:rsidRPr="00FB07BA">
        <w:t xml:space="preserve">, 8(55), pp.1–14. doi: </w:t>
      </w:r>
      <w:hyperlink r:id="rId30" w:history="1">
        <w:r w:rsidRPr="00FB07BA">
          <w:rPr>
            <w:rStyle w:val="Hyperlink"/>
            <w:color w:val="auto"/>
          </w:rPr>
          <w:t>https://doi.org/10.2478/ceej-2021-0001</w:t>
        </w:r>
      </w:hyperlink>
      <w:r w:rsidRPr="00FB07BA">
        <w:t xml:space="preserve">. </w:t>
      </w:r>
    </w:p>
    <w:p w14:paraId="2D284957" w14:textId="77777777" w:rsidR="00BC6826" w:rsidRPr="00FB07BA" w:rsidRDefault="00BC6826" w:rsidP="00FB07BA">
      <w:pPr>
        <w:pStyle w:val="NormalWeb"/>
        <w:spacing w:before="0" w:beforeAutospacing="0" w:after="240" w:afterAutospacing="0" w:line="360" w:lineRule="auto"/>
        <w:jc w:val="both"/>
      </w:pPr>
      <w:r w:rsidRPr="00FB07BA">
        <w:t xml:space="preserve">Manu, K.S. and Saini, C. (2020). Valuation Analysis of Initial Public Offer (IPO): The Case of India. </w:t>
      </w:r>
      <w:r w:rsidRPr="00FB07BA">
        <w:rPr>
          <w:i/>
          <w:iCs/>
        </w:rPr>
        <w:t>Paradigm</w:t>
      </w:r>
      <w:r w:rsidRPr="00FB07BA">
        <w:t xml:space="preserve">, 24(1), pp.7–21. doi: </w:t>
      </w:r>
      <w:hyperlink r:id="rId31" w:history="1">
        <w:r w:rsidRPr="00FB07BA">
          <w:rPr>
            <w:rStyle w:val="Hyperlink"/>
            <w:color w:val="auto"/>
          </w:rPr>
          <w:t>https://doi.org/10.1177/0971890720914100</w:t>
        </w:r>
      </w:hyperlink>
      <w:r w:rsidRPr="00FB07BA">
        <w:t xml:space="preserve">. </w:t>
      </w:r>
    </w:p>
    <w:p w14:paraId="7D9255B6" w14:textId="77777777" w:rsidR="00BC6826" w:rsidRPr="00FB07BA" w:rsidRDefault="00BC6826" w:rsidP="00FB07BA">
      <w:pPr>
        <w:pStyle w:val="NormalWeb"/>
        <w:spacing w:before="0" w:beforeAutospacing="0" w:after="240" w:afterAutospacing="0" w:line="360" w:lineRule="auto"/>
        <w:jc w:val="both"/>
      </w:pPr>
      <w:r w:rsidRPr="00FB07BA">
        <w:t xml:space="preserve">Nusrathunnisa, Khatoon, G., Bala, H., Benbelgacem, S. and Abubakar Balarabe Karaye (2023). Valuation of Indian Ipo’s Allotment and Current Price Analysis - Are Indian Ipo’s Overvalued? </w:t>
      </w:r>
      <w:r w:rsidRPr="00FB07BA">
        <w:rPr>
          <w:i/>
          <w:iCs/>
        </w:rPr>
        <w:t>International Journal of Professional Business Review: Int. J. Prof.Bus. Rev.</w:t>
      </w:r>
      <w:r w:rsidRPr="00FB07BA">
        <w:t xml:space="preserve">, [online] 8(5), p.2. doi: </w:t>
      </w:r>
      <w:hyperlink r:id="rId32" w:history="1">
        <w:r w:rsidRPr="00FB07BA">
          <w:rPr>
            <w:rStyle w:val="Hyperlink"/>
            <w:color w:val="auto"/>
          </w:rPr>
          <w:t>https://dialnet.unirioja.es/descarga/articulo/8956976.pdf</w:t>
        </w:r>
      </w:hyperlink>
      <w:r w:rsidRPr="00FB07BA">
        <w:t xml:space="preserve">. </w:t>
      </w:r>
    </w:p>
    <w:p w14:paraId="71EF0F6A" w14:textId="77777777" w:rsidR="00BC6826" w:rsidRPr="00FB07BA" w:rsidRDefault="00BC6826" w:rsidP="00FB07BA">
      <w:pPr>
        <w:pStyle w:val="NormalWeb"/>
        <w:spacing w:before="0" w:beforeAutospacing="0" w:after="240" w:afterAutospacing="0" w:line="360" w:lineRule="auto"/>
        <w:jc w:val="both"/>
      </w:pPr>
      <w:r w:rsidRPr="00FB07BA">
        <w:t xml:space="preserve">Okafor, A., Adeleye, B.N. and Adusei, M. (2021). Corporate Social Responsibility and Financial performance: Evidence from U.S Tech Firms. </w:t>
      </w:r>
      <w:r w:rsidRPr="00FB07BA">
        <w:rPr>
          <w:i/>
          <w:iCs/>
        </w:rPr>
        <w:t>Journal of Cleaner Production</w:t>
      </w:r>
      <w:r w:rsidRPr="00FB07BA">
        <w:t xml:space="preserve">, 292(1), p.126078. doi: </w:t>
      </w:r>
      <w:hyperlink r:id="rId33" w:history="1">
        <w:r w:rsidRPr="00FB07BA">
          <w:rPr>
            <w:rStyle w:val="Hyperlink"/>
            <w:color w:val="auto"/>
          </w:rPr>
          <w:t>https://doi.org/10.1016/j.jclepro.2021.126078</w:t>
        </w:r>
      </w:hyperlink>
      <w:r w:rsidRPr="00FB07BA">
        <w:t xml:space="preserve">. </w:t>
      </w:r>
    </w:p>
    <w:p w14:paraId="7B2F4FB6" w14:textId="77777777" w:rsidR="00BC6826" w:rsidRPr="00FB07BA" w:rsidRDefault="00BC6826" w:rsidP="00FB07BA">
      <w:pPr>
        <w:pStyle w:val="NormalWeb"/>
        <w:spacing w:before="0" w:beforeAutospacing="0" w:after="240" w:afterAutospacing="0" w:line="360" w:lineRule="auto"/>
        <w:jc w:val="both"/>
      </w:pPr>
      <w:r w:rsidRPr="00FB07BA">
        <w:t xml:space="preserve">Peng, X., Jia, Y., Chan, K.C. and Wang, X. (2021). Let us work together: The impact of customer strategic alliances on IPO underpricing and post-IPO performance. </w:t>
      </w:r>
      <w:r w:rsidRPr="00FB07BA">
        <w:rPr>
          <w:i/>
          <w:iCs/>
        </w:rPr>
        <w:t>Journal of Corporate Finance</w:t>
      </w:r>
      <w:r w:rsidRPr="00FB07BA">
        <w:t xml:space="preserve">, 67, p.101899. doi: </w:t>
      </w:r>
      <w:hyperlink r:id="rId34" w:history="1">
        <w:r w:rsidRPr="00FB07BA">
          <w:rPr>
            <w:rStyle w:val="Hyperlink"/>
            <w:color w:val="auto"/>
          </w:rPr>
          <w:t>https://doi.org/10.1016/j.jcorpfin.2021.101899</w:t>
        </w:r>
      </w:hyperlink>
      <w:r w:rsidRPr="00FB07BA">
        <w:t xml:space="preserve">. </w:t>
      </w:r>
    </w:p>
    <w:p w14:paraId="61120335" w14:textId="77777777" w:rsidR="00BC6826" w:rsidRPr="00FB07BA" w:rsidRDefault="00BC6826" w:rsidP="00FB07BA">
      <w:pPr>
        <w:pStyle w:val="NormalWeb"/>
        <w:spacing w:before="0" w:beforeAutospacing="0" w:after="240" w:afterAutospacing="0" w:line="360" w:lineRule="auto"/>
        <w:jc w:val="both"/>
      </w:pPr>
      <w:r w:rsidRPr="00FB07BA">
        <w:t xml:space="preserve">Predkiewicz, K., Pauka, M. and Predkiewicz, P. (2021). IPO Success of High-Technology Companies. </w:t>
      </w:r>
      <w:r w:rsidRPr="00FB07BA">
        <w:rPr>
          <w:i/>
          <w:iCs/>
        </w:rPr>
        <w:t>EUROPEAN RESEARCH STUDIES JOURNAL</w:t>
      </w:r>
      <w:r w:rsidRPr="00FB07BA">
        <w:t xml:space="preserve">, XXIV(Issue 3B), pp.799–816. doi: </w:t>
      </w:r>
      <w:hyperlink r:id="rId35" w:history="1">
        <w:r w:rsidRPr="00FB07BA">
          <w:rPr>
            <w:rStyle w:val="Hyperlink"/>
            <w:color w:val="auto"/>
          </w:rPr>
          <w:t>https://doi.org/10.35808/ersj/2539</w:t>
        </w:r>
      </w:hyperlink>
      <w:r w:rsidRPr="00FB07BA">
        <w:t xml:space="preserve">. </w:t>
      </w:r>
    </w:p>
    <w:p w14:paraId="0B11FF78" w14:textId="77777777" w:rsidR="00BC6826" w:rsidRPr="00FB07BA" w:rsidRDefault="00BC6826" w:rsidP="00FB07BA">
      <w:pPr>
        <w:pStyle w:val="NormalWeb"/>
        <w:spacing w:before="0" w:beforeAutospacing="0" w:after="240" w:afterAutospacing="0" w:line="360" w:lineRule="auto"/>
        <w:jc w:val="both"/>
      </w:pPr>
      <w:r w:rsidRPr="00FB07BA">
        <w:t xml:space="preserve">Qinghong Shuai, Li, Z. and Zhang, Y. (2023). Basics of E-Commerce Development. pp.1–38. doi: </w:t>
      </w:r>
      <w:hyperlink r:id="rId36" w:history="1">
        <w:r w:rsidRPr="00FB07BA">
          <w:rPr>
            <w:rStyle w:val="Hyperlink"/>
            <w:color w:val="auto"/>
          </w:rPr>
          <w:t>https://doi.org/10.1007/978-981-99-0043-5_1</w:t>
        </w:r>
      </w:hyperlink>
      <w:r w:rsidRPr="00FB07BA">
        <w:t xml:space="preserve">. </w:t>
      </w:r>
    </w:p>
    <w:p w14:paraId="4C8251B2" w14:textId="77777777" w:rsidR="00BC6826" w:rsidRPr="00FB07BA" w:rsidRDefault="00BC6826" w:rsidP="00FB07BA">
      <w:pPr>
        <w:pStyle w:val="NormalWeb"/>
        <w:spacing w:before="0" w:beforeAutospacing="0" w:after="240" w:afterAutospacing="0" w:line="360" w:lineRule="auto"/>
        <w:jc w:val="both"/>
      </w:pPr>
      <w:r w:rsidRPr="00FB07BA">
        <w:lastRenderedPageBreak/>
        <w:t xml:space="preserve">Rawlings, D. (2024). Six year old who braved surgery over 30 times is VIP for the day at Durham store. </w:t>
      </w:r>
      <w:r w:rsidRPr="00FB07BA">
        <w:rPr>
          <w:i/>
          <w:iCs/>
        </w:rPr>
        <w:t>Northern Echo (Darlington, England)</w:t>
      </w:r>
      <w:r w:rsidRPr="00FB07BA">
        <w:t xml:space="preserve">, [online] p.NA-NA. doi: </w:t>
      </w:r>
      <w:hyperlink r:id="rId37" w:history="1">
        <w:r w:rsidRPr="00FB07BA">
          <w:rPr>
            <w:rStyle w:val="Hyperlink"/>
            <w:color w:val="auto"/>
          </w:rPr>
          <w:t>https://go.gale.com/ps/i.do?p=HRCA&amp;sw=w&amp;issn=&amp;v=2.1&amp;it=r&amp;id=GALE%7CA780142833&amp;sid=googleScholar&amp;linkaccess=abs</w:t>
        </w:r>
      </w:hyperlink>
      <w:r w:rsidRPr="00FB07BA">
        <w:t xml:space="preserve">  </w:t>
      </w:r>
    </w:p>
    <w:p w14:paraId="3E84EEDC" w14:textId="77777777" w:rsidR="00BC6826" w:rsidRPr="00FB07BA" w:rsidRDefault="00BC6826" w:rsidP="00FB07BA">
      <w:pPr>
        <w:pStyle w:val="NormalWeb"/>
        <w:spacing w:before="0" w:beforeAutospacing="0" w:after="240" w:afterAutospacing="0" w:line="360" w:lineRule="auto"/>
        <w:jc w:val="both"/>
      </w:pPr>
      <w:r w:rsidRPr="00FB07BA">
        <w:t xml:space="preserve">Rudianto, D. (2021). </w:t>
      </w:r>
      <w:r w:rsidRPr="00FB07BA">
        <w:rPr>
          <w:i/>
          <w:iCs/>
        </w:rPr>
        <w:t>Measuring the Financial Performance Prior and After the Initial Public Offering (IPO) of Companies Listed in the Indonesian Stock Exchange (IDX)</w:t>
      </w:r>
      <w:r w:rsidRPr="00FB07BA">
        <w:t xml:space="preserve">. [online] www.atlantis-press.com. doi: </w:t>
      </w:r>
      <w:hyperlink r:id="rId38" w:history="1">
        <w:r w:rsidRPr="00FB07BA">
          <w:rPr>
            <w:rStyle w:val="Hyperlink"/>
            <w:color w:val="auto"/>
          </w:rPr>
          <w:t>https://doi.org/10.2991/aebmr.k.210220.041</w:t>
        </w:r>
      </w:hyperlink>
      <w:r w:rsidRPr="00FB07BA">
        <w:t xml:space="preserve">. </w:t>
      </w:r>
    </w:p>
    <w:p w14:paraId="0CCC358F" w14:textId="77777777" w:rsidR="00BC6826" w:rsidRPr="00FB07BA" w:rsidRDefault="00BC6826" w:rsidP="00FB07BA">
      <w:pPr>
        <w:pStyle w:val="NormalWeb"/>
        <w:spacing w:before="0" w:beforeAutospacing="0" w:after="240" w:afterAutospacing="0" w:line="360" w:lineRule="auto"/>
        <w:jc w:val="both"/>
      </w:pPr>
      <w:r w:rsidRPr="00FB07BA">
        <w:t xml:space="preserve">Shabbir, M.S. and Wisdom, O. (2020). The relationship between corporate social responsibility, environmental investments and financial performance: evidence from manufacturing companies. </w:t>
      </w:r>
      <w:r w:rsidRPr="00FB07BA">
        <w:rPr>
          <w:i/>
          <w:iCs/>
        </w:rPr>
        <w:t>Environmental Science and Pollution Research</w:t>
      </w:r>
      <w:r w:rsidRPr="00FB07BA">
        <w:t xml:space="preserve">, [online] 27(3). doi: </w:t>
      </w:r>
      <w:hyperlink r:id="rId39" w:history="1">
        <w:r w:rsidRPr="00FB07BA">
          <w:rPr>
            <w:rStyle w:val="Hyperlink"/>
            <w:color w:val="auto"/>
          </w:rPr>
          <w:t>https://doi.org/10.1007/s11356-020-10217-0</w:t>
        </w:r>
      </w:hyperlink>
      <w:r w:rsidRPr="00FB07BA">
        <w:t xml:space="preserve">. </w:t>
      </w:r>
    </w:p>
    <w:p w14:paraId="112F54F1" w14:textId="77777777" w:rsidR="00BC6826" w:rsidRPr="00FB07BA" w:rsidRDefault="00BC6826" w:rsidP="00FB07BA">
      <w:pPr>
        <w:pStyle w:val="NormalWeb"/>
        <w:spacing w:before="0" w:beforeAutospacing="0" w:after="240" w:afterAutospacing="0" w:line="360" w:lineRule="auto"/>
        <w:jc w:val="both"/>
      </w:pPr>
      <w:r w:rsidRPr="00FB07BA">
        <w:t xml:space="preserve">Siphethile Phiri (2023). The right of access to information vs the right to privacy in Tiso Blackstar Group (Pty) Ltd &amp; Others v Steinhoff International Holdings N.V. (18706/2019) [2022] ZAWCHC 265 (10 May 2022). </w:t>
      </w:r>
      <w:r w:rsidRPr="00FB07BA">
        <w:rPr>
          <w:i/>
          <w:iCs/>
        </w:rPr>
        <w:t>Law, Democracy &amp; Development</w:t>
      </w:r>
      <w:r w:rsidRPr="00FB07BA">
        <w:t xml:space="preserve">, 27, pp.265–277. doi: </w:t>
      </w:r>
      <w:hyperlink r:id="rId40" w:history="1">
        <w:r w:rsidRPr="00FB07BA">
          <w:rPr>
            <w:rStyle w:val="Hyperlink"/>
            <w:color w:val="auto"/>
          </w:rPr>
          <w:t>https://doi.org/10.17159/2077-4907/2023/ldd.v27.10</w:t>
        </w:r>
      </w:hyperlink>
      <w:r w:rsidRPr="00FB07BA">
        <w:t xml:space="preserve">. </w:t>
      </w:r>
    </w:p>
    <w:p w14:paraId="5FDA588C" w14:textId="77777777" w:rsidR="00BC6826" w:rsidRPr="00FB07BA" w:rsidRDefault="00BC6826" w:rsidP="00FB07BA">
      <w:pPr>
        <w:pStyle w:val="NormalWeb"/>
        <w:spacing w:before="0" w:beforeAutospacing="0" w:after="240" w:afterAutospacing="0" w:line="360" w:lineRule="auto"/>
        <w:jc w:val="both"/>
      </w:pPr>
      <w:r w:rsidRPr="00FB07BA">
        <w:t xml:space="preserve">Spiegel, M. and Tookes, H. (2019). Why Does an IPO Affect Rival Firms? </w:t>
      </w:r>
      <w:r w:rsidRPr="00FB07BA">
        <w:rPr>
          <w:i/>
          <w:iCs/>
        </w:rPr>
        <w:t>The Review of Financial Studies</w:t>
      </w:r>
      <w:r w:rsidRPr="00FB07BA">
        <w:t xml:space="preserve">, 33(7). doi: </w:t>
      </w:r>
      <w:hyperlink r:id="rId41" w:history="1">
        <w:r w:rsidRPr="00FB07BA">
          <w:rPr>
            <w:rStyle w:val="Hyperlink"/>
            <w:color w:val="auto"/>
          </w:rPr>
          <w:t>https://doi.org/10.1093/rfs/hhz081</w:t>
        </w:r>
      </w:hyperlink>
      <w:r w:rsidRPr="00FB07BA">
        <w:t xml:space="preserve">. </w:t>
      </w:r>
    </w:p>
    <w:p w14:paraId="5683D923" w14:textId="77777777" w:rsidR="00BC6826" w:rsidRPr="00FB07BA" w:rsidRDefault="00BC6826" w:rsidP="00FB07BA">
      <w:pPr>
        <w:pStyle w:val="NormalWeb"/>
        <w:spacing w:before="0" w:beforeAutospacing="0" w:after="240" w:afterAutospacing="0" w:line="360" w:lineRule="auto"/>
        <w:jc w:val="both"/>
      </w:pPr>
      <w:r w:rsidRPr="00FB07BA">
        <w:t xml:space="preserve">Tanda, A. and Manzi, G. (2019). Underpricing of venture backed IPOs: a meta-analysis approach. </w:t>
      </w:r>
      <w:r w:rsidRPr="00FB07BA">
        <w:rPr>
          <w:i/>
          <w:iCs/>
        </w:rPr>
        <w:t>Economics of Innovation and New Technology</w:t>
      </w:r>
      <w:r w:rsidRPr="00FB07BA">
        <w:t xml:space="preserve">, 29(4), pp.331–348. doi: </w:t>
      </w:r>
      <w:hyperlink r:id="rId42" w:history="1">
        <w:r w:rsidRPr="00FB07BA">
          <w:rPr>
            <w:rStyle w:val="Hyperlink"/>
            <w:color w:val="auto"/>
          </w:rPr>
          <w:t>https://doi.org/10.1080/10438599.2019.1625154</w:t>
        </w:r>
      </w:hyperlink>
      <w:r w:rsidRPr="00FB07BA">
        <w:t xml:space="preserve">. </w:t>
      </w:r>
    </w:p>
    <w:p w14:paraId="1B2DEB3C" w14:textId="77777777" w:rsidR="00BC6826" w:rsidRPr="00FB07BA" w:rsidRDefault="00BC6826" w:rsidP="00FB07BA">
      <w:pPr>
        <w:pStyle w:val="NormalWeb"/>
        <w:spacing w:before="0" w:beforeAutospacing="0" w:after="240" w:afterAutospacing="0" w:line="360" w:lineRule="auto"/>
        <w:jc w:val="both"/>
      </w:pPr>
      <w:r w:rsidRPr="00FB07BA">
        <w:t xml:space="preserve">Zhou, G., Liu, L. and Luo, S. (2022). Sustainable development, ESG performance and company market value: Mediating effect of financial performance. </w:t>
      </w:r>
      <w:r w:rsidRPr="00FB07BA">
        <w:rPr>
          <w:i/>
          <w:iCs/>
        </w:rPr>
        <w:t>Business Strategy and the Environment</w:t>
      </w:r>
      <w:r w:rsidRPr="00FB07BA">
        <w:t>, 31(7), pp.3371–3387.</w:t>
      </w:r>
    </w:p>
    <w:p w14:paraId="4BA61644" w14:textId="77777777" w:rsidR="00BC6826" w:rsidRPr="00FB07BA" w:rsidRDefault="00BC6826" w:rsidP="00FB07BA">
      <w:pPr>
        <w:spacing w:line="360" w:lineRule="auto"/>
        <w:jc w:val="both"/>
        <w:rPr>
          <w:rFonts w:ascii="Times New Roman" w:hAnsi="Times New Roman" w:cs="Times New Roman"/>
          <w:sz w:val="24"/>
          <w:szCs w:val="24"/>
        </w:rPr>
      </w:pPr>
    </w:p>
    <w:sectPr w:rsidR="00BC6826" w:rsidRPr="00FB07BA" w:rsidSect="00FB07BA">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3FF0ED" w14:textId="77777777" w:rsidR="00B22140" w:rsidRDefault="00B22140" w:rsidP="00FB07BA">
      <w:pPr>
        <w:spacing w:after="0" w:line="240" w:lineRule="auto"/>
      </w:pPr>
      <w:r>
        <w:separator/>
      </w:r>
    </w:p>
  </w:endnote>
  <w:endnote w:type="continuationSeparator" w:id="0">
    <w:p w14:paraId="3A980600" w14:textId="77777777" w:rsidR="00B22140" w:rsidRDefault="00B22140" w:rsidP="00FB0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5855690"/>
      <w:docPartObj>
        <w:docPartGallery w:val="Page Numbers (Bottom of Page)"/>
        <w:docPartUnique/>
      </w:docPartObj>
    </w:sdtPr>
    <w:sdtEndPr>
      <w:rPr>
        <w:noProof/>
      </w:rPr>
    </w:sdtEndPr>
    <w:sdtContent>
      <w:p w14:paraId="46081412" w14:textId="77777777" w:rsidR="00FB07BA" w:rsidRDefault="00FB07B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F6D553" w14:textId="77777777" w:rsidR="00FB07BA" w:rsidRDefault="00FB07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7B4252" w14:textId="77777777" w:rsidR="00B22140" w:rsidRDefault="00B22140" w:rsidP="00FB07BA">
      <w:pPr>
        <w:spacing w:after="0" w:line="240" w:lineRule="auto"/>
      </w:pPr>
      <w:r>
        <w:separator/>
      </w:r>
    </w:p>
  </w:footnote>
  <w:footnote w:type="continuationSeparator" w:id="0">
    <w:p w14:paraId="7897BF8E" w14:textId="77777777" w:rsidR="00B22140" w:rsidRDefault="00B22140" w:rsidP="00FB0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7D323A"/>
    <w:multiLevelType w:val="multilevel"/>
    <w:tmpl w:val="2CE8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6F3367"/>
    <w:multiLevelType w:val="multilevel"/>
    <w:tmpl w:val="6BC8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D29F0"/>
    <w:multiLevelType w:val="multilevel"/>
    <w:tmpl w:val="1CD44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C611EB"/>
    <w:multiLevelType w:val="multilevel"/>
    <w:tmpl w:val="2BEA1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73FEE"/>
    <w:multiLevelType w:val="multilevel"/>
    <w:tmpl w:val="B282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3A11B9"/>
    <w:multiLevelType w:val="multilevel"/>
    <w:tmpl w:val="127A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BE5071"/>
    <w:multiLevelType w:val="multilevel"/>
    <w:tmpl w:val="74A6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D25BDA"/>
    <w:multiLevelType w:val="multilevel"/>
    <w:tmpl w:val="EB20B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8CA3196"/>
    <w:multiLevelType w:val="multilevel"/>
    <w:tmpl w:val="0042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9308BC"/>
    <w:multiLevelType w:val="multilevel"/>
    <w:tmpl w:val="A218F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9A069A"/>
    <w:multiLevelType w:val="multilevel"/>
    <w:tmpl w:val="F6CC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092FEF"/>
    <w:multiLevelType w:val="multilevel"/>
    <w:tmpl w:val="256C0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0E3EE4"/>
    <w:multiLevelType w:val="multilevel"/>
    <w:tmpl w:val="C0FC2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542EB3"/>
    <w:multiLevelType w:val="multilevel"/>
    <w:tmpl w:val="9E2223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F231D9"/>
    <w:multiLevelType w:val="multilevel"/>
    <w:tmpl w:val="292CE30A"/>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30A22A0"/>
    <w:multiLevelType w:val="multilevel"/>
    <w:tmpl w:val="F4D2A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F443202"/>
    <w:multiLevelType w:val="multilevel"/>
    <w:tmpl w:val="894477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4488012">
    <w:abstractNumId w:val="10"/>
  </w:num>
  <w:num w:numId="2" w16cid:durableId="1181775946">
    <w:abstractNumId w:val="5"/>
  </w:num>
  <w:num w:numId="3" w16cid:durableId="1552308980">
    <w:abstractNumId w:val="12"/>
  </w:num>
  <w:num w:numId="4" w16cid:durableId="701638665">
    <w:abstractNumId w:val="15"/>
  </w:num>
  <w:num w:numId="5" w16cid:durableId="738094040">
    <w:abstractNumId w:val="3"/>
  </w:num>
  <w:num w:numId="6" w16cid:durableId="2002464516">
    <w:abstractNumId w:val="16"/>
  </w:num>
  <w:num w:numId="7" w16cid:durableId="577205159">
    <w:abstractNumId w:val="8"/>
  </w:num>
  <w:num w:numId="8" w16cid:durableId="2012678345">
    <w:abstractNumId w:val="4"/>
  </w:num>
  <w:num w:numId="9" w16cid:durableId="1460493183">
    <w:abstractNumId w:val="6"/>
  </w:num>
  <w:num w:numId="10" w16cid:durableId="371612175">
    <w:abstractNumId w:val="13"/>
  </w:num>
  <w:num w:numId="11" w16cid:durableId="100731227">
    <w:abstractNumId w:val="14"/>
  </w:num>
  <w:num w:numId="12" w16cid:durableId="771709225">
    <w:abstractNumId w:val="0"/>
  </w:num>
  <w:num w:numId="13" w16cid:durableId="485164845">
    <w:abstractNumId w:val="9"/>
  </w:num>
  <w:num w:numId="14" w16cid:durableId="1938830935">
    <w:abstractNumId w:val="2"/>
  </w:num>
  <w:num w:numId="15" w16cid:durableId="1243218722">
    <w:abstractNumId w:val="7"/>
  </w:num>
  <w:num w:numId="16" w16cid:durableId="1793594716">
    <w:abstractNumId w:val="1"/>
  </w:num>
  <w:num w:numId="17" w16cid:durableId="11775019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C1108"/>
    <w:rsid w:val="000003E2"/>
    <w:rsid w:val="0003298B"/>
    <w:rsid w:val="00057FA2"/>
    <w:rsid w:val="0006725C"/>
    <w:rsid w:val="00077555"/>
    <w:rsid w:val="0008666B"/>
    <w:rsid w:val="000A6182"/>
    <w:rsid w:val="000D2A68"/>
    <w:rsid w:val="000E581D"/>
    <w:rsid w:val="00121303"/>
    <w:rsid w:val="001917B9"/>
    <w:rsid w:val="001938C8"/>
    <w:rsid w:val="001E1317"/>
    <w:rsid w:val="001E7DEC"/>
    <w:rsid w:val="002266FF"/>
    <w:rsid w:val="002351CD"/>
    <w:rsid w:val="00237BF0"/>
    <w:rsid w:val="002616D5"/>
    <w:rsid w:val="002C1D6A"/>
    <w:rsid w:val="002C4A59"/>
    <w:rsid w:val="002C75BD"/>
    <w:rsid w:val="002E7179"/>
    <w:rsid w:val="00304D97"/>
    <w:rsid w:val="00326A8B"/>
    <w:rsid w:val="00327B03"/>
    <w:rsid w:val="00336F10"/>
    <w:rsid w:val="00386F37"/>
    <w:rsid w:val="003E62C1"/>
    <w:rsid w:val="00403421"/>
    <w:rsid w:val="00473E19"/>
    <w:rsid w:val="004916FB"/>
    <w:rsid w:val="004F4976"/>
    <w:rsid w:val="005608B7"/>
    <w:rsid w:val="0057725F"/>
    <w:rsid w:val="00580EF7"/>
    <w:rsid w:val="005C6E0D"/>
    <w:rsid w:val="005D1A27"/>
    <w:rsid w:val="00637FBD"/>
    <w:rsid w:val="006540ED"/>
    <w:rsid w:val="00676F5D"/>
    <w:rsid w:val="006A683E"/>
    <w:rsid w:val="006B01B8"/>
    <w:rsid w:val="00704318"/>
    <w:rsid w:val="007231EA"/>
    <w:rsid w:val="00727E35"/>
    <w:rsid w:val="007430EE"/>
    <w:rsid w:val="007722F8"/>
    <w:rsid w:val="00794C09"/>
    <w:rsid w:val="007A4F3D"/>
    <w:rsid w:val="007B475C"/>
    <w:rsid w:val="007E7DB6"/>
    <w:rsid w:val="0088166B"/>
    <w:rsid w:val="008E6E24"/>
    <w:rsid w:val="00900F07"/>
    <w:rsid w:val="00926ADB"/>
    <w:rsid w:val="009858F0"/>
    <w:rsid w:val="00997F0E"/>
    <w:rsid w:val="009B2431"/>
    <w:rsid w:val="009B4161"/>
    <w:rsid w:val="009C1108"/>
    <w:rsid w:val="009D4611"/>
    <w:rsid w:val="00A05424"/>
    <w:rsid w:val="00A15BE2"/>
    <w:rsid w:val="00A422BF"/>
    <w:rsid w:val="00A7770E"/>
    <w:rsid w:val="00A85E06"/>
    <w:rsid w:val="00AA46C6"/>
    <w:rsid w:val="00AA50E9"/>
    <w:rsid w:val="00AB0E02"/>
    <w:rsid w:val="00AF522B"/>
    <w:rsid w:val="00B034FF"/>
    <w:rsid w:val="00B22140"/>
    <w:rsid w:val="00BC6826"/>
    <w:rsid w:val="00BD6B01"/>
    <w:rsid w:val="00C76E02"/>
    <w:rsid w:val="00C8422B"/>
    <w:rsid w:val="00CA6035"/>
    <w:rsid w:val="00CD74F3"/>
    <w:rsid w:val="00CE74CD"/>
    <w:rsid w:val="00CF3478"/>
    <w:rsid w:val="00CF484A"/>
    <w:rsid w:val="00D14D90"/>
    <w:rsid w:val="00D32014"/>
    <w:rsid w:val="00D34600"/>
    <w:rsid w:val="00D44CCD"/>
    <w:rsid w:val="00DB2FF4"/>
    <w:rsid w:val="00E246C4"/>
    <w:rsid w:val="00E2613A"/>
    <w:rsid w:val="00E5759C"/>
    <w:rsid w:val="00EE70A5"/>
    <w:rsid w:val="00EF1A33"/>
    <w:rsid w:val="00F82ED4"/>
    <w:rsid w:val="00FB07BA"/>
    <w:rsid w:val="00FB37CF"/>
    <w:rsid w:val="00FD39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C2FB3E"/>
  <w15:docId w15:val="{4952BBB2-191D-4219-81A5-04741C63A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E02"/>
    <w:pPr>
      <w:keepNext/>
      <w:keepLines/>
      <w:spacing w:before="480" w:after="0"/>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7A4F3D"/>
    <w:pPr>
      <w:keepNext/>
      <w:keepLines/>
      <w:spacing w:before="200" w:after="0"/>
      <w:jc w:val="both"/>
      <w:outlineLvl w:val="1"/>
    </w:pPr>
    <w:rPr>
      <w:rFonts w:ascii="Times New Roman" w:eastAsiaTheme="majorEastAsia" w:hAnsi="Times New Roman" w:cstheme="majorBidi"/>
      <w:b/>
      <w:bCs/>
      <w:i/>
      <w:sz w:val="24"/>
      <w:szCs w:val="26"/>
    </w:rPr>
  </w:style>
  <w:style w:type="paragraph" w:styleId="Heading3">
    <w:name w:val="heading 3"/>
    <w:basedOn w:val="Normal"/>
    <w:next w:val="Normal"/>
    <w:link w:val="Heading3Char"/>
    <w:uiPriority w:val="9"/>
    <w:unhideWhenUsed/>
    <w:qFormat/>
    <w:rsid w:val="00FB07B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11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1108"/>
    <w:rPr>
      <w:rFonts w:ascii="Tahoma" w:hAnsi="Tahoma" w:cs="Tahoma"/>
      <w:sz w:val="16"/>
      <w:szCs w:val="16"/>
    </w:rPr>
  </w:style>
  <w:style w:type="paragraph" w:styleId="ListParagraph">
    <w:name w:val="List Paragraph"/>
    <w:basedOn w:val="Normal"/>
    <w:uiPriority w:val="34"/>
    <w:qFormat/>
    <w:rsid w:val="009C1108"/>
    <w:pPr>
      <w:ind w:left="720"/>
      <w:contextualSpacing/>
    </w:pPr>
  </w:style>
  <w:style w:type="paragraph" w:styleId="NormalWeb">
    <w:name w:val="Normal (Web)"/>
    <w:basedOn w:val="Normal"/>
    <w:uiPriority w:val="99"/>
    <w:semiHidden/>
    <w:unhideWhenUsed/>
    <w:rsid w:val="00BC682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BC6826"/>
    <w:rPr>
      <w:color w:val="0000FF" w:themeColor="hyperlink"/>
      <w:u w:val="single"/>
    </w:rPr>
  </w:style>
  <w:style w:type="character" w:customStyle="1" w:styleId="Heading1Char">
    <w:name w:val="Heading 1 Char"/>
    <w:basedOn w:val="DefaultParagraphFont"/>
    <w:link w:val="Heading1"/>
    <w:uiPriority w:val="9"/>
    <w:rsid w:val="00C76E0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7A4F3D"/>
    <w:rPr>
      <w:rFonts w:ascii="Times New Roman" w:eastAsiaTheme="majorEastAsia" w:hAnsi="Times New Roman" w:cstheme="majorBidi"/>
      <w:b/>
      <w:bCs/>
      <w:i/>
      <w:sz w:val="24"/>
      <w:szCs w:val="26"/>
    </w:rPr>
  </w:style>
  <w:style w:type="character" w:customStyle="1" w:styleId="Heading3Char">
    <w:name w:val="Heading 3 Char"/>
    <w:basedOn w:val="DefaultParagraphFont"/>
    <w:link w:val="Heading3"/>
    <w:uiPriority w:val="9"/>
    <w:rsid w:val="00FB07B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FB07BA"/>
    <w:pPr>
      <w:outlineLvl w:val="9"/>
    </w:pPr>
    <w:rPr>
      <w:lang w:val="en-US" w:eastAsia="ja-JP"/>
    </w:rPr>
  </w:style>
  <w:style w:type="paragraph" w:styleId="TOC1">
    <w:name w:val="toc 1"/>
    <w:basedOn w:val="Normal"/>
    <w:next w:val="Normal"/>
    <w:autoRedefine/>
    <w:uiPriority w:val="39"/>
    <w:unhideWhenUsed/>
    <w:rsid w:val="00FB07BA"/>
    <w:pPr>
      <w:spacing w:after="100"/>
    </w:pPr>
  </w:style>
  <w:style w:type="paragraph" w:styleId="TOC2">
    <w:name w:val="toc 2"/>
    <w:basedOn w:val="Normal"/>
    <w:next w:val="Normal"/>
    <w:autoRedefine/>
    <w:uiPriority w:val="39"/>
    <w:unhideWhenUsed/>
    <w:rsid w:val="00FB07BA"/>
    <w:pPr>
      <w:spacing w:after="100"/>
      <w:ind w:left="220"/>
    </w:pPr>
  </w:style>
  <w:style w:type="paragraph" w:styleId="Header">
    <w:name w:val="header"/>
    <w:basedOn w:val="Normal"/>
    <w:link w:val="HeaderChar"/>
    <w:uiPriority w:val="99"/>
    <w:unhideWhenUsed/>
    <w:rsid w:val="00FB07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7BA"/>
  </w:style>
  <w:style w:type="paragraph" w:styleId="Footer">
    <w:name w:val="footer"/>
    <w:basedOn w:val="Normal"/>
    <w:link w:val="FooterChar"/>
    <w:uiPriority w:val="99"/>
    <w:unhideWhenUsed/>
    <w:rsid w:val="00FB07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7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288826">
      <w:bodyDiv w:val="1"/>
      <w:marLeft w:val="0"/>
      <w:marRight w:val="0"/>
      <w:marTop w:val="0"/>
      <w:marBottom w:val="0"/>
      <w:divBdr>
        <w:top w:val="none" w:sz="0" w:space="0" w:color="auto"/>
        <w:left w:val="none" w:sz="0" w:space="0" w:color="auto"/>
        <w:bottom w:val="none" w:sz="0" w:space="0" w:color="auto"/>
        <w:right w:val="none" w:sz="0" w:space="0" w:color="auto"/>
      </w:divBdr>
    </w:div>
    <w:div w:id="52584195">
      <w:bodyDiv w:val="1"/>
      <w:marLeft w:val="0"/>
      <w:marRight w:val="0"/>
      <w:marTop w:val="0"/>
      <w:marBottom w:val="0"/>
      <w:divBdr>
        <w:top w:val="none" w:sz="0" w:space="0" w:color="auto"/>
        <w:left w:val="none" w:sz="0" w:space="0" w:color="auto"/>
        <w:bottom w:val="none" w:sz="0" w:space="0" w:color="auto"/>
        <w:right w:val="none" w:sz="0" w:space="0" w:color="auto"/>
      </w:divBdr>
    </w:div>
    <w:div w:id="53967758">
      <w:bodyDiv w:val="1"/>
      <w:marLeft w:val="0"/>
      <w:marRight w:val="0"/>
      <w:marTop w:val="0"/>
      <w:marBottom w:val="0"/>
      <w:divBdr>
        <w:top w:val="none" w:sz="0" w:space="0" w:color="auto"/>
        <w:left w:val="none" w:sz="0" w:space="0" w:color="auto"/>
        <w:bottom w:val="none" w:sz="0" w:space="0" w:color="auto"/>
        <w:right w:val="none" w:sz="0" w:space="0" w:color="auto"/>
      </w:divBdr>
    </w:div>
    <w:div w:id="65348102">
      <w:bodyDiv w:val="1"/>
      <w:marLeft w:val="0"/>
      <w:marRight w:val="0"/>
      <w:marTop w:val="0"/>
      <w:marBottom w:val="0"/>
      <w:divBdr>
        <w:top w:val="none" w:sz="0" w:space="0" w:color="auto"/>
        <w:left w:val="none" w:sz="0" w:space="0" w:color="auto"/>
        <w:bottom w:val="none" w:sz="0" w:space="0" w:color="auto"/>
        <w:right w:val="none" w:sz="0" w:space="0" w:color="auto"/>
      </w:divBdr>
    </w:div>
    <w:div w:id="124279845">
      <w:bodyDiv w:val="1"/>
      <w:marLeft w:val="0"/>
      <w:marRight w:val="0"/>
      <w:marTop w:val="0"/>
      <w:marBottom w:val="0"/>
      <w:divBdr>
        <w:top w:val="none" w:sz="0" w:space="0" w:color="auto"/>
        <w:left w:val="none" w:sz="0" w:space="0" w:color="auto"/>
        <w:bottom w:val="none" w:sz="0" w:space="0" w:color="auto"/>
        <w:right w:val="none" w:sz="0" w:space="0" w:color="auto"/>
      </w:divBdr>
    </w:div>
    <w:div w:id="140078463">
      <w:bodyDiv w:val="1"/>
      <w:marLeft w:val="0"/>
      <w:marRight w:val="0"/>
      <w:marTop w:val="0"/>
      <w:marBottom w:val="0"/>
      <w:divBdr>
        <w:top w:val="none" w:sz="0" w:space="0" w:color="auto"/>
        <w:left w:val="none" w:sz="0" w:space="0" w:color="auto"/>
        <w:bottom w:val="none" w:sz="0" w:space="0" w:color="auto"/>
        <w:right w:val="none" w:sz="0" w:space="0" w:color="auto"/>
      </w:divBdr>
    </w:div>
    <w:div w:id="166482987">
      <w:bodyDiv w:val="1"/>
      <w:marLeft w:val="0"/>
      <w:marRight w:val="0"/>
      <w:marTop w:val="0"/>
      <w:marBottom w:val="0"/>
      <w:divBdr>
        <w:top w:val="none" w:sz="0" w:space="0" w:color="auto"/>
        <w:left w:val="none" w:sz="0" w:space="0" w:color="auto"/>
        <w:bottom w:val="none" w:sz="0" w:space="0" w:color="auto"/>
        <w:right w:val="none" w:sz="0" w:space="0" w:color="auto"/>
      </w:divBdr>
    </w:div>
    <w:div w:id="166602622">
      <w:bodyDiv w:val="1"/>
      <w:marLeft w:val="0"/>
      <w:marRight w:val="0"/>
      <w:marTop w:val="0"/>
      <w:marBottom w:val="0"/>
      <w:divBdr>
        <w:top w:val="none" w:sz="0" w:space="0" w:color="auto"/>
        <w:left w:val="none" w:sz="0" w:space="0" w:color="auto"/>
        <w:bottom w:val="none" w:sz="0" w:space="0" w:color="auto"/>
        <w:right w:val="none" w:sz="0" w:space="0" w:color="auto"/>
      </w:divBdr>
    </w:div>
    <w:div w:id="168447727">
      <w:bodyDiv w:val="1"/>
      <w:marLeft w:val="0"/>
      <w:marRight w:val="0"/>
      <w:marTop w:val="0"/>
      <w:marBottom w:val="0"/>
      <w:divBdr>
        <w:top w:val="none" w:sz="0" w:space="0" w:color="auto"/>
        <w:left w:val="none" w:sz="0" w:space="0" w:color="auto"/>
        <w:bottom w:val="none" w:sz="0" w:space="0" w:color="auto"/>
        <w:right w:val="none" w:sz="0" w:space="0" w:color="auto"/>
      </w:divBdr>
    </w:div>
    <w:div w:id="188882515">
      <w:bodyDiv w:val="1"/>
      <w:marLeft w:val="0"/>
      <w:marRight w:val="0"/>
      <w:marTop w:val="0"/>
      <w:marBottom w:val="0"/>
      <w:divBdr>
        <w:top w:val="none" w:sz="0" w:space="0" w:color="auto"/>
        <w:left w:val="none" w:sz="0" w:space="0" w:color="auto"/>
        <w:bottom w:val="none" w:sz="0" w:space="0" w:color="auto"/>
        <w:right w:val="none" w:sz="0" w:space="0" w:color="auto"/>
      </w:divBdr>
    </w:div>
    <w:div w:id="195627213">
      <w:bodyDiv w:val="1"/>
      <w:marLeft w:val="0"/>
      <w:marRight w:val="0"/>
      <w:marTop w:val="0"/>
      <w:marBottom w:val="0"/>
      <w:divBdr>
        <w:top w:val="none" w:sz="0" w:space="0" w:color="auto"/>
        <w:left w:val="none" w:sz="0" w:space="0" w:color="auto"/>
        <w:bottom w:val="none" w:sz="0" w:space="0" w:color="auto"/>
        <w:right w:val="none" w:sz="0" w:space="0" w:color="auto"/>
      </w:divBdr>
    </w:div>
    <w:div w:id="309604020">
      <w:bodyDiv w:val="1"/>
      <w:marLeft w:val="0"/>
      <w:marRight w:val="0"/>
      <w:marTop w:val="0"/>
      <w:marBottom w:val="0"/>
      <w:divBdr>
        <w:top w:val="none" w:sz="0" w:space="0" w:color="auto"/>
        <w:left w:val="none" w:sz="0" w:space="0" w:color="auto"/>
        <w:bottom w:val="none" w:sz="0" w:space="0" w:color="auto"/>
        <w:right w:val="none" w:sz="0" w:space="0" w:color="auto"/>
      </w:divBdr>
    </w:div>
    <w:div w:id="327439855">
      <w:bodyDiv w:val="1"/>
      <w:marLeft w:val="0"/>
      <w:marRight w:val="0"/>
      <w:marTop w:val="0"/>
      <w:marBottom w:val="0"/>
      <w:divBdr>
        <w:top w:val="none" w:sz="0" w:space="0" w:color="auto"/>
        <w:left w:val="none" w:sz="0" w:space="0" w:color="auto"/>
        <w:bottom w:val="none" w:sz="0" w:space="0" w:color="auto"/>
        <w:right w:val="none" w:sz="0" w:space="0" w:color="auto"/>
      </w:divBdr>
    </w:div>
    <w:div w:id="329799611">
      <w:bodyDiv w:val="1"/>
      <w:marLeft w:val="0"/>
      <w:marRight w:val="0"/>
      <w:marTop w:val="0"/>
      <w:marBottom w:val="0"/>
      <w:divBdr>
        <w:top w:val="none" w:sz="0" w:space="0" w:color="auto"/>
        <w:left w:val="none" w:sz="0" w:space="0" w:color="auto"/>
        <w:bottom w:val="none" w:sz="0" w:space="0" w:color="auto"/>
        <w:right w:val="none" w:sz="0" w:space="0" w:color="auto"/>
      </w:divBdr>
    </w:div>
    <w:div w:id="343825851">
      <w:bodyDiv w:val="1"/>
      <w:marLeft w:val="0"/>
      <w:marRight w:val="0"/>
      <w:marTop w:val="0"/>
      <w:marBottom w:val="0"/>
      <w:divBdr>
        <w:top w:val="none" w:sz="0" w:space="0" w:color="auto"/>
        <w:left w:val="none" w:sz="0" w:space="0" w:color="auto"/>
        <w:bottom w:val="none" w:sz="0" w:space="0" w:color="auto"/>
        <w:right w:val="none" w:sz="0" w:space="0" w:color="auto"/>
      </w:divBdr>
    </w:div>
    <w:div w:id="357243055">
      <w:bodyDiv w:val="1"/>
      <w:marLeft w:val="0"/>
      <w:marRight w:val="0"/>
      <w:marTop w:val="0"/>
      <w:marBottom w:val="0"/>
      <w:divBdr>
        <w:top w:val="none" w:sz="0" w:space="0" w:color="auto"/>
        <w:left w:val="none" w:sz="0" w:space="0" w:color="auto"/>
        <w:bottom w:val="none" w:sz="0" w:space="0" w:color="auto"/>
        <w:right w:val="none" w:sz="0" w:space="0" w:color="auto"/>
      </w:divBdr>
    </w:div>
    <w:div w:id="387801376">
      <w:bodyDiv w:val="1"/>
      <w:marLeft w:val="0"/>
      <w:marRight w:val="0"/>
      <w:marTop w:val="0"/>
      <w:marBottom w:val="0"/>
      <w:divBdr>
        <w:top w:val="none" w:sz="0" w:space="0" w:color="auto"/>
        <w:left w:val="none" w:sz="0" w:space="0" w:color="auto"/>
        <w:bottom w:val="none" w:sz="0" w:space="0" w:color="auto"/>
        <w:right w:val="none" w:sz="0" w:space="0" w:color="auto"/>
      </w:divBdr>
    </w:div>
    <w:div w:id="412894025">
      <w:bodyDiv w:val="1"/>
      <w:marLeft w:val="0"/>
      <w:marRight w:val="0"/>
      <w:marTop w:val="0"/>
      <w:marBottom w:val="0"/>
      <w:divBdr>
        <w:top w:val="none" w:sz="0" w:space="0" w:color="auto"/>
        <w:left w:val="none" w:sz="0" w:space="0" w:color="auto"/>
        <w:bottom w:val="none" w:sz="0" w:space="0" w:color="auto"/>
        <w:right w:val="none" w:sz="0" w:space="0" w:color="auto"/>
      </w:divBdr>
    </w:div>
    <w:div w:id="447239419">
      <w:bodyDiv w:val="1"/>
      <w:marLeft w:val="0"/>
      <w:marRight w:val="0"/>
      <w:marTop w:val="0"/>
      <w:marBottom w:val="0"/>
      <w:divBdr>
        <w:top w:val="none" w:sz="0" w:space="0" w:color="auto"/>
        <w:left w:val="none" w:sz="0" w:space="0" w:color="auto"/>
        <w:bottom w:val="none" w:sz="0" w:space="0" w:color="auto"/>
        <w:right w:val="none" w:sz="0" w:space="0" w:color="auto"/>
      </w:divBdr>
    </w:div>
    <w:div w:id="470294300">
      <w:bodyDiv w:val="1"/>
      <w:marLeft w:val="0"/>
      <w:marRight w:val="0"/>
      <w:marTop w:val="0"/>
      <w:marBottom w:val="0"/>
      <w:divBdr>
        <w:top w:val="none" w:sz="0" w:space="0" w:color="auto"/>
        <w:left w:val="none" w:sz="0" w:space="0" w:color="auto"/>
        <w:bottom w:val="none" w:sz="0" w:space="0" w:color="auto"/>
        <w:right w:val="none" w:sz="0" w:space="0" w:color="auto"/>
      </w:divBdr>
    </w:div>
    <w:div w:id="482622982">
      <w:bodyDiv w:val="1"/>
      <w:marLeft w:val="0"/>
      <w:marRight w:val="0"/>
      <w:marTop w:val="0"/>
      <w:marBottom w:val="0"/>
      <w:divBdr>
        <w:top w:val="none" w:sz="0" w:space="0" w:color="auto"/>
        <w:left w:val="none" w:sz="0" w:space="0" w:color="auto"/>
        <w:bottom w:val="none" w:sz="0" w:space="0" w:color="auto"/>
        <w:right w:val="none" w:sz="0" w:space="0" w:color="auto"/>
      </w:divBdr>
    </w:div>
    <w:div w:id="536088351">
      <w:bodyDiv w:val="1"/>
      <w:marLeft w:val="0"/>
      <w:marRight w:val="0"/>
      <w:marTop w:val="0"/>
      <w:marBottom w:val="0"/>
      <w:divBdr>
        <w:top w:val="none" w:sz="0" w:space="0" w:color="auto"/>
        <w:left w:val="none" w:sz="0" w:space="0" w:color="auto"/>
        <w:bottom w:val="none" w:sz="0" w:space="0" w:color="auto"/>
        <w:right w:val="none" w:sz="0" w:space="0" w:color="auto"/>
      </w:divBdr>
    </w:div>
    <w:div w:id="572593079">
      <w:bodyDiv w:val="1"/>
      <w:marLeft w:val="0"/>
      <w:marRight w:val="0"/>
      <w:marTop w:val="0"/>
      <w:marBottom w:val="0"/>
      <w:divBdr>
        <w:top w:val="none" w:sz="0" w:space="0" w:color="auto"/>
        <w:left w:val="none" w:sz="0" w:space="0" w:color="auto"/>
        <w:bottom w:val="none" w:sz="0" w:space="0" w:color="auto"/>
        <w:right w:val="none" w:sz="0" w:space="0" w:color="auto"/>
      </w:divBdr>
    </w:div>
    <w:div w:id="591743605">
      <w:bodyDiv w:val="1"/>
      <w:marLeft w:val="0"/>
      <w:marRight w:val="0"/>
      <w:marTop w:val="0"/>
      <w:marBottom w:val="0"/>
      <w:divBdr>
        <w:top w:val="none" w:sz="0" w:space="0" w:color="auto"/>
        <w:left w:val="none" w:sz="0" w:space="0" w:color="auto"/>
        <w:bottom w:val="none" w:sz="0" w:space="0" w:color="auto"/>
        <w:right w:val="none" w:sz="0" w:space="0" w:color="auto"/>
      </w:divBdr>
    </w:div>
    <w:div w:id="600188896">
      <w:bodyDiv w:val="1"/>
      <w:marLeft w:val="0"/>
      <w:marRight w:val="0"/>
      <w:marTop w:val="0"/>
      <w:marBottom w:val="0"/>
      <w:divBdr>
        <w:top w:val="none" w:sz="0" w:space="0" w:color="auto"/>
        <w:left w:val="none" w:sz="0" w:space="0" w:color="auto"/>
        <w:bottom w:val="none" w:sz="0" w:space="0" w:color="auto"/>
        <w:right w:val="none" w:sz="0" w:space="0" w:color="auto"/>
      </w:divBdr>
    </w:div>
    <w:div w:id="630325411">
      <w:bodyDiv w:val="1"/>
      <w:marLeft w:val="0"/>
      <w:marRight w:val="0"/>
      <w:marTop w:val="0"/>
      <w:marBottom w:val="0"/>
      <w:divBdr>
        <w:top w:val="none" w:sz="0" w:space="0" w:color="auto"/>
        <w:left w:val="none" w:sz="0" w:space="0" w:color="auto"/>
        <w:bottom w:val="none" w:sz="0" w:space="0" w:color="auto"/>
        <w:right w:val="none" w:sz="0" w:space="0" w:color="auto"/>
      </w:divBdr>
    </w:div>
    <w:div w:id="665522837">
      <w:bodyDiv w:val="1"/>
      <w:marLeft w:val="0"/>
      <w:marRight w:val="0"/>
      <w:marTop w:val="0"/>
      <w:marBottom w:val="0"/>
      <w:divBdr>
        <w:top w:val="none" w:sz="0" w:space="0" w:color="auto"/>
        <w:left w:val="none" w:sz="0" w:space="0" w:color="auto"/>
        <w:bottom w:val="none" w:sz="0" w:space="0" w:color="auto"/>
        <w:right w:val="none" w:sz="0" w:space="0" w:color="auto"/>
      </w:divBdr>
    </w:div>
    <w:div w:id="707603756">
      <w:bodyDiv w:val="1"/>
      <w:marLeft w:val="0"/>
      <w:marRight w:val="0"/>
      <w:marTop w:val="0"/>
      <w:marBottom w:val="0"/>
      <w:divBdr>
        <w:top w:val="none" w:sz="0" w:space="0" w:color="auto"/>
        <w:left w:val="none" w:sz="0" w:space="0" w:color="auto"/>
        <w:bottom w:val="none" w:sz="0" w:space="0" w:color="auto"/>
        <w:right w:val="none" w:sz="0" w:space="0" w:color="auto"/>
      </w:divBdr>
    </w:div>
    <w:div w:id="727655539">
      <w:bodyDiv w:val="1"/>
      <w:marLeft w:val="0"/>
      <w:marRight w:val="0"/>
      <w:marTop w:val="0"/>
      <w:marBottom w:val="0"/>
      <w:divBdr>
        <w:top w:val="none" w:sz="0" w:space="0" w:color="auto"/>
        <w:left w:val="none" w:sz="0" w:space="0" w:color="auto"/>
        <w:bottom w:val="none" w:sz="0" w:space="0" w:color="auto"/>
        <w:right w:val="none" w:sz="0" w:space="0" w:color="auto"/>
      </w:divBdr>
    </w:div>
    <w:div w:id="746343932">
      <w:bodyDiv w:val="1"/>
      <w:marLeft w:val="0"/>
      <w:marRight w:val="0"/>
      <w:marTop w:val="0"/>
      <w:marBottom w:val="0"/>
      <w:divBdr>
        <w:top w:val="none" w:sz="0" w:space="0" w:color="auto"/>
        <w:left w:val="none" w:sz="0" w:space="0" w:color="auto"/>
        <w:bottom w:val="none" w:sz="0" w:space="0" w:color="auto"/>
        <w:right w:val="none" w:sz="0" w:space="0" w:color="auto"/>
      </w:divBdr>
    </w:div>
    <w:div w:id="807168424">
      <w:bodyDiv w:val="1"/>
      <w:marLeft w:val="0"/>
      <w:marRight w:val="0"/>
      <w:marTop w:val="0"/>
      <w:marBottom w:val="0"/>
      <w:divBdr>
        <w:top w:val="none" w:sz="0" w:space="0" w:color="auto"/>
        <w:left w:val="none" w:sz="0" w:space="0" w:color="auto"/>
        <w:bottom w:val="none" w:sz="0" w:space="0" w:color="auto"/>
        <w:right w:val="none" w:sz="0" w:space="0" w:color="auto"/>
      </w:divBdr>
    </w:div>
    <w:div w:id="825248007">
      <w:bodyDiv w:val="1"/>
      <w:marLeft w:val="0"/>
      <w:marRight w:val="0"/>
      <w:marTop w:val="0"/>
      <w:marBottom w:val="0"/>
      <w:divBdr>
        <w:top w:val="none" w:sz="0" w:space="0" w:color="auto"/>
        <w:left w:val="none" w:sz="0" w:space="0" w:color="auto"/>
        <w:bottom w:val="none" w:sz="0" w:space="0" w:color="auto"/>
        <w:right w:val="none" w:sz="0" w:space="0" w:color="auto"/>
      </w:divBdr>
    </w:div>
    <w:div w:id="927424302">
      <w:bodyDiv w:val="1"/>
      <w:marLeft w:val="0"/>
      <w:marRight w:val="0"/>
      <w:marTop w:val="0"/>
      <w:marBottom w:val="0"/>
      <w:divBdr>
        <w:top w:val="none" w:sz="0" w:space="0" w:color="auto"/>
        <w:left w:val="none" w:sz="0" w:space="0" w:color="auto"/>
        <w:bottom w:val="none" w:sz="0" w:space="0" w:color="auto"/>
        <w:right w:val="none" w:sz="0" w:space="0" w:color="auto"/>
      </w:divBdr>
    </w:div>
    <w:div w:id="958997311">
      <w:bodyDiv w:val="1"/>
      <w:marLeft w:val="0"/>
      <w:marRight w:val="0"/>
      <w:marTop w:val="0"/>
      <w:marBottom w:val="0"/>
      <w:divBdr>
        <w:top w:val="none" w:sz="0" w:space="0" w:color="auto"/>
        <w:left w:val="none" w:sz="0" w:space="0" w:color="auto"/>
        <w:bottom w:val="none" w:sz="0" w:space="0" w:color="auto"/>
        <w:right w:val="none" w:sz="0" w:space="0" w:color="auto"/>
      </w:divBdr>
    </w:div>
    <w:div w:id="969936156">
      <w:bodyDiv w:val="1"/>
      <w:marLeft w:val="0"/>
      <w:marRight w:val="0"/>
      <w:marTop w:val="0"/>
      <w:marBottom w:val="0"/>
      <w:divBdr>
        <w:top w:val="none" w:sz="0" w:space="0" w:color="auto"/>
        <w:left w:val="none" w:sz="0" w:space="0" w:color="auto"/>
        <w:bottom w:val="none" w:sz="0" w:space="0" w:color="auto"/>
        <w:right w:val="none" w:sz="0" w:space="0" w:color="auto"/>
      </w:divBdr>
    </w:div>
    <w:div w:id="990137549">
      <w:bodyDiv w:val="1"/>
      <w:marLeft w:val="0"/>
      <w:marRight w:val="0"/>
      <w:marTop w:val="0"/>
      <w:marBottom w:val="0"/>
      <w:divBdr>
        <w:top w:val="none" w:sz="0" w:space="0" w:color="auto"/>
        <w:left w:val="none" w:sz="0" w:space="0" w:color="auto"/>
        <w:bottom w:val="none" w:sz="0" w:space="0" w:color="auto"/>
        <w:right w:val="none" w:sz="0" w:space="0" w:color="auto"/>
      </w:divBdr>
    </w:div>
    <w:div w:id="1007051704">
      <w:bodyDiv w:val="1"/>
      <w:marLeft w:val="0"/>
      <w:marRight w:val="0"/>
      <w:marTop w:val="0"/>
      <w:marBottom w:val="0"/>
      <w:divBdr>
        <w:top w:val="none" w:sz="0" w:space="0" w:color="auto"/>
        <w:left w:val="none" w:sz="0" w:space="0" w:color="auto"/>
        <w:bottom w:val="none" w:sz="0" w:space="0" w:color="auto"/>
        <w:right w:val="none" w:sz="0" w:space="0" w:color="auto"/>
      </w:divBdr>
    </w:div>
    <w:div w:id="1008481059">
      <w:bodyDiv w:val="1"/>
      <w:marLeft w:val="0"/>
      <w:marRight w:val="0"/>
      <w:marTop w:val="0"/>
      <w:marBottom w:val="0"/>
      <w:divBdr>
        <w:top w:val="none" w:sz="0" w:space="0" w:color="auto"/>
        <w:left w:val="none" w:sz="0" w:space="0" w:color="auto"/>
        <w:bottom w:val="none" w:sz="0" w:space="0" w:color="auto"/>
        <w:right w:val="none" w:sz="0" w:space="0" w:color="auto"/>
      </w:divBdr>
    </w:div>
    <w:div w:id="1016620026">
      <w:bodyDiv w:val="1"/>
      <w:marLeft w:val="0"/>
      <w:marRight w:val="0"/>
      <w:marTop w:val="0"/>
      <w:marBottom w:val="0"/>
      <w:divBdr>
        <w:top w:val="none" w:sz="0" w:space="0" w:color="auto"/>
        <w:left w:val="none" w:sz="0" w:space="0" w:color="auto"/>
        <w:bottom w:val="none" w:sz="0" w:space="0" w:color="auto"/>
        <w:right w:val="none" w:sz="0" w:space="0" w:color="auto"/>
      </w:divBdr>
    </w:div>
    <w:div w:id="1031147453">
      <w:bodyDiv w:val="1"/>
      <w:marLeft w:val="0"/>
      <w:marRight w:val="0"/>
      <w:marTop w:val="0"/>
      <w:marBottom w:val="0"/>
      <w:divBdr>
        <w:top w:val="none" w:sz="0" w:space="0" w:color="auto"/>
        <w:left w:val="none" w:sz="0" w:space="0" w:color="auto"/>
        <w:bottom w:val="none" w:sz="0" w:space="0" w:color="auto"/>
        <w:right w:val="none" w:sz="0" w:space="0" w:color="auto"/>
      </w:divBdr>
    </w:div>
    <w:div w:id="1094403868">
      <w:bodyDiv w:val="1"/>
      <w:marLeft w:val="0"/>
      <w:marRight w:val="0"/>
      <w:marTop w:val="0"/>
      <w:marBottom w:val="0"/>
      <w:divBdr>
        <w:top w:val="none" w:sz="0" w:space="0" w:color="auto"/>
        <w:left w:val="none" w:sz="0" w:space="0" w:color="auto"/>
        <w:bottom w:val="none" w:sz="0" w:space="0" w:color="auto"/>
        <w:right w:val="none" w:sz="0" w:space="0" w:color="auto"/>
      </w:divBdr>
    </w:div>
    <w:div w:id="1110590070">
      <w:bodyDiv w:val="1"/>
      <w:marLeft w:val="0"/>
      <w:marRight w:val="0"/>
      <w:marTop w:val="0"/>
      <w:marBottom w:val="0"/>
      <w:divBdr>
        <w:top w:val="none" w:sz="0" w:space="0" w:color="auto"/>
        <w:left w:val="none" w:sz="0" w:space="0" w:color="auto"/>
        <w:bottom w:val="none" w:sz="0" w:space="0" w:color="auto"/>
        <w:right w:val="none" w:sz="0" w:space="0" w:color="auto"/>
      </w:divBdr>
    </w:div>
    <w:div w:id="1112939734">
      <w:bodyDiv w:val="1"/>
      <w:marLeft w:val="0"/>
      <w:marRight w:val="0"/>
      <w:marTop w:val="0"/>
      <w:marBottom w:val="0"/>
      <w:divBdr>
        <w:top w:val="none" w:sz="0" w:space="0" w:color="auto"/>
        <w:left w:val="none" w:sz="0" w:space="0" w:color="auto"/>
        <w:bottom w:val="none" w:sz="0" w:space="0" w:color="auto"/>
        <w:right w:val="none" w:sz="0" w:space="0" w:color="auto"/>
      </w:divBdr>
    </w:div>
    <w:div w:id="1158771322">
      <w:bodyDiv w:val="1"/>
      <w:marLeft w:val="0"/>
      <w:marRight w:val="0"/>
      <w:marTop w:val="0"/>
      <w:marBottom w:val="0"/>
      <w:divBdr>
        <w:top w:val="none" w:sz="0" w:space="0" w:color="auto"/>
        <w:left w:val="none" w:sz="0" w:space="0" w:color="auto"/>
        <w:bottom w:val="none" w:sz="0" w:space="0" w:color="auto"/>
        <w:right w:val="none" w:sz="0" w:space="0" w:color="auto"/>
      </w:divBdr>
    </w:div>
    <w:div w:id="1179585189">
      <w:bodyDiv w:val="1"/>
      <w:marLeft w:val="0"/>
      <w:marRight w:val="0"/>
      <w:marTop w:val="0"/>
      <w:marBottom w:val="0"/>
      <w:divBdr>
        <w:top w:val="none" w:sz="0" w:space="0" w:color="auto"/>
        <w:left w:val="none" w:sz="0" w:space="0" w:color="auto"/>
        <w:bottom w:val="none" w:sz="0" w:space="0" w:color="auto"/>
        <w:right w:val="none" w:sz="0" w:space="0" w:color="auto"/>
      </w:divBdr>
    </w:div>
    <w:div w:id="1191335807">
      <w:bodyDiv w:val="1"/>
      <w:marLeft w:val="0"/>
      <w:marRight w:val="0"/>
      <w:marTop w:val="0"/>
      <w:marBottom w:val="0"/>
      <w:divBdr>
        <w:top w:val="none" w:sz="0" w:space="0" w:color="auto"/>
        <w:left w:val="none" w:sz="0" w:space="0" w:color="auto"/>
        <w:bottom w:val="none" w:sz="0" w:space="0" w:color="auto"/>
        <w:right w:val="none" w:sz="0" w:space="0" w:color="auto"/>
      </w:divBdr>
    </w:div>
    <w:div w:id="1198203291">
      <w:bodyDiv w:val="1"/>
      <w:marLeft w:val="0"/>
      <w:marRight w:val="0"/>
      <w:marTop w:val="0"/>
      <w:marBottom w:val="0"/>
      <w:divBdr>
        <w:top w:val="none" w:sz="0" w:space="0" w:color="auto"/>
        <w:left w:val="none" w:sz="0" w:space="0" w:color="auto"/>
        <w:bottom w:val="none" w:sz="0" w:space="0" w:color="auto"/>
        <w:right w:val="none" w:sz="0" w:space="0" w:color="auto"/>
      </w:divBdr>
    </w:div>
    <w:div w:id="1224557741">
      <w:bodyDiv w:val="1"/>
      <w:marLeft w:val="0"/>
      <w:marRight w:val="0"/>
      <w:marTop w:val="0"/>
      <w:marBottom w:val="0"/>
      <w:divBdr>
        <w:top w:val="none" w:sz="0" w:space="0" w:color="auto"/>
        <w:left w:val="none" w:sz="0" w:space="0" w:color="auto"/>
        <w:bottom w:val="none" w:sz="0" w:space="0" w:color="auto"/>
        <w:right w:val="none" w:sz="0" w:space="0" w:color="auto"/>
      </w:divBdr>
    </w:div>
    <w:div w:id="1252350942">
      <w:bodyDiv w:val="1"/>
      <w:marLeft w:val="0"/>
      <w:marRight w:val="0"/>
      <w:marTop w:val="0"/>
      <w:marBottom w:val="0"/>
      <w:divBdr>
        <w:top w:val="none" w:sz="0" w:space="0" w:color="auto"/>
        <w:left w:val="none" w:sz="0" w:space="0" w:color="auto"/>
        <w:bottom w:val="none" w:sz="0" w:space="0" w:color="auto"/>
        <w:right w:val="none" w:sz="0" w:space="0" w:color="auto"/>
      </w:divBdr>
    </w:div>
    <w:div w:id="1326788272">
      <w:bodyDiv w:val="1"/>
      <w:marLeft w:val="0"/>
      <w:marRight w:val="0"/>
      <w:marTop w:val="0"/>
      <w:marBottom w:val="0"/>
      <w:divBdr>
        <w:top w:val="none" w:sz="0" w:space="0" w:color="auto"/>
        <w:left w:val="none" w:sz="0" w:space="0" w:color="auto"/>
        <w:bottom w:val="none" w:sz="0" w:space="0" w:color="auto"/>
        <w:right w:val="none" w:sz="0" w:space="0" w:color="auto"/>
      </w:divBdr>
    </w:div>
    <w:div w:id="1332030598">
      <w:bodyDiv w:val="1"/>
      <w:marLeft w:val="0"/>
      <w:marRight w:val="0"/>
      <w:marTop w:val="0"/>
      <w:marBottom w:val="0"/>
      <w:divBdr>
        <w:top w:val="none" w:sz="0" w:space="0" w:color="auto"/>
        <w:left w:val="none" w:sz="0" w:space="0" w:color="auto"/>
        <w:bottom w:val="none" w:sz="0" w:space="0" w:color="auto"/>
        <w:right w:val="none" w:sz="0" w:space="0" w:color="auto"/>
      </w:divBdr>
    </w:div>
    <w:div w:id="1355501262">
      <w:bodyDiv w:val="1"/>
      <w:marLeft w:val="0"/>
      <w:marRight w:val="0"/>
      <w:marTop w:val="0"/>
      <w:marBottom w:val="0"/>
      <w:divBdr>
        <w:top w:val="none" w:sz="0" w:space="0" w:color="auto"/>
        <w:left w:val="none" w:sz="0" w:space="0" w:color="auto"/>
        <w:bottom w:val="none" w:sz="0" w:space="0" w:color="auto"/>
        <w:right w:val="none" w:sz="0" w:space="0" w:color="auto"/>
      </w:divBdr>
    </w:div>
    <w:div w:id="1394156729">
      <w:bodyDiv w:val="1"/>
      <w:marLeft w:val="0"/>
      <w:marRight w:val="0"/>
      <w:marTop w:val="0"/>
      <w:marBottom w:val="0"/>
      <w:divBdr>
        <w:top w:val="none" w:sz="0" w:space="0" w:color="auto"/>
        <w:left w:val="none" w:sz="0" w:space="0" w:color="auto"/>
        <w:bottom w:val="none" w:sz="0" w:space="0" w:color="auto"/>
        <w:right w:val="none" w:sz="0" w:space="0" w:color="auto"/>
      </w:divBdr>
    </w:div>
    <w:div w:id="1407385965">
      <w:bodyDiv w:val="1"/>
      <w:marLeft w:val="0"/>
      <w:marRight w:val="0"/>
      <w:marTop w:val="0"/>
      <w:marBottom w:val="0"/>
      <w:divBdr>
        <w:top w:val="none" w:sz="0" w:space="0" w:color="auto"/>
        <w:left w:val="none" w:sz="0" w:space="0" w:color="auto"/>
        <w:bottom w:val="none" w:sz="0" w:space="0" w:color="auto"/>
        <w:right w:val="none" w:sz="0" w:space="0" w:color="auto"/>
      </w:divBdr>
    </w:div>
    <w:div w:id="1420324058">
      <w:bodyDiv w:val="1"/>
      <w:marLeft w:val="0"/>
      <w:marRight w:val="0"/>
      <w:marTop w:val="0"/>
      <w:marBottom w:val="0"/>
      <w:divBdr>
        <w:top w:val="none" w:sz="0" w:space="0" w:color="auto"/>
        <w:left w:val="none" w:sz="0" w:space="0" w:color="auto"/>
        <w:bottom w:val="none" w:sz="0" w:space="0" w:color="auto"/>
        <w:right w:val="none" w:sz="0" w:space="0" w:color="auto"/>
      </w:divBdr>
    </w:div>
    <w:div w:id="1423406004">
      <w:bodyDiv w:val="1"/>
      <w:marLeft w:val="0"/>
      <w:marRight w:val="0"/>
      <w:marTop w:val="0"/>
      <w:marBottom w:val="0"/>
      <w:divBdr>
        <w:top w:val="none" w:sz="0" w:space="0" w:color="auto"/>
        <w:left w:val="none" w:sz="0" w:space="0" w:color="auto"/>
        <w:bottom w:val="none" w:sz="0" w:space="0" w:color="auto"/>
        <w:right w:val="none" w:sz="0" w:space="0" w:color="auto"/>
      </w:divBdr>
    </w:div>
    <w:div w:id="1450317913">
      <w:bodyDiv w:val="1"/>
      <w:marLeft w:val="0"/>
      <w:marRight w:val="0"/>
      <w:marTop w:val="0"/>
      <w:marBottom w:val="0"/>
      <w:divBdr>
        <w:top w:val="none" w:sz="0" w:space="0" w:color="auto"/>
        <w:left w:val="none" w:sz="0" w:space="0" w:color="auto"/>
        <w:bottom w:val="none" w:sz="0" w:space="0" w:color="auto"/>
        <w:right w:val="none" w:sz="0" w:space="0" w:color="auto"/>
      </w:divBdr>
    </w:div>
    <w:div w:id="1463500084">
      <w:bodyDiv w:val="1"/>
      <w:marLeft w:val="0"/>
      <w:marRight w:val="0"/>
      <w:marTop w:val="0"/>
      <w:marBottom w:val="0"/>
      <w:divBdr>
        <w:top w:val="none" w:sz="0" w:space="0" w:color="auto"/>
        <w:left w:val="none" w:sz="0" w:space="0" w:color="auto"/>
        <w:bottom w:val="none" w:sz="0" w:space="0" w:color="auto"/>
        <w:right w:val="none" w:sz="0" w:space="0" w:color="auto"/>
      </w:divBdr>
    </w:div>
    <w:div w:id="1476726269">
      <w:bodyDiv w:val="1"/>
      <w:marLeft w:val="0"/>
      <w:marRight w:val="0"/>
      <w:marTop w:val="0"/>
      <w:marBottom w:val="0"/>
      <w:divBdr>
        <w:top w:val="none" w:sz="0" w:space="0" w:color="auto"/>
        <w:left w:val="none" w:sz="0" w:space="0" w:color="auto"/>
        <w:bottom w:val="none" w:sz="0" w:space="0" w:color="auto"/>
        <w:right w:val="none" w:sz="0" w:space="0" w:color="auto"/>
      </w:divBdr>
    </w:div>
    <w:div w:id="1504979556">
      <w:bodyDiv w:val="1"/>
      <w:marLeft w:val="0"/>
      <w:marRight w:val="0"/>
      <w:marTop w:val="0"/>
      <w:marBottom w:val="0"/>
      <w:divBdr>
        <w:top w:val="none" w:sz="0" w:space="0" w:color="auto"/>
        <w:left w:val="none" w:sz="0" w:space="0" w:color="auto"/>
        <w:bottom w:val="none" w:sz="0" w:space="0" w:color="auto"/>
        <w:right w:val="none" w:sz="0" w:space="0" w:color="auto"/>
      </w:divBdr>
    </w:div>
    <w:div w:id="1511869720">
      <w:bodyDiv w:val="1"/>
      <w:marLeft w:val="0"/>
      <w:marRight w:val="0"/>
      <w:marTop w:val="0"/>
      <w:marBottom w:val="0"/>
      <w:divBdr>
        <w:top w:val="none" w:sz="0" w:space="0" w:color="auto"/>
        <w:left w:val="none" w:sz="0" w:space="0" w:color="auto"/>
        <w:bottom w:val="none" w:sz="0" w:space="0" w:color="auto"/>
        <w:right w:val="none" w:sz="0" w:space="0" w:color="auto"/>
      </w:divBdr>
    </w:div>
    <w:div w:id="1592814319">
      <w:bodyDiv w:val="1"/>
      <w:marLeft w:val="0"/>
      <w:marRight w:val="0"/>
      <w:marTop w:val="0"/>
      <w:marBottom w:val="0"/>
      <w:divBdr>
        <w:top w:val="none" w:sz="0" w:space="0" w:color="auto"/>
        <w:left w:val="none" w:sz="0" w:space="0" w:color="auto"/>
        <w:bottom w:val="none" w:sz="0" w:space="0" w:color="auto"/>
        <w:right w:val="none" w:sz="0" w:space="0" w:color="auto"/>
      </w:divBdr>
    </w:div>
    <w:div w:id="1629165540">
      <w:bodyDiv w:val="1"/>
      <w:marLeft w:val="0"/>
      <w:marRight w:val="0"/>
      <w:marTop w:val="0"/>
      <w:marBottom w:val="0"/>
      <w:divBdr>
        <w:top w:val="none" w:sz="0" w:space="0" w:color="auto"/>
        <w:left w:val="none" w:sz="0" w:space="0" w:color="auto"/>
        <w:bottom w:val="none" w:sz="0" w:space="0" w:color="auto"/>
        <w:right w:val="none" w:sz="0" w:space="0" w:color="auto"/>
      </w:divBdr>
    </w:div>
    <w:div w:id="1633317361">
      <w:bodyDiv w:val="1"/>
      <w:marLeft w:val="0"/>
      <w:marRight w:val="0"/>
      <w:marTop w:val="0"/>
      <w:marBottom w:val="0"/>
      <w:divBdr>
        <w:top w:val="none" w:sz="0" w:space="0" w:color="auto"/>
        <w:left w:val="none" w:sz="0" w:space="0" w:color="auto"/>
        <w:bottom w:val="none" w:sz="0" w:space="0" w:color="auto"/>
        <w:right w:val="none" w:sz="0" w:space="0" w:color="auto"/>
      </w:divBdr>
    </w:div>
    <w:div w:id="1639720767">
      <w:bodyDiv w:val="1"/>
      <w:marLeft w:val="0"/>
      <w:marRight w:val="0"/>
      <w:marTop w:val="0"/>
      <w:marBottom w:val="0"/>
      <w:divBdr>
        <w:top w:val="none" w:sz="0" w:space="0" w:color="auto"/>
        <w:left w:val="none" w:sz="0" w:space="0" w:color="auto"/>
        <w:bottom w:val="none" w:sz="0" w:space="0" w:color="auto"/>
        <w:right w:val="none" w:sz="0" w:space="0" w:color="auto"/>
      </w:divBdr>
    </w:div>
    <w:div w:id="1700426297">
      <w:bodyDiv w:val="1"/>
      <w:marLeft w:val="0"/>
      <w:marRight w:val="0"/>
      <w:marTop w:val="0"/>
      <w:marBottom w:val="0"/>
      <w:divBdr>
        <w:top w:val="none" w:sz="0" w:space="0" w:color="auto"/>
        <w:left w:val="none" w:sz="0" w:space="0" w:color="auto"/>
        <w:bottom w:val="none" w:sz="0" w:space="0" w:color="auto"/>
        <w:right w:val="none" w:sz="0" w:space="0" w:color="auto"/>
      </w:divBdr>
    </w:div>
    <w:div w:id="1706327794">
      <w:bodyDiv w:val="1"/>
      <w:marLeft w:val="0"/>
      <w:marRight w:val="0"/>
      <w:marTop w:val="0"/>
      <w:marBottom w:val="0"/>
      <w:divBdr>
        <w:top w:val="none" w:sz="0" w:space="0" w:color="auto"/>
        <w:left w:val="none" w:sz="0" w:space="0" w:color="auto"/>
        <w:bottom w:val="none" w:sz="0" w:space="0" w:color="auto"/>
        <w:right w:val="none" w:sz="0" w:space="0" w:color="auto"/>
      </w:divBdr>
    </w:div>
    <w:div w:id="1738163939">
      <w:bodyDiv w:val="1"/>
      <w:marLeft w:val="0"/>
      <w:marRight w:val="0"/>
      <w:marTop w:val="0"/>
      <w:marBottom w:val="0"/>
      <w:divBdr>
        <w:top w:val="none" w:sz="0" w:space="0" w:color="auto"/>
        <w:left w:val="none" w:sz="0" w:space="0" w:color="auto"/>
        <w:bottom w:val="none" w:sz="0" w:space="0" w:color="auto"/>
        <w:right w:val="none" w:sz="0" w:space="0" w:color="auto"/>
      </w:divBdr>
    </w:div>
    <w:div w:id="1763528193">
      <w:bodyDiv w:val="1"/>
      <w:marLeft w:val="0"/>
      <w:marRight w:val="0"/>
      <w:marTop w:val="0"/>
      <w:marBottom w:val="0"/>
      <w:divBdr>
        <w:top w:val="none" w:sz="0" w:space="0" w:color="auto"/>
        <w:left w:val="none" w:sz="0" w:space="0" w:color="auto"/>
        <w:bottom w:val="none" w:sz="0" w:space="0" w:color="auto"/>
        <w:right w:val="none" w:sz="0" w:space="0" w:color="auto"/>
      </w:divBdr>
    </w:div>
    <w:div w:id="1776631056">
      <w:bodyDiv w:val="1"/>
      <w:marLeft w:val="0"/>
      <w:marRight w:val="0"/>
      <w:marTop w:val="0"/>
      <w:marBottom w:val="0"/>
      <w:divBdr>
        <w:top w:val="none" w:sz="0" w:space="0" w:color="auto"/>
        <w:left w:val="none" w:sz="0" w:space="0" w:color="auto"/>
        <w:bottom w:val="none" w:sz="0" w:space="0" w:color="auto"/>
        <w:right w:val="none" w:sz="0" w:space="0" w:color="auto"/>
      </w:divBdr>
      <w:divsChild>
        <w:div w:id="547643388">
          <w:marLeft w:val="0"/>
          <w:marRight w:val="0"/>
          <w:marTop w:val="0"/>
          <w:marBottom w:val="0"/>
          <w:divBdr>
            <w:top w:val="none" w:sz="0" w:space="0" w:color="auto"/>
            <w:left w:val="none" w:sz="0" w:space="0" w:color="auto"/>
            <w:bottom w:val="none" w:sz="0" w:space="0" w:color="auto"/>
            <w:right w:val="none" w:sz="0" w:space="0" w:color="auto"/>
          </w:divBdr>
          <w:divsChild>
            <w:div w:id="1495295915">
              <w:marLeft w:val="0"/>
              <w:marRight w:val="0"/>
              <w:marTop w:val="0"/>
              <w:marBottom w:val="0"/>
              <w:divBdr>
                <w:top w:val="none" w:sz="0" w:space="0" w:color="auto"/>
                <w:left w:val="none" w:sz="0" w:space="0" w:color="auto"/>
                <w:bottom w:val="none" w:sz="0" w:space="0" w:color="auto"/>
                <w:right w:val="none" w:sz="0" w:space="0" w:color="auto"/>
              </w:divBdr>
              <w:divsChild>
                <w:div w:id="488441191">
                  <w:marLeft w:val="0"/>
                  <w:marRight w:val="0"/>
                  <w:marTop w:val="0"/>
                  <w:marBottom w:val="0"/>
                  <w:divBdr>
                    <w:top w:val="none" w:sz="0" w:space="0" w:color="auto"/>
                    <w:left w:val="none" w:sz="0" w:space="0" w:color="auto"/>
                    <w:bottom w:val="none" w:sz="0" w:space="0" w:color="auto"/>
                    <w:right w:val="none" w:sz="0" w:space="0" w:color="auto"/>
                  </w:divBdr>
                  <w:divsChild>
                    <w:div w:id="378164878">
                      <w:marLeft w:val="0"/>
                      <w:marRight w:val="0"/>
                      <w:marTop w:val="0"/>
                      <w:marBottom w:val="0"/>
                      <w:divBdr>
                        <w:top w:val="none" w:sz="0" w:space="0" w:color="auto"/>
                        <w:left w:val="none" w:sz="0" w:space="0" w:color="auto"/>
                        <w:bottom w:val="none" w:sz="0" w:space="0" w:color="auto"/>
                        <w:right w:val="none" w:sz="0" w:space="0" w:color="auto"/>
                      </w:divBdr>
                      <w:divsChild>
                        <w:div w:id="756634367">
                          <w:marLeft w:val="0"/>
                          <w:marRight w:val="0"/>
                          <w:marTop w:val="0"/>
                          <w:marBottom w:val="0"/>
                          <w:divBdr>
                            <w:top w:val="none" w:sz="0" w:space="0" w:color="auto"/>
                            <w:left w:val="none" w:sz="0" w:space="0" w:color="auto"/>
                            <w:bottom w:val="none" w:sz="0" w:space="0" w:color="auto"/>
                            <w:right w:val="none" w:sz="0" w:space="0" w:color="auto"/>
                          </w:divBdr>
                          <w:divsChild>
                            <w:div w:id="691567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4111822">
      <w:bodyDiv w:val="1"/>
      <w:marLeft w:val="0"/>
      <w:marRight w:val="0"/>
      <w:marTop w:val="0"/>
      <w:marBottom w:val="0"/>
      <w:divBdr>
        <w:top w:val="none" w:sz="0" w:space="0" w:color="auto"/>
        <w:left w:val="none" w:sz="0" w:space="0" w:color="auto"/>
        <w:bottom w:val="none" w:sz="0" w:space="0" w:color="auto"/>
        <w:right w:val="none" w:sz="0" w:space="0" w:color="auto"/>
      </w:divBdr>
      <w:divsChild>
        <w:div w:id="483131832">
          <w:marLeft w:val="0"/>
          <w:marRight w:val="0"/>
          <w:marTop w:val="0"/>
          <w:marBottom w:val="0"/>
          <w:divBdr>
            <w:top w:val="none" w:sz="0" w:space="0" w:color="auto"/>
            <w:left w:val="none" w:sz="0" w:space="0" w:color="auto"/>
            <w:bottom w:val="none" w:sz="0" w:space="0" w:color="auto"/>
            <w:right w:val="none" w:sz="0" w:space="0" w:color="auto"/>
          </w:divBdr>
          <w:divsChild>
            <w:div w:id="815606801">
              <w:marLeft w:val="0"/>
              <w:marRight w:val="0"/>
              <w:marTop w:val="0"/>
              <w:marBottom w:val="0"/>
              <w:divBdr>
                <w:top w:val="none" w:sz="0" w:space="0" w:color="auto"/>
                <w:left w:val="none" w:sz="0" w:space="0" w:color="auto"/>
                <w:bottom w:val="none" w:sz="0" w:space="0" w:color="auto"/>
                <w:right w:val="none" w:sz="0" w:space="0" w:color="auto"/>
              </w:divBdr>
              <w:divsChild>
                <w:div w:id="749891353">
                  <w:marLeft w:val="0"/>
                  <w:marRight w:val="0"/>
                  <w:marTop w:val="0"/>
                  <w:marBottom w:val="0"/>
                  <w:divBdr>
                    <w:top w:val="none" w:sz="0" w:space="0" w:color="auto"/>
                    <w:left w:val="none" w:sz="0" w:space="0" w:color="auto"/>
                    <w:bottom w:val="none" w:sz="0" w:space="0" w:color="auto"/>
                    <w:right w:val="none" w:sz="0" w:space="0" w:color="auto"/>
                  </w:divBdr>
                  <w:divsChild>
                    <w:div w:id="38557760">
                      <w:marLeft w:val="0"/>
                      <w:marRight w:val="0"/>
                      <w:marTop w:val="0"/>
                      <w:marBottom w:val="0"/>
                      <w:divBdr>
                        <w:top w:val="none" w:sz="0" w:space="0" w:color="auto"/>
                        <w:left w:val="none" w:sz="0" w:space="0" w:color="auto"/>
                        <w:bottom w:val="none" w:sz="0" w:space="0" w:color="auto"/>
                        <w:right w:val="none" w:sz="0" w:space="0" w:color="auto"/>
                      </w:divBdr>
                      <w:divsChild>
                        <w:div w:id="989551682">
                          <w:marLeft w:val="0"/>
                          <w:marRight w:val="0"/>
                          <w:marTop w:val="0"/>
                          <w:marBottom w:val="0"/>
                          <w:divBdr>
                            <w:top w:val="none" w:sz="0" w:space="0" w:color="auto"/>
                            <w:left w:val="none" w:sz="0" w:space="0" w:color="auto"/>
                            <w:bottom w:val="none" w:sz="0" w:space="0" w:color="auto"/>
                            <w:right w:val="none" w:sz="0" w:space="0" w:color="auto"/>
                          </w:divBdr>
                          <w:divsChild>
                            <w:div w:id="94962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592898">
      <w:bodyDiv w:val="1"/>
      <w:marLeft w:val="0"/>
      <w:marRight w:val="0"/>
      <w:marTop w:val="0"/>
      <w:marBottom w:val="0"/>
      <w:divBdr>
        <w:top w:val="none" w:sz="0" w:space="0" w:color="auto"/>
        <w:left w:val="none" w:sz="0" w:space="0" w:color="auto"/>
        <w:bottom w:val="none" w:sz="0" w:space="0" w:color="auto"/>
        <w:right w:val="none" w:sz="0" w:space="0" w:color="auto"/>
      </w:divBdr>
    </w:div>
    <w:div w:id="1797484225">
      <w:bodyDiv w:val="1"/>
      <w:marLeft w:val="0"/>
      <w:marRight w:val="0"/>
      <w:marTop w:val="0"/>
      <w:marBottom w:val="0"/>
      <w:divBdr>
        <w:top w:val="none" w:sz="0" w:space="0" w:color="auto"/>
        <w:left w:val="none" w:sz="0" w:space="0" w:color="auto"/>
        <w:bottom w:val="none" w:sz="0" w:space="0" w:color="auto"/>
        <w:right w:val="none" w:sz="0" w:space="0" w:color="auto"/>
      </w:divBdr>
    </w:div>
    <w:div w:id="1806316277">
      <w:bodyDiv w:val="1"/>
      <w:marLeft w:val="0"/>
      <w:marRight w:val="0"/>
      <w:marTop w:val="0"/>
      <w:marBottom w:val="0"/>
      <w:divBdr>
        <w:top w:val="none" w:sz="0" w:space="0" w:color="auto"/>
        <w:left w:val="none" w:sz="0" w:space="0" w:color="auto"/>
        <w:bottom w:val="none" w:sz="0" w:space="0" w:color="auto"/>
        <w:right w:val="none" w:sz="0" w:space="0" w:color="auto"/>
      </w:divBdr>
    </w:div>
    <w:div w:id="1824737994">
      <w:bodyDiv w:val="1"/>
      <w:marLeft w:val="0"/>
      <w:marRight w:val="0"/>
      <w:marTop w:val="0"/>
      <w:marBottom w:val="0"/>
      <w:divBdr>
        <w:top w:val="none" w:sz="0" w:space="0" w:color="auto"/>
        <w:left w:val="none" w:sz="0" w:space="0" w:color="auto"/>
        <w:bottom w:val="none" w:sz="0" w:space="0" w:color="auto"/>
        <w:right w:val="none" w:sz="0" w:space="0" w:color="auto"/>
      </w:divBdr>
    </w:div>
    <w:div w:id="1828596264">
      <w:bodyDiv w:val="1"/>
      <w:marLeft w:val="0"/>
      <w:marRight w:val="0"/>
      <w:marTop w:val="0"/>
      <w:marBottom w:val="0"/>
      <w:divBdr>
        <w:top w:val="none" w:sz="0" w:space="0" w:color="auto"/>
        <w:left w:val="none" w:sz="0" w:space="0" w:color="auto"/>
        <w:bottom w:val="none" w:sz="0" w:space="0" w:color="auto"/>
        <w:right w:val="none" w:sz="0" w:space="0" w:color="auto"/>
      </w:divBdr>
      <w:divsChild>
        <w:div w:id="1149325624">
          <w:marLeft w:val="0"/>
          <w:marRight w:val="0"/>
          <w:marTop w:val="0"/>
          <w:marBottom w:val="0"/>
          <w:divBdr>
            <w:top w:val="none" w:sz="0" w:space="0" w:color="auto"/>
            <w:left w:val="none" w:sz="0" w:space="0" w:color="auto"/>
            <w:bottom w:val="none" w:sz="0" w:space="0" w:color="auto"/>
            <w:right w:val="none" w:sz="0" w:space="0" w:color="auto"/>
          </w:divBdr>
        </w:div>
      </w:divsChild>
    </w:div>
    <w:div w:id="1878929658">
      <w:bodyDiv w:val="1"/>
      <w:marLeft w:val="0"/>
      <w:marRight w:val="0"/>
      <w:marTop w:val="0"/>
      <w:marBottom w:val="0"/>
      <w:divBdr>
        <w:top w:val="none" w:sz="0" w:space="0" w:color="auto"/>
        <w:left w:val="none" w:sz="0" w:space="0" w:color="auto"/>
        <w:bottom w:val="none" w:sz="0" w:space="0" w:color="auto"/>
        <w:right w:val="none" w:sz="0" w:space="0" w:color="auto"/>
      </w:divBdr>
    </w:div>
    <w:div w:id="1905138511">
      <w:bodyDiv w:val="1"/>
      <w:marLeft w:val="0"/>
      <w:marRight w:val="0"/>
      <w:marTop w:val="0"/>
      <w:marBottom w:val="0"/>
      <w:divBdr>
        <w:top w:val="none" w:sz="0" w:space="0" w:color="auto"/>
        <w:left w:val="none" w:sz="0" w:space="0" w:color="auto"/>
        <w:bottom w:val="none" w:sz="0" w:space="0" w:color="auto"/>
        <w:right w:val="none" w:sz="0" w:space="0" w:color="auto"/>
      </w:divBdr>
    </w:div>
    <w:div w:id="1914192242">
      <w:bodyDiv w:val="1"/>
      <w:marLeft w:val="0"/>
      <w:marRight w:val="0"/>
      <w:marTop w:val="0"/>
      <w:marBottom w:val="0"/>
      <w:divBdr>
        <w:top w:val="none" w:sz="0" w:space="0" w:color="auto"/>
        <w:left w:val="none" w:sz="0" w:space="0" w:color="auto"/>
        <w:bottom w:val="none" w:sz="0" w:space="0" w:color="auto"/>
        <w:right w:val="none" w:sz="0" w:space="0" w:color="auto"/>
      </w:divBdr>
    </w:div>
    <w:div w:id="1925063668">
      <w:bodyDiv w:val="1"/>
      <w:marLeft w:val="0"/>
      <w:marRight w:val="0"/>
      <w:marTop w:val="0"/>
      <w:marBottom w:val="0"/>
      <w:divBdr>
        <w:top w:val="none" w:sz="0" w:space="0" w:color="auto"/>
        <w:left w:val="none" w:sz="0" w:space="0" w:color="auto"/>
        <w:bottom w:val="none" w:sz="0" w:space="0" w:color="auto"/>
        <w:right w:val="none" w:sz="0" w:space="0" w:color="auto"/>
      </w:divBdr>
    </w:div>
    <w:div w:id="1934514497">
      <w:bodyDiv w:val="1"/>
      <w:marLeft w:val="0"/>
      <w:marRight w:val="0"/>
      <w:marTop w:val="0"/>
      <w:marBottom w:val="0"/>
      <w:divBdr>
        <w:top w:val="none" w:sz="0" w:space="0" w:color="auto"/>
        <w:left w:val="none" w:sz="0" w:space="0" w:color="auto"/>
        <w:bottom w:val="none" w:sz="0" w:space="0" w:color="auto"/>
        <w:right w:val="none" w:sz="0" w:space="0" w:color="auto"/>
      </w:divBdr>
    </w:div>
    <w:div w:id="1951039313">
      <w:bodyDiv w:val="1"/>
      <w:marLeft w:val="0"/>
      <w:marRight w:val="0"/>
      <w:marTop w:val="0"/>
      <w:marBottom w:val="0"/>
      <w:divBdr>
        <w:top w:val="none" w:sz="0" w:space="0" w:color="auto"/>
        <w:left w:val="none" w:sz="0" w:space="0" w:color="auto"/>
        <w:bottom w:val="none" w:sz="0" w:space="0" w:color="auto"/>
        <w:right w:val="none" w:sz="0" w:space="0" w:color="auto"/>
      </w:divBdr>
    </w:div>
    <w:div w:id="1982734877">
      <w:bodyDiv w:val="1"/>
      <w:marLeft w:val="0"/>
      <w:marRight w:val="0"/>
      <w:marTop w:val="0"/>
      <w:marBottom w:val="0"/>
      <w:divBdr>
        <w:top w:val="none" w:sz="0" w:space="0" w:color="auto"/>
        <w:left w:val="none" w:sz="0" w:space="0" w:color="auto"/>
        <w:bottom w:val="none" w:sz="0" w:space="0" w:color="auto"/>
        <w:right w:val="none" w:sz="0" w:space="0" w:color="auto"/>
      </w:divBdr>
    </w:div>
    <w:div w:id="1987467518">
      <w:bodyDiv w:val="1"/>
      <w:marLeft w:val="0"/>
      <w:marRight w:val="0"/>
      <w:marTop w:val="0"/>
      <w:marBottom w:val="0"/>
      <w:divBdr>
        <w:top w:val="none" w:sz="0" w:space="0" w:color="auto"/>
        <w:left w:val="none" w:sz="0" w:space="0" w:color="auto"/>
        <w:bottom w:val="none" w:sz="0" w:space="0" w:color="auto"/>
        <w:right w:val="none" w:sz="0" w:space="0" w:color="auto"/>
      </w:divBdr>
    </w:div>
    <w:div w:id="1992249154">
      <w:bodyDiv w:val="1"/>
      <w:marLeft w:val="0"/>
      <w:marRight w:val="0"/>
      <w:marTop w:val="0"/>
      <w:marBottom w:val="0"/>
      <w:divBdr>
        <w:top w:val="none" w:sz="0" w:space="0" w:color="auto"/>
        <w:left w:val="none" w:sz="0" w:space="0" w:color="auto"/>
        <w:bottom w:val="none" w:sz="0" w:space="0" w:color="auto"/>
        <w:right w:val="none" w:sz="0" w:space="0" w:color="auto"/>
      </w:divBdr>
      <w:divsChild>
        <w:div w:id="1253126511">
          <w:marLeft w:val="0"/>
          <w:marRight w:val="0"/>
          <w:marTop w:val="0"/>
          <w:marBottom w:val="0"/>
          <w:divBdr>
            <w:top w:val="none" w:sz="0" w:space="0" w:color="auto"/>
            <w:left w:val="none" w:sz="0" w:space="0" w:color="auto"/>
            <w:bottom w:val="none" w:sz="0" w:space="0" w:color="auto"/>
            <w:right w:val="none" w:sz="0" w:space="0" w:color="auto"/>
          </w:divBdr>
          <w:divsChild>
            <w:div w:id="1744983483">
              <w:marLeft w:val="0"/>
              <w:marRight w:val="0"/>
              <w:marTop w:val="0"/>
              <w:marBottom w:val="0"/>
              <w:divBdr>
                <w:top w:val="none" w:sz="0" w:space="0" w:color="auto"/>
                <w:left w:val="none" w:sz="0" w:space="0" w:color="auto"/>
                <w:bottom w:val="none" w:sz="0" w:space="0" w:color="auto"/>
                <w:right w:val="none" w:sz="0" w:space="0" w:color="auto"/>
              </w:divBdr>
              <w:divsChild>
                <w:div w:id="1560899634">
                  <w:marLeft w:val="0"/>
                  <w:marRight w:val="0"/>
                  <w:marTop w:val="300"/>
                  <w:marBottom w:val="0"/>
                  <w:divBdr>
                    <w:top w:val="none" w:sz="0" w:space="0" w:color="auto"/>
                    <w:left w:val="none" w:sz="0" w:space="0" w:color="auto"/>
                    <w:bottom w:val="none" w:sz="0" w:space="0" w:color="auto"/>
                    <w:right w:val="none" w:sz="0" w:space="0" w:color="auto"/>
                  </w:divBdr>
                </w:div>
              </w:divsChild>
            </w:div>
            <w:div w:id="1674720491">
              <w:marLeft w:val="0"/>
              <w:marRight w:val="0"/>
              <w:marTop w:val="1500"/>
              <w:marBottom w:val="0"/>
              <w:divBdr>
                <w:top w:val="none" w:sz="0" w:space="0" w:color="auto"/>
                <w:left w:val="none" w:sz="0" w:space="0" w:color="auto"/>
                <w:bottom w:val="none" w:sz="0" w:space="0" w:color="auto"/>
                <w:right w:val="none" w:sz="0" w:space="0" w:color="auto"/>
              </w:divBdr>
              <w:divsChild>
                <w:div w:id="119881551">
                  <w:marLeft w:val="0"/>
                  <w:marRight w:val="0"/>
                  <w:marTop w:val="0"/>
                  <w:marBottom w:val="0"/>
                  <w:divBdr>
                    <w:top w:val="none" w:sz="0" w:space="0" w:color="auto"/>
                    <w:left w:val="none" w:sz="0" w:space="0" w:color="auto"/>
                    <w:bottom w:val="none" w:sz="0" w:space="0" w:color="auto"/>
                    <w:right w:val="none" w:sz="0" w:space="0" w:color="auto"/>
                  </w:divBdr>
                </w:div>
                <w:div w:id="1631865377">
                  <w:marLeft w:val="0"/>
                  <w:marRight w:val="0"/>
                  <w:marTop w:val="0"/>
                  <w:marBottom w:val="0"/>
                  <w:divBdr>
                    <w:top w:val="none" w:sz="0" w:space="0" w:color="auto"/>
                    <w:left w:val="none" w:sz="0" w:space="0" w:color="auto"/>
                    <w:bottom w:val="none" w:sz="0" w:space="0" w:color="auto"/>
                    <w:right w:val="none" w:sz="0" w:space="0" w:color="auto"/>
                  </w:divBdr>
                </w:div>
              </w:divsChild>
            </w:div>
            <w:div w:id="1260792214">
              <w:marLeft w:val="0"/>
              <w:marRight w:val="0"/>
              <w:marTop w:val="0"/>
              <w:marBottom w:val="0"/>
              <w:divBdr>
                <w:top w:val="none" w:sz="0" w:space="0" w:color="auto"/>
                <w:left w:val="none" w:sz="0" w:space="0" w:color="auto"/>
                <w:bottom w:val="none" w:sz="0" w:space="0" w:color="auto"/>
                <w:right w:val="none" w:sz="0" w:space="0" w:color="auto"/>
              </w:divBdr>
              <w:divsChild>
                <w:div w:id="1286885014">
                  <w:marLeft w:val="300"/>
                  <w:marRight w:val="300"/>
                  <w:marTop w:val="300"/>
                  <w:marBottom w:val="300"/>
                  <w:divBdr>
                    <w:top w:val="none" w:sz="0" w:space="0" w:color="auto"/>
                    <w:left w:val="none" w:sz="0" w:space="0" w:color="auto"/>
                    <w:bottom w:val="none" w:sz="0" w:space="0" w:color="auto"/>
                    <w:right w:val="none" w:sz="0" w:space="0" w:color="auto"/>
                  </w:divBdr>
                </w:div>
                <w:div w:id="1657607141">
                  <w:marLeft w:val="0"/>
                  <w:marRight w:val="0"/>
                  <w:marTop w:val="0"/>
                  <w:marBottom w:val="0"/>
                  <w:divBdr>
                    <w:top w:val="none" w:sz="0" w:space="0" w:color="auto"/>
                    <w:left w:val="none" w:sz="0" w:space="0" w:color="auto"/>
                    <w:bottom w:val="none" w:sz="0" w:space="0" w:color="auto"/>
                    <w:right w:val="none" w:sz="0" w:space="0" w:color="auto"/>
                  </w:divBdr>
                </w:div>
              </w:divsChild>
            </w:div>
            <w:div w:id="1677878544">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2005011222">
      <w:bodyDiv w:val="1"/>
      <w:marLeft w:val="0"/>
      <w:marRight w:val="0"/>
      <w:marTop w:val="0"/>
      <w:marBottom w:val="0"/>
      <w:divBdr>
        <w:top w:val="none" w:sz="0" w:space="0" w:color="auto"/>
        <w:left w:val="none" w:sz="0" w:space="0" w:color="auto"/>
        <w:bottom w:val="none" w:sz="0" w:space="0" w:color="auto"/>
        <w:right w:val="none" w:sz="0" w:space="0" w:color="auto"/>
      </w:divBdr>
    </w:div>
    <w:div w:id="2021156398">
      <w:bodyDiv w:val="1"/>
      <w:marLeft w:val="0"/>
      <w:marRight w:val="0"/>
      <w:marTop w:val="0"/>
      <w:marBottom w:val="0"/>
      <w:divBdr>
        <w:top w:val="none" w:sz="0" w:space="0" w:color="auto"/>
        <w:left w:val="none" w:sz="0" w:space="0" w:color="auto"/>
        <w:bottom w:val="none" w:sz="0" w:space="0" w:color="auto"/>
        <w:right w:val="none" w:sz="0" w:space="0" w:color="auto"/>
      </w:divBdr>
    </w:div>
    <w:div w:id="2052413507">
      <w:bodyDiv w:val="1"/>
      <w:marLeft w:val="0"/>
      <w:marRight w:val="0"/>
      <w:marTop w:val="0"/>
      <w:marBottom w:val="0"/>
      <w:divBdr>
        <w:top w:val="none" w:sz="0" w:space="0" w:color="auto"/>
        <w:left w:val="none" w:sz="0" w:space="0" w:color="auto"/>
        <w:bottom w:val="none" w:sz="0" w:space="0" w:color="auto"/>
        <w:right w:val="none" w:sz="0" w:space="0" w:color="auto"/>
      </w:divBdr>
    </w:div>
    <w:div w:id="2060276745">
      <w:bodyDiv w:val="1"/>
      <w:marLeft w:val="0"/>
      <w:marRight w:val="0"/>
      <w:marTop w:val="0"/>
      <w:marBottom w:val="0"/>
      <w:divBdr>
        <w:top w:val="none" w:sz="0" w:space="0" w:color="auto"/>
        <w:left w:val="none" w:sz="0" w:space="0" w:color="auto"/>
        <w:bottom w:val="none" w:sz="0" w:space="0" w:color="auto"/>
        <w:right w:val="none" w:sz="0" w:space="0" w:color="auto"/>
      </w:divBdr>
    </w:div>
    <w:div w:id="2065641060">
      <w:bodyDiv w:val="1"/>
      <w:marLeft w:val="0"/>
      <w:marRight w:val="0"/>
      <w:marTop w:val="0"/>
      <w:marBottom w:val="0"/>
      <w:divBdr>
        <w:top w:val="none" w:sz="0" w:space="0" w:color="auto"/>
        <w:left w:val="none" w:sz="0" w:space="0" w:color="auto"/>
        <w:bottom w:val="none" w:sz="0" w:space="0" w:color="auto"/>
        <w:right w:val="none" w:sz="0" w:space="0" w:color="auto"/>
      </w:divBdr>
    </w:div>
    <w:div w:id="2094162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doi.org/10.1016/j.jbusres.2022.113393" TargetMode="External" /><Relationship Id="rId39" Type="http://schemas.openxmlformats.org/officeDocument/2006/relationships/hyperlink" Target="https://doi.org/10.1007/s11356-020-10217-0" TargetMode="External" /><Relationship Id="rId3" Type="http://schemas.openxmlformats.org/officeDocument/2006/relationships/styles" Target="styles.xml" /><Relationship Id="rId21" Type="http://schemas.openxmlformats.org/officeDocument/2006/relationships/hyperlink" Target="https://onlinelibrary.wiley.com/doi/abs/10.1002/csr.2048" TargetMode="External" /><Relationship Id="rId34" Type="http://schemas.openxmlformats.org/officeDocument/2006/relationships/hyperlink" Target="https://doi.org/10.1016/j.jcorpfin.2021.101899" TargetMode="External" /><Relationship Id="rId42" Type="http://schemas.openxmlformats.org/officeDocument/2006/relationships/hyperlink" Target="https://doi.org/10.1080/10438599.2019.1625154" TargetMode="Externa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ejournal.tsue.uz/index.php/archive/article/download/3262/2445" TargetMode="External" /><Relationship Id="rId33" Type="http://schemas.openxmlformats.org/officeDocument/2006/relationships/hyperlink" Target="https://doi.org/10.1016/j.jclepro.2021.126078" TargetMode="External" /><Relationship Id="rId38" Type="http://schemas.openxmlformats.org/officeDocument/2006/relationships/hyperlink" Target="https://doi.org/10.2991/aebmr.k.210220.041"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hyperlink" Target="https://doi.org/10.1016/j.frl.2021.102372" TargetMode="External" /><Relationship Id="rId29" Type="http://schemas.openxmlformats.org/officeDocument/2006/relationships/hyperlink" Target="https://wlv.openrepository.com/handle/2436/624637" TargetMode="External" /><Relationship Id="rId41" Type="http://schemas.openxmlformats.org/officeDocument/2006/relationships/hyperlink" Target="https://doi.org/10.1093/rfs/hhz08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doi.org/10.1016/j.appet.2023.107194" TargetMode="External" /><Relationship Id="rId32" Type="http://schemas.openxmlformats.org/officeDocument/2006/relationships/hyperlink" Target="https://dialnet.unirioja.es/descarga/articulo/8956976.pdf" TargetMode="External" /><Relationship Id="rId37" Type="http://schemas.openxmlformats.org/officeDocument/2006/relationships/hyperlink" Target="https://go.gale.com/ps/i.do?p=HRCA&amp;sw=w&amp;issn=&amp;v=2.1&amp;it=r&amp;id=GALE%7CA780142833&amp;sid=googleScholar&amp;linkaccess=abs" TargetMode="External" /><Relationship Id="rId40" Type="http://schemas.openxmlformats.org/officeDocument/2006/relationships/hyperlink" Target="https://doi.org/10.17159/2077-4907/2023/ldd.v27.10" TargetMode="External" /><Relationship Id="rId45"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hyperlink" Target="https://doi.org/10.1016/j.irfa.2022.102291" TargetMode="External" /><Relationship Id="rId28" Type="http://schemas.openxmlformats.org/officeDocument/2006/relationships/hyperlink" Target="https://doi.org/10.54097/sm597h14" TargetMode="External" /><Relationship Id="rId36" Type="http://schemas.openxmlformats.org/officeDocument/2006/relationships/hyperlink" Target="https://doi.org/10.1007/978-981-99-0043-5_1" TargetMode="External" /><Relationship Id="rId10" Type="http://schemas.openxmlformats.org/officeDocument/2006/relationships/image" Target="media/image3.png" /><Relationship Id="rId19" Type="http://schemas.openxmlformats.org/officeDocument/2006/relationships/hyperlink" Target="https://doi.org/10.1016/j.irfa.2023.102734" TargetMode="External" /><Relationship Id="rId31" Type="http://schemas.openxmlformats.org/officeDocument/2006/relationships/hyperlink" Target="https://doi.org/10.1177/0971890720914100" TargetMode="External" /><Relationship Id="rId44"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doi.org/10.1016/j.frl.2022.102828" TargetMode="External" /><Relationship Id="rId27" Type="http://schemas.openxmlformats.org/officeDocument/2006/relationships/hyperlink" Target="https://doi.org/10.1093/rfs/hhaa007" TargetMode="External" /><Relationship Id="rId30" Type="http://schemas.openxmlformats.org/officeDocument/2006/relationships/hyperlink" Target="https://doi.org/10.2478/ceej-2021-0001" TargetMode="External" /><Relationship Id="rId35" Type="http://schemas.openxmlformats.org/officeDocument/2006/relationships/hyperlink" Target="https://doi.org/10.35808/ersj/2539" TargetMode="External" /><Relationship Id="rId43"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D19D86B-37E5-4BEC-AD43-9FFC36D01D2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6715</Words>
  <Characters>38530</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Prashant Suresh Tiwari (2320593)</cp:lastModifiedBy>
  <cp:revision>2</cp:revision>
  <dcterms:created xsi:type="dcterms:W3CDTF">2024-08-26T23:43:00Z</dcterms:created>
  <dcterms:modified xsi:type="dcterms:W3CDTF">2024-08-26T23:43:00Z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529727bf0736f5a25322c8466db98107a8e507969a375d230acb57acf6c8433c</vt:lpwstr>
  </property>
</Properties>
</file>