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D34" w:rsidRPr="00BF2B6F" w:rsidRDefault="00365D34" w:rsidP="00365D34">
      <w:pPr>
        <w:pStyle w:val="Title"/>
        <w:spacing w:line="360" w:lineRule="auto"/>
        <w:jc w:val="both"/>
        <w:rPr>
          <w:rFonts w:cs="Arial"/>
          <w:sz w:val="22"/>
          <w:szCs w:val="22"/>
        </w:rPr>
      </w:pPr>
    </w:p>
    <w:p w:rsidR="00365D34" w:rsidRPr="00BF2B6F" w:rsidRDefault="00365D34" w:rsidP="00365D34">
      <w:pPr>
        <w:pStyle w:val="Title"/>
        <w:spacing w:line="360" w:lineRule="auto"/>
        <w:jc w:val="both"/>
        <w:rPr>
          <w:rFonts w:cs="Arial"/>
          <w:sz w:val="22"/>
          <w:szCs w:val="22"/>
        </w:rPr>
      </w:pPr>
    </w:p>
    <w:p w:rsidR="00365D34" w:rsidRPr="00BF2B6F" w:rsidRDefault="00365D34" w:rsidP="00365D34">
      <w:pPr>
        <w:pStyle w:val="Title"/>
        <w:spacing w:line="360" w:lineRule="auto"/>
        <w:jc w:val="both"/>
        <w:rPr>
          <w:rFonts w:cs="Arial"/>
          <w:sz w:val="22"/>
          <w:szCs w:val="22"/>
        </w:rPr>
      </w:pPr>
    </w:p>
    <w:p w:rsidR="00365D34" w:rsidRPr="00BF2B6F" w:rsidRDefault="00365D34" w:rsidP="00365D34">
      <w:pPr>
        <w:pStyle w:val="Title"/>
        <w:spacing w:line="360" w:lineRule="auto"/>
        <w:jc w:val="both"/>
        <w:rPr>
          <w:rFonts w:cs="Arial"/>
          <w:sz w:val="22"/>
          <w:szCs w:val="22"/>
        </w:rPr>
      </w:pPr>
    </w:p>
    <w:p w:rsidR="00365D34" w:rsidRPr="00BF2B6F" w:rsidRDefault="00365D34" w:rsidP="00365D34">
      <w:pPr>
        <w:pStyle w:val="Title"/>
        <w:spacing w:line="360" w:lineRule="auto"/>
        <w:jc w:val="both"/>
        <w:rPr>
          <w:rFonts w:cs="Arial"/>
          <w:sz w:val="22"/>
          <w:szCs w:val="22"/>
        </w:rPr>
      </w:pPr>
    </w:p>
    <w:p w:rsidR="00365D34" w:rsidRPr="00BF2B6F" w:rsidRDefault="00365D34" w:rsidP="00365D34">
      <w:pPr>
        <w:pStyle w:val="Title"/>
        <w:spacing w:line="360" w:lineRule="auto"/>
        <w:jc w:val="both"/>
        <w:rPr>
          <w:rFonts w:cs="Arial"/>
          <w:sz w:val="22"/>
          <w:szCs w:val="22"/>
        </w:rPr>
      </w:pPr>
    </w:p>
    <w:p w:rsidR="00F85137" w:rsidRPr="00BF2B6F" w:rsidRDefault="00365D34" w:rsidP="00365D34">
      <w:pPr>
        <w:pStyle w:val="Title"/>
        <w:rPr>
          <w:rFonts w:cs="Arial"/>
          <w:sz w:val="52"/>
        </w:rPr>
      </w:pPr>
      <w:r w:rsidRPr="00BF2B6F">
        <w:rPr>
          <w:rFonts w:cs="Arial"/>
          <w:sz w:val="52"/>
        </w:rPr>
        <w:t>Annotated bibliography</w:t>
      </w:r>
    </w:p>
    <w:p w:rsidR="00365D34" w:rsidRPr="003E5512" w:rsidRDefault="00365D34" w:rsidP="00365D34">
      <w:pPr>
        <w:spacing w:line="360" w:lineRule="auto"/>
        <w:jc w:val="center"/>
        <w:rPr>
          <w:rFonts w:ascii="Arial" w:hAnsi="Arial" w:cs="Arial"/>
          <w:sz w:val="28"/>
          <w:szCs w:val="28"/>
        </w:rPr>
      </w:pPr>
      <w:r w:rsidRPr="003E5512">
        <w:rPr>
          <w:rFonts w:ascii="Arial" w:hAnsi="Arial" w:cs="Arial"/>
          <w:sz w:val="28"/>
          <w:szCs w:val="28"/>
        </w:rPr>
        <w:t>Submitted by</w:t>
      </w:r>
      <w:r w:rsidR="00D26EAC" w:rsidRPr="003E5512">
        <w:rPr>
          <w:rFonts w:ascii="Arial" w:hAnsi="Arial" w:cs="Arial"/>
          <w:sz w:val="28"/>
          <w:szCs w:val="28"/>
        </w:rPr>
        <w:t>: Gabriela Roxana Ungureanu</w:t>
      </w:r>
    </w:p>
    <w:p w:rsidR="00365D34" w:rsidRPr="003E5512" w:rsidRDefault="00365D34" w:rsidP="00365D34">
      <w:pPr>
        <w:spacing w:line="360" w:lineRule="auto"/>
        <w:jc w:val="center"/>
        <w:rPr>
          <w:rFonts w:ascii="Arial" w:hAnsi="Arial" w:cs="Arial"/>
          <w:sz w:val="28"/>
          <w:szCs w:val="28"/>
        </w:rPr>
      </w:pPr>
      <w:r w:rsidRPr="003E5512">
        <w:rPr>
          <w:rFonts w:ascii="Arial" w:hAnsi="Arial" w:cs="Arial"/>
          <w:sz w:val="28"/>
          <w:szCs w:val="28"/>
        </w:rPr>
        <w:t>Student ID:</w:t>
      </w:r>
      <w:r w:rsidR="00D26EAC" w:rsidRPr="003E5512">
        <w:rPr>
          <w:rFonts w:ascii="Arial" w:hAnsi="Arial" w:cs="Arial"/>
          <w:sz w:val="28"/>
          <w:szCs w:val="28"/>
        </w:rPr>
        <w:t xml:space="preserve"> 2118376</w:t>
      </w:r>
    </w:p>
    <w:p w:rsidR="00365D34" w:rsidRPr="00BF2B6F" w:rsidRDefault="00365D34" w:rsidP="00365D34">
      <w:pPr>
        <w:spacing w:line="360" w:lineRule="auto"/>
        <w:jc w:val="center"/>
        <w:rPr>
          <w:rFonts w:ascii="Arial" w:hAnsi="Arial" w:cs="Arial"/>
          <w:sz w:val="22"/>
        </w:rPr>
      </w:pPr>
      <w:r w:rsidRPr="00BF2B6F">
        <w:rPr>
          <w:rFonts w:ascii="Arial" w:hAnsi="Arial" w:cs="Arial"/>
          <w:sz w:val="22"/>
        </w:rPr>
        <w:br w:type="page"/>
      </w:r>
    </w:p>
    <w:p w:rsidR="00365D34" w:rsidRPr="00BF2B6F" w:rsidRDefault="00365D34" w:rsidP="00365D34">
      <w:pPr>
        <w:spacing w:line="360" w:lineRule="auto"/>
        <w:jc w:val="both"/>
        <w:rPr>
          <w:rFonts w:ascii="Arial" w:hAnsi="Arial" w:cs="Arial"/>
          <w:sz w:val="22"/>
        </w:rPr>
      </w:pPr>
      <w:r w:rsidRPr="00BF2B6F">
        <w:rPr>
          <w:rFonts w:ascii="Arial" w:hAnsi="Arial" w:cs="Arial"/>
          <w:sz w:val="22"/>
        </w:rPr>
        <w:lastRenderedPageBreak/>
        <w:t xml:space="preserve">Condon, L., Driscoll, T., Merrell, J., </w:t>
      </w:r>
      <w:proofErr w:type="spellStart"/>
      <w:r w:rsidRPr="00BF2B6F">
        <w:rPr>
          <w:rFonts w:ascii="Arial" w:hAnsi="Arial" w:cs="Arial"/>
          <w:sz w:val="22"/>
        </w:rPr>
        <w:t>Storey</w:t>
      </w:r>
      <w:proofErr w:type="spellEnd"/>
      <w:r w:rsidRPr="00BF2B6F">
        <w:rPr>
          <w:rFonts w:ascii="Arial" w:hAnsi="Arial" w:cs="Arial"/>
          <w:sz w:val="22"/>
        </w:rPr>
        <w:t xml:space="preserve">, M., Thomas, A., </w:t>
      </w:r>
      <w:proofErr w:type="spellStart"/>
      <w:r w:rsidRPr="00BF2B6F">
        <w:rPr>
          <w:rFonts w:ascii="Arial" w:hAnsi="Arial" w:cs="Arial"/>
          <w:sz w:val="22"/>
        </w:rPr>
        <w:t>Mansel</w:t>
      </w:r>
      <w:proofErr w:type="spellEnd"/>
      <w:r w:rsidRPr="00BF2B6F">
        <w:rPr>
          <w:rFonts w:ascii="Arial" w:hAnsi="Arial" w:cs="Arial"/>
          <w:sz w:val="22"/>
        </w:rPr>
        <w:t xml:space="preserve">, B. and </w:t>
      </w:r>
      <w:proofErr w:type="spellStart"/>
      <w:r w:rsidRPr="00BF2B6F">
        <w:rPr>
          <w:rFonts w:ascii="Arial" w:hAnsi="Arial" w:cs="Arial"/>
          <w:sz w:val="22"/>
        </w:rPr>
        <w:t>Snelgrove</w:t>
      </w:r>
      <w:proofErr w:type="spellEnd"/>
      <w:r w:rsidRPr="00BF2B6F">
        <w:rPr>
          <w:rFonts w:ascii="Arial" w:hAnsi="Arial" w:cs="Arial"/>
          <w:sz w:val="22"/>
        </w:rPr>
        <w:t>, S., (2020). Promoting children’s health when a parent has a mental health problem: a mixed methods study of the experiences and views of health visitors and their co-workers. </w:t>
      </w:r>
      <w:r w:rsidRPr="00BF2B6F">
        <w:rPr>
          <w:rFonts w:ascii="Arial" w:hAnsi="Arial" w:cs="Arial"/>
          <w:i/>
          <w:iCs/>
          <w:sz w:val="22"/>
        </w:rPr>
        <w:t>BMC health services research</w:t>
      </w:r>
      <w:r w:rsidRPr="00BF2B6F">
        <w:rPr>
          <w:rFonts w:ascii="Arial" w:hAnsi="Arial" w:cs="Arial"/>
          <w:sz w:val="22"/>
        </w:rPr>
        <w:t>, </w:t>
      </w:r>
      <w:r w:rsidRPr="00BF2B6F">
        <w:rPr>
          <w:rFonts w:ascii="Arial" w:hAnsi="Arial" w:cs="Arial"/>
          <w:i/>
          <w:iCs/>
          <w:sz w:val="22"/>
        </w:rPr>
        <w:t>20</w:t>
      </w:r>
      <w:r w:rsidRPr="00BF2B6F">
        <w:rPr>
          <w:rFonts w:ascii="Arial" w:hAnsi="Arial" w:cs="Arial"/>
          <w:sz w:val="22"/>
        </w:rPr>
        <w:t>(1), pp.1-15.</w:t>
      </w:r>
    </w:p>
    <w:p w:rsidR="00365D34" w:rsidRPr="00BF2B6F" w:rsidRDefault="00365D34" w:rsidP="00820465">
      <w:pPr>
        <w:spacing w:line="360" w:lineRule="auto"/>
        <w:ind w:firstLine="720"/>
        <w:jc w:val="both"/>
        <w:rPr>
          <w:rFonts w:ascii="Arial" w:hAnsi="Arial" w:cs="Arial"/>
          <w:b w:val="0"/>
          <w:sz w:val="22"/>
        </w:rPr>
      </w:pPr>
      <w:r w:rsidRPr="00BF2B6F">
        <w:rPr>
          <w:rFonts w:ascii="Arial" w:hAnsi="Arial" w:cs="Arial"/>
          <w:b w:val="0"/>
          <w:sz w:val="22"/>
        </w:rPr>
        <w:t xml:space="preserve">This study specifies the role of health visitors in monitoring the mental health illness of children. In the UK health visitors are considered to provide a service of universal health promotion to children of 0-5 group age. The study aimed to evaluate how the health visitors aimed at promoting the well-being of young children during the time when their parents are having issues with mental health and develop different strategies for improving the health outcomes of children. </w:t>
      </w:r>
      <w:r w:rsidR="00820465">
        <w:rPr>
          <w:rFonts w:ascii="Arial" w:hAnsi="Arial" w:cs="Arial"/>
          <w:b w:val="0"/>
          <w:sz w:val="22"/>
        </w:rPr>
        <w:t xml:space="preserve">   </w:t>
      </w:r>
      <w:r w:rsidRPr="00BF2B6F">
        <w:rPr>
          <w:rFonts w:ascii="Arial" w:hAnsi="Arial" w:cs="Arial"/>
          <w:b w:val="0"/>
          <w:sz w:val="22"/>
        </w:rPr>
        <w:t xml:space="preserve">The mixed method study was conducted which involved a consensus workshop and cross-sectional survey in Wales, UK. During phase 1 (n=174) health visitors responded to an online questionnaire that was developed for exploring the scope and nature of their work with those families who are experiencing mental illness. The phase 2 health providers and the supporting services (n=38) participated in the Nominal Group Technique workshops for co-producing the strategies for good joint working in order to protect the children’s well-being experiencing parental ill health. This study identified that routine support was provided by the health visitors to those families having mental health issues, this included severe mental illness. Major practices focused on the depression level of mothers, and very less respondents have confidence about engaging with fathers. The need for </w:t>
      </w:r>
      <w:proofErr w:type="gramStart"/>
      <w:r w:rsidRPr="00BF2B6F">
        <w:rPr>
          <w:rFonts w:ascii="Arial" w:hAnsi="Arial" w:cs="Arial"/>
          <w:b w:val="0"/>
          <w:sz w:val="22"/>
        </w:rPr>
        <w:t>Unmet</w:t>
      </w:r>
      <w:proofErr w:type="gramEnd"/>
      <w:r w:rsidRPr="00BF2B6F">
        <w:rPr>
          <w:rFonts w:ascii="Arial" w:hAnsi="Arial" w:cs="Arial"/>
          <w:b w:val="0"/>
          <w:sz w:val="22"/>
        </w:rPr>
        <w:t xml:space="preserve"> training was identified focusing on mental illness, especially children’s impact. The solutions to this study were working effectively with the voluntary agencies and professionals and also promoting awareness about professional responsibilities and roles, routinely two-way communication, constantly focusing on the child, and adopting a strengths-based approach. </w:t>
      </w:r>
      <w:bookmarkStart w:id="0" w:name="_GoBack"/>
      <w:bookmarkEnd w:id="0"/>
    </w:p>
    <w:p w:rsidR="00365D34" w:rsidRPr="00BF2B6F" w:rsidRDefault="00365D34" w:rsidP="00365D34">
      <w:pPr>
        <w:spacing w:line="360" w:lineRule="auto"/>
        <w:jc w:val="both"/>
        <w:rPr>
          <w:rFonts w:ascii="Arial" w:hAnsi="Arial" w:cs="Arial"/>
          <w:color w:val="222222"/>
          <w:sz w:val="22"/>
          <w:shd w:val="clear" w:color="auto" w:fill="FFFFFF"/>
        </w:rPr>
      </w:pPr>
      <w:proofErr w:type="spellStart"/>
      <w:r w:rsidRPr="00BF2B6F">
        <w:rPr>
          <w:rFonts w:ascii="Arial" w:hAnsi="Arial" w:cs="Arial"/>
          <w:color w:val="222222"/>
          <w:sz w:val="22"/>
          <w:shd w:val="clear" w:color="auto" w:fill="FFFFFF"/>
        </w:rPr>
        <w:t>Baltes</w:t>
      </w:r>
      <w:proofErr w:type="spellEnd"/>
      <w:r w:rsidRPr="00BF2B6F">
        <w:rPr>
          <w:rFonts w:ascii="Arial" w:hAnsi="Arial" w:cs="Arial"/>
          <w:color w:val="222222"/>
          <w:sz w:val="22"/>
          <w:shd w:val="clear" w:color="auto" w:fill="FFFFFF"/>
        </w:rPr>
        <w:t>, P.B., 2019. Life-span developmental psychology: Observations on history and theory revisited. In </w:t>
      </w:r>
      <w:r w:rsidRPr="00BF2B6F">
        <w:rPr>
          <w:rFonts w:ascii="Arial" w:hAnsi="Arial" w:cs="Arial"/>
          <w:i/>
          <w:iCs/>
          <w:color w:val="222222"/>
          <w:sz w:val="22"/>
          <w:shd w:val="clear" w:color="auto" w:fill="FFFFFF"/>
        </w:rPr>
        <w:t>Developmental psychology</w:t>
      </w:r>
      <w:r w:rsidRPr="00BF2B6F">
        <w:rPr>
          <w:rFonts w:ascii="Arial" w:hAnsi="Arial" w:cs="Arial"/>
          <w:color w:val="222222"/>
          <w:sz w:val="22"/>
          <w:shd w:val="clear" w:color="auto" w:fill="FFFFFF"/>
        </w:rPr>
        <w:t> (pp. 79-112). Routledge.</w:t>
      </w:r>
    </w:p>
    <w:p w:rsidR="00365D34" w:rsidRPr="00BF2B6F" w:rsidRDefault="00365D34" w:rsidP="00820465">
      <w:pPr>
        <w:spacing w:line="360" w:lineRule="auto"/>
        <w:ind w:firstLine="720"/>
        <w:jc w:val="both"/>
        <w:rPr>
          <w:rFonts w:ascii="Arial" w:hAnsi="Arial" w:cs="Arial"/>
          <w:b w:val="0"/>
          <w:color w:val="222222"/>
          <w:sz w:val="22"/>
          <w:shd w:val="clear" w:color="auto" w:fill="FFFFFF"/>
        </w:rPr>
      </w:pPr>
      <w:r w:rsidRPr="00BF2B6F">
        <w:rPr>
          <w:rFonts w:ascii="Arial" w:hAnsi="Arial" w:cs="Arial"/>
          <w:b w:val="0"/>
          <w:color w:val="222222"/>
          <w:sz w:val="22"/>
          <w:shd w:val="clear" w:color="auto" w:fill="FFFFFF"/>
        </w:rPr>
        <w:t>Mostly it is observed that the area of life-span developmental psychology greatly emerged during the year the 1960s and 1970s. Although this recent development of life-span research was preceded by many historical gestations of the ideas focusing on life-span development. This concept is documented in many historical chapters that focus on the United States and Europe. This chapter has evaluated the field of adult aging and development that played a very important role during this development, this can be because aging is very easy to conceptualize as a result of life history.</w:t>
      </w:r>
    </w:p>
    <w:p w:rsidR="00365D34" w:rsidRPr="00BF2B6F" w:rsidRDefault="00365D34" w:rsidP="00365D34">
      <w:pPr>
        <w:spacing w:line="360" w:lineRule="auto"/>
        <w:jc w:val="both"/>
        <w:rPr>
          <w:rFonts w:ascii="Arial" w:hAnsi="Arial" w:cs="Arial"/>
          <w:color w:val="222222"/>
          <w:sz w:val="22"/>
          <w:shd w:val="clear" w:color="auto" w:fill="FFFFFF"/>
        </w:rPr>
      </w:pPr>
      <w:r w:rsidRPr="00BF2B6F">
        <w:rPr>
          <w:rFonts w:ascii="Arial" w:hAnsi="Arial" w:cs="Arial"/>
          <w:color w:val="222222"/>
          <w:sz w:val="22"/>
          <w:shd w:val="clear" w:color="auto" w:fill="FFFFFF"/>
        </w:rPr>
        <w:lastRenderedPageBreak/>
        <w:t>Maree, J.G., 2021. The psychosocial development theory of Erik Erikson: critical overview. </w:t>
      </w:r>
      <w:r w:rsidRPr="00BF2B6F">
        <w:rPr>
          <w:rFonts w:ascii="Arial" w:hAnsi="Arial" w:cs="Arial"/>
          <w:i/>
          <w:iCs/>
          <w:color w:val="222222"/>
          <w:sz w:val="22"/>
          <w:shd w:val="clear" w:color="auto" w:fill="FFFFFF"/>
        </w:rPr>
        <w:t>Early Child Development and Care</w:t>
      </w:r>
      <w:r w:rsidRPr="00BF2B6F">
        <w:rPr>
          <w:rFonts w:ascii="Arial" w:hAnsi="Arial" w:cs="Arial"/>
          <w:color w:val="222222"/>
          <w:sz w:val="22"/>
          <w:shd w:val="clear" w:color="auto" w:fill="FFFFFF"/>
        </w:rPr>
        <w:t>, </w:t>
      </w:r>
      <w:r w:rsidRPr="00BF2B6F">
        <w:rPr>
          <w:rFonts w:ascii="Arial" w:hAnsi="Arial" w:cs="Arial"/>
          <w:i/>
          <w:iCs/>
          <w:color w:val="222222"/>
          <w:sz w:val="22"/>
          <w:shd w:val="clear" w:color="auto" w:fill="FFFFFF"/>
        </w:rPr>
        <w:t>191</w:t>
      </w:r>
      <w:r w:rsidRPr="00BF2B6F">
        <w:rPr>
          <w:rFonts w:ascii="Arial" w:hAnsi="Arial" w:cs="Arial"/>
          <w:color w:val="222222"/>
          <w:sz w:val="22"/>
          <w:shd w:val="clear" w:color="auto" w:fill="FFFFFF"/>
        </w:rPr>
        <w:t>(7-8), pp.1107-1121.</w:t>
      </w:r>
    </w:p>
    <w:p w:rsidR="00365D34" w:rsidRPr="00BF2B6F" w:rsidRDefault="00365D34" w:rsidP="00820465">
      <w:pPr>
        <w:spacing w:line="360" w:lineRule="auto"/>
        <w:ind w:firstLine="720"/>
        <w:jc w:val="both"/>
        <w:rPr>
          <w:rFonts w:ascii="Arial" w:hAnsi="Arial" w:cs="Arial"/>
          <w:b w:val="0"/>
          <w:color w:val="222222"/>
          <w:sz w:val="22"/>
          <w:shd w:val="clear" w:color="auto" w:fill="FFFFFF"/>
        </w:rPr>
      </w:pPr>
      <w:r w:rsidRPr="00BF2B6F">
        <w:rPr>
          <w:rFonts w:ascii="Arial" w:hAnsi="Arial" w:cs="Arial"/>
          <w:b w:val="0"/>
          <w:color w:val="222222"/>
          <w:sz w:val="22"/>
          <w:shd w:val="clear" w:color="auto" w:fill="FFFFFF"/>
        </w:rPr>
        <w:t>This article focuses on the psychological developmental theory proposed by Erik Erikson. This article aims to focus broadly on the concept of Erikson’s reflective position within the work spectrum which is done in general on human development and also the early child development. A lengthy overview of qualitative theory has enlightened few basic biographical details, and also on the academic background of Erikson, his popular work, and his thoughts on individuals as sentient beings. This article also discusses the emergence of the psychological development theory and the major research of Erikson, and the impact of these researches on his theory is discussed in detail.</w:t>
      </w:r>
    </w:p>
    <w:p w:rsidR="00365D34" w:rsidRPr="00BF2B6F" w:rsidRDefault="00365D34" w:rsidP="00820465">
      <w:pPr>
        <w:spacing w:line="360" w:lineRule="auto"/>
        <w:jc w:val="both"/>
        <w:rPr>
          <w:rFonts w:ascii="Arial" w:hAnsi="Arial" w:cs="Arial"/>
          <w:color w:val="222222"/>
          <w:sz w:val="22"/>
          <w:shd w:val="clear" w:color="auto" w:fill="FFFFFF"/>
        </w:rPr>
      </w:pPr>
      <w:r w:rsidRPr="00BF2B6F">
        <w:rPr>
          <w:rFonts w:ascii="Arial" w:hAnsi="Arial" w:cs="Arial"/>
          <w:color w:val="222222"/>
          <w:sz w:val="22"/>
          <w:shd w:val="clear" w:color="auto" w:fill="FFFFFF"/>
        </w:rPr>
        <w:t xml:space="preserve">Baldwin, S., Malone, M., </w:t>
      </w:r>
      <w:proofErr w:type="spellStart"/>
      <w:r w:rsidRPr="00BF2B6F">
        <w:rPr>
          <w:rFonts w:ascii="Arial" w:hAnsi="Arial" w:cs="Arial"/>
          <w:color w:val="222222"/>
          <w:sz w:val="22"/>
          <w:shd w:val="clear" w:color="auto" w:fill="FFFFFF"/>
        </w:rPr>
        <w:t>Sandall</w:t>
      </w:r>
      <w:proofErr w:type="spellEnd"/>
      <w:r w:rsidRPr="00BF2B6F">
        <w:rPr>
          <w:rFonts w:ascii="Arial" w:hAnsi="Arial" w:cs="Arial"/>
          <w:color w:val="222222"/>
          <w:sz w:val="22"/>
          <w:shd w:val="clear" w:color="auto" w:fill="FFFFFF"/>
        </w:rPr>
        <w:t>, J. and Bick, D., 2022. A process evaluation of Promotional Guides used by health visitors to support men’s transition to fatherhood: a qualitative study. </w:t>
      </w:r>
      <w:r w:rsidRPr="00BF2B6F">
        <w:rPr>
          <w:rFonts w:ascii="Arial" w:hAnsi="Arial" w:cs="Arial"/>
          <w:i/>
          <w:iCs/>
          <w:color w:val="222222"/>
          <w:sz w:val="22"/>
          <w:shd w:val="clear" w:color="auto" w:fill="FFFFFF"/>
        </w:rPr>
        <w:t>Perspectives in Public Health</w:t>
      </w:r>
      <w:r w:rsidRPr="00BF2B6F">
        <w:rPr>
          <w:rFonts w:ascii="Arial" w:hAnsi="Arial" w:cs="Arial"/>
          <w:color w:val="222222"/>
          <w:sz w:val="22"/>
          <w:shd w:val="clear" w:color="auto" w:fill="FFFFFF"/>
        </w:rPr>
        <w:t>, p.17579139221118243.</w:t>
      </w:r>
    </w:p>
    <w:p w:rsidR="00365D34" w:rsidRDefault="00365D34" w:rsidP="00820465">
      <w:pPr>
        <w:spacing w:line="360" w:lineRule="auto"/>
        <w:ind w:firstLine="720"/>
        <w:jc w:val="both"/>
        <w:rPr>
          <w:rFonts w:ascii="Arial" w:hAnsi="Arial" w:cs="Arial"/>
          <w:b w:val="0"/>
          <w:color w:val="222222"/>
          <w:sz w:val="22"/>
          <w:shd w:val="clear" w:color="auto" w:fill="FFFFFF"/>
        </w:rPr>
      </w:pPr>
      <w:r w:rsidRPr="00BF2B6F">
        <w:rPr>
          <w:rFonts w:ascii="Arial" w:hAnsi="Arial" w:cs="Arial"/>
          <w:b w:val="0"/>
          <w:color w:val="222222"/>
          <w:sz w:val="22"/>
          <w:shd w:val="clear" w:color="auto" w:fill="FFFFFF"/>
        </w:rPr>
        <w:t>Health visitors have an important role to support new parents in their transition to parenthood. The promotional Guide system is a program that is utilized by various health visitors in England and practiced with fathers and mothers in order to support this transition. Very little is known about the health visitors’ thoughts on Promotional Guides, and in what way they are utilized during the barriers for effective implementation with fathers. The main aim of this study is to explore the following factors: 1) how the health visitors use Promotional Guides with fathers, 2) how the health visitors assess the mental health and well-being of fathers, and 3) various barriers and facilitators while practicing the Promotional Guides. This study conducted a cohort study and evaluation of the process which was informed by the Medical Research Council was conducted. The study used 11 health visitors sample and they were interviewed, and it observed that seven used the Promotional Guides in practice. Data analysis was done by using framework analysis. The result identified five major themes from the observational and interview data: 1) inquiry about the mental health of the father, 2) the promotional Guides in practice, 3) the perception of healthy visitors about the Promotional Guides, 4) restrictions to use Promotional Guide with fathers, 5) recommendations to use Promotional Guides with fathers. Many facilitators and barriers were identified in this study. Recommendations involved, improving the services for first-time fathers, and highlighting the area for future research.</w:t>
      </w:r>
    </w:p>
    <w:p w:rsidR="00820465" w:rsidRPr="00BF2B6F" w:rsidRDefault="00820465" w:rsidP="00820465">
      <w:pPr>
        <w:spacing w:line="360" w:lineRule="auto"/>
        <w:ind w:firstLine="720"/>
        <w:jc w:val="both"/>
        <w:rPr>
          <w:rFonts w:ascii="Arial" w:hAnsi="Arial" w:cs="Arial"/>
          <w:b w:val="0"/>
          <w:color w:val="222222"/>
          <w:sz w:val="22"/>
          <w:shd w:val="clear" w:color="auto" w:fill="FFFFFF"/>
        </w:rPr>
      </w:pPr>
    </w:p>
    <w:p w:rsidR="00365D34" w:rsidRPr="00BF2B6F" w:rsidRDefault="00365D34" w:rsidP="00365D34">
      <w:pPr>
        <w:spacing w:line="360" w:lineRule="auto"/>
        <w:jc w:val="both"/>
        <w:rPr>
          <w:rFonts w:ascii="Arial" w:hAnsi="Arial" w:cs="Arial"/>
          <w:color w:val="222222"/>
          <w:sz w:val="22"/>
          <w:shd w:val="clear" w:color="auto" w:fill="FFFFFF"/>
        </w:rPr>
      </w:pPr>
      <w:proofErr w:type="spellStart"/>
      <w:r w:rsidRPr="00BF2B6F">
        <w:rPr>
          <w:rFonts w:ascii="Arial" w:hAnsi="Arial" w:cs="Arial"/>
          <w:color w:val="222222"/>
          <w:sz w:val="22"/>
          <w:shd w:val="clear" w:color="auto" w:fill="FFFFFF"/>
        </w:rPr>
        <w:lastRenderedPageBreak/>
        <w:t>Vishram</w:t>
      </w:r>
      <w:proofErr w:type="spellEnd"/>
      <w:r w:rsidRPr="00BF2B6F">
        <w:rPr>
          <w:rFonts w:ascii="Arial" w:hAnsi="Arial" w:cs="Arial"/>
          <w:color w:val="222222"/>
          <w:sz w:val="22"/>
          <w:shd w:val="clear" w:color="auto" w:fill="FFFFFF"/>
        </w:rPr>
        <w:t xml:space="preserve">, B., </w:t>
      </w:r>
      <w:proofErr w:type="spellStart"/>
      <w:r w:rsidRPr="00BF2B6F">
        <w:rPr>
          <w:rFonts w:ascii="Arial" w:hAnsi="Arial" w:cs="Arial"/>
          <w:color w:val="222222"/>
          <w:sz w:val="22"/>
          <w:shd w:val="clear" w:color="auto" w:fill="FFFFFF"/>
        </w:rPr>
        <w:t>Letley</w:t>
      </w:r>
      <w:proofErr w:type="spellEnd"/>
      <w:r w:rsidRPr="00BF2B6F">
        <w:rPr>
          <w:rFonts w:ascii="Arial" w:hAnsi="Arial" w:cs="Arial"/>
          <w:color w:val="222222"/>
          <w:sz w:val="22"/>
          <w:shd w:val="clear" w:color="auto" w:fill="FFFFFF"/>
        </w:rPr>
        <w:t xml:space="preserve">, L., Jan Van Hoek, A., Silverton, L., Donovan, H., Adams, C., Green, D., Edwards, A., </w:t>
      </w:r>
      <w:proofErr w:type="spellStart"/>
      <w:r w:rsidRPr="00BF2B6F">
        <w:rPr>
          <w:rFonts w:ascii="Arial" w:hAnsi="Arial" w:cs="Arial"/>
          <w:color w:val="222222"/>
          <w:sz w:val="22"/>
          <w:shd w:val="clear" w:color="auto" w:fill="FFFFFF"/>
        </w:rPr>
        <w:t>Yarwood</w:t>
      </w:r>
      <w:proofErr w:type="spellEnd"/>
      <w:r w:rsidRPr="00BF2B6F">
        <w:rPr>
          <w:rFonts w:ascii="Arial" w:hAnsi="Arial" w:cs="Arial"/>
          <w:color w:val="222222"/>
          <w:sz w:val="22"/>
          <w:shd w:val="clear" w:color="auto" w:fill="FFFFFF"/>
        </w:rPr>
        <w:t xml:space="preserve">, J., Bedford, H. and </w:t>
      </w:r>
      <w:proofErr w:type="spellStart"/>
      <w:r w:rsidRPr="00BF2B6F">
        <w:rPr>
          <w:rFonts w:ascii="Arial" w:hAnsi="Arial" w:cs="Arial"/>
          <w:color w:val="222222"/>
          <w:sz w:val="22"/>
          <w:shd w:val="clear" w:color="auto" w:fill="FFFFFF"/>
        </w:rPr>
        <w:t>Amirthalingam</w:t>
      </w:r>
      <w:proofErr w:type="spellEnd"/>
      <w:r w:rsidRPr="00BF2B6F">
        <w:rPr>
          <w:rFonts w:ascii="Arial" w:hAnsi="Arial" w:cs="Arial"/>
          <w:color w:val="222222"/>
          <w:sz w:val="22"/>
          <w:shd w:val="clear" w:color="auto" w:fill="FFFFFF"/>
        </w:rPr>
        <w:t>, G., 2018. Vaccination in pregnancy: Attitudes of nurses, midwives and health visitors in England. </w:t>
      </w:r>
      <w:r w:rsidRPr="00BF2B6F">
        <w:rPr>
          <w:rFonts w:ascii="Arial" w:hAnsi="Arial" w:cs="Arial"/>
          <w:i/>
          <w:iCs/>
          <w:color w:val="222222"/>
          <w:sz w:val="22"/>
          <w:shd w:val="clear" w:color="auto" w:fill="FFFFFF"/>
        </w:rPr>
        <w:t xml:space="preserve">Human vaccines &amp; </w:t>
      </w:r>
      <w:proofErr w:type="spellStart"/>
      <w:r w:rsidRPr="00BF2B6F">
        <w:rPr>
          <w:rFonts w:ascii="Arial" w:hAnsi="Arial" w:cs="Arial"/>
          <w:i/>
          <w:iCs/>
          <w:color w:val="222222"/>
          <w:sz w:val="22"/>
          <w:shd w:val="clear" w:color="auto" w:fill="FFFFFF"/>
        </w:rPr>
        <w:t>immunotherapeutics</w:t>
      </w:r>
      <w:proofErr w:type="spellEnd"/>
      <w:r w:rsidRPr="00BF2B6F">
        <w:rPr>
          <w:rFonts w:ascii="Arial" w:hAnsi="Arial" w:cs="Arial"/>
          <w:color w:val="222222"/>
          <w:sz w:val="22"/>
          <w:shd w:val="clear" w:color="auto" w:fill="FFFFFF"/>
        </w:rPr>
        <w:t>, </w:t>
      </w:r>
      <w:r w:rsidRPr="00BF2B6F">
        <w:rPr>
          <w:rFonts w:ascii="Arial" w:hAnsi="Arial" w:cs="Arial"/>
          <w:i/>
          <w:iCs/>
          <w:color w:val="222222"/>
          <w:sz w:val="22"/>
          <w:shd w:val="clear" w:color="auto" w:fill="FFFFFF"/>
        </w:rPr>
        <w:t>14</w:t>
      </w:r>
      <w:r w:rsidRPr="00BF2B6F">
        <w:rPr>
          <w:rFonts w:ascii="Arial" w:hAnsi="Arial" w:cs="Arial"/>
          <w:color w:val="222222"/>
          <w:sz w:val="22"/>
          <w:shd w:val="clear" w:color="auto" w:fill="FFFFFF"/>
        </w:rPr>
        <w:t>(1), pp.179-188.</w:t>
      </w:r>
    </w:p>
    <w:p w:rsidR="00365D34" w:rsidRPr="00BF2B6F" w:rsidRDefault="00365D34" w:rsidP="00820465">
      <w:pPr>
        <w:spacing w:line="360" w:lineRule="auto"/>
        <w:ind w:firstLine="720"/>
        <w:jc w:val="both"/>
        <w:rPr>
          <w:rFonts w:ascii="Arial" w:hAnsi="Arial" w:cs="Arial"/>
          <w:b w:val="0"/>
          <w:color w:val="222222"/>
          <w:sz w:val="22"/>
          <w:shd w:val="clear" w:color="auto" w:fill="FFFFFF"/>
        </w:rPr>
      </w:pPr>
      <w:r w:rsidRPr="00BF2B6F">
        <w:rPr>
          <w:rFonts w:ascii="Arial" w:hAnsi="Arial" w:cs="Arial"/>
          <w:b w:val="0"/>
          <w:color w:val="222222"/>
          <w:sz w:val="22"/>
          <w:shd w:val="clear" w:color="auto" w:fill="FFFFFF"/>
        </w:rPr>
        <w:t xml:space="preserve">The main aim of this study was to examine the healthcare professionals in England about vaccination knowledge in pregnancy, the role of these programs, and if they are following the scheduled vaccination program for pregnant women. The study was done through a cross-sectional survey that included 3441 healthcare workers who were surveyed from 2015 May to August. The main participants in this were nurses, midwives, and health visitors who were working in England and were members of the Royal College of Nursing, Royal College of Midwives, and Institute of Health Visiting. This study found that vaccination knowledge was high in every professional group. 74% recommended the pertussis vaccine and 73% recommended the influenza vaccine to pregnant women. Practice nurses likely recommended pertussis and influenza vaccines more than health visitors and midwives. </w:t>
      </w:r>
    </w:p>
    <w:p w:rsidR="00365D34" w:rsidRPr="00BF2B6F" w:rsidRDefault="00365D34" w:rsidP="00365D34">
      <w:pPr>
        <w:spacing w:line="360" w:lineRule="auto"/>
        <w:jc w:val="both"/>
        <w:rPr>
          <w:rFonts w:ascii="Arial" w:hAnsi="Arial" w:cs="Arial"/>
          <w:color w:val="222222"/>
          <w:sz w:val="22"/>
          <w:shd w:val="clear" w:color="auto" w:fill="FFFFFF"/>
        </w:rPr>
      </w:pPr>
      <w:r w:rsidRPr="00BF2B6F">
        <w:rPr>
          <w:rFonts w:ascii="Arial" w:hAnsi="Arial" w:cs="Arial"/>
          <w:color w:val="222222"/>
          <w:sz w:val="22"/>
          <w:shd w:val="clear" w:color="auto" w:fill="FFFFFF"/>
        </w:rPr>
        <w:t>Leonard, R., Linden, M. and Grant, A., 2020. Predictors of family-focused practice among health visitors: a mixed methods study. </w:t>
      </w:r>
      <w:r w:rsidRPr="00BF2B6F">
        <w:rPr>
          <w:rFonts w:ascii="Arial" w:hAnsi="Arial" w:cs="Arial"/>
          <w:i/>
          <w:iCs/>
          <w:color w:val="222222"/>
          <w:sz w:val="22"/>
          <w:shd w:val="clear" w:color="auto" w:fill="FFFFFF"/>
        </w:rPr>
        <w:t>Journal of Advanced Nursing</w:t>
      </w:r>
      <w:r w:rsidRPr="00BF2B6F">
        <w:rPr>
          <w:rFonts w:ascii="Arial" w:hAnsi="Arial" w:cs="Arial"/>
          <w:color w:val="222222"/>
          <w:sz w:val="22"/>
          <w:shd w:val="clear" w:color="auto" w:fill="FFFFFF"/>
        </w:rPr>
        <w:t>, </w:t>
      </w:r>
      <w:r w:rsidRPr="00BF2B6F">
        <w:rPr>
          <w:rFonts w:ascii="Arial" w:hAnsi="Arial" w:cs="Arial"/>
          <w:i/>
          <w:iCs/>
          <w:color w:val="222222"/>
          <w:sz w:val="22"/>
          <w:shd w:val="clear" w:color="auto" w:fill="FFFFFF"/>
        </w:rPr>
        <w:t>76</w:t>
      </w:r>
      <w:r w:rsidRPr="00BF2B6F">
        <w:rPr>
          <w:rFonts w:ascii="Arial" w:hAnsi="Arial" w:cs="Arial"/>
          <w:color w:val="222222"/>
          <w:sz w:val="22"/>
          <w:shd w:val="clear" w:color="auto" w:fill="FFFFFF"/>
        </w:rPr>
        <w:t>(5), pp.1255-1265.</w:t>
      </w:r>
    </w:p>
    <w:p w:rsidR="00365D34" w:rsidRPr="00BF2B6F" w:rsidRDefault="00365D34" w:rsidP="00820465">
      <w:pPr>
        <w:spacing w:line="360" w:lineRule="auto"/>
        <w:ind w:firstLine="720"/>
        <w:jc w:val="both"/>
        <w:rPr>
          <w:rFonts w:ascii="Arial" w:hAnsi="Arial" w:cs="Arial"/>
          <w:b w:val="0"/>
          <w:sz w:val="22"/>
        </w:rPr>
      </w:pPr>
      <w:r w:rsidRPr="00BF2B6F">
        <w:rPr>
          <w:rFonts w:ascii="Arial" w:hAnsi="Arial" w:cs="Arial"/>
          <w:b w:val="0"/>
          <w:color w:val="222222"/>
          <w:sz w:val="22"/>
          <w:shd w:val="clear" w:color="auto" w:fill="FFFFFF"/>
        </w:rPr>
        <w:t xml:space="preserve">This article had the main aim to predict family-focused practices of health visitors with mothers who had mental illnesses. And also to explore the experiences of health visitors regarding family-focused practice and what factors are responsible to hinder this practice. </w:t>
      </w:r>
      <w:proofErr w:type="gramStart"/>
      <w:r w:rsidRPr="00BF2B6F">
        <w:rPr>
          <w:rFonts w:ascii="Arial" w:hAnsi="Arial" w:cs="Arial"/>
          <w:b w:val="0"/>
          <w:color w:val="222222"/>
          <w:sz w:val="22"/>
          <w:shd w:val="clear" w:color="auto" w:fill="FFFFFF"/>
        </w:rPr>
        <w:t>a</w:t>
      </w:r>
      <w:proofErr w:type="gramEnd"/>
      <w:r w:rsidRPr="00BF2B6F">
        <w:rPr>
          <w:rFonts w:ascii="Arial" w:hAnsi="Arial" w:cs="Arial"/>
          <w:b w:val="0"/>
          <w:color w:val="222222"/>
          <w:sz w:val="22"/>
          <w:shd w:val="clear" w:color="auto" w:fill="FFFFFF"/>
        </w:rPr>
        <w:t xml:space="preserve"> sequential mixed-method design was used for this study. In phase 1 230 health visitors within the 5 health and social care trusts in the UK were selected by using the conventional method of sampling and they completed the questionnaire of family Focused Mental Health Practice. Three regression models were analyzed for the testing workload (model I). Professional understanding (model II), and the professional of health visitors and personal experience (model III) analyzed their practice of family focused. In the second phase, 10 health visitors done with the questionnaire were involved in semi-structured interviews for describing their experiences with the practice of family-focused. The result showed that Model III was significant whereas the parenting experience was associated positively with the practice of family-focused, length which was registered as health visitors, and negatively associated with the mental illness personal experience. The qualitative finding recommended that mental illness had enabled the HV to support mothers and children, but did not support other family members. The less knowledge and skills for supporting mothers hindered the practice of family focus. </w:t>
      </w:r>
    </w:p>
    <w:p w:rsidR="00365D34" w:rsidRPr="00BF2B6F" w:rsidRDefault="00365D34" w:rsidP="00365D34">
      <w:pPr>
        <w:spacing w:line="360" w:lineRule="auto"/>
        <w:jc w:val="both"/>
        <w:rPr>
          <w:rFonts w:ascii="Arial" w:hAnsi="Arial" w:cs="Arial"/>
          <w:b w:val="0"/>
          <w:sz w:val="22"/>
        </w:rPr>
      </w:pPr>
    </w:p>
    <w:p w:rsidR="00365D34" w:rsidRPr="00BF2B6F" w:rsidRDefault="00365D34" w:rsidP="00365D34">
      <w:pPr>
        <w:spacing w:line="360" w:lineRule="auto"/>
        <w:jc w:val="both"/>
        <w:rPr>
          <w:rFonts w:ascii="Arial" w:hAnsi="Arial" w:cs="Arial"/>
          <w:b w:val="0"/>
          <w:sz w:val="22"/>
        </w:rPr>
      </w:pPr>
      <w:r w:rsidRPr="00BF2B6F">
        <w:rPr>
          <w:rFonts w:ascii="Arial" w:hAnsi="Arial" w:cs="Arial"/>
          <w:b w:val="0"/>
          <w:sz w:val="22"/>
        </w:rPr>
        <w:t xml:space="preserve"> </w:t>
      </w:r>
    </w:p>
    <w:sectPr w:rsidR="00365D34" w:rsidRPr="00BF2B6F" w:rsidSect="00F8513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23" w:rsidRDefault="000B0623" w:rsidP="00365D34">
      <w:pPr>
        <w:spacing w:after="0" w:line="240" w:lineRule="auto"/>
      </w:pPr>
      <w:r>
        <w:separator/>
      </w:r>
    </w:p>
  </w:endnote>
  <w:endnote w:type="continuationSeparator" w:id="0">
    <w:p w:rsidR="000B0623" w:rsidRDefault="000B0623" w:rsidP="00365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273" w:rsidRDefault="003F62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626412"/>
      <w:docPartObj>
        <w:docPartGallery w:val="Page Numbers (Bottom of Page)"/>
        <w:docPartUnique/>
      </w:docPartObj>
    </w:sdtPr>
    <w:sdtEndPr/>
    <w:sdtContent>
      <w:p w:rsidR="00365D34" w:rsidRDefault="00062E9A">
        <w:pPr>
          <w:pStyle w:val="Footer"/>
          <w:jc w:val="right"/>
        </w:pPr>
        <w:r>
          <w:rPr>
            <w:noProof/>
          </w:rPr>
          <w:fldChar w:fldCharType="begin"/>
        </w:r>
        <w:r>
          <w:rPr>
            <w:noProof/>
          </w:rPr>
          <w:instrText xml:space="preserve"> PAGE   \* MERGEFORMAT </w:instrText>
        </w:r>
        <w:r>
          <w:rPr>
            <w:noProof/>
          </w:rPr>
          <w:fldChar w:fldCharType="separate"/>
        </w:r>
        <w:r w:rsidR="00820465">
          <w:rPr>
            <w:noProof/>
          </w:rPr>
          <w:t>5</w:t>
        </w:r>
        <w:r>
          <w:rPr>
            <w:noProof/>
          </w:rPr>
          <w:fldChar w:fldCharType="end"/>
        </w:r>
      </w:p>
    </w:sdtContent>
  </w:sdt>
  <w:p w:rsidR="00365D34" w:rsidRDefault="00365D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273" w:rsidRDefault="003F62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23" w:rsidRDefault="000B0623" w:rsidP="00365D34">
      <w:pPr>
        <w:spacing w:after="0" w:line="240" w:lineRule="auto"/>
      </w:pPr>
      <w:r>
        <w:separator/>
      </w:r>
    </w:p>
  </w:footnote>
  <w:footnote w:type="continuationSeparator" w:id="0">
    <w:p w:rsidR="000B0623" w:rsidRDefault="000B0623" w:rsidP="00365D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273" w:rsidRDefault="003F627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273" w:rsidRDefault="003F627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6273" w:rsidRDefault="003F627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916306"/>
    <w:multiLevelType w:val="hybridMultilevel"/>
    <w:tmpl w:val="57BC5B5E"/>
    <w:lvl w:ilvl="0" w:tplc="99EA19FA">
      <w:start w:val="1"/>
      <w:numFmt w:val="bullet"/>
      <w:lvlText w:val=""/>
      <w:lvlJc w:val="left"/>
      <w:pPr>
        <w:tabs>
          <w:tab w:val="num" w:pos="720"/>
        </w:tabs>
        <w:ind w:left="720" w:hanging="360"/>
      </w:pPr>
      <w:rPr>
        <w:rFonts w:ascii="Wingdings 2" w:hAnsi="Wingdings 2" w:hint="default"/>
      </w:rPr>
    </w:lvl>
    <w:lvl w:ilvl="1" w:tplc="0F9C2358" w:tentative="1">
      <w:start w:val="1"/>
      <w:numFmt w:val="bullet"/>
      <w:lvlText w:val=""/>
      <w:lvlJc w:val="left"/>
      <w:pPr>
        <w:tabs>
          <w:tab w:val="num" w:pos="1440"/>
        </w:tabs>
        <w:ind w:left="1440" w:hanging="360"/>
      </w:pPr>
      <w:rPr>
        <w:rFonts w:ascii="Wingdings 2" w:hAnsi="Wingdings 2" w:hint="default"/>
      </w:rPr>
    </w:lvl>
    <w:lvl w:ilvl="2" w:tplc="42AC402C" w:tentative="1">
      <w:start w:val="1"/>
      <w:numFmt w:val="bullet"/>
      <w:lvlText w:val=""/>
      <w:lvlJc w:val="left"/>
      <w:pPr>
        <w:tabs>
          <w:tab w:val="num" w:pos="2160"/>
        </w:tabs>
        <w:ind w:left="2160" w:hanging="360"/>
      </w:pPr>
      <w:rPr>
        <w:rFonts w:ascii="Wingdings 2" w:hAnsi="Wingdings 2" w:hint="default"/>
      </w:rPr>
    </w:lvl>
    <w:lvl w:ilvl="3" w:tplc="6D5E075A" w:tentative="1">
      <w:start w:val="1"/>
      <w:numFmt w:val="bullet"/>
      <w:lvlText w:val=""/>
      <w:lvlJc w:val="left"/>
      <w:pPr>
        <w:tabs>
          <w:tab w:val="num" w:pos="2880"/>
        </w:tabs>
        <w:ind w:left="2880" w:hanging="360"/>
      </w:pPr>
      <w:rPr>
        <w:rFonts w:ascii="Wingdings 2" w:hAnsi="Wingdings 2" w:hint="default"/>
      </w:rPr>
    </w:lvl>
    <w:lvl w:ilvl="4" w:tplc="7F86BD8A" w:tentative="1">
      <w:start w:val="1"/>
      <w:numFmt w:val="bullet"/>
      <w:lvlText w:val=""/>
      <w:lvlJc w:val="left"/>
      <w:pPr>
        <w:tabs>
          <w:tab w:val="num" w:pos="3600"/>
        </w:tabs>
        <w:ind w:left="3600" w:hanging="360"/>
      </w:pPr>
      <w:rPr>
        <w:rFonts w:ascii="Wingdings 2" w:hAnsi="Wingdings 2" w:hint="default"/>
      </w:rPr>
    </w:lvl>
    <w:lvl w:ilvl="5" w:tplc="DB7A96DA" w:tentative="1">
      <w:start w:val="1"/>
      <w:numFmt w:val="bullet"/>
      <w:lvlText w:val=""/>
      <w:lvlJc w:val="left"/>
      <w:pPr>
        <w:tabs>
          <w:tab w:val="num" w:pos="4320"/>
        </w:tabs>
        <w:ind w:left="4320" w:hanging="360"/>
      </w:pPr>
      <w:rPr>
        <w:rFonts w:ascii="Wingdings 2" w:hAnsi="Wingdings 2" w:hint="default"/>
      </w:rPr>
    </w:lvl>
    <w:lvl w:ilvl="6" w:tplc="CCDA736A" w:tentative="1">
      <w:start w:val="1"/>
      <w:numFmt w:val="bullet"/>
      <w:lvlText w:val=""/>
      <w:lvlJc w:val="left"/>
      <w:pPr>
        <w:tabs>
          <w:tab w:val="num" w:pos="5040"/>
        </w:tabs>
        <w:ind w:left="5040" w:hanging="360"/>
      </w:pPr>
      <w:rPr>
        <w:rFonts w:ascii="Wingdings 2" w:hAnsi="Wingdings 2" w:hint="default"/>
      </w:rPr>
    </w:lvl>
    <w:lvl w:ilvl="7" w:tplc="1EC61444" w:tentative="1">
      <w:start w:val="1"/>
      <w:numFmt w:val="bullet"/>
      <w:lvlText w:val=""/>
      <w:lvlJc w:val="left"/>
      <w:pPr>
        <w:tabs>
          <w:tab w:val="num" w:pos="5760"/>
        </w:tabs>
        <w:ind w:left="5760" w:hanging="360"/>
      </w:pPr>
      <w:rPr>
        <w:rFonts w:ascii="Wingdings 2" w:hAnsi="Wingdings 2" w:hint="default"/>
      </w:rPr>
    </w:lvl>
    <w:lvl w:ilvl="8" w:tplc="CF4C3876"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Q0NrU0NjY1N7UAMpV0lIJTi4sz8/NACgxrAQzEVLosAAAA"/>
  </w:docVars>
  <w:rsids>
    <w:rsidRoot w:val="00365D34"/>
    <w:rsid w:val="00023CBB"/>
    <w:rsid w:val="0004047B"/>
    <w:rsid w:val="00062E9A"/>
    <w:rsid w:val="000B0623"/>
    <w:rsid w:val="000E28EF"/>
    <w:rsid w:val="000E44B9"/>
    <w:rsid w:val="001B226D"/>
    <w:rsid w:val="00214D91"/>
    <w:rsid w:val="002759E7"/>
    <w:rsid w:val="00286C17"/>
    <w:rsid w:val="00312353"/>
    <w:rsid w:val="00337346"/>
    <w:rsid w:val="00365D34"/>
    <w:rsid w:val="003C1308"/>
    <w:rsid w:val="003E5512"/>
    <w:rsid w:val="003F6273"/>
    <w:rsid w:val="0045607F"/>
    <w:rsid w:val="00537C53"/>
    <w:rsid w:val="005E6F89"/>
    <w:rsid w:val="006778B8"/>
    <w:rsid w:val="006965A0"/>
    <w:rsid w:val="007669C2"/>
    <w:rsid w:val="007C0067"/>
    <w:rsid w:val="007E5387"/>
    <w:rsid w:val="00820465"/>
    <w:rsid w:val="008E5575"/>
    <w:rsid w:val="00983A5F"/>
    <w:rsid w:val="009B56EB"/>
    <w:rsid w:val="00A034C9"/>
    <w:rsid w:val="00A2161C"/>
    <w:rsid w:val="00A42E6C"/>
    <w:rsid w:val="00A47890"/>
    <w:rsid w:val="00A75972"/>
    <w:rsid w:val="00AB1168"/>
    <w:rsid w:val="00AC7391"/>
    <w:rsid w:val="00AE1C01"/>
    <w:rsid w:val="00B07B68"/>
    <w:rsid w:val="00B42B2F"/>
    <w:rsid w:val="00BF2B6F"/>
    <w:rsid w:val="00C40A54"/>
    <w:rsid w:val="00C93844"/>
    <w:rsid w:val="00CC2D7E"/>
    <w:rsid w:val="00D129A8"/>
    <w:rsid w:val="00D23AA4"/>
    <w:rsid w:val="00D26EAC"/>
    <w:rsid w:val="00D703AD"/>
    <w:rsid w:val="00E21100"/>
    <w:rsid w:val="00E42EC1"/>
    <w:rsid w:val="00F36106"/>
    <w:rsid w:val="00F36BC0"/>
    <w:rsid w:val="00F67116"/>
    <w:rsid w:val="00F851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26D"/>
    <w:rPr>
      <w:rFonts w:ascii="Times New Roman" w:hAnsi="Times New Roman"/>
      <w:b/>
      <w:sz w:val="24"/>
    </w:rPr>
  </w:style>
  <w:style w:type="paragraph" w:styleId="Heading1">
    <w:name w:val="heading 1"/>
    <w:basedOn w:val="Normal"/>
    <w:next w:val="Normal"/>
    <w:link w:val="Heading1Char"/>
    <w:uiPriority w:val="9"/>
    <w:qFormat/>
    <w:rsid w:val="00337346"/>
    <w:pPr>
      <w:keepNext/>
      <w:keepLines/>
      <w:spacing w:before="480" w:after="0"/>
      <w:outlineLvl w:val="0"/>
    </w:pPr>
    <w:rPr>
      <w:rFonts w:ascii="Arial" w:eastAsiaTheme="majorEastAsia" w:hAnsi="Arial" w:cstheme="majorBidi"/>
      <w:bCs/>
      <w:sz w:val="28"/>
      <w:szCs w:val="28"/>
    </w:rPr>
  </w:style>
  <w:style w:type="paragraph" w:styleId="Heading2">
    <w:name w:val="heading 2"/>
    <w:basedOn w:val="Normal"/>
    <w:next w:val="Normal"/>
    <w:link w:val="Heading2Char"/>
    <w:uiPriority w:val="9"/>
    <w:unhideWhenUsed/>
    <w:qFormat/>
    <w:rsid w:val="00286C17"/>
    <w:pPr>
      <w:keepNext/>
      <w:keepLines/>
      <w:spacing w:before="200" w:after="0"/>
      <w:outlineLvl w:val="1"/>
    </w:pPr>
    <w:rPr>
      <w:rFonts w:eastAsiaTheme="majorEastAsia" w:cstheme="majorBidi"/>
      <w:bCs/>
      <w:color w:val="000000" w:themeColor="text1"/>
      <w:sz w:val="26"/>
      <w:szCs w:val="26"/>
    </w:rPr>
  </w:style>
  <w:style w:type="paragraph" w:styleId="Heading3">
    <w:name w:val="heading 3"/>
    <w:basedOn w:val="Normal"/>
    <w:next w:val="Normal"/>
    <w:link w:val="Heading3Char"/>
    <w:uiPriority w:val="9"/>
    <w:unhideWhenUsed/>
    <w:qFormat/>
    <w:rsid w:val="00286C17"/>
    <w:pPr>
      <w:keepNext/>
      <w:keepLines/>
      <w:spacing w:before="200" w:after="0"/>
      <w:outlineLvl w:val="2"/>
    </w:pPr>
    <w:rPr>
      <w:rFonts w:eastAsiaTheme="majorEastAsia" w:cstheme="majorBidi"/>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346"/>
    <w:rPr>
      <w:rFonts w:ascii="Arial" w:eastAsiaTheme="majorEastAsia" w:hAnsi="Arial" w:cstheme="majorBidi"/>
      <w:b/>
      <w:bCs/>
      <w:sz w:val="28"/>
      <w:szCs w:val="28"/>
    </w:rPr>
  </w:style>
  <w:style w:type="paragraph" w:styleId="Title">
    <w:name w:val="Title"/>
    <w:basedOn w:val="Normal"/>
    <w:next w:val="Normal"/>
    <w:link w:val="TitleChar"/>
    <w:uiPriority w:val="10"/>
    <w:qFormat/>
    <w:rsid w:val="00337346"/>
    <w:pPr>
      <w:pBdr>
        <w:bottom w:val="single" w:sz="8" w:space="4" w:color="4F81BD" w:themeColor="accent1"/>
      </w:pBdr>
      <w:spacing w:after="300" w:line="240" w:lineRule="auto"/>
      <w:contextualSpacing/>
      <w:jc w:val="center"/>
    </w:pPr>
    <w:rPr>
      <w:rFonts w:ascii="Arial" w:eastAsiaTheme="majorEastAsia" w:hAnsi="Arial" w:cstheme="majorBidi"/>
      <w:color w:val="000000" w:themeColor="text1"/>
      <w:spacing w:val="5"/>
      <w:kern w:val="28"/>
      <w:sz w:val="56"/>
      <w:szCs w:val="52"/>
    </w:rPr>
  </w:style>
  <w:style w:type="character" w:customStyle="1" w:styleId="TitleChar">
    <w:name w:val="Title Char"/>
    <w:basedOn w:val="DefaultParagraphFont"/>
    <w:link w:val="Title"/>
    <w:uiPriority w:val="10"/>
    <w:rsid w:val="00337346"/>
    <w:rPr>
      <w:rFonts w:ascii="Arial" w:eastAsiaTheme="majorEastAsia" w:hAnsi="Arial" w:cstheme="majorBidi"/>
      <w:b/>
      <w:color w:val="000000" w:themeColor="text1"/>
      <w:spacing w:val="5"/>
      <w:kern w:val="28"/>
      <w:sz w:val="56"/>
      <w:szCs w:val="52"/>
    </w:rPr>
  </w:style>
  <w:style w:type="character" w:customStyle="1" w:styleId="Heading2Char">
    <w:name w:val="Heading 2 Char"/>
    <w:basedOn w:val="DefaultParagraphFont"/>
    <w:link w:val="Heading2"/>
    <w:uiPriority w:val="9"/>
    <w:rsid w:val="00286C17"/>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286C17"/>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semiHidden/>
    <w:unhideWhenUsed/>
    <w:rsid w:val="00365D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5D34"/>
    <w:rPr>
      <w:rFonts w:ascii="Times New Roman" w:hAnsi="Times New Roman"/>
      <w:b/>
      <w:sz w:val="24"/>
    </w:rPr>
  </w:style>
  <w:style w:type="paragraph" w:styleId="Footer">
    <w:name w:val="footer"/>
    <w:basedOn w:val="Normal"/>
    <w:link w:val="FooterChar"/>
    <w:uiPriority w:val="99"/>
    <w:unhideWhenUsed/>
    <w:rsid w:val="00365D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5D34"/>
    <w:rPr>
      <w:rFonts w:ascii="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9404244">
      <w:bodyDiv w:val="1"/>
      <w:marLeft w:val="0"/>
      <w:marRight w:val="0"/>
      <w:marTop w:val="0"/>
      <w:marBottom w:val="0"/>
      <w:divBdr>
        <w:top w:val="none" w:sz="0" w:space="0" w:color="auto"/>
        <w:left w:val="none" w:sz="0" w:space="0" w:color="auto"/>
        <w:bottom w:val="none" w:sz="0" w:space="0" w:color="auto"/>
        <w:right w:val="none" w:sz="0" w:space="0" w:color="auto"/>
      </w:divBdr>
      <w:divsChild>
        <w:div w:id="1196625589">
          <w:marLeft w:val="432"/>
          <w:marRight w:val="0"/>
          <w:marTop w:val="8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E8759-B0F9-43E6-9C1E-55C032D10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2022-10-30T18:44:00Z</dcterms:created>
  <dcterms:modified xsi:type="dcterms:W3CDTF">2022-10-30T18:49:00Z</dcterms:modified>
</cp:coreProperties>
</file>