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Questions and Guidelines for Assessment Component 1</w:t>
      </w:r>
    </w:p>
    <w:p>
      <w:pPr>
        <w:spacing w:before="0" w:after="160" w:line="360"/>
        <w:ind w:right="0" w:left="0" w:firstLine="0"/>
        <w:jc w:val="left"/>
        <w:rPr>
          <w:rFonts w:ascii="Aptos" w:hAnsi="Aptos" w:cs="Aptos" w:eastAsia="Aptos"/>
          <w:color w:val="auto"/>
          <w:spacing w:val="0"/>
          <w:position w:val="0"/>
          <w:sz w:val="24"/>
          <w:shd w:fill="auto" w:val="clear"/>
        </w:rPr>
      </w:pPr>
      <w:r>
        <w:object w:dxaOrig="5057" w:dyaOrig="2031">
          <v:rect xmlns:o="urn:schemas-microsoft-com:office:office" xmlns:v="urn:schemas-microsoft-com:vml" id="rectole0000000000" style="width:252.850000pt;height:101.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left"/>
        <w:rPr>
          <w:rFonts w:ascii="Segoe UI" w:hAnsi="Segoe UI" w:cs="Segoe UI" w:eastAsia="Segoe UI"/>
          <w:b/>
          <w:color w:val="1D2125"/>
          <w:spacing w:val="0"/>
          <w:position w:val="0"/>
          <w:sz w:val="24"/>
          <w:shd w:fill="auto" w:val="clear"/>
        </w:rPr>
      </w:pPr>
    </w:p>
    <w:p>
      <w:pPr>
        <w:spacing w:before="0" w:after="160" w:line="360"/>
        <w:ind w:right="0" w:left="0" w:firstLine="0"/>
        <w:jc w:val="left"/>
        <w:rPr>
          <w:rFonts w:ascii="Arial" w:hAnsi="Arial" w:cs="Arial" w:eastAsia="Arial"/>
          <w:b/>
          <w:color w:val="1D2125"/>
          <w:spacing w:val="0"/>
          <w:position w:val="0"/>
          <w:sz w:val="36"/>
          <w:shd w:fill="auto" w:val="clear"/>
        </w:rPr>
      </w:pPr>
    </w:p>
    <w:p>
      <w:pPr>
        <w:spacing w:before="0" w:after="160" w:line="360"/>
        <w:ind w:right="0" w:left="0" w:firstLine="0"/>
        <w:jc w:val="center"/>
        <w:rPr>
          <w:rFonts w:ascii="Arial" w:hAnsi="Arial" w:cs="Arial" w:eastAsia="Arial"/>
          <w:b/>
          <w:color w:val="1D2125"/>
          <w:spacing w:val="0"/>
          <w:position w:val="0"/>
          <w:sz w:val="36"/>
          <w:shd w:fill="auto" w:val="clear"/>
        </w:rPr>
      </w:pPr>
      <w:r>
        <w:rPr>
          <w:rFonts w:ascii="Segoe UI" w:hAnsi="Segoe UI" w:cs="Segoe UI" w:eastAsia="Segoe UI"/>
          <w:b/>
          <w:color w:val="1D2125"/>
          <w:spacing w:val="0"/>
          <w:position w:val="0"/>
          <w:sz w:val="36"/>
          <w:shd w:fill="FFFFFF" w:val="clear"/>
        </w:rPr>
        <w:t xml:space="preserve">Changemakers: Creativity and Value Creation</w:t>
      </w:r>
    </w:p>
    <w:p>
      <w:pPr>
        <w:spacing w:before="0" w:after="160" w:line="360"/>
        <w:ind w:right="0" w:left="0" w:firstLine="0"/>
        <w:jc w:val="center"/>
        <w:rPr>
          <w:rFonts w:ascii="Arial" w:hAnsi="Arial" w:cs="Arial" w:eastAsia="Arial"/>
          <w:b/>
          <w:color w:val="1D2125"/>
          <w:spacing w:val="0"/>
          <w:position w:val="0"/>
          <w:sz w:val="36"/>
          <w:shd w:fill="auto" w:val="clear"/>
        </w:rPr>
      </w:pPr>
      <w:r>
        <w:rPr>
          <w:rFonts w:ascii="Arial" w:hAnsi="Arial" w:cs="Arial" w:eastAsia="Arial"/>
          <w:b/>
          <w:color w:val="1D2125"/>
          <w:spacing w:val="0"/>
          <w:position w:val="0"/>
          <w:sz w:val="36"/>
          <w:shd w:fill="auto" w:val="clear"/>
        </w:rPr>
        <w:t xml:space="preserve">Professions (BMHP5014)</w:t>
      </w:r>
    </w:p>
    <w:p>
      <w:pPr>
        <w:spacing w:before="0" w:after="160" w:line="360"/>
        <w:ind w:right="0" w:left="0" w:firstLine="0"/>
        <w:jc w:val="center"/>
        <w:rPr>
          <w:rFonts w:ascii="Arial" w:hAnsi="Arial" w:cs="Arial" w:eastAsia="Arial"/>
          <w:b/>
          <w:color w:val="1D2125"/>
          <w:spacing w:val="0"/>
          <w:position w:val="0"/>
          <w:sz w:val="36"/>
          <w:shd w:fill="auto" w:val="clear"/>
        </w:rPr>
      </w:pPr>
    </w:p>
    <w:p>
      <w:pPr>
        <w:spacing w:before="0" w:after="160" w:line="360"/>
        <w:ind w:right="0" w:left="0" w:firstLine="0"/>
        <w:jc w:val="center"/>
        <w:rPr>
          <w:rFonts w:ascii="Arial" w:hAnsi="Arial" w:cs="Arial" w:eastAsia="Arial"/>
          <w:b/>
          <w:color w:val="1D2125"/>
          <w:spacing w:val="0"/>
          <w:position w:val="0"/>
          <w:sz w:val="36"/>
          <w:shd w:fill="auto" w:val="clear"/>
        </w:rPr>
      </w:pPr>
    </w:p>
    <w:p>
      <w:pPr>
        <w:spacing w:before="0" w:after="160" w:line="360"/>
        <w:ind w:right="0" w:left="0" w:firstLine="0"/>
        <w:jc w:val="left"/>
        <w:rPr>
          <w:rFonts w:ascii="Arial" w:hAnsi="Arial" w:cs="Arial" w:eastAsia="Arial"/>
          <w:color w:val="1D2125"/>
          <w:spacing w:val="0"/>
          <w:position w:val="0"/>
          <w:sz w:val="32"/>
          <w:shd w:fill="auto" w:val="clear"/>
        </w:rPr>
      </w:pPr>
      <w:r>
        <w:rPr>
          <w:rFonts w:ascii="Arial" w:hAnsi="Arial" w:cs="Arial" w:eastAsia="Arial"/>
          <w:b/>
          <w:color w:val="000000"/>
          <w:spacing w:val="0"/>
          <w:position w:val="0"/>
          <w:sz w:val="32"/>
          <w:shd w:fill="auto" w:val="clear"/>
        </w:rPr>
        <w:t xml:space="preserve">Component 1:</w:t>
      </w:r>
      <w:r>
        <w:rPr>
          <w:rFonts w:ascii="Aptos" w:hAnsi="Aptos" w:cs="Aptos" w:eastAsia="Aptos"/>
          <w:color w:val="auto"/>
          <w:spacing w:val="0"/>
          <w:position w:val="0"/>
          <w:sz w:val="24"/>
          <w:shd w:fill="auto" w:val="clear"/>
        </w:rPr>
        <w:t xml:space="preserve"> </w:t>
      </w:r>
      <w:r>
        <w:rPr>
          <w:rFonts w:ascii="Arial" w:hAnsi="Arial" w:cs="Arial" w:eastAsia="Arial"/>
          <w:b/>
          <w:color w:val="000000"/>
          <w:spacing w:val="0"/>
          <w:position w:val="0"/>
          <w:sz w:val="32"/>
          <w:shd w:fill="auto" w:val="clear"/>
        </w:rPr>
        <w:t xml:space="preserve">Online portfolio of set exercises</w:t>
      </w:r>
    </w:p>
    <w:p>
      <w:pPr>
        <w:spacing w:before="0" w:after="160" w:line="360"/>
        <w:ind w:right="0" w:left="0" w:firstLine="0"/>
        <w:jc w:val="left"/>
        <w:rPr>
          <w:rFonts w:ascii="Arial" w:hAnsi="Arial" w:cs="Arial" w:eastAsia="Arial"/>
          <w:b/>
          <w:color w:val="1D2125"/>
          <w:spacing w:val="0"/>
          <w:position w:val="0"/>
          <w:sz w:val="32"/>
          <w:shd w:fill="auto" w:val="clear"/>
        </w:rPr>
      </w:pPr>
    </w:p>
    <w:p>
      <w:pPr>
        <w:spacing w:before="0" w:after="160" w:line="360"/>
        <w:ind w:right="0" w:left="0" w:firstLine="0"/>
        <w:jc w:val="left"/>
        <w:rPr>
          <w:rFonts w:ascii="Arial" w:hAnsi="Arial" w:cs="Arial" w:eastAsia="Arial"/>
          <w:b/>
          <w:color w:val="1D2125"/>
          <w:spacing w:val="0"/>
          <w:position w:val="0"/>
          <w:sz w:val="32"/>
          <w:shd w:fill="auto" w:val="clear"/>
        </w:rPr>
      </w:pPr>
      <w:r>
        <w:rPr>
          <w:rFonts w:ascii="Arial" w:hAnsi="Arial" w:cs="Arial" w:eastAsia="Arial"/>
          <w:b/>
          <w:color w:val="1D2125"/>
          <w:spacing w:val="0"/>
          <w:position w:val="0"/>
          <w:sz w:val="32"/>
          <w:shd w:fill="auto" w:val="clear"/>
        </w:rPr>
        <w:t xml:space="preserve">Student name: Raza khan ahmadzai </w:t>
      </w:r>
    </w:p>
    <w:p>
      <w:pPr>
        <w:spacing w:before="0" w:after="160" w:line="360"/>
        <w:ind w:right="0" w:left="0" w:firstLine="0"/>
        <w:jc w:val="left"/>
        <w:rPr>
          <w:rFonts w:ascii="Arial" w:hAnsi="Arial" w:cs="Arial" w:eastAsia="Arial"/>
          <w:b/>
          <w:color w:val="1D2125"/>
          <w:spacing w:val="0"/>
          <w:position w:val="0"/>
          <w:sz w:val="32"/>
          <w:shd w:fill="auto" w:val="clear"/>
        </w:rPr>
      </w:pPr>
      <w:r>
        <w:rPr>
          <w:rFonts w:ascii="Arial" w:hAnsi="Arial" w:cs="Arial" w:eastAsia="Arial"/>
          <w:b/>
          <w:color w:val="1D2125"/>
          <w:spacing w:val="0"/>
          <w:position w:val="0"/>
          <w:sz w:val="32"/>
          <w:shd w:fill="auto" w:val="clear"/>
        </w:rPr>
        <w:t xml:space="preserve">Student number: 2423995</w:t>
      </w:r>
    </w:p>
    <w:p>
      <w:pPr>
        <w:spacing w:before="0" w:after="160" w:line="360"/>
        <w:ind w:right="0" w:left="0" w:firstLine="0"/>
        <w:jc w:val="left"/>
        <w:rPr>
          <w:rFonts w:ascii="Arial" w:hAnsi="Arial" w:cs="Arial" w:eastAsia="Arial"/>
          <w:b/>
          <w:color w:val="1D2125"/>
          <w:spacing w:val="0"/>
          <w:position w:val="0"/>
          <w:sz w:val="32"/>
          <w:shd w:fill="auto" w:val="clear"/>
        </w:rPr>
      </w:pPr>
      <w:r>
        <w:rPr>
          <w:rFonts w:ascii="Arial" w:hAnsi="Arial" w:cs="Arial" w:eastAsia="Arial"/>
          <w:b/>
          <w:color w:val="1D2125"/>
          <w:spacing w:val="0"/>
          <w:position w:val="0"/>
          <w:sz w:val="32"/>
          <w:shd w:fill="auto" w:val="clear"/>
        </w:rPr>
        <w:t xml:space="preserve">Lecturer’s name: brian mashmba </w:t>
      </w:r>
    </w:p>
    <w:p>
      <w:pPr>
        <w:spacing w:before="0" w:after="160" w:line="360"/>
        <w:ind w:right="0" w:left="0" w:firstLine="0"/>
        <w:jc w:val="left"/>
        <w:rPr>
          <w:rFonts w:ascii="Aptos" w:hAnsi="Aptos" w:cs="Aptos" w:eastAsia="Aptos"/>
          <w:color w:val="auto"/>
          <w:spacing w:val="0"/>
          <w:position w:val="0"/>
          <w:sz w:val="36"/>
          <w:shd w:fill="auto" w:val="clear"/>
        </w:rPr>
      </w:pPr>
    </w:p>
    <w:p>
      <w:pPr>
        <w:spacing w:before="0" w:after="160" w:line="360"/>
        <w:ind w:right="0" w:left="0" w:firstLine="0"/>
        <w:jc w:val="left"/>
        <w:rPr>
          <w:rFonts w:ascii="Arial" w:hAnsi="Arial" w:cs="Arial" w:eastAsia="Arial"/>
          <w:color w:val="auto"/>
          <w:spacing w:val="0"/>
          <w:position w:val="0"/>
          <w:sz w:val="36"/>
          <w:shd w:fill="auto" w:val="clear"/>
        </w:rPr>
      </w:pPr>
    </w:p>
    <w:p>
      <w:pPr>
        <w:spacing w:before="0" w:after="160" w:line="360"/>
        <w:ind w:right="0" w:left="0" w:firstLine="0"/>
        <w:jc w:val="left"/>
        <w:rPr>
          <w:rFonts w:ascii="Arial" w:hAnsi="Arial" w:cs="Arial" w:eastAsia="Arial"/>
          <w:color w:val="auto"/>
          <w:spacing w:val="0"/>
          <w:position w:val="0"/>
          <w:sz w:val="36"/>
          <w:shd w:fill="auto" w:val="clear"/>
        </w:rPr>
      </w:pPr>
    </w:p>
    <w:p>
      <w:pPr>
        <w:spacing w:before="0" w:after="160" w:line="360"/>
        <w:ind w:right="0" w:left="0" w:firstLine="0"/>
        <w:jc w:val="left"/>
        <w:rPr>
          <w:rFonts w:ascii="Arial" w:hAnsi="Arial" w:cs="Arial" w:eastAsia="Arial"/>
          <w:color w:val="auto"/>
          <w:spacing w:val="0"/>
          <w:position w:val="0"/>
          <w:sz w:val="36"/>
          <w:shd w:fill="auto" w:val="clear"/>
        </w:rPr>
      </w:pPr>
    </w:p>
    <w:p>
      <w:pPr>
        <w:spacing w:before="100" w:after="100" w:line="360"/>
        <w:ind w:right="0" w:left="0" w:firstLine="0"/>
        <w:jc w:val="left"/>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Table of contents</w:t>
      </w:r>
    </w:p>
    <w:p>
      <w:pPr>
        <w:spacing w:before="100" w:after="100" w:line="360"/>
        <w:ind w:right="0" w:left="0" w:firstLine="0"/>
        <w:jc w:val="left"/>
        <w:rPr>
          <w:rFonts w:ascii="Arial" w:hAnsi="Arial" w:cs="Arial" w:eastAsia="Arial"/>
          <w:b/>
          <w:color w:val="000000"/>
          <w:spacing w:val="0"/>
          <w:position w:val="0"/>
          <w:sz w:val="24"/>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Assessment Component 1</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Introduction</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portfolio presents my learning and development throughout the Changemakers: Creativity and Value Creation module. It shows that I understand some of the important concepts such as creativity, innovation, value creation, leadership, change and digital technology in relation to health and social care. Reflective exercises, research tasks, case studies and a series of activities are used to examine the way that creative thinking and innovative approaches can help solve current problems and enhance the outcomes for patients, service users and healthcare organisations. The portfolio also demonstrates my interaction with relevant academic literature, real-world examples and theoretical models to sustain and enhance my understanding of these topics. I demonstrate the application of knowledge gained during the module in a critical way, showing the importance of creativity, effective leadership and technological innovation in providing high quality, person-centred care and preparing for future practice in health and social care.</w:t>
            </w:r>
          </w:p>
          <w:p>
            <w:pPr>
              <w:spacing w:before="0" w:after="0" w:line="360"/>
              <w:ind w:right="0" w:left="0" w:firstLine="0"/>
              <w:jc w:val="left"/>
              <w:rPr>
                <w:color w:val="auto"/>
                <w:spacing w:val="0"/>
                <w:position w:val="0"/>
                <w:sz w:val="22"/>
                <w:shd w:fill="auto" w:val="clear"/>
              </w:rPr>
            </w:pPr>
          </w:p>
        </w:tc>
      </w:tr>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Task 1- Defining Key Concepts in Practice </w:t>
            </w:r>
          </w:p>
          <w:p>
            <w:pPr>
              <w:spacing w:before="0" w:after="0" w:line="360"/>
              <w:ind w:right="0" w:left="0" w:firstLine="0"/>
              <w:jc w:val="both"/>
              <w:rPr>
                <w:rFonts w:ascii="Arial" w:hAnsi="Arial" w:cs="Arial" w:eastAsia="Arial"/>
                <w:b/>
                <w:color w:val="auto"/>
                <w:spacing w:val="0"/>
                <w:position w:val="0"/>
                <w:sz w:val="22"/>
                <w:shd w:fill="auto" w:val="clear"/>
              </w:rPr>
            </w:pPr>
          </w:p>
          <w:p>
            <w:pPr>
              <w:spacing w:before="0" w:after="0" w:line="360"/>
              <w:ind w:right="0" w:left="0" w:firstLine="0"/>
              <w:jc w:val="both"/>
              <w:rPr>
                <w:rFonts w:ascii="Arial" w:hAnsi="Arial" w:cs="Arial" w:eastAsia="Arial"/>
                <w:color w:val="C00000"/>
                <w:spacing w:val="0"/>
                <w:position w:val="0"/>
                <w:sz w:val="22"/>
                <w:shd w:fill="auto" w:val="clear"/>
              </w:rPr>
            </w:pPr>
            <w:r>
              <w:rPr>
                <w:rFonts w:ascii="Arial" w:hAnsi="Arial" w:cs="Arial" w:eastAsia="Arial"/>
                <w:color w:val="auto"/>
                <w:spacing w:val="0"/>
                <w:position w:val="0"/>
                <w:sz w:val="22"/>
                <w:shd w:fill="auto" w:val="clear"/>
              </w:rPr>
              <w:t xml:space="preserve">Innovation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Innovation is defined as the successful adoption of a new idea, process, or technology that enhances services and/or outcomes (Rogers, 2003). In health and social care innovation is a key factor to meet growing patient demand, increase efficiency and improve the quality of patient care. The NHS has, for instance, adopted virtual wards to provide hospital care at home, which helps to avoid unnecessary hospital admission. New ideas are introduced to organisations over time according to Rogers' Diffusion of Innovation Theory (2003).</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Creativity</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Creativity is a capacity to produce novel and innovative ideas that are useful and solve problems or improve things (Amabile, 1996). Creativity is essential in health and social care to find person-centred solutions to complex problems and enhance patient experience. For instance, when people have a chronic illness, the multidisciplinary team can create a care plan that is tailored to the person's specific needs. Amabile's Componential Theory of Creativity proposes that creativity is affected by expertise, creative thinking abilities, and intrinsic motivation (Amabile, 1996). </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Value Creation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Value creation requires the development of an improved outcome for the patient and efficient use of resources (Porter, 2010). The creation of value is of significance as healthcare organisations need to provide high-quality care in a constrained budget. For instance, EHRs can facilitate better communication among healthcare workers, minimize duplication, and increase patient safety. According to Porter (2010) “value” is created when better outcomes are obtained at a lower cost of care.</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Change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Burnes (2017) defines change as the process of introducing and maintaining improvements in organisations to cater for changing needs. The importance of change in health and social care is that services need to continually adapt to new technologies, policies and patient expectations. For example, during and after COVID-19, several NHS organisations implemented remote consultations to help preserve access to care. The Lewin's Change Management Model describes how successful change takes place by unfreezing current practices, introducing the change, and refreezing new behaviours to maintain change (Burnes, 2017). </w:t>
            </w:r>
          </w:p>
          <w:p>
            <w:pPr>
              <w:spacing w:before="0" w:after="0" w:line="360"/>
              <w:ind w:right="0" w:left="0" w:firstLine="0"/>
              <w:jc w:val="both"/>
              <w:rPr>
                <w:spacing w:val="0"/>
                <w:position w:val="0"/>
                <w:sz w:val="22"/>
                <w:shd w:fill="auto" w:val="clear"/>
              </w:rPr>
            </w:pPr>
          </w:p>
        </w:tc>
      </w:tr>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auto"/>
                <w:spacing w:val="0"/>
                <w:position w:val="0"/>
                <w:sz w:val="22"/>
                <w:shd w:fill="auto" w:val="clear"/>
              </w:rPr>
              <w:t xml:space="preserve">Task 2 - Mind Map </w:t>
            </w:r>
          </w:p>
          <w:p>
            <w:pPr>
              <w:spacing w:before="0" w:after="0" w:line="360"/>
              <w:ind w:right="0" w:left="0" w:firstLine="0"/>
              <w:jc w:val="both"/>
              <w:rPr>
                <w:spacing w:val="0"/>
                <w:position w:val="0"/>
                <w:sz w:val="22"/>
                <w:shd w:fill="auto" w:val="clear"/>
              </w:rPr>
            </w:pPr>
            <w:r>
              <w:object w:dxaOrig="8438" w:dyaOrig="7646">
                <v:rect xmlns:o="urn:schemas-microsoft-com:office:office" xmlns:v="urn:schemas-microsoft-com:vml" id="rectole0000000001" style="width:421.900000pt;height:382.3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tc>
      </w:tr>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Task 3 - Self-Reflection of Group Activity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reflected on our classroom activity of divergent and convergent thinking using Gibbs' Reflective Cycle (1988). In the activity I had the opportunity to discuss with my group a case concerning Stanley, and brainstorm various possible solutions to the problem. Through divergent thinking, we suggested to have more support for Stanley, better communication with the NHS, better multidisciplinary collaboration, and better vaccine planning. Then, we used divergent thinking to consider these concepts and came to agree that coordinated multidisciplinary support, improved communication between services and fair distribution of vaccines were the most feasible ideas.</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was interesting to hear different thoughts from me and my group mates as each had their input of ideas. The activity was effective in demonstrating the principles of divergent thinking leading to multiple possibilities and convergent thinking to assess options and make decisions. This experience has helped me to understand collaboration in problem solving in health and social care. Gibbs (1988) states that reflection helps people to learn by analysing and critiquing experiences and making suggestions for changes. I will be able to make more confident contributions to the group's ideas; encourage quieter group members; and draw on evidence to make decisions and help the group to come up with effective, person-centred solutions in future group activities. </w:t>
            </w:r>
          </w:p>
          <w:p>
            <w:pPr>
              <w:spacing w:before="0" w:after="0" w:line="360"/>
              <w:ind w:right="0" w:left="0" w:firstLine="0"/>
              <w:jc w:val="both"/>
              <w:rPr>
                <w:color w:val="auto"/>
                <w:spacing w:val="0"/>
                <w:position w:val="0"/>
                <w:sz w:val="22"/>
                <w:shd w:fill="auto" w:val="clear"/>
              </w:rPr>
            </w:pPr>
          </w:p>
        </w:tc>
      </w:tr>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ptos" w:hAnsi="Aptos" w:cs="Aptos" w:eastAsia="Aptos"/>
                <w:b/>
                <w:color w:val="auto"/>
                <w:spacing w:val="0"/>
                <w:position w:val="0"/>
                <w:sz w:val="22"/>
                <w:shd w:fill="auto" w:val="clear"/>
              </w:rPr>
              <w:t xml:space="preserve">Task 4 </w:t>
            </w:r>
            <w:r>
              <w:rPr>
                <w:rFonts w:ascii="Calibri" w:hAnsi="Calibri" w:cs="Calibri" w:eastAsia="Calibri"/>
                <w:b/>
                <w:color w:val="auto"/>
                <w:spacing w:val="0"/>
                <w:position w:val="0"/>
                <w:sz w:val="22"/>
                <w:shd w:fill="auto" w:val="clear"/>
              </w:rPr>
              <w:t xml:space="preserve">– Case Study Analysis of a UK Innovation </w:t>
            </w: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Virtual Wards is a new way of working in the NHS, where patients receive hospital level care at home with the help of regular care from health professionals and remote monitoring. This was implemented to tackle the growing demand of the hospital, lack of beds and long waiting times, allowing patients to recuperate in a comfortable environment. The creative use of digital technology and the interdisciplinary collaboration of the team to reimagine the traditional concept of hospital care was an example of creativity.</w:t>
            </w:r>
          </w:p>
          <w:p>
            <w:pPr>
              <w:spacing w:before="0" w:after="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innovation generated value in terms of enhanced patient experience, minimising admissions to hospital when they were not needed, and maximising the capacity of hospital beds for patients needing acute care. It also helped to discharge earlier, decreased the risk for hospital acquired infections, and helped to provide person-centred care. NHS England (2023) states that thousands of patients have been supported to provide safe care at home through Virtual Wards, while alleviating pressure on the NHS. Rogers' Diffusion of Innovation Theory states that innovations are more likely to be implemented when the benefits of the innovation are clear and when the innovation is easy to implement (Rogers, 2003). This has seen the adoption of Virtual Wards in other parts of the NHS, highlighting the value of innovative practice in improving the lives of patients, health and social care professionals and the health and social care services system. </w:t>
            </w:r>
          </w:p>
          <w:p>
            <w:pPr>
              <w:spacing w:before="0" w:after="0" w:line="360"/>
              <w:ind w:right="0" w:left="0" w:firstLine="0"/>
              <w:jc w:val="left"/>
              <w:rPr>
                <w:color w:val="auto"/>
                <w:spacing w:val="0"/>
                <w:position w:val="0"/>
                <w:sz w:val="22"/>
                <w:shd w:fill="auto" w:val="clear"/>
              </w:rPr>
            </w:pPr>
          </w:p>
        </w:tc>
      </w:tr>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Task 5 - Research Task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of the main issues in health and social care that can cause staff burnout is the impact it has on staff wellbeing, safety for the patient and the quality of services provided. According to Maslach and Leiter (2016), burnout arises from the combination of emotional exhaustion, high workload and lack of support from the organisation in the workplace. These factors lead to low satisfaction in the job and the chances of errors and staff turnover. This research emphasizes the need for positive working conditions to ensure a high quality and safe level of care.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Similarly, West et al. (2018) identified that too many hours worked, not enough staff and stress in the workplace are also causes of burnout in healthcare organisations. The authors claim that burnout can be prevented and patient outcomes can be enhanced by enhancing leadership, staff wellbeing, and organisational culture. Both studies found that there are organisational and individual factors that contribute to burnout, not just one. While Maslach and Leiter are interested in the psychological aspects of burnout, West et al. are interested in improving systems and leadership. These studies give a wider picture of the causes of burnout and highlight the importance of acting on workforce wellbeing to ensure health and social care services are effective and sustainable.</w:t>
            </w:r>
          </w:p>
          <w:p>
            <w:pPr>
              <w:spacing w:before="0" w:after="0" w:line="360"/>
              <w:ind w:right="0" w:left="0" w:firstLine="0"/>
              <w:jc w:val="both"/>
              <w:rPr>
                <w:color w:val="auto"/>
                <w:spacing w:val="0"/>
                <w:position w:val="0"/>
                <w:sz w:val="22"/>
                <w:shd w:fill="auto" w:val="clear"/>
              </w:rPr>
            </w:pPr>
          </w:p>
        </w:tc>
      </w:tr>
      <w:tr>
        <w:trPr>
          <w:trHeight w:val="3810" w:hRule="auto"/>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Task 6 - Exploring Digital Innovation in Health and Social Care</w:t>
            </w: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By monitoring health data in real-time, wearable health technologies like smartwatches and continuous glucose monitors can support users in managing chronic conditions. Patients with diabetes, for instance, can use continuous glucose monitors that let them check their blood-sugar levels without having to prick their fingers as often, so they can get earlier help if blood-sugar levels are abnormal. These tools promote self-management, enhance treatment adherence, and facilitate evidence-based decision-making. The Technology Acceptance Model states that individuals are more inclined to adopt digital health technologies when they believe that they can benefit from their use and that they are easy to use (Davis, 1989).</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EHRs enhance communication by ensuring that healthcare providers have access to patients' information in a secure manner, with accurate and real-time data. This helps to avoid duplicated tests, continuity of care and medication errors. For instance, one patient's GP, hospital consultant and community nurse might all have access to the same clinical record, enabling coordinated and person-centred care for the patient. Good communication also helps in making quick decisions and working together with others in multi-disciplinary teams.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Digital technology contributes to preventative care and the promotion of healthy behaviours and early intervention. The NHS App, for instance, can provide health information, attend to appointments and notify users of vaccination or health check reminders. These digital services help people to be more engaged in their health and care, and to take more responsibility for that. Digital technology can enable better access to preventative services, which can help to cut down on unnecessary illness and promote improved long-term health outcomes, while also alleviating the strain on health and social care services.</w:t>
            </w:r>
          </w:p>
          <w:p>
            <w:pPr>
              <w:spacing w:before="0" w:after="0" w:line="360"/>
              <w:ind w:right="0" w:left="0" w:firstLine="0"/>
              <w:jc w:val="both"/>
              <w:rPr>
                <w:color w:val="auto"/>
                <w:spacing w:val="0"/>
                <w:position w:val="0"/>
                <w:sz w:val="22"/>
                <w:shd w:fill="auto" w:val="clear"/>
              </w:rPr>
            </w:pPr>
          </w:p>
        </w:tc>
      </w:tr>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ptos" w:hAnsi="Aptos" w:cs="Aptos" w:eastAsia="Aptos"/>
                <w:b/>
                <w:color w:val="auto"/>
                <w:spacing w:val="0"/>
                <w:position w:val="0"/>
                <w:sz w:val="22"/>
                <w:shd w:fill="auto" w:val="clear"/>
              </w:rPr>
              <w:t xml:space="preserve">Task 7 - Understanding the NHS Leadership Framework</w:t>
            </w:r>
            <w:r>
              <w:rPr>
                <w:rFonts w:ascii="Arial" w:hAnsi="Arial" w:cs="Arial" w:eastAsia="Arial"/>
                <w:b/>
                <w:color w:val="auto"/>
                <w:spacing w:val="0"/>
                <w:position w:val="0"/>
                <w:sz w:val="22"/>
                <w:shd w:fill="auto" w:val="clear"/>
              </w:rPr>
              <w:t xml:space="preserve"> </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NHS Healthcare Leadership Model sets out behaviours that are needed for effective leadership within health and social care. This encompasses elements of Inspiring Shared Purpose, Leading with Care, Evaluating Information, Connecting Our Service, Sharing the Vision, Engaging the Team, Holding to Account, Developing Capability and Influencing for Results (NHS Leadership Academy, 2013). The framework is about working together at all levels of leadership, taking evidence-based decisions and caring for others compassionately. It's important because it leads to better teamwork, innovation, and better quality and safety of patient care. The framework facilitates ongoing learning and collaboration, enabling organisations to adapt to evolving healthcare requirements and ensure the provision of person-centred services.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Leading with Care is an important leadership behaviour. Empathy, respect and support from leaders helps staff to feel valued and confident to share new ideas. This breeds creativity and innovation, allowing teams to come up with solutions that can help to enhance patient outcomes. A ward manager who is willing to listen to the concerns of staff and champion initiatives for improvement, for instance, can boost staff motivation and build teamwork. This leadership action has a positive impact on workplace culture and staff and patient experience. According to Transformational Leadership Theory, leaders encourage, motivate, and support their followers to be innovative (Bass &amp; Avolio, 1994).</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this module I have gained an appreciation of how creativity and value creation can be used to enhance health and social care. From the outset I saw creativity as being about making up new ideas, but I now understand that it is also about finding practical solutions that will enhance the experiences of service users. The experiences of studying innovation, leadership and digital technology have demonstrated to me the need to work together and to make decisions based on evidence. My future career goals are to implement these principles to help facilitate continuous improvement, provide person-centred care and to be a positive member of a multidisciplinary team.</w:t>
            </w:r>
          </w:p>
          <w:p>
            <w:pPr>
              <w:spacing w:before="0" w:after="0" w:line="360"/>
              <w:ind w:right="0" w:left="0" w:firstLine="0"/>
              <w:jc w:val="both"/>
              <w:rPr>
                <w:color w:val="auto"/>
                <w:spacing w:val="0"/>
                <w:position w:val="0"/>
                <w:sz w:val="22"/>
                <w:shd w:fill="auto" w:val="clear"/>
              </w:rPr>
            </w:pPr>
          </w:p>
        </w:tc>
      </w:tr>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ptos" w:hAnsi="Aptos" w:cs="Aptos" w:eastAsia="Aptos"/>
                <w:b/>
                <w:color w:val="auto"/>
                <w:spacing w:val="0"/>
                <w:position w:val="0"/>
                <w:sz w:val="22"/>
                <w:shd w:fill="auto" w:val="clear"/>
              </w:rPr>
              <w:t xml:space="preserve">Task 8 </w:t>
            </w:r>
            <w:r>
              <w:rPr>
                <w:rFonts w:ascii="Calibri" w:hAnsi="Calibri" w:cs="Calibri" w:eastAsia="Calibri"/>
                <w:b/>
                <w:color w:val="auto"/>
                <w:spacing w:val="0"/>
                <w:position w:val="0"/>
                <w:sz w:val="22"/>
                <w:shd w:fill="auto" w:val="clear"/>
              </w:rPr>
              <w:t xml:space="preserve">– Self-Reflection Journal Entry </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 used Gibbs' Reflective Cycle (1988) to deepen my understanding of what I have learnt about creativity, innovation and value creation over this module. I originally thought of creativity as "new ideas" at the start of the module. Now, however, I also realize that creativity also means finding practical solutions that will enhance the patient and service user experience. The classroom activities, especially the convergent and divergent thinking activity, made me realize the importance of considering creative ideas before they can be put into practice. Understanding digital innovations, leadership, and value creation also showcased the benefits of collaboration and evidence-led decision making in the improvement of health and social care services. Moving forward in my professional career, I will use these principles to work effectively in multi-disciplinary teams, embrace new ideas and look back on my experiences to make sure I can provide safe and person-centred care and continuously improve.</w:t>
            </w:r>
          </w:p>
        </w:tc>
      </w:tr>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Amabile, T.M. (1996) </w:t>
            </w:r>
            <w:r>
              <w:rPr>
                <w:rFonts w:ascii="Arial" w:hAnsi="Arial" w:cs="Arial" w:eastAsia="Arial"/>
                <w:i/>
                <w:color w:val="auto"/>
                <w:spacing w:val="0"/>
                <w:position w:val="0"/>
                <w:sz w:val="22"/>
                <w:shd w:fill="auto" w:val="clear"/>
              </w:rPr>
              <w:t xml:space="preserve">Creativity in Context</w:t>
            </w:r>
            <w:r>
              <w:rPr>
                <w:rFonts w:ascii="Arial" w:hAnsi="Arial" w:cs="Arial" w:eastAsia="Arial"/>
                <w:color w:val="auto"/>
                <w:spacing w:val="0"/>
                <w:position w:val="0"/>
                <w:sz w:val="22"/>
                <w:shd w:fill="auto" w:val="clear"/>
              </w:rPr>
              <w:t xml:space="preserve">. Boulder, CO: Westview Press.</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Bass, B.M. and Avolio, B.J. (1994) </w:t>
            </w:r>
            <w:r>
              <w:rPr>
                <w:rFonts w:ascii="Arial" w:hAnsi="Arial" w:cs="Arial" w:eastAsia="Arial"/>
                <w:i/>
                <w:color w:val="auto"/>
                <w:spacing w:val="0"/>
                <w:position w:val="0"/>
                <w:sz w:val="22"/>
                <w:shd w:fill="auto" w:val="clear"/>
              </w:rPr>
              <w:t xml:space="preserve">Improving Organizational Effectiveness Through Transformational Leadership</w:t>
            </w:r>
            <w:r>
              <w:rPr>
                <w:rFonts w:ascii="Arial" w:hAnsi="Arial" w:cs="Arial" w:eastAsia="Arial"/>
                <w:color w:val="auto"/>
                <w:spacing w:val="0"/>
                <w:position w:val="0"/>
                <w:sz w:val="22"/>
                <w:shd w:fill="auto" w:val="clear"/>
              </w:rPr>
              <w:t xml:space="preserve">. Thousand Oaks, CA: Sage Publications.</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Bulman, C. and Schutz, S. (2013) </w:t>
            </w:r>
            <w:r>
              <w:rPr>
                <w:rFonts w:ascii="Arial" w:hAnsi="Arial" w:cs="Arial" w:eastAsia="Arial"/>
                <w:i/>
                <w:color w:val="auto"/>
                <w:spacing w:val="0"/>
                <w:position w:val="0"/>
                <w:sz w:val="22"/>
                <w:shd w:fill="auto" w:val="clear"/>
              </w:rPr>
              <w:t xml:space="preserve">Reflective Practice in Nursing</w:t>
            </w:r>
            <w:r>
              <w:rPr>
                <w:rFonts w:ascii="Arial" w:hAnsi="Arial" w:cs="Arial" w:eastAsia="Arial"/>
                <w:color w:val="auto"/>
                <w:spacing w:val="0"/>
                <w:position w:val="0"/>
                <w:sz w:val="22"/>
                <w:shd w:fill="auto" w:val="clear"/>
              </w:rPr>
              <w:t xml:space="preserve">. 5th edn. Oxford: Wiley-Blackwell.</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Burnes, B. (2017) </w:t>
            </w:r>
            <w:r>
              <w:rPr>
                <w:rFonts w:ascii="Arial" w:hAnsi="Arial" w:cs="Arial" w:eastAsia="Arial"/>
                <w:i/>
                <w:color w:val="auto"/>
                <w:spacing w:val="0"/>
                <w:position w:val="0"/>
                <w:sz w:val="22"/>
                <w:shd w:fill="auto" w:val="clear"/>
              </w:rPr>
              <w:t xml:space="preserve">Managing Change</w:t>
            </w:r>
            <w:r>
              <w:rPr>
                <w:rFonts w:ascii="Arial" w:hAnsi="Arial" w:cs="Arial" w:eastAsia="Arial"/>
                <w:color w:val="auto"/>
                <w:spacing w:val="0"/>
                <w:position w:val="0"/>
                <w:sz w:val="22"/>
                <w:shd w:fill="auto" w:val="clear"/>
              </w:rPr>
              <w:t xml:space="preserve">. 7th edn. Harlow: Pearson.</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Davis, F.D. (1989) ‘Perceived usefulness, perceived ease of use, and user acceptance of information technology’, </w:t>
            </w:r>
            <w:r>
              <w:rPr>
                <w:rFonts w:ascii="Arial" w:hAnsi="Arial" w:cs="Arial" w:eastAsia="Arial"/>
                <w:i/>
                <w:color w:val="auto"/>
                <w:spacing w:val="0"/>
                <w:position w:val="0"/>
                <w:sz w:val="22"/>
                <w:shd w:fill="auto" w:val="clear"/>
              </w:rPr>
              <w:t xml:space="preserve">MIS Quarterly</w:t>
            </w:r>
            <w:r>
              <w:rPr>
                <w:rFonts w:ascii="Arial" w:hAnsi="Arial" w:cs="Arial" w:eastAsia="Arial"/>
                <w:color w:val="auto"/>
                <w:spacing w:val="0"/>
                <w:position w:val="0"/>
                <w:sz w:val="22"/>
                <w:shd w:fill="auto" w:val="clear"/>
              </w:rPr>
              <w:t xml:space="preserve">, 13(3), pp. 319</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340.</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Gibbs, G. (1988) </w:t>
            </w:r>
            <w:r>
              <w:rPr>
                <w:rFonts w:ascii="Arial" w:hAnsi="Arial" w:cs="Arial" w:eastAsia="Arial"/>
                <w:i/>
                <w:color w:val="auto"/>
                <w:spacing w:val="0"/>
                <w:position w:val="0"/>
                <w:sz w:val="22"/>
                <w:shd w:fill="auto" w:val="clear"/>
              </w:rPr>
              <w:t xml:space="preserve">Learning by Doing: A Guide to Teaching and Learning Methods</w:t>
            </w:r>
            <w:r>
              <w:rPr>
                <w:rFonts w:ascii="Arial" w:hAnsi="Arial" w:cs="Arial" w:eastAsia="Arial"/>
                <w:color w:val="auto"/>
                <w:spacing w:val="0"/>
                <w:position w:val="0"/>
                <w:sz w:val="22"/>
                <w:shd w:fill="auto" w:val="clear"/>
              </w:rPr>
              <w:t xml:space="preserve">. Oxford: Oxford Polytechnic.</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Maslach, C. and Leiter, M.P. (2016) ‘Understanding the burnout experience: Recent research and its implications for psychiatry’, </w:t>
            </w:r>
            <w:r>
              <w:rPr>
                <w:rFonts w:ascii="Arial" w:hAnsi="Arial" w:cs="Arial" w:eastAsia="Arial"/>
                <w:i/>
                <w:color w:val="auto"/>
                <w:spacing w:val="0"/>
                <w:position w:val="0"/>
                <w:sz w:val="22"/>
                <w:shd w:fill="auto" w:val="clear"/>
              </w:rPr>
              <w:t xml:space="preserve">World Psychiatry</w:t>
            </w:r>
            <w:r>
              <w:rPr>
                <w:rFonts w:ascii="Arial" w:hAnsi="Arial" w:cs="Arial" w:eastAsia="Arial"/>
                <w:color w:val="auto"/>
                <w:spacing w:val="0"/>
                <w:position w:val="0"/>
                <w:sz w:val="22"/>
                <w:shd w:fill="auto" w:val="clear"/>
              </w:rPr>
              <w:t xml:space="preserve">, 15(2), pp. 103</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111.</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Meadows, D.H. (2008) </w:t>
            </w:r>
            <w:r>
              <w:rPr>
                <w:rFonts w:ascii="Arial" w:hAnsi="Arial" w:cs="Arial" w:eastAsia="Arial"/>
                <w:i/>
                <w:color w:val="auto"/>
                <w:spacing w:val="0"/>
                <w:position w:val="0"/>
                <w:sz w:val="22"/>
                <w:shd w:fill="auto" w:val="clear"/>
              </w:rPr>
              <w:t xml:space="preserve">Thinking in Systems: A Primer</w:t>
            </w:r>
            <w:r>
              <w:rPr>
                <w:rFonts w:ascii="Arial" w:hAnsi="Arial" w:cs="Arial" w:eastAsia="Arial"/>
                <w:color w:val="auto"/>
                <w:spacing w:val="0"/>
                <w:position w:val="0"/>
                <w:sz w:val="22"/>
                <w:shd w:fill="auto" w:val="clear"/>
              </w:rPr>
              <w:t xml:space="preserve">. White River Junction, VT: Chelsea Green Publishing.</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NHS England (2023) </w:t>
            </w:r>
            <w:r>
              <w:rPr>
                <w:rFonts w:ascii="Arial" w:hAnsi="Arial" w:cs="Arial" w:eastAsia="Arial"/>
                <w:i/>
                <w:color w:val="auto"/>
                <w:spacing w:val="0"/>
                <w:position w:val="0"/>
                <w:sz w:val="22"/>
                <w:shd w:fill="auto" w:val="clear"/>
              </w:rPr>
              <w:t xml:space="preserve">Virtual Wards: Operational Framework</w:t>
            </w:r>
            <w:r>
              <w:rPr>
                <w:rFonts w:ascii="Arial" w:hAnsi="Arial" w:cs="Arial" w:eastAsia="Arial"/>
                <w:color w:val="auto"/>
                <w:spacing w:val="0"/>
                <w:position w:val="0"/>
                <w:sz w:val="22"/>
                <w:shd w:fill="auto" w:val="clear"/>
              </w:rPr>
              <w:t xml:space="preserve">. London: NHS England.</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NHS Leadership Academy (2013) </w:t>
            </w:r>
            <w:r>
              <w:rPr>
                <w:rFonts w:ascii="Arial" w:hAnsi="Arial" w:cs="Arial" w:eastAsia="Arial"/>
                <w:i/>
                <w:color w:val="auto"/>
                <w:spacing w:val="0"/>
                <w:position w:val="0"/>
                <w:sz w:val="22"/>
                <w:shd w:fill="auto" w:val="clear"/>
              </w:rPr>
              <w:t xml:space="preserve">Healthcare Leadership Model</w:t>
            </w:r>
            <w:r>
              <w:rPr>
                <w:rFonts w:ascii="Arial" w:hAnsi="Arial" w:cs="Arial" w:eastAsia="Arial"/>
                <w:color w:val="auto"/>
                <w:spacing w:val="0"/>
                <w:position w:val="0"/>
                <w:sz w:val="22"/>
                <w:shd w:fill="auto" w:val="clear"/>
              </w:rPr>
              <w:t xml:space="preserve">. Leeds: NHS Leadership Academy.</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Porter, M.E. (2010) ‘What is value in health care?’, </w:t>
            </w:r>
            <w:r>
              <w:rPr>
                <w:rFonts w:ascii="Arial" w:hAnsi="Arial" w:cs="Arial" w:eastAsia="Arial"/>
                <w:i/>
                <w:color w:val="auto"/>
                <w:spacing w:val="0"/>
                <w:position w:val="0"/>
                <w:sz w:val="22"/>
                <w:shd w:fill="auto" w:val="clear"/>
              </w:rPr>
              <w:t xml:space="preserve">New England Journal of Medicine</w:t>
            </w:r>
            <w:r>
              <w:rPr>
                <w:rFonts w:ascii="Arial" w:hAnsi="Arial" w:cs="Arial" w:eastAsia="Arial"/>
                <w:color w:val="auto"/>
                <w:spacing w:val="0"/>
                <w:position w:val="0"/>
                <w:sz w:val="22"/>
                <w:shd w:fill="auto" w:val="clear"/>
              </w:rPr>
              <w:t xml:space="preserve">, 363(26), pp. 2477</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2481.</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Rogers, E.M. (2003) </w:t>
            </w:r>
            <w:r>
              <w:rPr>
                <w:rFonts w:ascii="Arial" w:hAnsi="Arial" w:cs="Arial" w:eastAsia="Arial"/>
                <w:i/>
                <w:color w:val="auto"/>
                <w:spacing w:val="0"/>
                <w:position w:val="0"/>
                <w:sz w:val="22"/>
                <w:shd w:fill="auto" w:val="clear"/>
              </w:rPr>
              <w:t xml:space="preserve">Diffusion of Innovations</w:t>
            </w:r>
            <w:r>
              <w:rPr>
                <w:rFonts w:ascii="Arial" w:hAnsi="Arial" w:cs="Arial" w:eastAsia="Arial"/>
                <w:color w:val="auto"/>
                <w:spacing w:val="0"/>
                <w:position w:val="0"/>
                <w:sz w:val="22"/>
                <w:shd w:fill="auto" w:val="clear"/>
              </w:rPr>
              <w:t xml:space="preserve">. 5th edn. New York: Free Press.</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West, M., Eckert, R., Collins, B. and Chowla, R. (2017) </w:t>
            </w:r>
            <w:r>
              <w:rPr>
                <w:rFonts w:ascii="Arial" w:hAnsi="Arial" w:cs="Arial" w:eastAsia="Arial"/>
                <w:i/>
                <w:color w:val="auto"/>
                <w:spacing w:val="0"/>
                <w:position w:val="0"/>
                <w:sz w:val="22"/>
                <w:shd w:fill="auto" w:val="clear"/>
              </w:rPr>
              <w:t xml:space="preserve">Caring to Change: How Compassionate Leadership Can Stimulate Innovation in Health Care</w:t>
            </w:r>
            <w:r>
              <w:rPr>
                <w:rFonts w:ascii="Arial" w:hAnsi="Arial" w:cs="Arial" w:eastAsia="Arial"/>
                <w:color w:val="auto"/>
                <w:spacing w:val="0"/>
                <w:position w:val="0"/>
                <w:sz w:val="22"/>
                <w:shd w:fill="auto" w:val="clear"/>
              </w:rPr>
              <w:t xml:space="preserve">. London: The King's Fund.</w:t>
            </w:r>
          </w:p>
          <w:p>
            <w:pPr>
              <w:spacing w:before="240" w:after="24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World Health Organization (2021) </w:t>
            </w:r>
            <w:r>
              <w:rPr>
                <w:rFonts w:ascii="Arial" w:hAnsi="Arial" w:cs="Arial" w:eastAsia="Arial"/>
                <w:i/>
                <w:color w:val="auto"/>
                <w:spacing w:val="0"/>
                <w:position w:val="0"/>
                <w:sz w:val="22"/>
                <w:shd w:fill="auto" w:val="clear"/>
              </w:rPr>
              <w:t xml:space="preserve">Global Strategy on Digital Health 2020</w:t>
            </w:r>
            <w:r>
              <w:rPr>
                <w:rFonts w:ascii="Arial" w:hAnsi="Arial" w:cs="Arial" w:eastAsia="Arial"/>
                <w:i/>
                <w:color w:val="auto"/>
                <w:spacing w:val="0"/>
                <w:position w:val="0"/>
                <w:sz w:val="22"/>
                <w:shd w:fill="auto" w:val="clear"/>
              </w:rPr>
              <w:t xml:space="preserve">–</w:t>
            </w:r>
            <w:r>
              <w:rPr>
                <w:rFonts w:ascii="Arial" w:hAnsi="Arial" w:cs="Arial" w:eastAsia="Arial"/>
                <w:i/>
                <w:color w:val="auto"/>
                <w:spacing w:val="0"/>
                <w:position w:val="0"/>
                <w:sz w:val="22"/>
                <w:shd w:fill="auto" w:val="clear"/>
              </w:rPr>
              <w:t xml:space="preserve">2025</w:t>
            </w:r>
            <w:r>
              <w:rPr>
                <w:rFonts w:ascii="Arial" w:hAnsi="Arial" w:cs="Arial" w:eastAsia="Arial"/>
                <w:color w:val="auto"/>
                <w:spacing w:val="0"/>
                <w:position w:val="0"/>
                <w:sz w:val="22"/>
                <w:shd w:fill="auto" w:val="clear"/>
              </w:rPr>
              <w:t xml:space="preserve">. Geneva: World Health Organization.</w:t>
            </w:r>
          </w:p>
          <w:p>
            <w:pPr>
              <w:spacing w:before="240" w:after="24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World Health Organization (2022) </w:t>
            </w:r>
            <w:r>
              <w:rPr>
                <w:rFonts w:ascii="Arial" w:hAnsi="Arial" w:cs="Arial" w:eastAsia="Arial"/>
                <w:i/>
                <w:color w:val="auto"/>
                <w:spacing w:val="0"/>
                <w:position w:val="0"/>
                <w:sz w:val="22"/>
                <w:shd w:fill="auto" w:val="clear"/>
              </w:rPr>
              <w:t xml:space="preserve">World Health Statistics 2022: Monitoring Health for the SDGs</w:t>
            </w:r>
            <w:r>
              <w:rPr>
                <w:rFonts w:ascii="Arial" w:hAnsi="Arial" w:cs="Arial" w:eastAsia="Arial"/>
                <w:color w:val="auto"/>
                <w:spacing w:val="0"/>
                <w:position w:val="0"/>
                <w:sz w:val="22"/>
                <w:shd w:fill="auto" w:val="clear"/>
              </w:rPr>
              <w:t xml:space="preserve">. Geneva: World Health Organization.</w:t>
            </w:r>
          </w:p>
        </w:tc>
      </w:tr>
      <w:tr>
        <w:trPr>
          <w:trHeight w:val="300" w:hRule="auto"/>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Appendix</w:t>
            </w:r>
          </w:p>
          <w:p>
            <w:pPr>
              <w:spacing w:before="0" w:after="0" w:line="240"/>
              <w:ind w:right="0" w:left="0" w:firstLine="0"/>
              <w:jc w:val="left"/>
              <w:rPr>
                <w:rFonts w:ascii="Aptos" w:hAnsi="Aptos" w:cs="Aptos" w:eastAsia="Aptos"/>
                <w:color w:val="auto"/>
                <w:spacing w:val="0"/>
                <w:position w:val="0"/>
                <w:sz w:val="24"/>
                <w:shd w:fill="auto" w:val="clear"/>
              </w:rPr>
            </w:pPr>
            <w:r>
              <w:object w:dxaOrig="3888" w:dyaOrig="8438">
                <v:rect xmlns:o="urn:schemas-microsoft-com:office:office" xmlns:v="urn:schemas-microsoft-com:vml" id="rectole0000000002" style="width:194.400000pt;height:421.9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240"/>
              <w:ind w:right="0" w:left="0" w:firstLine="0"/>
              <w:jc w:val="left"/>
              <w:rPr>
                <w:rFonts w:ascii="Aptos" w:hAnsi="Aptos" w:cs="Aptos" w:eastAsia="Aptos"/>
                <w:color w:val="auto"/>
                <w:spacing w:val="0"/>
                <w:position w:val="0"/>
                <w:sz w:val="24"/>
                <w:shd w:fill="auto" w:val="clear"/>
              </w:rPr>
            </w:pPr>
          </w:p>
          <w:p>
            <w:pPr>
              <w:spacing w:before="0" w:after="0" w:line="240"/>
              <w:ind w:right="0" w:left="0" w:firstLine="0"/>
              <w:jc w:val="left"/>
              <w:rPr>
                <w:rFonts w:ascii="Aptos" w:hAnsi="Aptos" w:cs="Aptos" w:eastAsia="Aptos"/>
                <w:color w:val="auto"/>
                <w:spacing w:val="0"/>
                <w:position w:val="0"/>
                <w:sz w:val="24"/>
                <w:shd w:fill="auto" w:val="clear"/>
              </w:rPr>
            </w:pPr>
            <w:r>
              <w:object w:dxaOrig="3888" w:dyaOrig="8438">
                <v:rect xmlns:o="urn:schemas-microsoft-com:office:office" xmlns:v="urn:schemas-microsoft-com:vml" id="rectole0000000003" style="width:194.400000pt;height:421.9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240"/>
              <w:ind w:right="0" w:left="0" w:firstLine="0"/>
              <w:jc w:val="left"/>
              <w:rPr>
                <w:color w:val="auto"/>
                <w:spacing w:val="0"/>
                <w:position w:val="0"/>
                <w:shd w:fill="auto" w:val="clear"/>
              </w:rPr>
            </w:pPr>
          </w:p>
        </w:tc>
      </w:tr>
    </w:tbl>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