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53996080"/>
        <w:docPartObj>
          <w:docPartGallery w:val="Cover Pages"/>
          <w:docPartUnique/>
        </w:docPartObj>
      </w:sdtPr>
      <w:sdtEndPr/>
      <w:sdtContent>
        <w:p w14:paraId="0D677BCA" w14:textId="4AAEA0C4" w:rsidR="000E44F0" w:rsidRDefault="000E44F0">
          <w:r>
            <w:rPr>
              <w:noProof/>
            </w:rPr>
            <mc:AlternateContent>
              <mc:Choice Requires="wpg">
                <w:drawing>
                  <wp:anchor distT="0" distB="0" distL="114300" distR="114300" simplePos="0" relativeHeight="251659264" behindDoc="1" locked="0" layoutInCell="1" allowOverlap="1" wp14:anchorId="5604B306" wp14:editId="72743DCF">
                    <wp:simplePos x="0" y="0"/>
                    <wp:positionH relativeFrom="page">
                      <wp:posOffset>-207469</wp:posOffset>
                    </wp:positionH>
                    <wp:positionV relativeFrom="page">
                      <wp:posOffset>-3019825</wp:posOffset>
                    </wp:positionV>
                    <wp:extent cx="7176530" cy="13151073"/>
                    <wp:effectExtent l="0" t="0" r="0" b="0"/>
                    <wp:wrapNone/>
                    <wp:docPr id="119" name="Group 121"/>
                    <wp:cNvGraphicFramePr/>
                    <a:graphic xmlns:a="http://schemas.openxmlformats.org/drawingml/2006/main">
                      <a:graphicData uri="http://schemas.microsoft.com/office/word/2010/wordprocessingGroup">
                        <wpg:wgp>
                          <wpg:cNvGrpSpPr/>
                          <wpg:grpSpPr>
                            <a:xfrm>
                              <a:off x="0" y="0"/>
                              <a:ext cx="7176530" cy="13151073"/>
                              <a:chOff x="-199785" y="-3053003"/>
                              <a:chExt cx="7176530" cy="11226648"/>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23560" y="5314464"/>
                                <a:ext cx="6734426" cy="2040452"/>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olor w:val="000000" w:themeColor="text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889E7E6" w14:textId="66ECE5D8" w:rsidR="000E44F0" w:rsidRPr="00290E42" w:rsidRDefault="000E44F0">
                                      <w:pPr>
                                        <w:pStyle w:val="NoSpacing"/>
                                        <w:rPr>
                                          <w:color w:val="000000" w:themeColor="text1"/>
                                          <w:sz w:val="32"/>
                                          <w:szCs w:val="32"/>
                                        </w:rPr>
                                      </w:pPr>
                                      <w:r w:rsidRPr="00C01F0D">
                                        <w:rPr>
                                          <w:b/>
                                          <w:bCs/>
                                          <w:color w:val="000000" w:themeColor="text1"/>
                                          <w:sz w:val="36"/>
                                          <w:szCs w:val="36"/>
                                        </w:rPr>
                                        <w:t>Sal Puma La Spina (2414865)</w:t>
                                      </w:r>
                                    </w:p>
                                  </w:sdtContent>
                                </w:sdt>
                                <w:p w14:paraId="6D924EF9" w14:textId="1D7F3FB5" w:rsidR="000E44F0" w:rsidRPr="00C01F0D" w:rsidRDefault="000305E8">
                                  <w:pPr>
                                    <w:pStyle w:val="NoSpacing"/>
                                    <w:rPr>
                                      <w:b/>
                                      <w:bCs/>
                                      <w:caps/>
                                      <w:color w:val="000000" w:themeColor="text1"/>
                                      <w:sz w:val="40"/>
                                      <w:szCs w:val="40"/>
                                    </w:rPr>
                                  </w:pPr>
                                  <w:sdt>
                                    <w:sdtPr>
                                      <w:rPr>
                                        <w:b/>
                                        <w:bCs/>
                                        <w:caps/>
                                        <w:color w:val="000000" w:themeColor="text1"/>
                                        <w:sz w:val="40"/>
                                        <w:szCs w:val="40"/>
                                      </w:rPr>
                                      <w:alias w:val="Company"/>
                                      <w:tag w:val=""/>
                                      <w:id w:val="922067218"/>
                                      <w:dataBinding w:prefixMappings="xmlns:ns0='http://schemas.openxmlformats.org/officeDocument/2006/extended-properties' " w:xpath="/ns0:Properties[1]/ns0:Company[1]" w:storeItemID="{6668398D-A668-4E3E-A5EB-62B293D839F1}"/>
                                      <w:text/>
                                    </w:sdtPr>
                                    <w:sdtEndPr/>
                                    <w:sdtContent>
                                      <w:r w:rsidR="00C36CEA" w:rsidRPr="00C01F0D">
                                        <w:rPr>
                                          <w:b/>
                                          <w:bCs/>
                                          <w:caps/>
                                          <w:color w:val="000000" w:themeColor="text1"/>
                                          <w:sz w:val="40"/>
                                          <w:szCs w:val="40"/>
                                        </w:rPr>
                                        <w:t>Lecturer</w:t>
                                      </w:r>
                                    </w:sdtContent>
                                  </w:sdt>
                                  <w:r w:rsidR="000E44F0" w:rsidRPr="00C01F0D">
                                    <w:rPr>
                                      <w:b/>
                                      <w:bCs/>
                                      <w:caps/>
                                      <w:color w:val="000000" w:themeColor="text1"/>
                                      <w:sz w:val="40"/>
                                      <w:szCs w:val="40"/>
                                    </w:rPr>
                                    <w:t xml:space="preserve"> | </w:t>
                                  </w:r>
                                  <w:sdt>
                                    <w:sdtPr>
                                      <w:rPr>
                                        <w:b/>
                                        <w:bCs/>
                                        <w:caps/>
                                        <w:color w:val="000000" w:themeColor="text1"/>
                                        <w:sz w:val="40"/>
                                        <w:szCs w:val="40"/>
                                      </w:rPr>
                                      <w:alias w:val="Address"/>
                                      <w:tag w:val=""/>
                                      <w:id w:val="2113163453"/>
                                      <w:dataBinding w:prefixMappings="xmlns:ns0='http://schemas.microsoft.com/office/2006/coverPageProps' " w:xpath="/ns0:CoverPageProperties[1]/ns0:CompanyAddress[1]" w:storeItemID="{55AF091B-3C7A-41E3-B477-F2FDAA23CFDA}"/>
                                      <w:text/>
                                    </w:sdtPr>
                                    <w:sdtEndPr/>
                                    <w:sdtContent>
                                      <w:r w:rsidR="009B12A4" w:rsidRPr="00C01F0D">
                                        <w:rPr>
                                          <w:b/>
                                          <w:bCs/>
                                          <w:caps/>
                                          <w:color w:val="000000" w:themeColor="text1"/>
                                          <w:sz w:val="40"/>
                                          <w:szCs w:val="40"/>
                                        </w:rPr>
                                        <w:t xml:space="preserve">Dr. Ernest  </w:t>
                                      </w:r>
                                      <w:r w:rsidR="00396D1E" w:rsidRPr="00C01F0D">
                                        <w:rPr>
                                          <w:b/>
                                          <w:bCs/>
                                          <w:caps/>
                                          <w:color w:val="000000" w:themeColor="text1"/>
                                          <w:sz w:val="40"/>
                                          <w:szCs w:val="40"/>
                                        </w:rPr>
                                        <w:t>Balutie Wa</w:t>
                                      </w:r>
                                    </w:sdtContent>
                                  </w:sdt>
                                  <w:r w:rsidR="00C01F0D" w:rsidRPr="00C01F0D">
                                    <w:rPr>
                                      <w:b/>
                                      <w:bCs/>
                                      <w:caps/>
                                      <w:color w:val="000000" w:themeColor="text1"/>
                                      <w:sz w:val="40"/>
                                      <w:szCs w:val="40"/>
                                    </w:rPr>
                                    <w:t>vei</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199785" y="-3053003"/>
                                <a:ext cx="7176530" cy="112266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olor w:val="000000" w:themeColor="text1"/>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0CE1E36" w14:textId="43613887" w:rsidR="000E44F0" w:rsidRPr="003B0EFE" w:rsidRDefault="006E6DCA" w:rsidP="00290E42">
                                      <w:pPr>
                                        <w:pStyle w:val="NoSpacing"/>
                                        <w:pBdr>
                                          <w:bottom w:val="single" w:sz="6" w:space="4" w:color="7F7F7F" w:themeColor="text1" w:themeTint="80"/>
                                        </w:pBdr>
                                        <w:shd w:val="clear" w:color="auto" w:fill="E97132" w:themeFill="accent2"/>
                                        <w:rPr>
                                          <w:rFonts w:ascii="Times New Roman" w:eastAsiaTheme="majorEastAsia" w:hAnsi="Times New Roman" w:cs="Times New Roman"/>
                                          <w:color w:val="000000" w:themeColor="text1"/>
                                          <w:sz w:val="96"/>
                                          <w:szCs w:val="96"/>
                                        </w:rPr>
                                      </w:pPr>
                                      <w:r w:rsidRPr="003B0EFE">
                                        <w:rPr>
                                          <w:rFonts w:ascii="Times New Roman" w:eastAsiaTheme="majorEastAsia" w:hAnsi="Times New Roman" w:cs="Times New Roman"/>
                                          <w:color w:val="000000" w:themeColor="text1"/>
                                          <w:sz w:val="96"/>
                                          <w:szCs w:val="96"/>
                                        </w:rPr>
                                        <w:t>Coastal H</w:t>
                                      </w:r>
                                      <w:r w:rsidR="0002790D">
                                        <w:rPr>
                                          <w:rFonts w:ascii="Times New Roman" w:eastAsiaTheme="majorEastAsia" w:hAnsi="Times New Roman" w:cs="Times New Roman"/>
                                          <w:color w:val="000000" w:themeColor="text1"/>
                                          <w:sz w:val="96"/>
                                          <w:szCs w:val="96"/>
                                        </w:rPr>
                                        <w:t>o</w:t>
                                      </w:r>
                                      <w:r w:rsidRPr="003B0EFE">
                                        <w:rPr>
                                          <w:rFonts w:ascii="Times New Roman" w:eastAsiaTheme="majorEastAsia" w:hAnsi="Times New Roman" w:cs="Times New Roman"/>
                                          <w:color w:val="000000" w:themeColor="text1"/>
                                          <w:sz w:val="96"/>
                                          <w:szCs w:val="96"/>
                                        </w:rPr>
                                        <w:t>rizon Hotel</w:t>
                                      </w:r>
                                    </w:p>
                                  </w:sdtContent>
                                </w:sdt>
                                <w:sdt>
                                  <w:sdtPr>
                                    <w:rPr>
                                      <w:rFonts w:ascii="Times New Roman" w:hAnsi="Times New Roman" w:cs="Times New Roman"/>
                                      <w:b/>
                                      <w:bCs/>
                                      <w:caps/>
                                      <w:color w:val="000000" w:themeColor="text1"/>
                                      <w:sz w:val="56"/>
                                      <w:szCs w:val="5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494104E" w14:textId="10730E84" w:rsidR="00AD1028" w:rsidRPr="00EF7D90" w:rsidRDefault="00AD1028">
                                      <w:pPr>
                                        <w:pStyle w:val="NoSpacing"/>
                                        <w:spacing w:before="240"/>
                                        <w:rPr>
                                          <w:rFonts w:ascii="Times New Roman" w:hAnsi="Times New Roman" w:cs="Times New Roman"/>
                                          <w:b/>
                                          <w:bCs/>
                                          <w:caps/>
                                          <w:color w:val="000000" w:themeColor="text1"/>
                                          <w:sz w:val="56"/>
                                          <w:szCs w:val="56"/>
                                        </w:rPr>
                                      </w:pPr>
                                      <w:r w:rsidRPr="00EF7D90">
                                        <w:rPr>
                                          <w:rFonts w:ascii="Times New Roman" w:hAnsi="Times New Roman" w:cs="Times New Roman"/>
                                          <w:b/>
                                          <w:bCs/>
                                          <w:caps/>
                                          <w:color w:val="000000" w:themeColor="text1"/>
                                          <w:sz w:val="56"/>
                                          <w:szCs w:val="56"/>
                                        </w:rPr>
                                        <w:t>Case stud</w:t>
                                      </w:r>
                                      <w:r w:rsidR="00E60A8F">
                                        <w:rPr>
                                          <w:rFonts w:ascii="Times New Roman" w:hAnsi="Times New Roman" w:cs="Times New Roman"/>
                                          <w:b/>
                                          <w:bCs/>
                                          <w:caps/>
                                          <w:color w:val="000000" w:themeColor="text1"/>
                                          <w:sz w:val="56"/>
                                          <w:szCs w:val="56"/>
                                        </w:rPr>
                                        <w:t>y</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5604B306" id="Group 121" o:spid="_x0000_s1026" style="position:absolute;margin-left:-16.35pt;margin-top:-237.8pt;width:565.1pt;height:1035.5pt;z-index:-251657216;mso-position-horizontal-relative:page;mso-position-vertical-relative:page" coordorigin="-1997,-30530" coordsize="71765,1122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left:1235;top:53144;width:67344;height:20405;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sdt>
                            <w:sdtPr>
                              <w:rPr>
                                <w:b/>
                                <w:bCs/>
                                <w:color w:val="000000" w:themeColor="text1"/>
                                <w:sz w:val="36"/>
                                <w:szCs w:val="36"/>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4889E7E6" w14:textId="66ECE5D8" w:rsidR="000E44F0" w:rsidRPr="00290E42" w:rsidRDefault="000E44F0">
                                <w:pPr>
                                  <w:pStyle w:val="NoSpacing"/>
                                  <w:rPr>
                                    <w:color w:val="000000" w:themeColor="text1"/>
                                    <w:sz w:val="32"/>
                                    <w:szCs w:val="32"/>
                                  </w:rPr>
                                </w:pPr>
                                <w:r w:rsidRPr="00C01F0D">
                                  <w:rPr>
                                    <w:b/>
                                    <w:bCs/>
                                    <w:color w:val="000000" w:themeColor="text1"/>
                                    <w:sz w:val="36"/>
                                    <w:szCs w:val="36"/>
                                  </w:rPr>
                                  <w:t>Sal Puma La Spina (2414865)</w:t>
                                </w:r>
                              </w:p>
                            </w:sdtContent>
                          </w:sdt>
                          <w:p w14:paraId="6D924EF9" w14:textId="1D7F3FB5" w:rsidR="000E44F0" w:rsidRPr="00C01F0D" w:rsidRDefault="000305E8">
                            <w:pPr>
                              <w:pStyle w:val="NoSpacing"/>
                              <w:rPr>
                                <w:b/>
                                <w:bCs/>
                                <w:caps/>
                                <w:color w:val="000000" w:themeColor="text1"/>
                                <w:sz w:val="40"/>
                                <w:szCs w:val="40"/>
                              </w:rPr>
                            </w:pPr>
                            <w:sdt>
                              <w:sdtPr>
                                <w:rPr>
                                  <w:b/>
                                  <w:bCs/>
                                  <w:caps/>
                                  <w:color w:val="000000" w:themeColor="text1"/>
                                  <w:sz w:val="40"/>
                                  <w:szCs w:val="40"/>
                                </w:rPr>
                                <w:alias w:val="Company"/>
                                <w:tag w:val=""/>
                                <w:id w:val="922067218"/>
                                <w:dataBinding w:prefixMappings="xmlns:ns0='http://schemas.openxmlformats.org/officeDocument/2006/extended-properties' " w:xpath="/ns0:Properties[1]/ns0:Company[1]" w:storeItemID="{6668398D-A668-4E3E-A5EB-62B293D839F1}"/>
                                <w:text/>
                              </w:sdtPr>
                              <w:sdtEndPr/>
                              <w:sdtContent>
                                <w:r w:rsidR="00C36CEA" w:rsidRPr="00C01F0D">
                                  <w:rPr>
                                    <w:b/>
                                    <w:bCs/>
                                    <w:caps/>
                                    <w:color w:val="000000" w:themeColor="text1"/>
                                    <w:sz w:val="40"/>
                                    <w:szCs w:val="40"/>
                                  </w:rPr>
                                  <w:t>Lecturer</w:t>
                                </w:r>
                              </w:sdtContent>
                            </w:sdt>
                            <w:r w:rsidR="000E44F0" w:rsidRPr="00C01F0D">
                              <w:rPr>
                                <w:b/>
                                <w:bCs/>
                                <w:caps/>
                                <w:color w:val="000000" w:themeColor="text1"/>
                                <w:sz w:val="40"/>
                                <w:szCs w:val="40"/>
                              </w:rPr>
                              <w:t xml:space="preserve"> | </w:t>
                            </w:r>
                            <w:sdt>
                              <w:sdtPr>
                                <w:rPr>
                                  <w:b/>
                                  <w:bCs/>
                                  <w:caps/>
                                  <w:color w:val="000000" w:themeColor="text1"/>
                                  <w:sz w:val="40"/>
                                  <w:szCs w:val="40"/>
                                </w:rPr>
                                <w:alias w:val="Address"/>
                                <w:tag w:val=""/>
                                <w:id w:val="2113163453"/>
                                <w:dataBinding w:prefixMappings="xmlns:ns0='http://schemas.microsoft.com/office/2006/coverPageProps' " w:xpath="/ns0:CoverPageProperties[1]/ns0:CompanyAddress[1]" w:storeItemID="{55AF091B-3C7A-41E3-B477-F2FDAA23CFDA}"/>
                                <w:text/>
                              </w:sdtPr>
                              <w:sdtEndPr/>
                              <w:sdtContent>
                                <w:r w:rsidR="009B12A4" w:rsidRPr="00C01F0D">
                                  <w:rPr>
                                    <w:b/>
                                    <w:bCs/>
                                    <w:caps/>
                                    <w:color w:val="000000" w:themeColor="text1"/>
                                    <w:sz w:val="40"/>
                                    <w:szCs w:val="40"/>
                                  </w:rPr>
                                  <w:t xml:space="preserve">Dr. Ernest  </w:t>
                                </w:r>
                                <w:r w:rsidR="00396D1E" w:rsidRPr="00C01F0D">
                                  <w:rPr>
                                    <w:b/>
                                    <w:bCs/>
                                    <w:caps/>
                                    <w:color w:val="000000" w:themeColor="text1"/>
                                    <w:sz w:val="40"/>
                                    <w:szCs w:val="40"/>
                                  </w:rPr>
                                  <w:t>Balutie Wa</w:t>
                                </w:r>
                              </w:sdtContent>
                            </w:sdt>
                            <w:r w:rsidR="00C01F0D" w:rsidRPr="00C01F0D">
                              <w:rPr>
                                <w:b/>
                                <w:bCs/>
                                <w:caps/>
                                <w:color w:val="000000" w:themeColor="text1"/>
                                <w:sz w:val="40"/>
                                <w:szCs w:val="40"/>
                              </w:rPr>
                              <w:t>vei</w:t>
                            </w:r>
                          </w:p>
                        </w:txbxContent>
                      </v:textbox>
                    </v:rect>
                    <v:shapetype id="_x0000_t202" coordsize="21600,21600" o:spt="202" path="m,l,21600r21600,l21600,xe">
                      <v:stroke joinstyle="miter"/>
                      <v:path gradientshapeok="t" o:connecttype="rect"/>
                    </v:shapetype>
                    <v:shape id="Text Box 122" o:spid="_x0000_s1029" type="#_x0000_t202" style="position:absolute;left:-1997;top:-30530;width:71764;height:1122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color w:val="000000" w:themeColor="text1"/>
                                <w:sz w:val="96"/>
                                <w:szCs w:val="96"/>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0CE1E36" w14:textId="43613887" w:rsidR="000E44F0" w:rsidRPr="003B0EFE" w:rsidRDefault="006E6DCA" w:rsidP="00290E42">
                                <w:pPr>
                                  <w:pStyle w:val="NoSpacing"/>
                                  <w:pBdr>
                                    <w:bottom w:val="single" w:sz="6" w:space="4" w:color="7F7F7F" w:themeColor="text1" w:themeTint="80"/>
                                  </w:pBdr>
                                  <w:shd w:val="clear" w:color="auto" w:fill="E97132" w:themeFill="accent2"/>
                                  <w:rPr>
                                    <w:rFonts w:ascii="Times New Roman" w:eastAsiaTheme="majorEastAsia" w:hAnsi="Times New Roman" w:cs="Times New Roman"/>
                                    <w:color w:val="000000" w:themeColor="text1"/>
                                    <w:sz w:val="96"/>
                                    <w:szCs w:val="96"/>
                                  </w:rPr>
                                </w:pPr>
                                <w:r w:rsidRPr="003B0EFE">
                                  <w:rPr>
                                    <w:rFonts w:ascii="Times New Roman" w:eastAsiaTheme="majorEastAsia" w:hAnsi="Times New Roman" w:cs="Times New Roman"/>
                                    <w:color w:val="000000" w:themeColor="text1"/>
                                    <w:sz w:val="96"/>
                                    <w:szCs w:val="96"/>
                                  </w:rPr>
                                  <w:t>Coastal H</w:t>
                                </w:r>
                                <w:r w:rsidR="0002790D">
                                  <w:rPr>
                                    <w:rFonts w:ascii="Times New Roman" w:eastAsiaTheme="majorEastAsia" w:hAnsi="Times New Roman" w:cs="Times New Roman"/>
                                    <w:color w:val="000000" w:themeColor="text1"/>
                                    <w:sz w:val="96"/>
                                    <w:szCs w:val="96"/>
                                  </w:rPr>
                                  <w:t>o</w:t>
                                </w:r>
                                <w:r w:rsidRPr="003B0EFE">
                                  <w:rPr>
                                    <w:rFonts w:ascii="Times New Roman" w:eastAsiaTheme="majorEastAsia" w:hAnsi="Times New Roman" w:cs="Times New Roman"/>
                                    <w:color w:val="000000" w:themeColor="text1"/>
                                    <w:sz w:val="96"/>
                                    <w:szCs w:val="96"/>
                                  </w:rPr>
                                  <w:t>rizon Hotel</w:t>
                                </w:r>
                              </w:p>
                            </w:sdtContent>
                          </w:sdt>
                          <w:sdt>
                            <w:sdtPr>
                              <w:rPr>
                                <w:rFonts w:ascii="Times New Roman" w:hAnsi="Times New Roman" w:cs="Times New Roman"/>
                                <w:b/>
                                <w:bCs/>
                                <w:caps/>
                                <w:color w:val="000000" w:themeColor="text1"/>
                                <w:sz w:val="56"/>
                                <w:szCs w:val="5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0494104E" w14:textId="10730E84" w:rsidR="00AD1028" w:rsidRPr="00EF7D90" w:rsidRDefault="00AD1028">
                                <w:pPr>
                                  <w:pStyle w:val="NoSpacing"/>
                                  <w:spacing w:before="240"/>
                                  <w:rPr>
                                    <w:rFonts w:ascii="Times New Roman" w:hAnsi="Times New Roman" w:cs="Times New Roman"/>
                                    <w:b/>
                                    <w:bCs/>
                                    <w:caps/>
                                    <w:color w:val="000000" w:themeColor="text1"/>
                                    <w:sz w:val="56"/>
                                    <w:szCs w:val="56"/>
                                  </w:rPr>
                                </w:pPr>
                                <w:r w:rsidRPr="00EF7D90">
                                  <w:rPr>
                                    <w:rFonts w:ascii="Times New Roman" w:hAnsi="Times New Roman" w:cs="Times New Roman"/>
                                    <w:b/>
                                    <w:bCs/>
                                    <w:caps/>
                                    <w:color w:val="000000" w:themeColor="text1"/>
                                    <w:sz w:val="56"/>
                                    <w:szCs w:val="56"/>
                                  </w:rPr>
                                  <w:t>Case stud</w:t>
                                </w:r>
                                <w:r w:rsidR="00E60A8F">
                                  <w:rPr>
                                    <w:rFonts w:ascii="Times New Roman" w:hAnsi="Times New Roman" w:cs="Times New Roman"/>
                                    <w:b/>
                                    <w:bCs/>
                                    <w:caps/>
                                    <w:color w:val="000000" w:themeColor="text1"/>
                                    <w:sz w:val="56"/>
                                    <w:szCs w:val="56"/>
                                  </w:rPr>
                                  <w:t>y</w:t>
                                </w:r>
                              </w:p>
                            </w:sdtContent>
                          </w:sdt>
                        </w:txbxContent>
                      </v:textbox>
                    </v:shape>
                    <w10:wrap anchorx="page" anchory="page"/>
                  </v:group>
                </w:pict>
              </mc:Fallback>
            </mc:AlternateContent>
          </w:r>
        </w:p>
        <w:p w14:paraId="1AB9DD71" w14:textId="1EC8374A" w:rsidR="000E44F0" w:rsidRDefault="000E44F0">
          <w:r>
            <w:br w:type="page"/>
          </w:r>
        </w:p>
      </w:sdtContent>
    </w:sdt>
    <w:sdt>
      <w:sdtPr>
        <w:rPr>
          <w:rFonts w:asciiTheme="minorHAnsi" w:eastAsiaTheme="minorHAnsi" w:hAnsiTheme="minorHAnsi" w:cstheme="minorBidi"/>
          <w:color w:val="auto"/>
          <w:kern w:val="2"/>
          <w:sz w:val="24"/>
          <w:szCs w:val="24"/>
          <w:lang w:eastAsia="en-US"/>
          <w14:ligatures w14:val="standardContextual"/>
        </w:rPr>
        <w:id w:val="645944958"/>
        <w:docPartObj>
          <w:docPartGallery w:val="Table of Contents"/>
          <w:docPartUnique/>
        </w:docPartObj>
      </w:sdtPr>
      <w:sdtEndPr>
        <w:rPr>
          <w:rFonts w:ascii="Times New Roman" w:eastAsia="Times New Roman" w:hAnsi="Times New Roman" w:cs="Times New Roman"/>
          <w:b/>
          <w:bCs/>
          <w:kern w:val="0"/>
          <w:lang w:eastAsia="en-GB"/>
          <w14:ligatures w14:val="none"/>
        </w:rPr>
      </w:sdtEndPr>
      <w:sdtContent>
        <w:p w14:paraId="0E255898" w14:textId="4F1C7EFC" w:rsidR="000E44F0" w:rsidRPr="00E62A46" w:rsidRDefault="000E44F0" w:rsidP="00E62A46">
          <w:pPr>
            <w:pStyle w:val="TOCHeading"/>
            <w:spacing w:line="360" w:lineRule="auto"/>
            <w:jc w:val="both"/>
            <w:rPr>
              <w:rFonts w:ascii="Times New Roman" w:hAnsi="Times New Roman" w:cs="Times New Roman"/>
              <w:sz w:val="36"/>
              <w:szCs w:val="36"/>
            </w:rPr>
          </w:pPr>
          <w:r w:rsidRPr="00E62A46">
            <w:rPr>
              <w:rFonts w:ascii="Times New Roman" w:hAnsi="Times New Roman" w:cs="Times New Roman"/>
              <w:sz w:val="36"/>
              <w:szCs w:val="36"/>
              <w:shd w:val="clear" w:color="auto" w:fill="E97132" w:themeFill="accent2"/>
            </w:rPr>
            <w:t>Contents</w:t>
          </w:r>
        </w:p>
        <w:p w14:paraId="471F63C3" w14:textId="798A75F3" w:rsidR="005060B1" w:rsidRDefault="000E44F0">
          <w:pPr>
            <w:pStyle w:val="TOC1"/>
            <w:tabs>
              <w:tab w:val="right" w:leader="dot" w:pos="9016"/>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19322390" w:history="1">
            <w:r w:rsidR="005060B1" w:rsidRPr="0044023D">
              <w:rPr>
                <w:rStyle w:val="Hyperlink"/>
                <w:b/>
                <w:bCs/>
                <w:noProof/>
              </w:rPr>
              <w:t>Executive Summary</w:t>
            </w:r>
            <w:r w:rsidR="005060B1">
              <w:rPr>
                <w:noProof/>
                <w:webHidden/>
              </w:rPr>
              <w:tab/>
            </w:r>
            <w:r w:rsidR="005060B1">
              <w:rPr>
                <w:noProof/>
                <w:webHidden/>
              </w:rPr>
              <w:fldChar w:fldCharType="begin"/>
            </w:r>
            <w:r w:rsidR="005060B1">
              <w:rPr>
                <w:noProof/>
                <w:webHidden/>
              </w:rPr>
              <w:instrText xml:space="preserve"> PAGEREF _Toc219322390 \h </w:instrText>
            </w:r>
            <w:r w:rsidR="005060B1">
              <w:rPr>
                <w:noProof/>
                <w:webHidden/>
              </w:rPr>
            </w:r>
            <w:r w:rsidR="005060B1">
              <w:rPr>
                <w:noProof/>
                <w:webHidden/>
              </w:rPr>
              <w:fldChar w:fldCharType="separate"/>
            </w:r>
            <w:r w:rsidR="005060B1">
              <w:rPr>
                <w:noProof/>
                <w:webHidden/>
              </w:rPr>
              <w:t>1</w:t>
            </w:r>
            <w:r w:rsidR="005060B1">
              <w:rPr>
                <w:noProof/>
                <w:webHidden/>
              </w:rPr>
              <w:fldChar w:fldCharType="end"/>
            </w:r>
          </w:hyperlink>
        </w:p>
        <w:p w14:paraId="1A4300D7" w14:textId="41EB9865" w:rsidR="005060B1" w:rsidRDefault="005060B1">
          <w:pPr>
            <w:pStyle w:val="TOC1"/>
            <w:tabs>
              <w:tab w:val="right" w:leader="dot" w:pos="9016"/>
            </w:tabs>
            <w:rPr>
              <w:rFonts w:asciiTheme="minorHAnsi" w:eastAsiaTheme="minorEastAsia" w:hAnsiTheme="minorHAnsi" w:cstheme="minorBidi"/>
              <w:noProof/>
              <w:kern w:val="2"/>
              <w14:ligatures w14:val="standardContextual"/>
            </w:rPr>
          </w:pPr>
          <w:hyperlink w:anchor="_Toc219322391" w:history="1">
            <w:r w:rsidRPr="0044023D">
              <w:rPr>
                <w:rStyle w:val="Hyperlink"/>
                <w:b/>
                <w:bCs/>
                <w:noProof/>
              </w:rPr>
              <w:t>Introduction</w:t>
            </w:r>
            <w:r>
              <w:rPr>
                <w:noProof/>
                <w:webHidden/>
              </w:rPr>
              <w:tab/>
            </w:r>
            <w:r>
              <w:rPr>
                <w:noProof/>
                <w:webHidden/>
              </w:rPr>
              <w:fldChar w:fldCharType="begin"/>
            </w:r>
            <w:r>
              <w:rPr>
                <w:noProof/>
                <w:webHidden/>
              </w:rPr>
              <w:instrText xml:space="preserve"> PAGEREF _Toc219322391 \h </w:instrText>
            </w:r>
            <w:r>
              <w:rPr>
                <w:noProof/>
                <w:webHidden/>
              </w:rPr>
            </w:r>
            <w:r>
              <w:rPr>
                <w:noProof/>
                <w:webHidden/>
              </w:rPr>
              <w:fldChar w:fldCharType="separate"/>
            </w:r>
            <w:r>
              <w:rPr>
                <w:noProof/>
                <w:webHidden/>
              </w:rPr>
              <w:t>2</w:t>
            </w:r>
            <w:r>
              <w:rPr>
                <w:noProof/>
                <w:webHidden/>
              </w:rPr>
              <w:fldChar w:fldCharType="end"/>
            </w:r>
          </w:hyperlink>
        </w:p>
        <w:p w14:paraId="1783F925" w14:textId="337EC73F" w:rsidR="005060B1" w:rsidRDefault="005060B1">
          <w:pPr>
            <w:pStyle w:val="TOC1"/>
            <w:tabs>
              <w:tab w:val="right" w:leader="dot" w:pos="9016"/>
            </w:tabs>
            <w:rPr>
              <w:rFonts w:asciiTheme="minorHAnsi" w:eastAsiaTheme="minorEastAsia" w:hAnsiTheme="minorHAnsi" w:cstheme="minorBidi"/>
              <w:noProof/>
              <w:kern w:val="2"/>
              <w14:ligatures w14:val="standardContextual"/>
            </w:rPr>
          </w:pPr>
          <w:hyperlink w:anchor="_Toc219322392" w:history="1">
            <w:r w:rsidRPr="0044023D">
              <w:rPr>
                <w:rStyle w:val="Hyperlink"/>
                <w:b/>
                <w:bCs/>
                <w:noProof/>
              </w:rPr>
              <w:t>Main Findings</w:t>
            </w:r>
            <w:r>
              <w:rPr>
                <w:noProof/>
                <w:webHidden/>
              </w:rPr>
              <w:tab/>
            </w:r>
            <w:r>
              <w:rPr>
                <w:noProof/>
                <w:webHidden/>
              </w:rPr>
              <w:fldChar w:fldCharType="begin"/>
            </w:r>
            <w:r>
              <w:rPr>
                <w:noProof/>
                <w:webHidden/>
              </w:rPr>
              <w:instrText xml:space="preserve"> PAGEREF _Toc219322392 \h </w:instrText>
            </w:r>
            <w:r>
              <w:rPr>
                <w:noProof/>
                <w:webHidden/>
              </w:rPr>
            </w:r>
            <w:r>
              <w:rPr>
                <w:noProof/>
                <w:webHidden/>
              </w:rPr>
              <w:fldChar w:fldCharType="separate"/>
            </w:r>
            <w:r>
              <w:rPr>
                <w:noProof/>
                <w:webHidden/>
              </w:rPr>
              <w:t>3</w:t>
            </w:r>
            <w:r>
              <w:rPr>
                <w:noProof/>
                <w:webHidden/>
              </w:rPr>
              <w:fldChar w:fldCharType="end"/>
            </w:r>
          </w:hyperlink>
        </w:p>
        <w:p w14:paraId="3CF9CD65" w14:textId="3E5758E9" w:rsidR="005060B1" w:rsidRDefault="005060B1">
          <w:pPr>
            <w:pStyle w:val="TOC2"/>
            <w:tabs>
              <w:tab w:val="right" w:leader="dot" w:pos="9016"/>
            </w:tabs>
            <w:rPr>
              <w:rFonts w:asciiTheme="minorHAnsi" w:eastAsiaTheme="minorEastAsia" w:hAnsiTheme="minorHAnsi" w:cstheme="minorBidi"/>
              <w:noProof/>
              <w:kern w:val="2"/>
              <w14:ligatures w14:val="standardContextual"/>
            </w:rPr>
          </w:pPr>
          <w:hyperlink w:anchor="_Toc219322393" w:history="1">
            <w:r w:rsidRPr="0044023D">
              <w:rPr>
                <w:rStyle w:val="Hyperlink"/>
                <w:b/>
                <w:bCs/>
                <w:noProof/>
              </w:rPr>
              <w:t>Analysis of the Hotel Financial Performance in the past Three Years.</w:t>
            </w:r>
            <w:r>
              <w:rPr>
                <w:noProof/>
                <w:webHidden/>
              </w:rPr>
              <w:tab/>
            </w:r>
            <w:r>
              <w:rPr>
                <w:noProof/>
                <w:webHidden/>
              </w:rPr>
              <w:fldChar w:fldCharType="begin"/>
            </w:r>
            <w:r>
              <w:rPr>
                <w:noProof/>
                <w:webHidden/>
              </w:rPr>
              <w:instrText xml:space="preserve"> PAGEREF _Toc219322393 \h </w:instrText>
            </w:r>
            <w:r>
              <w:rPr>
                <w:noProof/>
                <w:webHidden/>
              </w:rPr>
            </w:r>
            <w:r>
              <w:rPr>
                <w:noProof/>
                <w:webHidden/>
              </w:rPr>
              <w:fldChar w:fldCharType="separate"/>
            </w:r>
            <w:r>
              <w:rPr>
                <w:noProof/>
                <w:webHidden/>
              </w:rPr>
              <w:t>3</w:t>
            </w:r>
            <w:r>
              <w:rPr>
                <w:noProof/>
                <w:webHidden/>
              </w:rPr>
              <w:fldChar w:fldCharType="end"/>
            </w:r>
          </w:hyperlink>
        </w:p>
        <w:p w14:paraId="56496412" w14:textId="29BBCB9C" w:rsidR="005060B1" w:rsidRDefault="005060B1">
          <w:pPr>
            <w:pStyle w:val="TOC3"/>
            <w:tabs>
              <w:tab w:val="right" w:leader="dot" w:pos="9016"/>
            </w:tabs>
            <w:rPr>
              <w:rFonts w:asciiTheme="minorHAnsi" w:eastAsiaTheme="minorEastAsia" w:hAnsiTheme="minorHAnsi" w:cstheme="minorBidi"/>
              <w:noProof/>
              <w:kern w:val="2"/>
              <w14:ligatures w14:val="standardContextual"/>
            </w:rPr>
          </w:pPr>
          <w:hyperlink w:anchor="_Toc219322394" w:history="1">
            <w:r w:rsidRPr="0044023D">
              <w:rPr>
                <w:rStyle w:val="Hyperlink"/>
                <w:b/>
                <w:bCs/>
                <w:noProof/>
              </w:rPr>
              <w:t>Key Reasons Behind the Decline in Profitability</w:t>
            </w:r>
            <w:r>
              <w:rPr>
                <w:noProof/>
                <w:webHidden/>
              </w:rPr>
              <w:tab/>
            </w:r>
            <w:r>
              <w:rPr>
                <w:noProof/>
                <w:webHidden/>
              </w:rPr>
              <w:fldChar w:fldCharType="begin"/>
            </w:r>
            <w:r>
              <w:rPr>
                <w:noProof/>
                <w:webHidden/>
              </w:rPr>
              <w:instrText xml:space="preserve"> PAGEREF _Toc219322394 \h </w:instrText>
            </w:r>
            <w:r>
              <w:rPr>
                <w:noProof/>
                <w:webHidden/>
              </w:rPr>
            </w:r>
            <w:r>
              <w:rPr>
                <w:noProof/>
                <w:webHidden/>
              </w:rPr>
              <w:fldChar w:fldCharType="separate"/>
            </w:r>
            <w:r>
              <w:rPr>
                <w:noProof/>
                <w:webHidden/>
              </w:rPr>
              <w:t>6</w:t>
            </w:r>
            <w:r>
              <w:rPr>
                <w:noProof/>
                <w:webHidden/>
              </w:rPr>
              <w:fldChar w:fldCharType="end"/>
            </w:r>
          </w:hyperlink>
        </w:p>
        <w:p w14:paraId="5890F236" w14:textId="30ED052D" w:rsidR="005060B1" w:rsidRDefault="005060B1">
          <w:pPr>
            <w:pStyle w:val="TOC3"/>
            <w:tabs>
              <w:tab w:val="right" w:leader="dot" w:pos="9016"/>
            </w:tabs>
            <w:rPr>
              <w:rFonts w:asciiTheme="minorHAnsi" w:eastAsiaTheme="minorEastAsia" w:hAnsiTheme="minorHAnsi" w:cstheme="minorBidi"/>
              <w:noProof/>
              <w:kern w:val="2"/>
              <w14:ligatures w14:val="standardContextual"/>
            </w:rPr>
          </w:pPr>
          <w:hyperlink w:anchor="_Toc219322395" w:history="1">
            <w:r w:rsidRPr="0044023D">
              <w:rPr>
                <w:rStyle w:val="Hyperlink"/>
                <w:b/>
                <w:bCs/>
                <w:noProof/>
              </w:rPr>
              <w:t>Conclusion</w:t>
            </w:r>
            <w:r>
              <w:rPr>
                <w:noProof/>
                <w:webHidden/>
              </w:rPr>
              <w:tab/>
            </w:r>
            <w:r>
              <w:rPr>
                <w:noProof/>
                <w:webHidden/>
              </w:rPr>
              <w:fldChar w:fldCharType="begin"/>
            </w:r>
            <w:r>
              <w:rPr>
                <w:noProof/>
                <w:webHidden/>
              </w:rPr>
              <w:instrText xml:space="preserve"> PAGEREF _Toc219322395 \h </w:instrText>
            </w:r>
            <w:r>
              <w:rPr>
                <w:noProof/>
                <w:webHidden/>
              </w:rPr>
            </w:r>
            <w:r>
              <w:rPr>
                <w:noProof/>
                <w:webHidden/>
              </w:rPr>
              <w:fldChar w:fldCharType="separate"/>
            </w:r>
            <w:r>
              <w:rPr>
                <w:noProof/>
                <w:webHidden/>
              </w:rPr>
              <w:t>7</w:t>
            </w:r>
            <w:r>
              <w:rPr>
                <w:noProof/>
                <w:webHidden/>
              </w:rPr>
              <w:fldChar w:fldCharType="end"/>
            </w:r>
          </w:hyperlink>
        </w:p>
        <w:p w14:paraId="4BA8DC21" w14:textId="7927E3A7" w:rsidR="005060B1" w:rsidRDefault="005060B1">
          <w:pPr>
            <w:pStyle w:val="TOC3"/>
            <w:tabs>
              <w:tab w:val="right" w:leader="dot" w:pos="9016"/>
            </w:tabs>
            <w:rPr>
              <w:rFonts w:asciiTheme="minorHAnsi" w:eastAsiaTheme="minorEastAsia" w:hAnsiTheme="minorHAnsi" w:cstheme="minorBidi"/>
              <w:noProof/>
              <w:kern w:val="2"/>
              <w14:ligatures w14:val="standardContextual"/>
            </w:rPr>
          </w:pPr>
          <w:hyperlink w:anchor="_Toc219322396" w:history="1">
            <w:r w:rsidRPr="0044023D">
              <w:rPr>
                <w:rStyle w:val="Hyperlink"/>
                <w:b/>
                <w:bCs/>
                <w:noProof/>
              </w:rPr>
              <w:t>Recommendations</w:t>
            </w:r>
            <w:r>
              <w:rPr>
                <w:noProof/>
                <w:webHidden/>
              </w:rPr>
              <w:tab/>
            </w:r>
            <w:r>
              <w:rPr>
                <w:noProof/>
                <w:webHidden/>
              </w:rPr>
              <w:fldChar w:fldCharType="begin"/>
            </w:r>
            <w:r>
              <w:rPr>
                <w:noProof/>
                <w:webHidden/>
              </w:rPr>
              <w:instrText xml:space="preserve"> PAGEREF _Toc219322396 \h </w:instrText>
            </w:r>
            <w:r>
              <w:rPr>
                <w:noProof/>
                <w:webHidden/>
              </w:rPr>
            </w:r>
            <w:r>
              <w:rPr>
                <w:noProof/>
                <w:webHidden/>
              </w:rPr>
              <w:fldChar w:fldCharType="separate"/>
            </w:r>
            <w:r>
              <w:rPr>
                <w:noProof/>
                <w:webHidden/>
              </w:rPr>
              <w:t>8</w:t>
            </w:r>
            <w:r>
              <w:rPr>
                <w:noProof/>
                <w:webHidden/>
              </w:rPr>
              <w:fldChar w:fldCharType="end"/>
            </w:r>
          </w:hyperlink>
        </w:p>
        <w:p w14:paraId="2811C803" w14:textId="0C0A0E5A" w:rsidR="005060B1" w:rsidRDefault="005060B1">
          <w:pPr>
            <w:pStyle w:val="TOC1"/>
            <w:tabs>
              <w:tab w:val="right" w:leader="dot" w:pos="9016"/>
            </w:tabs>
            <w:rPr>
              <w:rFonts w:asciiTheme="minorHAnsi" w:eastAsiaTheme="minorEastAsia" w:hAnsiTheme="minorHAnsi" w:cstheme="minorBidi"/>
              <w:noProof/>
              <w:kern w:val="2"/>
              <w14:ligatures w14:val="standardContextual"/>
            </w:rPr>
          </w:pPr>
          <w:hyperlink w:anchor="_Toc219322397" w:history="1">
            <w:r w:rsidRPr="0044023D">
              <w:rPr>
                <w:rStyle w:val="Hyperlink"/>
                <w:b/>
                <w:bCs/>
                <w:noProof/>
              </w:rPr>
              <w:t>Reference</w:t>
            </w:r>
            <w:r>
              <w:rPr>
                <w:noProof/>
                <w:webHidden/>
              </w:rPr>
              <w:tab/>
            </w:r>
            <w:r>
              <w:rPr>
                <w:noProof/>
                <w:webHidden/>
              </w:rPr>
              <w:fldChar w:fldCharType="begin"/>
            </w:r>
            <w:r>
              <w:rPr>
                <w:noProof/>
                <w:webHidden/>
              </w:rPr>
              <w:instrText xml:space="preserve"> PAGEREF _Toc219322397 \h </w:instrText>
            </w:r>
            <w:r>
              <w:rPr>
                <w:noProof/>
                <w:webHidden/>
              </w:rPr>
            </w:r>
            <w:r>
              <w:rPr>
                <w:noProof/>
                <w:webHidden/>
              </w:rPr>
              <w:fldChar w:fldCharType="separate"/>
            </w:r>
            <w:r>
              <w:rPr>
                <w:noProof/>
                <w:webHidden/>
              </w:rPr>
              <w:t>10</w:t>
            </w:r>
            <w:r>
              <w:rPr>
                <w:noProof/>
                <w:webHidden/>
              </w:rPr>
              <w:fldChar w:fldCharType="end"/>
            </w:r>
          </w:hyperlink>
        </w:p>
        <w:p w14:paraId="49C465F5" w14:textId="4D32F5C1" w:rsidR="000E44F0" w:rsidRDefault="000E44F0">
          <w:r>
            <w:rPr>
              <w:b/>
              <w:bCs/>
            </w:rPr>
            <w:fldChar w:fldCharType="end"/>
          </w:r>
        </w:p>
      </w:sdtContent>
    </w:sdt>
    <w:p w14:paraId="0373FFA7" w14:textId="1BBA5EE0" w:rsidR="001C3798" w:rsidRDefault="009C6A24">
      <w:pPr>
        <w:sectPr w:rsidR="001C3798" w:rsidSect="00977772">
          <w:footerReference w:type="first" r:id="rId9"/>
          <w:pgSz w:w="11906" w:h="16838"/>
          <w:pgMar w:top="1440" w:right="1440" w:bottom="1440" w:left="1440" w:header="708" w:footer="708" w:gutter="0"/>
          <w:cols w:space="708"/>
          <w:titlePg/>
          <w:docGrid w:linePitch="360"/>
        </w:sectPr>
      </w:pPr>
      <w:r>
        <w:t xml:space="preserve">                                                                                                                                                                                                                                                                                                                                                                                                                                                                                                                                                                                                                                                                                                                                                                                                                                                                                                                                                                                                                                                                                                                                                                                                                                                                                                                                                                                                                                                                                                                                                                                                                                                                                                                                                                                                                                                                                                                                                                                                                                                                                                                                                                                                                                                                                                                                                                                                                                                                                                                                                                                                                                                                                                                                                                                                                                                                                                                                                                                                                                                                                                                                                                                                                                                                                                                                                                                                                                                                                                                                                                                                                                                                                                                                                                                                                                                                                                                                                                                                                                                                                                                                                                                                                                                                                                                                                                                                                                                                                                                                                                                                                                                                                                                                                                                                                                                                                                                                                                                                                                                                                                                                                                                                                                                                                                                                                                                                                                                                                                                                                                                                                                                                                                                                                                                                                                                                                                                                                                                                                                                                                                                                                                                                                                                                                                                                                                                                                                                                                                                                                                                                                                                                                                                                                                                                                                                                                                                                                                                                                                                                                                                                                                                                                                                                                                                                                                                                                                                                                                                                                                                                                                                                                                                                                                           </w:t>
      </w:r>
      <w:r w:rsidR="00E90135">
        <w:t xml:space="preserve"> </w:t>
      </w:r>
      <w:r w:rsidR="00A21676">
        <w:t xml:space="preserve">                                                                                                                                                                                                                                                                                                                                                                                                                                                                                                                                                                                                                                                                                                                                                                                                          </w:t>
      </w:r>
    </w:p>
    <w:p w14:paraId="67F848FE" w14:textId="6CFF9E1F" w:rsidR="008963B3" w:rsidRPr="008963B3" w:rsidRDefault="000E44F0" w:rsidP="008963B3">
      <w:pPr>
        <w:pStyle w:val="Heading1"/>
        <w:shd w:val="clear" w:color="auto" w:fill="E97132" w:themeFill="accent2"/>
        <w:spacing w:line="360" w:lineRule="auto"/>
        <w:jc w:val="both"/>
        <w:rPr>
          <w:rFonts w:ascii="Times New Roman" w:hAnsi="Times New Roman" w:cs="Times New Roman"/>
          <w:b/>
          <w:bCs/>
          <w:sz w:val="36"/>
          <w:szCs w:val="36"/>
        </w:rPr>
      </w:pPr>
      <w:bookmarkStart w:id="0" w:name="_Toc219322390"/>
      <w:r w:rsidRPr="00E62A46">
        <w:rPr>
          <w:rFonts w:ascii="Times New Roman" w:hAnsi="Times New Roman" w:cs="Times New Roman"/>
          <w:b/>
          <w:bCs/>
          <w:sz w:val="36"/>
          <w:szCs w:val="36"/>
        </w:rPr>
        <w:lastRenderedPageBreak/>
        <w:t>Executive Summary</w:t>
      </w:r>
      <w:bookmarkEnd w:id="0"/>
    </w:p>
    <w:p w14:paraId="5B363ADE" w14:textId="062B3813" w:rsidR="008963B3" w:rsidRPr="008963B3" w:rsidRDefault="008963B3" w:rsidP="00DA6D79">
      <w:pPr>
        <w:spacing w:before="100" w:beforeAutospacing="1" w:after="100" w:afterAutospacing="1" w:line="360" w:lineRule="auto"/>
        <w:jc w:val="both"/>
      </w:pPr>
      <w:r w:rsidRPr="008963B3">
        <w:t>The Coastal Horizon Hotel, a mid-sized coastal property offering accommodation, dining, bar, and event facilities, has experienced a noticeable decline in financial performance and guest satisfaction over recent years. Once positioned as a desirable vacation destination, the hotel has struggled to adapt to increasing competition, changing customer expectations, and rising operating costs.</w:t>
      </w:r>
      <w:r w:rsidR="00822392">
        <w:t xml:space="preserve"> The income</w:t>
      </w:r>
      <w:r w:rsidR="00D40214">
        <w:t xml:space="preserve"> statement</w:t>
      </w:r>
      <w:r w:rsidR="007A6A0C">
        <w:t xml:space="preserve"> (table, 1) below, shows</w:t>
      </w:r>
      <w:r w:rsidRPr="008963B3">
        <w:t xml:space="preserve"> the period </w:t>
      </w:r>
      <w:r w:rsidR="007A6A0C">
        <w:t xml:space="preserve">covering </w:t>
      </w:r>
      <w:r w:rsidRPr="008963B3">
        <w:t>from 2022 to 2024 highlights a consistent fall in revenue from £1.2 million to £950,000, alongside operating expenses rising from £900,000 to £1.1 million. As a result, the hotel moved from a healthy profit of £300,000 in 2022 to a net loss of £150,000 in 2024.</w:t>
      </w:r>
    </w:p>
    <w:p w14:paraId="4A7D34E8" w14:textId="77777777" w:rsidR="008963B3" w:rsidRPr="008963B3" w:rsidRDefault="008963B3" w:rsidP="00DA6D79">
      <w:pPr>
        <w:spacing w:before="100" w:beforeAutospacing="1" w:after="100" w:afterAutospacing="1" w:line="360" w:lineRule="auto"/>
        <w:jc w:val="both"/>
      </w:pPr>
      <w:r w:rsidRPr="008963B3">
        <w:t>Further examination of the balance sheet reveals growing financial pressure, including declining cash reserves, reduced asset values, and a sharp fall in equity. Operational indicators reinforce these concerns, with Average Room Rates declining from £240 in 2022 to £210 in 2023, and occupancy rates falling from 60% to 50% over the same period. These trends suggest weakened demand, ineffective pricing strategies, and declining competitiveness within the coastal hospitality market.</w:t>
      </w:r>
    </w:p>
    <w:p w14:paraId="40639574" w14:textId="77777777" w:rsidR="008963B3" w:rsidRPr="008963B3" w:rsidRDefault="008963B3" w:rsidP="00DA6D79">
      <w:pPr>
        <w:spacing w:before="100" w:beforeAutospacing="1" w:after="100" w:afterAutospacing="1" w:line="360" w:lineRule="auto"/>
        <w:jc w:val="both"/>
      </w:pPr>
      <w:r w:rsidRPr="008963B3">
        <w:t>The assessment identifies several key drivers behind this downturn, including rising labour and operating costs, outdated service and facility offerings, insufficient use of technology, and a failure to meet evolving guest expectations for personalised and seamless experiences. Customer dissatisfaction and reduced repeat business have further contributed to falling occupancy and revenue.</w:t>
      </w:r>
    </w:p>
    <w:p w14:paraId="4BB2FB5B" w14:textId="79B8F339" w:rsidR="000E44F0" w:rsidRPr="00DA6D79" w:rsidRDefault="008963B3" w:rsidP="00DA6D79">
      <w:pPr>
        <w:spacing w:before="100" w:beforeAutospacing="1" w:after="100" w:afterAutospacing="1" w:line="360" w:lineRule="auto"/>
        <w:jc w:val="both"/>
      </w:pPr>
      <w:r w:rsidRPr="008963B3">
        <w:t>Despite these challenges, the analysis concludes that the Coastal Horizon Hotel remains financially salvageable</w:t>
      </w:r>
      <w:r w:rsidR="007A6A0C">
        <w:t>, and a</w:t>
      </w:r>
      <w:r w:rsidRPr="008963B3">
        <w:t xml:space="preserve"> targeted turnaround strategy is proposed</w:t>
      </w:r>
      <w:r w:rsidR="007A6A0C">
        <w:t xml:space="preserve">. The follow key </w:t>
      </w:r>
      <w:r w:rsidR="0020552C" w:rsidRPr="00510628">
        <w:t>recommendations</w:t>
      </w:r>
      <w:r w:rsidR="007A6A0C" w:rsidRPr="00510628">
        <w:t xml:space="preserve"> for </w:t>
      </w:r>
      <w:r w:rsidR="00510628" w:rsidRPr="00510628">
        <w:t xml:space="preserve">the </w:t>
      </w:r>
      <w:r w:rsidR="007A6A0C" w:rsidRPr="00510628">
        <w:t>Coastal Horizon Hotel</w:t>
      </w:r>
      <w:r w:rsidR="00523E4C">
        <w:t xml:space="preserve"> are</w:t>
      </w:r>
      <w:r w:rsidR="00510628">
        <w:t>, primarily</w:t>
      </w:r>
      <w:r w:rsidR="0020552C">
        <w:t xml:space="preserve"> </w:t>
      </w:r>
      <w:r w:rsidRPr="008963B3">
        <w:t>focusing on improving guest service quality, controlling costs, optimising pricing and revenue management, and undertaking selective asset upgrades. By leveraging existing facilities more effectively and aligning operations with current market expectations, the hotel can restore financial stability, rebuild its reputation, and reposition itself as a competitive and sustainable coastal destination</w:t>
      </w:r>
      <w:r w:rsidR="00AB2A4A">
        <w:t xml:space="preserve">. </w:t>
      </w:r>
      <w:r w:rsidR="00C52499">
        <w:t>Some</w:t>
      </w:r>
      <w:r w:rsidR="00510628" w:rsidRPr="00B653E8">
        <w:t xml:space="preserve"> </w:t>
      </w:r>
      <w:r w:rsidR="0012190C">
        <w:t xml:space="preserve">key </w:t>
      </w:r>
      <w:r w:rsidR="00E822BE">
        <w:t xml:space="preserve">recommendations </w:t>
      </w:r>
      <w:r w:rsidR="009B33B1" w:rsidRPr="00B653E8">
        <w:t>examples</w:t>
      </w:r>
      <w:r w:rsidR="00E822BE">
        <w:t xml:space="preserve"> ar</w:t>
      </w:r>
      <w:r w:rsidR="00DF018E">
        <w:t>e by,</w:t>
      </w:r>
      <w:r w:rsidR="00425FF2">
        <w:t xml:space="preserve"> </w:t>
      </w:r>
      <w:r w:rsidR="00135E9A">
        <w:t>improving</w:t>
      </w:r>
      <w:r w:rsidR="00DD77D2">
        <w:t xml:space="preserve"> guest service quality through staff training and guest feedback, alongside tighter cost control via expense audits and energy </w:t>
      </w:r>
      <w:r w:rsidR="00DD77D2">
        <w:lastRenderedPageBreak/>
        <w:t>efficiency, is essential to enhancing operational performance. Revenue can be improved through dynamic pricing and effective market segmentation, while selective, low-cost asset upgrades can strengthen guest perceptions. Together, these measures will support financial stability, reputation recovery, and the hotel’s competitiveness in the coastal hospitality market.</w:t>
      </w:r>
    </w:p>
    <w:p w14:paraId="58073B6E" w14:textId="30149A3C" w:rsidR="000E44F0" w:rsidRPr="00E62A46" w:rsidRDefault="000E44F0" w:rsidP="00E62A46">
      <w:pPr>
        <w:pStyle w:val="Heading1"/>
        <w:shd w:val="clear" w:color="auto" w:fill="E97132" w:themeFill="accent2"/>
        <w:spacing w:line="360" w:lineRule="auto"/>
        <w:jc w:val="both"/>
        <w:rPr>
          <w:rFonts w:ascii="Times New Roman" w:hAnsi="Times New Roman" w:cs="Times New Roman"/>
          <w:b/>
          <w:bCs/>
          <w:sz w:val="36"/>
          <w:szCs w:val="36"/>
        </w:rPr>
      </w:pPr>
      <w:bookmarkStart w:id="1" w:name="_Toc219322391"/>
      <w:r w:rsidRPr="00E62A46">
        <w:rPr>
          <w:rFonts w:ascii="Times New Roman" w:hAnsi="Times New Roman" w:cs="Times New Roman"/>
          <w:b/>
          <w:bCs/>
          <w:sz w:val="36"/>
          <w:szCs w:val="36"/>
        </w:rPr>
        <w:t>Introduction</w:t>
      </w:r>
      <w:bookmarkEnd w:id="1"/>
      <w:r w:rsidRPr="00E62A46">
        <w:rPr>
          <w:rFonts w:ascii="Times New Roman" w:hAnsi="Times New Roman" w:cs="Times New Roman"/>
          <w:b/>
          <w:bCs/>
          <w:sz w:val="36"/>
          <w:szCs w:val="36"/>
        </w:rPr>
        <w:t xml:space="preserve"> </w:t>
      </w:r>
    </w:p>
    <w:p w14:paraId="25C9657E" w14:textId="2B69B242" w:rsidR="00A51739" w:rsidRPr="007F200C" w:rsidRDefault="00A51739" w:rsidP="00DA6D79">
      <w:pPr>
        <w:pStyle w:val="NormalWeb"/>
        <w:spacing w:line="360" w:lineRule="auto"/>
        <w:jc w:val="both"/>
      </w:pPr>
      <w:r w:rsidRPr="007F200C">
        <w:t xml:space="preserve">The hospitality industry is highly competitive and sensitive to changing customer expectations, economic conditions, and market innovation. Coastal destinations face particularly strong pressure as newer resorts continue to enter the market with modern facilities, advanced technology, and experience-driven services. Within this context, the Coastal Horizon Hotel operates as a mid-sized hospitality business offering accommodation, dining options, a bar, and event facilities in a desirable coastal location. Once recognised for its luxurious atmosphere and high-quality guest experiences, the hotel has recently experienced a steady but concerning decline in occupancy rates, revenue generation, and overall market position, raising serious questions about its long-term viability </w:t>
      </w:r>
      <w:r w:rsidRPr="00B3625C">
        <w:t>(Ali</w:t>
      </w:r>
      <w:r w:rsidR="006C2976" w:rsidRPr="00B3625C">
        <w:t>,</w:t>
      </w:r>
      <w:r w:rsidR="00344D4D" w:rsidRPr="00B3625C">
        <w:t xml:space="preserve"> e</w:t>
      </w:r>
      <w:r w:rsidR="009164E1" w:rsidRPr="00B3625C">
        <w:t xml:space="preserve">t al., </w:t>
      </w:r>
      <w:r w:rsidRPr="00B3625C">
        <w:t>2021</w:t>
      </w:r>
      <w:r w:rsidR="00822392" w:rsidRPr="00B3625C">
        <w:t>).</w:t>
      </w:r>
      <w:r w:rsidR="00822392">
        <w:t xml:space="preserve"> </w:t>
      </w:r>
    </w:p>
    <w:p w14:paraId="6060DD3E" w14:textId="77777777" w:rsidR="00A51739" w:rsidRPr="007F200C" w:rsidRDefault="00A51739" w:rsidP="00DA6D79">
      <w:pPr>
        <w:pStyle w:val="NormalWeb"/>
        <w:spacing w:line="360" w:lineRule="auto"/>
        <w:jc w:val="both"/>
      </w:pPr>
      <w:r w:rsidRPr="007F200C">
        <w:t>This case study aims to conduct a detailed analysis of the factors contributing to the Coastal Horizon Hotel’s financial and operational challenges. Using key financial documents, including income statements and balance sheets, the study examines the hotel’s performance over a three-year period from 2022 to 2024 to assess its current economic position and identify the root causes of decline (Božić, 2024).</w:t>
      </w:r>
    </w:p>
    <w:p w14:paraId="7F14705B" w14:textId="77777777" w:rsidR="00A51739" w:rsidRDefault="00A51739" w:rsidP="00DA6D79">
      <w:pPr>
        <w:pStyle w:val="NormalWeb"/>
        <w:spacing w:line="360" w:lineRule="auto"/>
        <w:jc w:val="both"/>
      </w:pPr>
      <w:r w:rsidRPr="007F200C">
        <w:t>Following this analysis, the report proposes a set of practical and achievable turnaround strategies focused on restoring profitability, improving efficiency, and strengthening the hotel’s competitive position. The ultimate objective is to develop a sustainable recovery plan that addresses existing weaknesses while repositioning the Coastal Horizon Hotel as a desirable and financially stable coastal destination in a rapidly evolving hospitality market (NetSuite, 2024).</w:t>
      </w:r>
    </w:p>
    <w:p w14:paraId="28CE31F3" w14:textId="77777777" w:rsidR="00822392" w:rsidRDefault="00822392" w:rsidP="00702E43">
      <w:pPr>
        <w:spacing w:line="360" w:lineRule="auto"/>
        <w:jc w:val="both"/>
      </w:pPr>
    </w:p>
    <w:p w14:paraId="00E9BBB8" w14:textId="77777777" w:rsidR="009F760D" w:rsidRPr="007F200C" w:rsidRDefault="009F760D" w:rsidP="00702E43">
      <w:pPr>
        <w:spacing w:line="360" w:lineRule="auto"/>
        <w:jc w:val="both"/>
      </w:pPr>
    </w:p>
    <w:p w14:paraId="47E5F03D" w14:textId="4FFB5909" w:rsidR="00F97903" w:rsidRPr="00E235A7" w:rsidRDefault="009C1BC7" w:rsidP="00E235A7">
      <w:pPr>
        <w:pStyle w:val="Heading1"/>
        <w:shd w:val="clear" w:color="auto" w:fill="E97132" w:themeFill="accent2"/>
        <w:rPr>
          <w:rFonts w:ascii="Times New Roman" w:eastAsia="Times New Roman" w:hAnsi="Times New Roman" w:cs="Times New Roman"/>
          <w:b/>
          <w:bCs/>
        </w:rPr>
      </w:pPr>
      <w:bookmarkStart w:id="2" w:name="_Toc219322392"/>
      <w:r>
        <w:rPr>
          <w:rFonts w:ascii="Times New Roman" w:eastAsia="Times New Roman" w:hAnsi="Times New Roman" w:cs="Times New Roman"/>
          <w:b/>
          <w:bCs/>
        </w:rPr>
        <w:lastRenderedPageBreak/>
        <w:t>Main Findings</w:t>
      </w:r>
      <w:bookmarkEnd w:id="2"/>
      <w:r>
        <w:rPr>
          <w:rFonts w:ascii="Times New Roman" w:eastAsia="Times New Roman" w:hAnsi="Times New Roman" w:cs="Times New Roman"/>
          <w:b/>
          <w:bCs/>
        </w:rPr>
        <w:t xml:space="preserve"> </w:t>
      </w:r>
    </w:p>
    <w:p w14:paraId="3B523159" w14:textId="77777777" w:rsidR="00F97903" w:rsidRDefault="00F97903" w:rsidP="009C1BC7">
      <w:pPr>
        <w:spacing w:line="360" w:lineRule="auto"/>
        <w:jc w:val="both"/>
      </w:pPr>
    </w:p>
    <w:p w14:paraId="1CBBC87A" w14:textId="22887518" w:rsidR="00F97903" w:rsidRPr="00104C52" w:rsidRDefault="00F97903" w:rsidP="00F97903">
      <w:pPr>
        <w:pStyle w:val="Heading2"/>
        <w:shd w:val="clear" w:color="auto" w:fill="E97132" w:themeFill="accent2"/>
        <w:rPr>
          <w:rFonts w:ascii="Times New Roman" w:eastAsia="Times New Roman" w:hAnsi="Times New Roman" w:cs="Times New Roman"/>
          <w:b/>
          <w:bCs/>
          <w:sz w:val="36"/>
          <w:szCs w:val="36"/>
        </w:rPr>
      </w:pPr>
      <w:bookmarkStart w:id="3" w:name="_Toc219322393"/>
      <w:r>
        <w:rPr>
          <w:rFonts w:ascii="Times New Roman" w:eastAsia="Times New Roman" w:hAnsi="Times New Roman" w:cs="Times New Roman"/>
          <w:b/>
          <w:bCs/>
          <w:sz w:val="36"/>
          <w:szCs w:val="36"/>
        </w:rPr>
        <w:t>Analysis of the Hotel Financial Performance in the past Three Years.</w:t>
      </w:r>
      <w:bookmarkEnd w:id="3"/>
    </w:p>
    <w:p w14:paraId="1BD60E30" w14:textId="77777777" w:rsidR="00591D23" w:rsidRDefault="00591D23" w:rsidP="00591D23">
      <w:pPr>
        <w:spacing w:line="360" w:lineRule="auto"/>
        <w:jc w:val="both"/>
        <w:rPr>
          <w:highlight w:val="yellow"/>
        </w:rPr>
      </w:pPr>
    </w:p>
    <w:p w14:paraId="12CD4054" w14:textId="40F8976D" w:rsidR="00591D23" w:rsidRPr="007A5208" w:rsidRDefault="00591D23" w:rsidP="007A5208">
      <w:pPr>
        <w:spacing w:line="360" w:lineRule="auto"/>
        <w:jc w:val="both"/>
      </w:pPr>
      <w:r w:rsidRPr="007A5208">
        <w:t xml:space="preserve">In recent years, customer preferences in the hospitality market have shifted significantly, influenced by global trends, technological innovation, and evolving traveller expectations. One of the most notable changes is the increased demand for </w:t>
      </w:r>
      <w:r w:rsidRPr="007A5208">
        <w:rPr>
          <w:rFonts w:eastAsiaTheme="majorEastAsia"/>
        </w:rPr>
        <w:t>personalised experiences</w:t>
      </w:r>
      <w:r w:rsidRPr="007A5208">
        <w:t>. Today’s guests are no longer satisfied with generic services; they expect hotels to tailor offerings to their individual needs, such as customised room amenities, activity recommendations, and bespoke services (Digital Guest, 2025a). Research suggests that a large proportion of travellers prefer hotels that offer personalised experiences, as this enhances satisfaction and encourages repeat bookings (Chisom, 2024). This trend challenges traditional hospitality models and requires hotels to invest in systems that capture and respond to guest preferences.</w:t>
      </w:r>
    </w:p>
    <w:p w14:paraId="18BA9A01" w14:textId="77777777" w:rsidR="00591D23" w:rsidRPr="007A5208" w:rsidRDefault="00591D23" w:rsidP="007A5208">
      <w:pPr>
        <w:spacing w:line="360" w:lineRule="auto"/>
        <w:jc w:val="both"/>
      </w:pPr>
    </w:p>
    <w:p w14:paraId="1DE02678" w14:textId="66CDF75D" w:rsidR="00E235A7" w:rsidRPr="007A5208" w:rsidRDefault="00E235A7" w:rsidP="007A5208">
      <w:pPr>
        <w:spacing w:line="360" w:lineRule="auto"/>
        <w:jc w:val="both"/>
      </w:pPr>
      <w:r w:rsidRPr="007A5208">
        <w:t xml:space="preserve">Another key shift is the emphasis on </w:t>
      </w:r>
      <w:r w:rsidRPr="007A5208">
        <w:rPr>
          <w:rFonts w:eastAsiaTheme="majorEastAsia"/>
        </w:rPr>
        <w:t>technology integration</w:t>
      </w:r>
      <w:r w:rsidRPr="007A5208">
        <w:t>. Modern customers seek seamless digital interactions from the moment of booking through to checkout. Features such as mobile check-in/out, contactless services, and intuitive guest apps have moved from being optional luxuries to expected standards (Digital Guest, 2025b). The push for digital convenience reflects broader lifestyle changes, with many travellers using smartphones to manage travel plans and hotel stays (Hospitality Technology, 2023).</w:t>
      </w:r>
      <w:r w:rsidR="009F760D">
        <w:t xml:space="preserve"> </w:t>
      </w:r>
      <w:r w:rsidRPr="007A5208">
        <w:t xml:space="preserve">Health, wellness, and sustainability have also become central to consumer decision-making. Post-pandemic travellers prioritise </w:t>
      </w:r>
      <w:r w:rsidRPr="007A5208">
        <w:rPr>
          <w:rFonts w:eastAsiaTheme="majorEastAsia"/>
        </w:rPr>
        <w:t>cleanliness and well-being</w:t>
      </w:r>
      <w:r w:rsidRPr="007A5208">
        <w:t xml:space="preserve">, including robust hygiene measures and amenities that support health-focused stays (VBW Ventures, 2023). Meanwhile, a growing segment of environmentally conscious guests prefers hotels that demonstrate commitment to </w:t>
      </w:r>
      <w:r w:rsidRPr="007A5208">
        <w:rPr>
          <w:rFonts w:eastAsiaTheme="majorEastAsia"/>
        </w:rPr>
        <w:t>sustainable practices</w:t>
      </w:r>
      <w:r w:rsidRPr="007A5208">
        <w:t>, such as energy efficiency, reduced waste, and support for local communities (Qraffa, 2024).</w:t>
      </w:r>
    </w:p>
    <w:p w14:paraId="4320EBB6" w14:textId="77777777" w:rsidR="00F37489" w:rsidRDefault="00E235A7" w:rsidP="007A5208">
      <w:pPr>
        <w:spacing w:line="360" w:lineRule="auto"/>
        <w:jc w:val="both"/>
      </w:pPr>
      <w:r w:rsidRPr="007A5208">
        <w:t>Overall, these evolving customer preferences emphasise experience, convenience, and values-based choices. For properties like the Coastal Horizon Hotel, adapting to these shifts through enhanced service offerings, digital transformation, and sustainability initiatives will be critical to regaining competitiveness and improving guest satisfaction.</w:t>
      </w:r>
    </w:p>
    <w:p w14:paraId="447CED29" w14:textId="7E82049A" w:rsidR="00E235A7" w:rsidRDefault="00E235A7" w:rsidP="007A5208">
      <w:pPr>
        <w:spacing w:line="360" w:lineRule="auto"/>
        <w:jc w:val="both"/>
      </w:pPr>
      <w:r w:rsidRPr="007A5208">
        <w:t xml:space="preserve"> </w:t>
      </w:r>
      <w:r w:rsidR="007A5208" w:rsidRPr="007A5208">
        <w:t>I</w:t>
      </w:r>
      <w:r w:rsidR="00591D23" w:rsidRPr="007A5208">
        <w:t>llustratio</w:t>
      </w:r>
      <w:r w:rsidR="007A5208" w:rsidRPr="007A5208">
        <w:t>n</w:t>
      </w:r>
      <w:r w:rsidR="00F37489">
        <w:t xml:space="preserve"> (1 and 2)</w:t>
      </w:r>
      <w:r w:rsidR="007A5208" w:rsidRPr="007A5208">
        <w:t>, and table</w:t>
      </w:r>
      <w:r w:rsidR="00F37489">
        <w:t>s</w:t>
      </w:r>
      <w:r w:rsidR="007A5208" w:rsidRPr="007A5208">
        <w:t xml:space="preserve"> (1,2 and 3)</w:t>
      </w:r>
      <w:r w:rsidR="00F37489">
        <w:t xml:space="preserve"> will confirm the</w:t>
      </w:r>
      <w:r w:rsidR="007A5208" w:rsidRPr="007A5208">
        <w:t xml:space="preserve"> findings mentioned above.</w:t>
      </w:r>
    </w:p>
    <w:p w14:paraId="2E4DEF35" w14:textId="77777777" w:rsidR="00B3625C" w:rsidRDefault="00B3625C" w:rsidP="007A5208">
      <w:pPr>
        <w:spacing w:line="360" w:lineRule="auto"/>
        <w:jc w:val="both"/>
      </w:pPr>
    </w:p>
    <w:p w14:paraId="6C8D59E7" w14:textId="77777777" w:rsidR="00591D23" w:rsidRDefault="00591D23" w:rsidP="00E235A7">
      <w:pPr>
        <w:spacing w:line="360" w:lineRule="auto"/>
        <w:jc w:val="both"/>
      </w:pPr>
    </w:p>
    <w:p w14:paraId="4FFE728C" w14:textId="0453470E" w:rsidR="005A22DD" w:rsidRDefault="005A22DD" w:rsidP="00C86884">
      <w:pPr>
        <w:shd w:val="clear" w:color="auto" w:fill="E97132" w:themeFill="accent2"/>
      </w:pPr>
      <w:r>
        <w:lastRenderedPageBreak/>
        <w:t>Income Statement (In GBP)</w:t>
      </w:r>
      <w:r w:rsidR="00822392">
        <w:t xml:space="preserve">                                                                                        Table (1)</w:t>
      </w:r>
    </w:p>
    <w:tbl>
      <w:tblPr>
        <w:tblStyle w:val="TableGrid"/>
        <w:tblW w:w="9067" w:type="dxa"/>
        <w:tblLook w:val="04A0" w:firstRow="1" w:lastRow="0" w:firstColumn="1" w:lastColumn="0" w:noHBand="0" w:noVBand="1"/>
      </w:tblPr>
      <w:tblGrid>
        <w:gridCol w:w="2301"/>
        <w:gridCol w:w="2301"/>
        <w:gridCol w:w="2301"/>
        <w:gridCol w:w="2164"/>
      </w:tblGrid>
      <w:tr w:rsidR="00447AF7" w14:paraId="151E7318" w14:textId="77777777" w:rsidTr="00C40E51">
        <w:trPr>
          <w:trHeight w:val="321"/>
        </w:trPr>
        <w:tc>
          <w:tcPr>
            <w:tcW w:w="2301" w:type="dxa"/>
            <w:shd w:val="clear" w:color="auto" w:fill="156082" w:themeFill="accent1"/>
          </w:tcPr>
          <w:p w14:paraId="46ACE2DD" w14:textId="43098CDA" w:rsidR="00447AF7" w:rsidRPr="00C40E51" w:rsidRDefault="00447AF7" w:rsidP="00F97903">
            <w:pPr>
              <w:rPr>
                <w:b/>
                <w:bCs/>
                <w:color w:val="FFFFFF" w:themeColor="background1"/>
              </w:rPr>
            </w:pPr>
            <w:r w:rsidRPr="00C40E51">
              <w:rPr>
                <w:b/>
                <w:bCs/>
                <w:color w:val="FFFFFF" w:themeColor="background1"/>
              </w:rPr>
              <w:t>Item</w:t>
            </w:r>
          </w:p>
        </w:tc>
        <w:tc>
          <w:tcPr>
            <w:tcW w:w="2301" w:type="dxa"/>
            <w:shd w:val="clear" w:color="auto" w:fill="156082" w:themeFill="accent1"/>
          </w:tcPr>
          <w:p w14:paraId="7188053C" w14:textId="6F174932" w:rsidR="00447AF7" w:rsidRPr="00C40E51" w:rsidRDefault="00447AF7" w:rsidP="00F97903">
            <w:pPr>
              <w:rPr>
                <w:b/>
                <w:bCs/>
                <w:color w:val="FFFFFF" w:themeColor="background1"/>
              </w:rPr>
            </w:pPr>
            <w:r w:rsidRPr="00C40E51">
              <w:rPr>
                <w:b/>
                <w:bCs/>
                <w:color w:val="FFFFFF" w:themeColor="background1"/>
              </w:rPr>
              <w:t>2022</w:t>
            </w:r>
          </w:p>
        </w:tc>
        <w:tc>
          <w:tcPr>
            <w:tcW w:w="2301" w:type="dxa"/>
            <w:shd w:val="clear" w:color="auto" w:fill="156082" w:themeFill="accent1"/>
          </w:tcPr>
          <w:p w14:paraId="0A3DBD8B" w14:textId="7DAF1952" w:rsidR="00447AF7" w:rsidRPr="00C40E51" w:rsidRDefault="00447AF7" w:rsidP="00F97903">
            <w:pPr>
              <w:rPr>
                <w:b/>
                <w:bCs/>
                <w:color w:val="FFFFFF" w:themeColor="background1"/>
              </w:rPr>
            </w:pPr>
            <w:r w:rsidRPr="00C40E51">
              <w:rPr>
                <w:b/>
                <w:bCs/>
                <w:color w:val="FFFFFF" w:themeColor="background1"/>
              </w:rPr>
              <w:t>2023</w:t>
            </w:r>
          </w:p>
        </w:tc>
        <w:tc>
          <w:tcPr>
            <w:tcW w:w="2164" w:type="dxa"/>
            <w:shd w:val="clear" w:color="auto" w:fill="156082" w:themeFill="accent1"/>
          </w:tcPr>
          <w:p w14:paraId="7D9D42F4" w14:textId="5F51E50F" w:rsidR="00447AF7" w:rsidRPr="00C40E51" w:rsidRDefault="00447AF7" w:rsidP="00F97903">
            <w:pPr>
              <w:rPr>
                <w:b/>
                <w:bCs/>
                <w:color w:val="FFFFFF" w:themeColor="background1"/>
              </w:rPr>
            </w:pPr>
            <w:r w:rsidRPr="00C40E51">
              <w:rPr>
                <w:b/>
                <w:bCs/>
                <w:color w:val="FFFFFF" w:themeColor="background1"/>
              </w:rPr>
              <w:t>2024</w:t>
            </w:r>
          </w:p>
        </w:tc>
      </w:tr>
      <w:tr w:rsidR="00447AF7" w14:paraId="7609F45E" w14:textId="77777777" w:rsidTr="00C40E51">
        <w:trPr>
          <w:trHeight w:val="310"/>
        </w:trPr>
        <w:tc>
          <w:tcPr>
            <w:tcW w:w="2301" w:type="dxa"/>
            <w:shd w:val="clear" w:color="auto" w:fill="156082" w:themeFill="accent1"/>
          </w:tcPr>
          <w:p w14:paraId="4C321B49" w14:textId="28DBEB09" w:rsidR="00447AF7" w:rsidRPr="00C40E51" w:rsidRDefault="00447AF7" w:rsidP="00F97903">
            <w:pPr>
              <w:rPr>
                <w:color w:val="FFFFFF" w:themeColor="background1"/>
              </w:rPr>
            </w:pPr>
            <w:r w:rsidRPr="00C40E51">
              <w:rPr>
                <w:color w:val="FFFFFF" w:themeColor="background1"/>
              </w:rPr>
              <w:t>Revenue</w:t>
            </w:r>
          </w:p>
        </w:tc>
        <w:tc>
          <w:tcPr>
            <w:tcW w:w="2301" w:type="dxa"/>
            <w:shd w:val="clear" w:color="auto" w:fill="156082" w:themeFill="accent1"/>
          </w:tcPr>
          <w:p w14:paraId="394DA8DF" w14:textId="203B4119" w:rsidR="00447AF7" w:rsidRPr="00C40E51" w:rsidRDefault="00B17C0F" w:rsidP="00F97903">
            <w:pPr>
              <w:rPr>
                <w:color w:val="FFFFFF" w:themeColor="background1"/>
              </w:rPr>
            </w:pPr>
            <w:r w:rsidRPr="00C40E51">
              <w:rPr>
                <w:color w:val="FFFFFF" w:themeColor="background1"/>
              </w:rPr>
              <w:t>£1,200,000</w:t>
            </w:r>
          </w:p>
        </w:tc>
        <w:tc>
          <w:tcPr>
            <w:tcW w:w="2301" w:type="dxa"/>
            <w:shd w:val="clear" w:color="auto" w:fill="156082" w:themeFill="accent1"/>
          </w:tcPr>
          <w:p w14:paraId="73543552" w14:textId="13DB1A3E" w:rsidR="00447AF7" w:rsidRPr="00C40E51" w:rsidRDefault="00B17C0F" w:rsidP="00F97903">
            <w:pPr>
              <w:rPr>
                <w:color w:val="FFFFFF" w:themeColor="background1"/>
              </w:rPr>
            </w:pPr>
            <w:r w:rsidRPr="00C40E51">
              <w:rPr>
                <w:color w:val="FFFFFF" w:themeColor="background1"/>
              </w:rPr>
              <w:t>£ 1,100,00</w:t>
            </w:r>
          </w:p>
        </w:tc>
        <w:tc>
          <w:tcPr>
            <w:tcW w:w="2164" w:type="dxa"/>
            <w:shd w:val="clear" w:color="auto" w:fill="156082" w:themeFill="accent1"/>
          </w:tcPr>
          <w:p w14:paraId="008E817B" w14:textId="5A95ECE8" w:rsidR="00447AF7" w:rsidRPr="00C40E51" w:rsidRDefault="009F1086" w:rsidP="00F97903">
            <w:pPr>
              <w:rPr>
                <w:color w:val="FFFFFF" w:themeColor="background1"/>
              </w:rPr>
            </w:pPr>
            <w:r w:rsidRPr="00C40E51">
              <w:rPr>
                <w:color w:val="FFFFFF" w:themeColor="background1"/>
              </w:rPr>
              <w:t>£ 950,000</w:t>
            </w:r>
          </w:p>
        </w:tc>
      </w:tr>
      <w:tr w:rsidR="00447AF7" w14:paraId="0386508E" w14:textId="77777777" w:rsidTr="00C40E51">
        <w:trPr>
          <w:trHeight w:val="321"/>
        </w:trPr>
        <w:tc>
          <w:tcPr>
            <w:tcW w:w="2301" w:type="dxa"/>
            <w:shd w:val="clear" w:color="auto" w:fill="156082" w:themeFill="accent1"/>
          </w:tcPr>
          <w:p w14:paraId="76F0AC30" w14:textId="1EDA4911" w:rsidR="00447AF7" w:rsidRPr="00C40E51" w:rsidRDefault="00447AF7" w:rsidP="00F97903">
            <w:pPr>
              <w:rPr>
                <w:color w:val="FFFFFF" w:themeColor="background1"/>
              </w:rPr>
            </w:pPr>
            <w:r w:rsidRPr="00C40E51">
              <w:rPr>
                <w:color w:val="FFFFFF" w:themeColor="background1"/>
              </w:rPr>
              <w:t>Operating Expenses</w:t>
            </w:r>
          </w:p>
        </w:tc>
        <w:tc>
          <w:tcPr>
            <w:tcW w:w="2301" w:type="dxa"/>
            <w:shd w:val="clear" w:color="auto" w:fill="156082" w:themeFill="accent1"/>
          </w:tcPr>
          <w:p w14:paraId="0A0AA45A" w14:textId="45439C21" w:rsidR="00447AF7" w:rsidRPr="00C40E51" w:rsidRDefault="00B17C0F" w:rsidP="00F97903">
            <w:pPr>
              <w:rPr>
                <w:color w:val="FFFFFF" w:themeColor="background1"/>
              </w:rPr>
            </w:pPr>
            <w:r w:rsidRPr="00C40E51">
              <w:rPr>
                <w:color w:val="FFFFFF" w:themeColor="background1"/>
              </w:rPr>
              <w:t>£ 900,00</w:t>
            </w:r>
          </w:p>
        </w:tc>
        <w:tc>
          <w:tcPr>
            <w:tcW w:w="2301" w:type="dxa"/>
            <w:shd w:val="clear" w:color="auto" w:fill="156082" w:themeFill="accent1"/>
          </w:tcPr>
          <w:p w14:paraId="554FCE5C" w14:textId="716F254B" w:rsidR="00447AF7" w:rsidRPr="00C40E51" w:rsidRDefault="00B17C0F" w:rsidP="00F97903">
            <w:pPr>
              <w:rPr>
                <w:color w:val="FFFFFF" w:themeColor="background1"/>
              </w:rPr>
            </w:pPr>
            <w:r w:rsidRPr="00C40E51">
              <w:rPr>
                <w:color w:val="FFFFFF" w:themeColor="background1"/>
              </w:rPr>
              <w:t>£ 950,00</w:t>
            </w:r>
          </w:p>
        </w:tc>
        <w:tc>
          <w:tcPr>
            <w:tcW w:w="2164" w:type="dxa"/>
            <w:shd w:val="clear" w:color="auto" w:fill="156082" w:themeFill="accent1"/>
          </w:tcPr>
          <w:p w14:paraId="71AC8C11" w14:textId="551A2DD0" w:rsidR="00447AF7" w:rsidRPr="00C40E51" w:rsidRDefault="009F1086" w:rsidP="00F97903">
            <w:pPr>
              <w:rPr>
                <w:color w:val="FFFFFF" w:themeColor="background1"/>
              </w:rPr>
            </w:pPr>
            <w:r w:rsidRPr="00C40E51">
              <w:rPr>
                <w:color w:val="FFFFFF" w:themeColor="background1"/>
              </w:rPr>
              <w:t>£1,100,000</w:t>
            </w:r>
          </w:p>
        </w:tc>
      </w:tr>
      <w:tr w:rsidR="00447AF7" w14:paraId="7FF98DEC" w14:textId="77777777" w:rsidTr="00C40E51">
        <w:trPr>
          <w:trHeight w:val="310"/>
        </w:trPr>
        <w:tc>
          <w:tcPr>
            <w:tcW w:w="2301" w:type="dxa"/>
            <w:shd w:val="clear" w:color="auto" w:fill="156082" w:themeFill="accent1"/>
          </w:tcPr>
          <w:p w14:paraId="52CD0C1C" w14:textId="57966A91" w:rsidR="00447AF7" w:rsidRPr="00C40E51" w:rsidRDefault="00447AF7" w:rsidP="00F97903">
            <w:pPr>
              <w:rPr>
                <w:color w:val="FFFFFF" w:themeColor="background1"/>
              </w:rPr>
            </w:pPr>
            <w:r w:rsidRPr="00C40E51">
              <w:rPr>
                <w:color w:val="FFFFFF" w:themeColor="background1"/>
              </w:rPr>
              <w:t>Net Income</w:t>
            </w:r>
          </w:p>
        </w:tc>
        <w:tc>
          <w:tcPr>
            <w:tcW w:w="2301" w:type="dxa"/>
            <w:shd w:val="clear" w:color="auto" w:fill="156082" w:themeFill="accent1"/>
          </w:tcPr>
          <w:p w14:paraId="1F5674AD" w14:textId="05F53001" w:rsidR="00447AF7" w:rsidRPr="00C40E51" w:rsidRDefault="00B17C0F" w:rsidP="00F97903">
            <w:pPr>
              <w:rPr>
                <w:color w:val="FFFFFF" w:themeColor="background1"/>
              </w:rPr>
            </w:pPr>
            <w:r w:rsidRPr="00C40E51">
              <w:rPr>
                <w:color w:val="FFFFFF" w:themeColor="background1"/>
              </w:rPr>
              <w:t>£ 300,000</w:t>
            </w:r>
          </w:p>
        </w:tc>
        <w:tc>
          <w:tcPr>
            <w:tcW w:w="2301" w:type="dxa"/>
            <w:shd w:val="clear" w:color="auto" w:fill="156082" w:themeFill="accent1"/>
          </w:tcPr>
          <w:p w14:paraId="52C6D6E8" w14:textId="5EFBA448" w:rsidR="00447AF7" w:rsidRPr="00C40E51" w:rsidRDefault="00B17C0F" w:rsidP="00F97903">
            <w:pPr>
              <w:rPr>
                <w:color w:val="FFFFFF" w:themeColor="background1"/>
              </w:rPr>
            </w:pPr>
            <w:r w:rsidRPr="00C40E51">
              <w:rPr>
                <w:color w:val="FFFFFF" w:themeColor="background1"/>
              </w:rPr>
              <w:t>£ 150,000</w:t>
            </w:r>
          </w:p>
        </w:tc>
        <w:tc>
          <w:tcPr>
            <w:tcW w:w="2164" w:type="dxa"/>
            <w:shd w:val="clear" w:color="auto" w:fill="156082" w:themeFill="accent1"/>
          </w:tcPr>
          <w:p w14:paraId="312F55C1" w14:textId="5A12D4D6" w:rsidR="00447AF7" w:rsidRPr="00C40E51" w:rsidRDefault="009F1086" w:rsidP="00F97903">
            <w:pPr>
              <w:rPr>
                <w:color w:val="FFFFFF" w:themeColor="background1"/>
              </w:rPr>
            </w:pPr>
            <w:r w:rsidRPr="00C40E51">
              <w:rPr>
                <w:color w:val="FFFFFF" w:themeColor="background1"/>
              </w:rPr>
              <w:t>£150,000</w:t>
            </w:r>
          </w:p>
        </w:tc>
      </w:tr>
    </w:tbl>
    <w:p w14:paraId="0809CD3E" w14:textId="77777777" w:rsidR="00447AF7" w:rsidRPr="00F97903" w:rsidRDefault="00447AF7" w:rsidP="00F97903"/>
    <w:p w14:paraId="7086A4D8" w14:textId="10DE071B" w:rsidR="00F97903" w:rsidRPr="00F7602F" w:rsidRDefault="00F97903" w:rsidP="000D7E0D">
      <w:pPr>
        <w:shd w:val="clear" w:color="auto" w:fill="156082" w:themeFill="accent1"/>
        <w:rPr>
          <w:b/>
          <w:bCs/>
          <w:color w:val="FFFFFF" w:themeColor="background1"/>
          <w:sz w:val="32"/>
          <w:szCs w:val="32"/>
        </w:rPr>
      </w:pPr>
      <w:r w:rsidRPr="00F7602F">
        <w:rPr>
          <w:b/>
          <w:bCs/>
          <w:color w:val="FFFFFF" w:themeColor="background1"/>
          <w:sz w:val="32"/>
          <w:szCs w:val="32"/>
        </w:rPr>
        <w:t>Financial Performance Analysis (2022–2024)</w:t>
      </w:r>
    </w:p>
    <w:p w14:paraId="4335ACA7" w14:textId="02C3E35E" w:rsidR="00447AF7" w:rsidRDefault="00447AF7" w:rsidP="00447AF7"/>
    <w:p w14:paraId="33E34976" w14:textId="1C9F7A86" w:rsidR="00510628" w:rsidRDefault="005A22DD" w:rsidP="001D1B9C">
      <w:pPr>
        <w:spacing w:line="360" w:lineRule="auto"/>
        <w:jc w:val="both"/>
      </w:pPr>
      <w:r>
        <w:t>Following the Income Statement given above, we can see that b</w:t>
      </w:r>
      <w:r w:rsidR="00F97903" w:rsidRPr="00F97903">
        <w:t xml:space="preserve">etween 2022 and 2024, the Coastal Horizon Hotel experienced a </w:t>
      </w:r>
      <w:r w:rsidR="00F97903" w:rsidRPr="00F97903">
        <w:rPr>
          <w:rFonts w:eastAsiaTheme="majorEastAsia"/>
        </w:rPr>
        <w:t>steady decline in revenue</w:t>
      </w:r>
      <w:r w:rsidR="00F97903" w:rsidRPr="00F97903">
        <w:t xml:space="preserve"> alongside rising costs. In 2022, total revenue was </w:t>
      </w:r>
      <w:r w:rsidR="00F97903" w:rsidRPr="00F97903">
        <w:rPr>
          <w:rFonts w:eastAsiaTheme="majorEastAsia"/>
        </w:rPr>
        <w:t>£1,200,000</w:t>
      </w:r>
      <w:r w:rsidR="00F97903" w:rsidRPr="00F97903">
        <w:t>. By 2023, this had dropped by £100,000</w:t>
      </w:r>
      <w:r w:rsidR="00B17C0F">
        <w:t>, and between 2023 and 2024, revenue fell further by £150,000</w:t>
      </w:r>
      <w:r>
        <w:t>. Below there is a small Illustration of how the information above was generated.</w:t>
      </w:r>
    </w:p>
    <w:p w14:paraId="24E11817" w14:textId="58FF7E98" w:rsidR="00510628" w:rsidRDefault="00510628" w:rsidP="001D1B9C">
      <w:pPr>
        <w:spacing w:line="360" w:lineRule="auto"/>
        <w:jc w:val="both"/>
      </w:pPr>
      <w:r w:rsidRPr="000158EB">
        <w:rPr>
          <w:noProof/>
          <w:shd w:val="clear" w:color="auto" w:fill="E97132" w:themeFill="accent2"/>
          <w14:ligatures w14:val="standardContextual"/>
        </w:rPr>
        <w:drawing>
          <wp:anchor distT="0" distB="0" distL="114300" distR="114300" simplePos="0" relativeHeight="251662336" behindDoc="0" locked="0" layoutInCell="1" allowOverlap="1" wp14:anchorId="3CCD26A4" wp14:editId="5CA87D63">
            <wp:simplePos x="0" y="0"/>
            <wp:positionH relativeFrom="margin">
              <wp:align>left</wp:align>
            </wp:positionH>
            <wp:positionV relativeFrom="page">
              <wp:posOffset>4724966</wp:posOffset>
            </wp:positionV>
            <wp:extent cx="5784850" cy="679450"/>
            <wp:effectExtent l="0" t="0" r="6350" b="25400"/>
            <wp:wrapTopAndBottom/>
            <wp:docPr id="1052737660"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14:sizeRelH relativeFrom="margin">
              <wp14:pctWidth>0</wp14:pctWidth>
            </wp14:sizeRelH>
            <wp14:sizeRelV relativeFrom="margin">
              <wp14:pctHeight>0</wp14:pctHeight>
            </wp14:sizeRelV>
          </wp:anchor>
        </w:drawing>
      </w:r>
      <w:r w:rsidRPr="000158EB">
        <w:rPr>
          <w:noProof/>
          <w:shd w:val="clear" w:color="auto" w:fill="E97132" w:themeFill="accent2"/>
          <w14:ligatures w14:val="standardContextual"/>
        </w:rPr>
        <w:drawing>
          <wp:anchor distT="0" distB="0" distL="114300" distR="114300" simplePos="0" relativeHeight="251654144" behindDoc="0" locked="0" layoutInCell="1" allowOverlap="1" wp14:anchorId="323C335F" wp14:editId="32632A4E">
            <wp:simplePos x="0" y="0"/>
            <wp:positionH relativeFrom="margin">
              <wp:align>left</wp:align>
            </wp:positionH>
            <wp:positionV relativeFrom="page">
              <wp:posOffset>4056567</wp:posOffset>
            </wp:positionV>
            <wp:extent cx="5784850" cy="683895"/>
            <wp:effectExtent l="0" t="0" r="6350" b="1905"/>
            <wp:wrapTopAndBottom/>
            <wp:docPr id="1173713818"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14:sizeRelH relativeFrom="margin">
              <wp14:pctWidth>0</wp14:pctWidth>
            </wp14:sizeRelH>
            <wp14:sizeRelV relativeFrom="margin">
              <wp14:pctHeight>0</wp14:pctHeight>
            </wp14:sizeRelV>
          </wp:anchor>
        </w:drawing>
      </w:r>
      <w:r>
        <w:t>Illustration (1)</w:t>
      </w:r>
    </w:p>
    <w:p w14:paraId="39411694" w14:textId="57164DCD" w:rsidR="00792084" w:rsidRPr="00E235A7" w:rsidRDefault="00792084" w:rsidP="00792084">
      <w:pPr>
        <w:pStyle w:val="NormalWeb"/>
        <w:spacing w:line="360" w:lineRule="auto"/>
        <w:jc w:val="both"/>
      </w:pPr>
      <w:r w:rsidRPr="007E6240">
        <w:t xml:space="preserve">Financial and operational indicators highlight the scale of this decline. Between 2022 and 2024, the hotel’s income statements reveal falling revenues alongside rising operating expenses, resulting in a net loss in the most recent financial year. Balance sheet data further indicates weakening liquidity, declining equity, and increased financial risk. At the same time, operational measures such as decreasing Average Room Rates (ARR) and occupancy levels suggest reduced demand, intensified competition, and ineffective pricing strategies, these metrics are widely recognised as critical performance indicators that directly affect revenue generation and pricing power in hotel operations </w:t>
      </w:r>
      <w:r w:rsidRPr="001A0DBE">
        <w:t>(Cornell</w:t>
      </w:r>
      <w:r w:rsidR="005A070F" w:rsidRPr="001A0DBE">
        <w:t xml:space="preserve"> </w:t>
      </w:r>
      <w:r w:rsidR="00417A9A" w:rsidRPr="001A0DBE">
        <w:t>Center for Hospitality Research</w:t>
      </w:r>
      <w:r w:rsidR="001A0DBE" w:rsidRPr="001A0DBE">
        <w:t xml:space="preserve"> 2024)</w:t>
      </w:r>
      <w:r w:rsidRPr="001A0DBE">
        <w:t xml:space="preserve">. </w:t>
      </w:r>
      <w:r w:rsidRPr="0070588A">
        <w:t>Customer feedback pointing to outdated facilities and declining service quality reinforces the need for urgent intervention</w:t>
      </w:r>
      <w:r>
        <w:t>.</w:t>
      </w:r>
    </w:p>
    <w:p w14:paraId="70A7D8D5" w14:textId="05D88F9D" w:rsidR="00F809C0" w:rsidRDefault="00F97903" w:rsidP="006B5CD6">
      <w:pPr>
        <w:spacing w:line="360" w:lineRule="auto"/>
        <w:jc w:val="both"/>
      </w:pPr>
      <w:r w:rsidRPr="00F809C0">
        <w:t>Overall, revenue dropped 20.83% from 2022 to 2024, a significant decline reflecting weak demand and competitive pressure, similar to broader industry challenges where ADR and occupancy can shrink under market strain (NetSuite, 2025).</w:t>
      </w:r>
    </w:p>
    <w:p w14:paraId="5BF449A3" w14:textId="77777777" w:rsidR="00792084" w:rsidRPr="00F809C0" w:rsidRDefault="00792084" w:rsidP="006B5CD6">
      <w:pPr>
        <w:spacing w:line="360" w:lineRule="auto"/>
        <w:jc w:val="both"/>
      </w:pPr>
    </w:p>
    <w:p w14:paraId="355B56E0" w14:textId="04D309A0" w:rsidR="001A76AF" w:rsidRDefault="00254D8C" w:rsidP="00EF6DB8">
      <w:pPr>
        <w:spacing w:line="360" w:lineRule="auto"/>
        <w:jc w:val="both"/>
      </w:pPr>
      <w:r>
        <w:lastRenderedPageBreak/>
        <w:t xml:space="preserve">Another Illustration </w:t>
      </w:r>
      <w:r w:rsidR="00EF6DB8">
        <w:t xml:space="preserve">shown below </w:t>
      </w:r>
      <w:r>
        <w:t xml:space="preserve">is the </w:t>
      </w:r>
      <w:r w:rsidR="00C40E51">
        <w:t>p</w:t>
      </w:r>
      <w:r w:rsidR="00C40E51" w:rsidRPr="00F809C0">
        <w:t>rofitability</w:t>
      </w:r>
      <w:r w:rsidR="00C40E51">
        <w:t>;</w:t>
      </w:r>
      <w:r>
        <w:t xml:space="preserve"> it </w:t>
      </w:r>
      <w:r w:rsidR="00F97903" w:rsidRPr="00F809C0">
        <w:t xml:space="preserve">shows an even sharper decline. Net income fell from £300,000 in 2022 to £150,000 in 2023, and then to a £150,000 loss in 2024. </w:t>
      </w:r>
    </w:p>
    <w:p w14:paraId="35C3783C" w14:textId="0C2091FD" w:rsidR="007F200C" w:rsidRPr="00735645" w:rsidRDefault="00F97903" w:rsidP="001A76AF">
      <w:pPr>
        <w:spacing w:line="360" w:lineRule="auto"/>
        <w:jc w:val="both"/>
      </w:pPr>
      <w:r w:rsidRPr="00F809C0">
        <w:t>Net income declined by:</w:t>
      </w:r>
    </w:p>
    <w:p w14:paraId="0D08A87D" w14:textId="720A24FA" w:rsidR="006B5CD6" w:rsidRDefault="00C86884" w:rsidP="00C86884">
      <w:pPr>
        <w:shd w:val="clear" w:color="auto" w:fill="E97132" w:themeFill="accent2"/>
      </w:pPr>
      <w:r>
        <w:t>P</w:t>
      </w:r>
      <w:r w:rsidR="006B5CD6" w:rsidRPr="00F97903">
        <w:t xml:space="preserve">rofit margins (Net Income ÷ </w:t>
      </w:r>
      <w:r w:rsidR="00510628" w:rsidRPr="00F97903">
        <w:t>Revenue)</w:t>
      </w:r>
      <w:r w:rsidR="00510628">
        <w:t xml:space="preserve">                                                                   Table (2)</w:t>
      </w:r>
    </w:p>
    <w:tbl>
      <w:tblPr>
        <w:tblStyle w:val="TableGrid"/>
        <w:tblW w:w="0" w:type="auto"/>
        <w:tblLook w:val="04A0" w:firstRow="1" w:lastRow="0" w:firstColumn="1" w:lastColumn="0" w:noHBand="0" w:noVBand="1"/>
      </w:tblPr>
      <w:tblGrid>
        <w:gridCol w:w="1555"/>
        <w:gridCol w:w="2953"/>
        <w:gridCol w:w="2254"/>
        <w:gridCol w:w="2254"/>
      </w:tblGrid>
      <w:tr w:rsidR="006B5CD6" w14:paraId="203C0A60" w14:textId="77777777" w:rsidTr="00735645">
        <w:tc>
          <w:tcPr>
            <w:tcW w:w="1555" w:type="dxa"/>
            <w:shd w:val="clear" w:color="auto" w:fill="156082" w:themeFill="accent1"/>
          </w:tcPr>
          <w:p w14:paraId="7157E090" w14:textId="36A08174" w:rsidR="006B5CD6" w:rsidRPr="00735645" w:rsidRDefault="006B5CD6" w:rsidP="00F709CD">
            <w:pPr>
              <w:spacing w:before="100" w:beforeAutospacing="1" w:after="100" w:afterAutospacing="1" w:line="360" w:lineRule="auto"/>
              <w:jc w:val="both"/>
              <w:rPr>
                <w:color w:val="FFFFFF" w:themeColor="background1"/>
              </w:rPr>
            </w:pPr>
            <w:r w:rsidRPr="00735645">
              <w:rPr>
                <w:color w:val="FFFFFF" w:themeColor="background1"/>
              </w:rPr>
              <w:t>Year 2022</w:t>
            </w:r>
            <w:r w:rsidR="00735645" w:rsidRPr="00735645">
              <w:rPr>
                <w:color w:val="FFFFFF" w:themeColor="background1"/>
              </w:rPr>
              <w:t>:</w:t>
            </w:r>
          </w:p>
        </w:tc>
        <w:tc>
          <w:tcPr>
            <w:tcW w:w="2953" w:type="dxa"/>
            <w:shd w:val="clear" w:color="auto" w:fill="156082" w:themeFill="accent1"/>
          </w:tcPr>
          <w:p w14:paraId="534EDC3D" w14:textId="17125DAD" w:rsidR="006B5CD6" w:rsidRPr="00735645" w:rsidRDefault="006B5CD6" w:rsidP="00F709CD">
            <w:pPr>
              <w:spacing w:before="100" w:beforeAutospacing="1" w:after="100" w:afterAutospacing="1" w:line="360" w:lineRule="auto"/>
              <w:jc w:val="both"/>
              <w:rPr>
                <w:color w:val="FFFFFF" w:themeColor="background1"/>
              </w:rPr>
            </w:pPr>
            <w:r w:rsidRPr="00735645">
              <w:rPr>
                <w:color w:val="FFFFFF" w:themeColor="background1"/>
              </w:rPr>
              <w:t>(£300</w:t>
            </w:r>
            <w:r w:rsidR="00735645" w:rsidRPr="00735645">
              <w:rPr>
                <w:color w:val="FFFFFF" w:themeColor="background1"/>
              </w:rPr>
              <w:t>,000 ÷ £1,200,000)</w:t>
            </w:r>
          </w:p>
        </w:tc>
        <w:tc>
          <w:tcPr>
            <w:tcW w:w="2254" w:type="dxa"/>
            <w:shd w:val="clear" w:color="auto" w:fill="156082" w:themeFill="accent1"/>
          </w:tcPr>
          <w:p w14:paraId="1363E79B" w14:textId="755C6728" w:rsidR="006B5CD6" w:rsidRPr="00735645" w:rsidRDefault="00735645" w:rsidP="00735645">
            <w:pPr>
              <w:spacing w:before="100" w:beforeAutospacing="1" w:after="100" w:afterAutospacing="1" w:line="360" w:lineRule="auto"/>
              <w:jc w:val="right"/>
              <w:rPr>
                <w:color w:val="FFFFFF" w:themeColor="background1"/>
              </w:rPr>
            </w:pPr>
            <w:r w:rsidRPr="00735645">
              <w:rPr>
                <w:color w:val="FFFFFF" w:themeColor="background1"/>
              </w:rPr>
              <w:t>X 100 =</w:t>
            </w:r>
          </w:p>
        </w:tc>
        <w:tc>
          <w:tcPr>
            <w:tcW w:w="2254" w:type="dxa"/>
            <w:shd w:val="clear" w:color="auto" w:fill="156082" w:themeFill="accent1"/>
          </w:tcPr>
          <w:p w14:paraId="7AB8D7CF" w14:textId="1AB0C89D" w:rsidR="006B5CD6" w:rsidRPr="00735645" w:rsidRDefault="00735645" w:rsidP="00F709CD">
            <w:pPr>
              <w:spacing w:before="100" w:beforeAutospacing="1" w:after="100" w:afterAutospacing="1" w:line="360" w:lineRule="auto"/>
              <w:jc w:val="both"/>
              <w:rPr>
                <w:color w:val="FFFFFF" w:themeColor="background1"/>
              </w:rPr>
            </w:pPr>
            <w:r w:rsidRPr="00735645">
              <w:rPr>
                <w:color w:val="FFFFFF" w:themeColor="background1"/>
              </w:rPr>
              <w:t>Total of 25%</w:t>
            </w:r>
          </w:p>
        </w:tc>
      </w:tr>
      <w:tr w:rsidR="00735645" w14:paraId="6B03993C" w14:textId="77777777" w:rsidTr="00735645">
        <w:tc>
          <w:tcPr>
            <w:tcW w:w="1555" w:type="dxa"/>
            <w:shd w:val="clear" w:color="auto" w:fill="156082" w:themeFill="accent1"/>
          </w:tcPr>
          <w:p w14:paraId="3A66C730" w14:textId="4692FD2E" w:rsidR="00735645" w:rsidRPr="00735645" w:rsidRDefault="00735645" w:rsidP="00735645">
            <w:pPr>
              <w:spacing w:before="100" w:beforeAutospacing="1" w:after="100" w:afterAutospacing="1" w:line="360" w:lineRule="auto"/>
              <w:jc w:val="both"/>
              <w:rPr>
                <w:color w:val="FFFFFF" w:themeColor="background1"/>
              </w:rPr>
            </w:pPr>
            <w:r w:rsidRPr="00735645">
              <w:rPr>
                <w:color w:val="FFFFFF" w:themeColor="background1"/>
              </w:rPr>
              <w:t>Year 2023:</w:t>
            </w:r>
          </w:p>
        </w:tc>
        <w:tc>
          <w:tcPr>
            <w:tcW w:w="2953" w:type="dxa"/>
            <w:shd w:val="clear" w:color="auto" w:fill="156082" w:themeFill="accent1"/>
          </w:tcPr>
          <w:p w14:paraId="13F44CC3" w14:textId="2378E763" w:rsidR="00735645" w:rsidRPr="00735645" w:rsidRDefault="00735645" w:rsidP="00735645">
            <w:pPr>
              <w:spacing w:before="100" w:beforeAutospacing="1" w:after="100" w:afterAutospacing="1" w:line="360" w:lineRule="auto"/>
              <w:jc w:val="both"/>
              <w:rPr>
                <w:color w:val="FFFFFF" w:themeColor="background1"/>
              </w:rPr>
            </w:pPr>
            <w:r w:rsidRPr="00735645">
              <w:rPr>
                <w:color w:val="FFFFFF" w:themeColor="background1"/>
              </w:rPr>
              <w:t>(£150,000 ÷ £1,100,000)</w:t>
            </w:r>
          </w:p>
        </w:tc>
        <w:tc>
          <w:tcPr>
            <w:tcW w:w="2254" w:type="dxa"/>
            <w:shd w:val="clear" w:color="auto" w:fill="156082" w:themeFill="accent1"/>
          </w:tcPr>
          <w:p w14:paraId="1E31A3E4" w14:textId="00421A1C" w:rsidR="00735645" w:rsidRPr="00735645" w:rsidRDefault="00735645" w:rsidP="00735645">
            <w:pPr>
              <w:spacing w:before="100" w:beforeAutospacing="1" w:after="100" w:afterAutospacing="1" w:line="360" w:lineRule="auto"/>
              <w:jc w:val="right"/>
              <w:rPr>
                <w:color w:val="FFFFFF" w:themeColor="background1"/>
              </w:rPr>
            </w:pPr>
            <w:r w:rsidRPr="00735645">
              <w:rPr>
                <w:color w:val="FFFFFF" w:themeColor="background1"/>
              </w:rPr>
              <w:t>X 100 =</w:t>
            </w:r>
          </w:p>
        </w:tc>
        <w:tc>
          <w:tcPr>
            <w:tcW w:w="2254" w:type="dxa"/>
            <w:shd w:val="clear" w:color="auto" w:fill="156082" w:themeFill="accent1"/>
          </w:tcPr>
          <w:p w14:paraId="71692D81" w14:textId="6DF9AC5B" w:rsidR="00735645" w:rsidRPr="00735645" w:rsidRDefault="00735645" w:rsidP="00735645">
            <w:pPr>
              <w:spacing w:before="100" w:beforeAutospacing="1" w:after="100" w:afterAutospacing="1" w:line="360" w:lineRule="auto"/>
              <w:jc w:val="both"/>
              <w:rPr>
                <w:color w:val="FFFFFF" w:themeColor="background1"/>
              </w:rPr>
            </w:pPr>
            <w:r w:rsidRPr="00735645">
              <w:rPr>
                <w:color w:val="FFFFFF" w:themeColor="background1"/>
              </w:rPr>
              <w:t>Total of 13.64%</w:t>
            </w:r>
          </w:p>
        </w:tc>
      </w:tr>
      <w:tr w:rsidR="00735645" w14:paraId="2F071653" w14:textId="77777777" w:rsidTr="00735645">
        <w:tc>
          <w:tcPr>
            <w:tcW w:w="1555" w:type="dxa"/>
            <w:shd w:val="clear" w:color="auto" w:fill="156082" w:themeFill="accent1"/>
          </w:tcPr>
          <w:p w14:paraId="041A77E1" w14:textId="1007B6D7" w:rsidR="00735645" w:rsidRPr="00735645" w:rsidRDefault="00735645" w:rsidP="00735645">
            <w:pPr>
              <w:spacing w:before="100" w:beforeAutospacing="1" w:after="100" w:afterAutospacing="1" w:line="360" w:lineRule="auto"/>
              <w:jc w:val="both"/>
              <w:rPr>
                <w:color w:val="FFFFFF" w:themeColor="background1"/>
              </w:rPr>
            </w:pPr>
            <w:r w:rsidRPr="00735645">
              <w:rPr>
                <w:color w:val="FFFFFF" w:themeColor="background1"/>
              </w:rPr>
              <w:t>Year 2024:</w:t>
            </w:r>
          </w:p>
        </w:tc>
        <w:tc>
          <w:tcPr>
            <w:tcW w:w="2953" w:type="dxa"/>
            <w:shd w:val="clear" w:color="auto" w:fill="156082" w:themeFill="accent1"/>
          </w:tcPr>
          <w:p w14:paraId="0675A791" w14:textId="27006FEB" w:rsidR="00735645" w:rsidRPr="00735645" w:rsidRDefault="00735645" w:rsidP="00735645">
            <w:pPr>
              <w:spacing w:before="100" w:beforeAutospacing="1" w:after="100" w:afterAutospacing="1" w:line="360" w:lineRule="auto"/>
              <w:jc w:val="both"/>
              <w:rPr>
                <w:color w:val="FFFFFF" w:themeColor="background1"/>
              </w:rPr>
            </w:pPr>
            <w:r w:rsidRPr="00735645">
              <w:rPr>
                <w:color w:val="FFFFFF" w:themeColor="background1"/>
              </w:rPr>
              <w:t>(-£150,000 ÷ £950,000)</w:t>
            </w:r>
          </w:p>
        </w:tc>
        <w:tc>
          <w:tcPr>
            <w:tcW w:w="2254" w:type="dxa"/>
            <w:shd w:val="clear" w:color="auto" w:fill="156082" w:themeFill="accent1"/>
          </w:tcPr>
          <w:p w14:paraId="6AAA1B52" w14:textId="14E7AE31" w:rsidR="00735645" w:rsidRPr="00735645" w:rsidRDefault="00735645" w:rsidP="00735645">
            <w:pPr>
              <w:spacing w:before="100" w:beforeAutospacing="1" w:after="100" w:afterAutospacing="1" w:line="360" w:lineRule="auto"/>
              <w:jc w:val="right"/>
              <w:rPr>
                <w:color w:val="FFFFFF" w:themeColor="background1"/>
              </w:rPr>
            </w:pPr>
            <w:r w:rsidRPr="00735645">
              <w:rPr>
                <w:color w:val="FFFFFF" w:themeColor="background1"/>
              </w:rPr>
              <w:t>X 100 =</w:t>
            </w:r>
          </w:p>
        </w:tc>
        <w:tc>
          <w:tcPr>
            <w:tcW w:w="2254" w:type="dxa"/>
            <w:shd w:val="clear" w:color="auto" w:fill="156082" w:themeFill="accent1"/>
          </w:tcPr>
          <w:p w14:paraId="1AE71B18" w14:textId="3776BF94" w:rsidR="00735645" w:rsidRPr="00735645" w:rsidRDefault="00735645" w:rsidP="00735645">
            <w:pPr>
              <w:spacing w:before="100" w:beforeAutospacing="1" w:after="100" w:afterAutospacing="1" w:line="360" w:lineRule="auto"/>
              <w:jc w:val="both"/>
              <w:rPr>
                <w:color w:val="FFFFFF" w:themeColor="background1"/>
              </w:rPr>
            </w:pPr>
            <w:r w:rsidRPr="00735645">
              <w:rPr>
                <w:color w:val="FFFFFF" w:themeColor="background1"/>
              </w:rPr>
              <w:t>Total of 15.79%</w:t>
            </w:r>
          </w:p>
        </w:tc>
      </w:tr>
    </w:tbl>
    <w:p w14:paraId="3D5DE9F7" w14:textId="77777777" w:rsidR="00C86884" w:rsidRDefault="007F200C" w:rsidP="00C86884">
      <w:pPr>
        <w:spacing w:before="100" w:beforeAutospacing="1" w:after="100" w:afterAutospacing="1" w:line="360" w:lineRule="auto"/>
        <w:jc w:val="both"/>
      </w:pPr>
      <w:r w:rsidRPr="00F97903">
        <w:t>This swing into negative margins reflects not just revenue loss but also rising costs</w:t>
      </w:r>
      <w:r>
        <w:t>.</w:t>
      </w:r>
      <w:r w:rsidR="00C86884">
        <w:t xml:space="preserve"> </w:t>
      </w:r>
      <w:r w:rsidR="00C86884" w:rsidRPr="00F97903">
        <w:t xml:space="preserve">Operating expenses rose from </w:t>
      </w:r>
      <w:r w:rsidR="00C86884" w:rsidRPr="00F97903">
        <w:rPr>
          <w:rFonts w:eastAsiaTheme="majorEastAsia"/>
        </w:rPr>
        <w:t>£900,000 (2022)</w:t>
      </w:r>
      <w:r w:rsidR="00C86884" w:rsidRPr="00F97903">
        <w:t xml:space="preserve"> to </w:t>
      </w:r>
      <w:r w:rsidR="00C86884" w:rsidRPr="00F97903">
        <w:rPr>
          <w:rFonts w:eastAsiaTheme="majorEastAsia"/>
        </w:rPr>
        <w:t>£1,100,000 (2024)</w:t>
      </w:r>
      <w:r w:rsidR="00C86884" w:rsidRPr="00F97903">
        <w:t xml:space="preserve">: an increase of </w:t>
      </w:r>
      <w:r w:rsidR="00C86884" w:rsidRPr="00F97903">
        <w:rPr>
          <w:rFonts w:eastAsiaTheme="majorEastAsia"/>
        </w:rPr>
        <w:t>£200,000</w:t>
      </w:r>
      <w:r w:rsidR="00C86884" w:rsidRPr="00F97903">
        <w:t xml:space="preserve"> over two years. This growth in costs alongside falling sales is a common stress factor in hospitality, especially when labour and overhead costs rise faster than revenues (Opus Business Advisory Group, 2025).</w:t>
      </w:r>
    </w:p>
    <w:p w14:paraId="556EAAAA" w14:textId="34A4EA2B" w:rsidR="00F14392" w:rsidRDefault="00AE0265" w:rsidP="00E0666E">
      <w:pPr>
        <w:shd w:val="clear" w:color="auto" w:fill="E97132" w:themeFill="accent2"/>
      </w:pPr>
      <w:r>
        <w:t>Balance Sheet (</w:t>
      </w:r>
      <w:r w:rsidR="007A5208">
        <w:t>IN</w:t>
      </w:r>
      <w:r>
        <w:t xml:space="preserve"> </w:t>
      </w:r>
      <w:r w:rsidR="007A5208">
        <w:t xml:space="preserve">GBP)  </w:t>
      </w:r>
      <w:r w:rsidR="00510628">
        <w:t xml:space="preserve">                                                                                       Table (3)</w:t>
      </w:r>
    </w:p>
    <w:tbl>
      <w:tblPr>
        <w:tblStyle w:val="TableGrid"/>
        <w:tblW w:w="9067" w:type="dxa"/>
        <w:tblLook w:val="04A0" w:firstRow="1" w:lastRow="0" w:firstColumn="1" w:lastColumn="0" w:noHBand="0" w:noVBand="1"/>
      </w:tblPr>
      <w:tblGrid>
        <w:gridCol w:w="2830"/>
        <w:gridCol w:w="1678"/>
        <w:gridCol w:w="1724"/>
        <w:gridCol w:w="2835"/>
      </w:tblGrid>
      <w:tr w:rsidR="00F14392" w14:paraId="4DA31559" w14:textId="77777777" w:rsidTr="00E0666E">
        <w:tc>
          <w:tcPr>
            <w:tcW w:w="2830" w:type="dxa"/>
            <w:shd w:val="clear" w:color="auto" w:fill="156082" w:themeFill="accent1"/>
          </w:tcPr>
          <w:p w14:paraId="10A81941" w14:textId="39FE4334" w:rsidR="00F14392" w:rsidRPr="00C86884" w:rsidRDefault="00F14392" w:rsidP="007F200C">
            <w:pPr>
              <w:spacing w:before="100" w:beforeAutospacing="1" w:after="100" w:afterAutospacing="1"/>
              <w:jc w:val="both"/>
              <w:rPr>
                <w:b/>
                <w:bCs/>
                <w:color w:val="FFFFFF" w:themeColor="background1"/>
              </w:rPr>
            </w:pPr>
            <w:r w:rsidRPr="00C86884">
              <w:rPr>
                <w:b/>
                <w:bCs/>
                <w:color w:val="FFFFFF" w:themeColor="background1"/>
              </w:rPr>
              <w:t>Asset/Liability</w:t>
            </w:r>
          </w:p>
        </w:tc>
        <w:tc>
          <w:tcPr>
            <w:tcW w:w="1678" w:type="dxa"/>
            <w:shd w:val="clear" w:color="auto" w:fill="156082" w:themeFill="accent1"/>
          </w:tcPr>
          <w:p w14:paraId="1BDD990C" w14:textId="657F2BCF" w:rsidR="00F14392" w:rsidRPr="00C86884" w:rsidRDefault="00F14392" w:rsidP="007F200C">
            <w:pPr>
              <w:spacing w:before="100" w:beforeAutospacing="1" w:after="100" w:afterAutospacing="1"/>
              <w:jc w:val="both"/>
              <w:rPr>
                <w:b/>
                <w:bCs/>
                <w:color w:val="FFFFFF" w:themeColor="background1"/>
              </w:rPr>
            </w:pPr>
            <w:r w:rsidRPr="00C86884">
              <w:rPr>
                <w:b/>
                <w:bCs/>
                <w:color w:val="FFFFFF" w:themeColor="background1"/>
              </w:rPr>
              <w:t>2022</w:t>
            </w:r>
          </w:p>
        </w:tc>
        <w:tc>
          <w:tcPr>
            <w:tcW w:w="1724" w:type="dxa"/>
            <w:shd w:val="clear" w:color="auto" w:fill="156082" w:themeFill="accent1"/>
          </w:tcPr>
          <w:p w14:paraId="1F45314F" w14:textId="384A97AD" w:rsidR="00F14392" w:rsidRPr="00C86884" w:rsidRDefault="00F14392" w:rsidP="007F200C">
            <w:pPr>
              <w:spacing w:before="100" w:beforeAutospacing="1" w:after="100" w:afterAutospacing="1"/>
              <w:jc w:val="both"/>
              <w:rPr>
                <w:b/>
                <w:bCs/>
                <w:color w:val="FFFFFF" w:themeColor="background1"/>
              </w:rPr>
            </w:pPr>
            <w:r w:rsidRPr="00C86884">
              <w:rPr>
                <w:b/>
                <w:bCs/>
                <w:color w:val="FFFFFF" w:themeColor="background1"/>
              </w:rPr>
              <w:t>2023</w:t>
            </w:r>
          </w:p>
        </w:tc>
        <w:tc>
          <w:tcPr>
            <w:tcW w:w="2835" w:type="dxa"/>
            <w:shd w:val="clear" w:color="auto" w:fill="156082" w:themeFill="accent1"/>
          </w:tcPr>
          <w:p w14:paraId="3C817645" w14:textId="55B28133" w:rsidR="00F14392" w:rsidRPr="00C86884" w:rsidRDefault="00F14392" w:rsidP="007F200C">
            <w:pPr>
              <w:spacing w:before="100" w:beforeAutospacing="1" w:after="100" w:afterAutospacing="1"/>
              <w:jc w:val="both"/>
              <w:rPr>
                <w:b/>
                <w:bCs/>
                <w:color w:val="FFFFFF" w:themeColor="background1"/>
              </w:rPr>
            </w:pPr>
            <w:r w:rsidRPr="00C86884">
              <w:rPr>
                <w:b/>
                <w:bCs/>
                <w:color w:val="FFFFFF" w:themeColor="background1"/>
              </w:rPr>
              <w:t>2024</w:t>
            </w:r>
          </w:p>
        </w:tc>
      </w:tr>
      <w:tr w:rsidR="00F14392" w14:paraId="584D9BBE" w14:textId="77777777" w:rsidTr="00E0666E">
        <w:tc>
          <w:tcPr>
            <w:tcW w:w="2830" w:type="dxa"/>
            <w:shd w:val="clear" w:color="auto" w:fill="156082" w:themeFill="accent1"/>
          </w:tcPr>
          <w:p w14:paraId="0476E0D6" w14:textId="6D24873A" w:rsidR="00F14392" w:rsidRPr="00C86884" w:rsidRDefault="00F14392" w:rsidP="00F14392">
            <w:pPr>
              <w:spacing w:before="100" w:beforeAutospacing="1" w:after="100" w:afterAutospacing="1"/>
              <w:rPr>
                <w:color w:val="FFFFFF" w:themeColor="background1"/>
              </w:rPr>
            </w:pPr>
            <w:r w:rsidRPr="00C86884">
              <w:rPr>
                <w:color w:val="FFFFFF" w:themeColor="background1"/>
              </w:rPr>
              <w:t>Cash and Equivalents</w:t>
            </w:r>
          </w:p>
        </w:tc>
        <w:tc>
          <w:tcPr>
            <w:tcW w:w="1678" w:type="dxa"/>
            <w:shd w:val="clear" w:color="auto" w:fill="156082" w:themeFill="accent1"/>
          </w:tcPr>
          <w:p w14:paraId="5F9C1BA0" w14:textId="0C9D1360"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£100,000</w:t>
            </w:r>
          </w:p>
        </w:tc>
        <w:tc>
          <w:tcPr>
            <w:tcW w:w="1724" w:type="dxa"/>
            <w:shd w:val="clear" w:color="auto" w:fill="156082" w:themeFill="accent1"/>
          </w:tcPr>
          <w:p w14:paraId="02DCB793" w14:textId="23308A79"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£80,000</w:t>
            </w:r>
          </w:p>
        </w:tc>
        <w:tc>
          <w:tcPr>
            <w:tcW w:w="2835" w:type="dxa"/>
            <w:shd w:val="clear" w:color="auto" w:fill="156082" w:themeFill="accent1"/>
          </w:tcPr>
          <w:p w14:paraId="687B2BD6" w14:textId="5227FC39"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£20,000</w:t>
            </w:r>
          </w:p>
        </w:tc>
      </w:tr>
      <w:tr w:rsidR="00F14392" w14:paraId="4B8CCCCD" w14:textId="77777777" w:rsidTr="00E0666E">
        <w:tc>
          <w:tcPr>
            <w:tcW w:w="2830" w:type="dxa"/>
            <w:shd w:val="clear" w:color="auto" w:fill="156082" w:themeFill="accent1"/>
          </w:tcPr>
          <w:p w14:paraId="345CA130" w14:textId="0CF7B7A4"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Accounts Receivable</w:t>
            </w:r>
          </w:p>
        </w:tc>
        <w:tc>
          <w:tcPr>
            <w:tcW w:w="1678" w:type="dxa"/>
            <w:shd w:val="clear" w:color="auto" w:fill="156082" w:themeFill="accent1"/>
          </w:tcPr>
          <w:p w14:paraId="60A08E1F" w14:textId="79839B5D"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w:t>
            </w:r>
            <w:r w:rsidR="00C86884" w:rsidRPr="00C86884">
              <w:rPr>
                <w:color w:val="FFFFFF" w:themeColor="background1"/>
              </w:rPr>
              <w:t>50,000</w:t>
            </w:r>
          </w:p>
        </w:tc>
        <w:tc>
          <w:tcPr>
            <w:tcW w:w="1724" w:type="dxa"/>
            <w:shd w:val="clear" w:color="auto" w:fill="156082" w:themeFill="accent1"/>
          </w:tcPr>
          <w:p w14:paraId="0A791362" w14:textId="0D8556F4"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£40,000</w:t>
            </w:r>
          </w:p>
        </w:tc>
        <w:tc>
          <w:tcPr>
            <w:tcW w:w="2835" w:type="dxa"/>
            <w:shd w:val="clear" w:color="auto" w:fill="156082" w:themeFill="accent1"/>
          </w:tcPr>
          <w:p w14:paraId="61E93B17" w14:textId="399F84FD"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£30,000</w:t>
            </w:r>
          </w:p>
        </w:tc>
      </w:tr>
      <w:tr w:rsidR="00F14392" w14:paraId="0BFC4542" w14:textId="77777777" w:rsidTr="00E0666E">
        <w:tc>
          <w:tcPr>
            <w:tcW w:w="2830" w:type="dxa"/>
            <w:shd w:val="clear" w:color="auto" w:fill="156082" w:themeFill="accent1"/>
          </w:tcPr>
          <w:p w14:paraId="7399C071" w14:textId="1DF2F92B"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Property and Equipment</w:t>
            </w:r>
          </w:p>
        </w:tc>
        <w:tc>
          <w:tcPr>
            <w:tcW w:w="1678" w:type="dxa"/>
            <w:shd w:val="clear" w:color="auto" w:fill="156082" w:themeFill="accent1"/>
          </w:tcPr>
          <w:p w14:paraId="6C78A56F" w14:textId="6488854E"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£2,000,000</w:t>
            </w:r>
          </w:p>
        </w:tc>
        <w:tc>
          <w:tcPr>
            <w:tcW w:w="1724" w:type="dxa"/>
            <w:shd w:val="clear" w:color="auto" w:fill="156082" w:themeFill="accent1"/>
          </w:tcPr>
          <w:p w14:paraId="6B6F9339" w14:textId="3DDDD36E"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£2,000,000</w:t>
            </w:r>
          </w:p>
        </w:tc>
        <w:tc>
          <w:tcPr>
            <w:tcW w:w="2835" w:type="dxa"/>
            <w:shd w:val="clear" w:color="auto" w:fill="156082" w:themeFill="accent1"/>
          </w:tcPr>
          <w:p w14:paraId="326FF44F" w14:textId="650F3B47"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£1,800,000</w:t>
            </w:r>
          </w:p>
        </w:tc>
      </w:tr>
      <w:tr w:rsidR="00F14392" w14:paraId="125A3FDA" w14:textId="77777777" w:rsidTr="00E0666E">
        <w:tc>
          <w:tcPr>
            <w:tcW w:w="2830" w:type="dxa"/>
            <w:shd w:val="clear" w:color="auto" w:fill="156082" w:themeFill="accent1"/>
          </w:tcPr>
          <w:p w14:paraId="67F99E2F" w14:textId="1E840FAC"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Total Assets</w:t>
            </w:r>
          </w:p>
        </w:tc>
        <w:tc>
          <w:tcPr>
            <w:tcW w:w="1678" w:type="dxa"/>
            <w:shd w:val="clear" w:color="auto" w:fill="156082" w:themeFill="accent1"/>
          </w:tcPr>
          <w:p w14:paraId="6E366D87" w14:textId="7CAC943C"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£2,150,000</w:t>
            </w:r>
          </w:p>
        </w:tc>
        <w:tc>
          <w:tcPr>
            <w:tcW w:w="1724" w:type="dxa"/>
            <w:shd w:val="clear" w:color="auto" w:fill="156082" w:themeFill="accent1"/>
          </w:tcPr>
          <w:p w14:paraId="3914C8EF" w14:textId="7CDDA9E9"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£2,120,000</w:t>
            </w:r>
          </w:p>
        </w:tc>
        <w:tc>
          <w:tcPr>
            <w:tcW w:w="2835" w:type="dxa"/>
            <w:shd w:val="clear" w:color="auto" w:fill="156082" w:themeFill="accent1"/>
          </w:tcPr>
          <w:p w14:paraId="6D6D3A16" w14:textId="71B176B6"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£1,850,000</w:t>
            </w:r>
          </w:p>
        </w:tc>
      </w:tr>
      <w:tr w:rsidR="00F14392" w14:paraId="73A7B6EC" w14:textId="77777777" w:rsidTr="00E0666E">
        <w:tc>
          <w:tcPr>
            <w:tcW w:w="2830" w:type="dxa"/>
            <w:shd w:val="clear" w:color="auto" w:fill="156082" w:themeFill="accent1"/>
          </w:tcPr>
          <w:p w14:paraId="2B504A5D" w14:textId="4B6EE2E4"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Accounts Payable</w:t>
            </w:r>
          </w:p>
        </w:tc>
        <w:tc>
          <w:tcPr>
            <w:tcW w:w="1678" w:type="dxa"/>
            <w:shd w:val="clear" w:color="auto" w:fill="156082" w:themeFill="accent1"/>
          </w:tcPr>
          <w:p w14:paraId="4241A628" w14:textId="16FCF712"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£30,000</w:t>
            </w:r>
          </w:p>
        </w:tc>
        <w:tc>
          <w:tcPr>
            <w:tcW w:w="1724" w:type="dxa"/>
            <w:shd w:val="clear" w:color="auto" w:fill="156082" w:themeFill="accent1"/>
          </w:tcPr>
          <w:p w14:paraId="6B90143C" w14:textId="5645DE1C"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£40,000</w:t>
            </w:r>
          </w:p>
        </w:tc>
        <w:tc>
          <w:tcPr>
            <w:tcW w:w="2835" w:type="dxa"/>
            <w:shd w:val="clear" w:color="auto" w:fill="156082" w:themeFill="accent1"/>
          </w:tcPr>
          <w:p w14:paraId="11653B7C" w14:textId="1B7F13D8"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£50,000</w:t>
            </w:r>
          </w:p>
        </w:tc>
      </w:tr>
      <w:tr w:rsidR="00F14392" w14:paraId="208DF45C" w14:textId="77777777" w:rsidTr="00E0666E">
        <w:tc>
          <w:tcPr>
            <w:tcW w:w="2830" w:type="dxa"/>
            <w:shd w:val="clear" w:color="auto" w:fill="156082" w:themeFill="accent1"/>
          </w:tcPr>
          <w:p w14:paraId="09A0B097" w14:textId="4ED40BBF"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Long-term Debt</w:t>
            </w:r>
          </w:p>
        </w:tc>
        <w:tc>
          <w:tcPr>
            <w:tcW w:w="1678" w:type="dxa"/>
            <w:shd w:val="clear" w:color="auto" w:fill="156082" w:themeFill="accent1"/>
          </w:tcPr>
          <w:p w14:paraId="74A336B1" w14:textId="54E057E2"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 xml:space="preserve">£1,500,000 </w:t>
            </w:r>
          </w:p>
        </w:tc>
        <w:tc>
          <w:tcPr>
            <w:tcW w:w="1724" w:type="dxa"/>
            <w:shd w:val="clear" w:color="auto" w:fill="156082" w:themeFill="accent1"/>
          </w:tcPr>
          <w:p w14:paraId="34761A17" w14:textId="627B1745"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£1,500,000</w:t>
            </w:r>
          </w:p>
        </w:tc>
        <w:tc>
          <w:tcPr>
            <w:tcW w:w="2835" w:type="dxa"/>
            <w:shd w:val="clear" w:color="auto" w:fill="156082" w:themeFill="accent1"/>
          </w:tcPr>
          <w:p w14:paraId="31D3AC83" w14:textId="39EE741E"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£1,500,000</w:t>
            </w:r>
          </w:p>
        </w:tc>
      </w:tr>
      <w:tr w:rsidR="00F14392" w14:paraId="4699E2F7" w14:textId="77777777" w:rsidTr="00E0666E">
        <w:tc>
          <w:tcPr>
            <w:tcW w:w="2830" w:type="dxa"/>
            <w:shd w:val="clear" w:color="auto" w:fill="156082" w:themeFill="accent1"/>
          </w:tcPr>
          <w:p w14:paraId="00E42DF0" w14:textId="70DB71D2"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Total Liabilities</w:t>
            </w:r>
          </w:p>
        </w:tc>
        <w:tc>
          <w:tcPr>
            <w:tcW w:w="1678" w:type="dxa"/>
            <w:shd w:val="clear" w:color="auto" w:fill="156082" w:themeFill="accent1"/>
          </w:tcPr>
          <w:p w14:paraId="4CC312B9" w14:textId="57DAEC03"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£1,530,000</w:t>
            </w:r>
          </w:p>
        </w:tc>
        <w:tc>
          <w:tcPr>
            <w:tcW w:w="1724" w:type="dxa"/>
            <w:shd w:val="clear" w:color="auto" w:fill="156082" w:themeFill="accent1"/>
          </w:tcPr>
          <w:p w14:paraId="72B2286F" w14:textId="6FC8529A"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£1,540,000</w:t>
            </w:r>
          </w:p>
        </w:tc>
        <w:tc>
          <w:tcPr>
            <w:tcW w:w="2835" w:type="dxa"/>
            <w:shd w:val="clear" w:color="auto" w:fill="156082" w:themeFill="accent1"/>
          </w:tcPr>
          <w:p w14:paraId="37C61ED7" w14:textId="6F412F14"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£1,550,000</w:t>
            </w:r>
          </w:p>
        </w:tc>
      </w:tr>
      <w:tr w:rsidR="00F14392" w14:paraId="149F0A3E" w14:textId="77777777" w:rsidTr="00E0666E">
        <w:tc>
          <w:tcPr>
            <w:tcW w:w="2830" w:type="dxa"/>
            <w:shd w:val="clear" w:color="auto" w:fill="156082" w:themeFill="accent1"/>
          </w:tcPr>
          <w:p w14:paraId="18A4F4CD" w14:textId="34A13AC1" w:rsidR="00F14392" w:rsidRPr="00C86884" w:rsidRDefault="00F14392" w:rsidP="007F200C">
            <w:pPr>
              <w:spacing w:before="100" w:beforeAutospacing="1" w:after="100" w:afterAutospacing="1"/>
              <w:jc w:val="both"/>
              <w:rPr>
                <w:color w:val="FFFFFF" w:themeColor="background1"/>
              </w:rPr>
            </w:pPr>
            <w:r w:rsidRPr="00C86884">
              <w:rPr>
                <w:color w:val="FFFFFF" w:themeColor="background1"/>
              </w:rPr>
              <w:t>Equity</w:t>
            </w:r>
          </w:p>
        </w:tc>
        <w:tc>
          <w:tcPr>
            <w:tcW w:w="1678" w:type="dxa"/>
            <w:shd w:val="clear" w:color="auto" w:fill="156082" w:themeFill="accent1"/>
          </w:tcPr>
          <w:p w14:paraId="0B501280" w14:textId="573B7B08"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£620,000</w:t>
            </w:r>
          </w:p>
        </w:tc>
        <w:tc>
          <w:tcPr>
            <w:tcW w:w="1724" w:type="dxa"/>
            <w:shd w:val="clear" w:color="auto" w:fill="156082" w:themeFill="accent1"/>
          </w:tcPr>
          <w:p w14:paraId="19E26A8E" w14:textId="1CA43CC5"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£580,000</w:t>
            </w:r>
          </w:p>
        </w:tc>
        <w:tc>
          <w:tcPr>
            <w:tcW w:w="2835" w:type="dxa"/>
            <w:shd w:val="clear" w:color="auto" w:fill="156082" w:themeFill="accent1"/>
          </w:tcPr>
          <w:p w14:paraId="1E1E89F4" w14:textId="37FD645B" w:rsidR="00F14392" w:rsidRPr="00C86884" w:rsidRDefault="00C86884" w:rsidP="007F200C">
            <w:pPr>
              <w:spacing w:before="100" w:beforeAutospacing="1" w:after="100" w:afterAutospacing="1"/>
              <w:jc w:val="both"/>
              <w:rPr>
                <w:color w:val="FFFFFF" w:themeColor="background1"/>
              </w:rPr>
            </w:pPr>
            <w:r w:rsidRPr="00C86884">
              <w:rPr>
                <w:color w:val="FFFFFF" w:themeColor="background1"/>
              </w:rPr>
              <w:t>£300,000</w:t>
            </w:r>
          </w:p>
        </w:tc>
      </w:tr>
    </w:tbl>
    <w:p w14:paraId="3B53E869" w14:textId="77777777" w:rsidR="00AE0265" w:rsidRPr="00C86884" w:rsidRDefault="00AE0265" w:rsidP="00C86884"/>
    <w:p w14:paraId="5FDF35FC" w14:textId="7A77D3BC" w:rsidR="007A5208" w:rsidRDefault="00F97903" w:rsidP="007F200C">
      <w:pPr>
        <w:spacing w:line="360" w:lineRule="auto"/>
        <w:jc w:val="both"/>
      </w:pPr>
      <w:r w:rsidRPr="00F97903">
        <w:t>On the balance sheet</w:t>
      </w:r>
      <w:r w:rsidR="00C86884">
        <w:t xml:space="preserve"> shown above</w:t>
      </w:r>
      <w:r w:rsidRPr="00F97903">
        <w:t xml:space="preserve"> </w:t>
      </w:r>
      <w:r w:rsidRPr="00F97903">
        <w:rPr>
          <w:rFonts w:eastAsiaTheme="majorEastAsia"/>
        </w:rPr>
        <w:t>cash and equivalents fell</w:t>
      </w:r>
      <w:r w:rsidRPr="00F97903">
        <w:t xml:space="preserve"> sharply from £100,000 (2022) to £20,000</w:t>
      </w:r>
      <w:r w:rsidR="00C86884">
        <w:t xml:space="preserve"> in</w:t>
      </w:r>
      <w:r w:rsidRPr="00F97903">
        <w:t xml:space="preserve"> (2024), indicating liquidity pressures. Total assets declined by £300,000 over the same period, partly due to reduced property and equipment values, reflecting potential deferred maintenance or asset write-downs.</w:t>
      </w:r>
      <w:r w:rsidR="00E0666E">
        <w:t xml:space="preserve"> </w:t>
      </w:r>
      <w:r w:rsidRPr="00F97903">
        <w:t xml:space="preserve">Equity dropped from </w:t>
      </w:r>
      <w:r w:rsidRPr="00F97903">
        <w:rPr>
          <w:rFonts w:eastAsiaTheme="majorEastAsia"/>
        </w:rPr>
        <w:t>£620,000 to £300,000</w:t>
      </w:r>
      <w:r w:rsidRPr="00F97903">
        <w:t xml:space="preserve">, a </w:t>
      </w:r>
      <w:r w:rsidRPr="00F97903">
        <w:rPr>
          <w:rFonts w:eastAsiaTheme="majorEastAsia"/>
        </w:rPr>
        <w:t>£320,000 fall</w:t>
      </w:r>
      <w:r w:rsidRPr="00F97903">
        <w:t xml:space="preserve">, mainly due to accumulated losses, while long-term debt stayed constant at £1,500,000. </w:t>
      </w:r>
    </w:p>
    <w:p w14:paraId="73AE5064" w14:textId="63F1E163" w:rsidR="007A5208" w:rsidRDefault="007A5208" w:rsidP="007F200C">
      <w:pPr>
        <w:spacing w:line="360" w:lineRule="auto"/>
        <w:jc w:val="both"/>
      </w:pPr>
      <w:r w:rsidRPr="000158EB">
        <w:rPr>
          <w:noProof/>
          <w:shd w:val="clear" w:color="auto" w:fill="E97132" w:themeFill="accent2"/>
          <w14:ligatures w14:val="standardContextual"/>
        </w:rPr>
        <w:drawing>
          <wp:anchor distT="0" distB="0" distL="114300" distR="114300" simplePos="0" relativeHeight="251668480" behindDoc="0" locked="0" layoutInCell="1" allowOverlap="1" wp14:anchorId="75BE0854" wp14:editId="51607AE4">
            <wp:simplePos x="0" y="0"/>
            <wp:positionH relativeFrom="margin">
              <wp:align>left</wp:align>
            </wp:positionH>
            <wp:positionV relativeFrom="page">
              <wp:posOffset>7884849</wp:posOffset>
            </wp:positionV>
            <wp:extent cx="5925185" cy="791845"/>
            <wp:effectExtent l="0" t="0" r="18415" b="27305"/>
            <wp:wrapTopAndBottom/>
            <wp:docPr id="731707293"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14:sizeRelH relativeFrom="margin">
              <wp14:pctWidth>0</wp14:pctWidth>
            </wp14:sizeRelH>
            <wp14:sizeRelV relativeFrom="margin">
              <wp14:pctHeight>0</wp14:pctHeight>
            </wp14:sizeRelV>
          </wp:anchor>
        </w:drawing>
      </w:r>
      <w:r>
        <w:t>Illustration (2)</w:t>
      </w:r>
    </w:p>
    <w:p w14:paraId="0D07BC18" w14:textId="1126E043" w:rsidR="00080C8D" w:rsidRDefault="00F97903" w:rsidP="007A5208">
      <w:pPr>
        <w:spacing w:line="360" w:lineRule="auto"/>
        <w:jc w:val="both"/>
      </w:pPr>
      <w:r w:rsidRPr="00F97903">
        <w:t>The debt-to-equity ratio therefore worsened significantly, indicating greater financial risk.</w:t>
      </w:r>
      <w:r w:rsidR="007F200C">
        <w:t xml:space="preserve"> </w:t>
      </w:r>
    </w:p>
    <w:p w14:paraId="07B1BCDF" w14:textId="0F41ED0E" w:rsidR="005954DA" w:rsidRDefault="007F200C" w:rsidP="007A5208">
      <w:pPr>
        <w:spacing w:line="360" w:lineRule="auto"/>
        <w:jc w:val="both"/>
      </w:pPr>
      <w:r>
        <w:t xml:space="preserve">To summarise </w:t>
      </w:r>
      <w:r w:rsidR="00080C8D">
        <w:t>t</w:t>
      </w:r>
      <w:r w:rsidR="00F97903" w:rsidRPr="00F97903">
        <w:t xml:space="preserve">he Coastal Horizon Hotel’s financial performance shows declining revenues, rising costs, shrinking profit margins, and worsening liquidity over three years. These issues align with broader industry patterns where hotels struggle with cost controls and demand </w:t>
      </w:r>
      <w:r w:rsidR="00F97903" w:rsidRPr="00F97903">
        <w:lastRenderedPageBreak/>
        <w:t>volatility (NetSuite, 2025).</w:t>
      </w:r>
      <w:r w:rsidR="00E0666E">
        <w:t xml:space="preserve"> </w:t>
      </w:r>
      <w:r w:rsidR="001B6C73" w:rsidRPr="00543739">
        <w:t>The net income margin dropped from 25% in 2022 to -15.8% in 2024, indicating operational inefficiency and revenue deterioration.</w:t>
      </w:r>
      <w:r w:rsidR="00E27859" w:rsidRPr="00D75ACD">
        <w:t xml:space="preserve"> </w:t>
      </w:r>
      <w:r w:rsidR="001B6C73" w:rsidRPr="00543739">
        <w:t>A key concern is the Average Room Rate (ARR), which declined from £240 in 2022 to £210 in 2023, showing an inability to command premium pricing due to outdated amenities and declining service quality</w:t>
      </w:r>
      <w:r w:rsidR="00DE36E5" w:rsidRPr="00D75ACD">
        <w:t xml:space="preserve">. </w:t>
      </w:r>
    </w:p>
    <w:p w14:paraId="2EC0B591" w14:textId="77777777" w:rsidR="00F31F7A" w:rsidRDefault="00F31F7A" w:rsidP="007A5208">
      <w:pPr>
        <w:spacing w:line="360" w:lineRule="auto"/>
        <w:jc w:val="both"/>
      </w:pPr>
    </w:p>
    <w:p w14:paraId="3CF4D8F7" w14:textId="77777777" w:rsidR="001C7BE9" w:rsidRPr="00D75ACD" w:rsidRDefault="001C7BE9" w:rsidP="007F200C">
      <w:pPr>
        <w:spacing w:line="360" w:lineRule="auto"/>
        <w:jc w:val="both"/>
      </w:pPr>
    </w:p>
    <w:p w14:paraId="272688FA" w14:textId="00DB3145" w:rsidR="00FE52D8" w:rsidRPr="00543739" w:rsidRDefault="00A06C30" w:rsidP="00B67117">
      <w:pPr>
        <w:shd w:val="clear" w:color="auto" w:fill="E97132" w:themeFill="accent2"/>
        <w:spacing w:before="100" w:beforeAutospacing="1" w:after="100" w:afterAutospacing="1" w:line="360" w:lineRule="auto"/>
        <w:jc w:val="both"/>
        <w:outlineLvl w:val="2"/>
        <w:rPr>
          <w:b/>
          <w:bCs/>
          <w:color w:val="0F4761" w:themeColor="accent1" w:themeShade="BF"/>
          <w:sz w:val="36"/>
          <w:szCs w:val="36"/>
        </w:rPr>
      </w:pPr>
      <w:bookmarkStart w:id="4" w:name="_Toc219322394"/>
      <w:r>
        <w:rPr>
          <w:b/>
          <w:bCs/>
          <w:color w:val="0F4761" w:themeColor="accent1" w:themeShade="BF"/>
          <w:sz w:val="36"/>
          <w:szCs w:val="36"/>
        </w:rPr>
        <w:t xml:space="preserve">Key Reasons Behind </w:t>
      </w:r>
      <w:r w:rsidR="00EC1E5D">
        <w:rPr>
          <w:b/>
          <w:bCs/>
          <w:color w:val="0F4761" w:themeColor="accent1" w:themeShade="BF"/>
          <w:sz w:val="36"/>
          <w:szCs w:val="36"/>
        </w:rPr>
        <w:t>the</w:t>
      </w:r>
      <w:r>
        <w:rPr>
          <w:b/>
          <w:bCs/>
          <w:color w:val="0F4761" w:themeColor="accent1" w:themeShade="BF"/>
          <w:sz w:val="36"/>
          <w:szCs w:val="36"/>
        </w:rPr>
        <w:t xml:space="preserve"> Decline in Profitability</w:t>
      </w:r>
      <w:bookmarkEnd w:id="4"/>
    </w:p>
    <w:p w14:paraId="53D9E0D6" w14:textId="3CFD0035" w:rsidR="00DC6A75" w:rsidRPr="00DC6A75" w:rsidRDefault="00DC6A75" w:rsidP="00DC6A75">
      <w:pPr>
        <w:spacing w:line="360" w:lineRule="auto"/>
        <w:jc w:val="both"/>
      </w:pPr>
      <w:r w:rsidRPr="00DC6A75">
        <w:t>The Coastal Horizon Hotel’s financial performance reveals several interconnected causes of declining profitability. As the income statement shows, revenue fell from £1,200,000 in 2022 to £950,000 in 2024, while operating expenses increased from £900,000 to £1,100,000 over the same period. This mismatch between declining revenue and rising costs squeezed margins, pushing net income from £300,000 profit in 2022 to a £150,000 loss in 2024. Calculated, this means revenue dropped £250,000 (20.83% decrease) while expenses rose £200,000 (22.22% increase), a clear driver of reduced profitability</w:t>
      </w:r>
      <w:r w:rsidR="000346C6">
        <w:t>,</w:t>
      </w:r>
      <w:r w:rsidR="00A82A53" w:rsidRPr="00A82A53">
        <w:t xml:space="preserve"> </w:t>
      </w:r>
      <w:r w:rsidR="00A82A53">
        <w:t>consistent with financial performance theory that highlights cost–revenue imbalance as a primary cause of operating losses (Atrill and McLaney, 2019).</w:t>
      </w:r>
    </w:p>
    <w:p w14:paraId="689350C0" w14:textId="36165778" w:rsidR="00DC6A75" w:rsidRPr="00DC6A75" w:rsidRDefault="00DC6A75" w:rsidP="00DC6A75">
      <w:pPr>
        <w:spacing w:line="360" w:lineRule="auto"/>
        <w:jc w:val="both"/>
      </w:pPr>
      <w:r w:rsidRPr="00DC6A75">
        <w:t xml:space="preserve">One key factor is falling occupancy and pricing power. The hotel’s occupancy rate declined from 60% in 2022 to 50% in 2023, while the Average Room Rate ARR slid from £240 to £210 over the same period. A lower occupancy rate directly erodes total room revenue: if 80 rooms are available, a 60% occupancy equals 48 rooms sold per night versus 40 at 50% </w:t>
      </w:r>
      <w:r w:rsidR="00EC1E5D" w:rsidRPr="00DC6A75">
        <w:t>occupancy a</w:t>
      </w:r>
      <w:r w:rsidRPr="00DC6A75">
        <w:t xml:space="preserve"> drop of 8 rooms per day, or 8 × £210 × 365 ≈ £613,200 less annual room revenue. This reflects broader industry patterns where weakened demand reduces both occupancy and pricing power (PwC, 2025).</w:t>
      </w:r>
    </w:p>
    <w:p w14:paraId="768DBBE0" w14:textId="2B6F7B0E" w:rsidR="00DC6A75" w:rsidRPr="00DC6A75" w:rsidRDefault="00DC6A75" w:rsidP="00DC6A75">
      <w:pPr>
        <w:spacing w:line="360" w:lineRule="auto"/>
        <w:jc w:val="both"/>
      </w:pPr>
      <w:r w:rsidRPr="00DC6A75">
        <w:t>Another major issue is rising operating costs, especially labour. Industry reports highlight that labour expenses have risen significantly, often exceeding revenue growth. With labour typically comprising 40-50% of total operating costs, even slight wage increases can compress margins considerably (Opus Business Advisory Group, 2025</w:t>
      </w:r>
      <w:r w:rsidR="00820F9A">
        <w:t>)</w:t>
      </w:r>
      <w:r w:rsidRPr="00DC6A75">
        <w:t>. This appears consistent with the hotel’s rising expenses even as revenues declined.</w:t>
      </w:r>
      <w:r w:rsidR="00820F9A">
        <w:t xml:space="preserve"> (</w:t>
      </w:r>
      <w:r w:rsidR="00820F9A" w:rsidRPr="00DC6A75">
        <w:t>HVS, 2025)</w:t>
      </w:r>
    </w:p>
    <w:p w14:paraId="366D7052" w14:textId="77777777" w:rsidR="00DC6A75" w:rsidRPr="00DC6A75" w:rsidRDefault="00DC6A75" w:rsidP="00DC6A75">
      <w:pPr>
        <w:spacing w:line="360" w:lineRule="auto"/>
        <w:jc w:val="both"/>
      </w:pPr>
      <w:r w:rsidRPr="00DC6A75">
        <w:t xml:space="preserve">Outdated technology and poor revenue management likely contributed to lost revenue opportunities. Hotels not investing in dynamic pricing, integrated systems, and modern booking platforms tend to underperform in revenue metrics like RevPAR compared to more tech-savvy competitors (LinkedIn Hospitality Tech, 2025). This can result in inferior pricing </w:t>
      </w:r>
      <w:r w:rsidRPr="00DC6A75">
        <w:lastRenderedPageBreak/>
        <w:t>decisions, lower upsell conversion, and higher reliance on expensive third-party booking channels, further reducing net revenue (Hotelspeak, 2025; HospitalityNet, 2024).</w:t>
      </w:r>
    </w:p>
    <w:p w14:paraId="1F7ABBA7" w14:textId="10BF272D" w:rsidR="00DC6A75" w:rsidRPr="00DC6A75" w:rsidRDefault="00DC6A75" w:rsidP="00DC6A75">
      <w:pPr>
        <w:spacing w:line="360" w:lineRule="auto"/>
        <w:jc w:val="both"/>
      </w:pPr>
      <w:r w:rsidRPr="00DC6A75">
        <w:t>In addition, customer dissatisfaction and turnover can depress repeat business. High guest churn increases marketing costs and damages reputation, further weakening demand (</w:t>
      </w:r>
      <w:r w:rsidR="009F0989" w:rsidRPr="00DC6A75">
        <w:t>Olsen</w:t>
      </w:r>
      <w:r w:rsidR="009F0989">
        <w:t xml:space="preserve">, </w:t>
      </w:r>
      <w:r w:rsidR="009F0989" w:rsidRPr="00DC6A75">
        <w:t>2017</w:t>
      </w:r>
      <w:r w:rsidR="009F0989">
        <w:t xml:space="preserve">) </w:t>
      </w:r>
      <w:r w:rsidRPr="00DC6A75">
        <w:t>found that turnover leads to lower occupancy and higher marketing expenses. Declining occupancy rates suggest the hotel may be losing loyal customers to competitors with better service, amenities, or digital experiences.</w:t>
      </w:r>
    </w:p>
    <w:p w14:paraId="1AD76A68" w14:textId="694BA193" w:rsidR="00CF2FC9" w:rsidRDefault="00DC6A75" w:rsidP="00677A1E">
      <w:pPr>
        <w:spacing w:line="360" w:lineRule="auto"/>
        <w:jc w:val="both"/>
      </w:pPr>
      <w:r w:rsidRPr="00DC6A75">
        <w:t>In summary, the hotel’s profitability decline stems from a mix of shrinking demand, rising operating costs, inadequate technology and pricing strategies, and weakened customer loyalty. These factors align with wider hospitality trends were failing to adapt to market shifts directly impacts financial performance.</w:t>
      </w:r>
    </w:p>
    <w:p w14:paraId="26421B70" w14:textId="77777777" w:rsidR="008825A9" w:rsidRPr="00CF2FC9" w:rsidRDefault="008825A9" w:rsidP="00CF2FC9"/>
    <w:p w14:paraId="51E83599" w14:textId="18912F0B" w:rsidR="00CF2FC9" w:rsidRPr="00FB3F58" w:rsidRDefault="00CF2FC9" w:rsidP="00FB3F58">
      <w:pPr>
        <w:shd w:val="clear" w:color="auto" w:fill="E97132" w:themeFill="accent2"/>
        <w:spacing w:before="100" w:beforeAutospacing="1" w:after="100" w:afterAutospacing="1" w:line="360" w:lineRule="auto"/>
        <w:jc w:val="both"/>
        <w:outlineLvl w:val="2"/>
        <w:rPr>
          <w:b/>
          <w:bCs/>
          <w:color w:val="0F4761" w:themeColor="accent1" w:themeShade="BF"/>
          <w:sz w:val="36"/>
          <w:szCs w:val="36"/>
        </w:rPr>
      </w:pPr>
      <w:r w:rsidRPr="00543739">
        <w:rPr>
          <w:b/>
          <w:bCs/>
          <w:color w:val="0F4761" w:themeColor="accent1" w:themeShade="BF"/>
          <w:sz w:val="36"/>
          <w:szCs w:val="36"/>
        </w:rPr>
        <w:t xml:space="preserve"> </w:t>
      </w:r>
      <w:bookmarkStart w:id="5" w:name="_Toc219322395"/>
      <w:r w:rsidR="00DC6A75">
        <w:rPr>
          <w:b/>
          <w:bCs/>
          <w:color w:val="0F4761" w:themeColor="accent1" w:themeShade="BF"/>
          <w:sz w:val="36"/>
          <w:szCs w:val="36"/>
        </w:rPr>
        <w:t>Conclusion</w:t>
      </w:r>
      <w:bookmarkEnd w:id="5"/>
    </w:p>
    <w:p w14:paraId="7B9258E0" w14:textId="5BB54C69" w:rsidR="00677A1E" w:rsidRPr="00677A1E" w:rsidRDefault="00677A1E" w:rsidP="00677A1E">
      <w:pPr>
        <w:spacing w:line="360" w:lineRule="auto"/>
        <w:jc w:val="both"/>
      </w:pPr>
      <w:r w:rsidRPr="00677A1E">
        <w:t xml:space="preserve">Over the past three years, the Coastal Horizon Hotel has faced significant challenges that have undermined its financial performance and guest experience. Revenue steadily declined from </w:t>
      </w:r>
      <w:r w:rsidRPr="00677A1E">
        <w:rPr>
          <w:rFonts w:eastAsiaTheme="majorEastAsia"/>
        </w:rPr>
        <w:t>£1.2m in 2022</w:t>
      </w:r>
      <w:r w:rsidRPr="00677A1E">
        <w:t xml:space="preserve"> to </w:t>
      </w:r>
      <w:r w:rsidRPr="00677A1E">
        <w:rPr>
          <w:rFonts w:eastAsiaTheme="majorEastAsia"/>
        </w:rPr>
        <w:t>£950k in 2024</w:t>
      </w:r>
      <w:r w:rsidRPr="00677A1E">
        <w:t>, even as operating costs increased, squeezing profitability into a loss by 2024. This financial squeeze was mirrored by operational signs such as falling occupancy rates and declining Average Room Rates ARR, pointing to weaker demand and loss of competitive edge.</w:t>
      </w:r>
    </w:p>
    <w:p w14:paraId="38688DC6" w14:textId="02BC65D1" w:rsidR="00677A1E" w:rsidRPr="00677A1E" w:rsidRDefault="00677A1E" w:rsidP="00677A1E">
      <w:pPr>
        <w:spacing w:line="360" w:lineRule="auto"/>
        <w:jc w:val="both"/>
      </w:pPr>
      <w:r w:rsidRPr="00677A1E">
        <w:t xml:space="preserve">A core part of this downturn relates to </w:t>
      </w:r>
      <w:r w:rsidRPr="00677A1E">
        <w:rPr>
          <w:rFonts w:eastAsiaTheme="majorEastAsia"/>
        </w:rPr>
        <w:t>guest service and experience</w:t>
      </w:r>
      <w:r w:rsidRPr="00677A1E">
        <w:t>. Guest expectations in the hospitality industry have evolved dramatically, with travellers increasingly seeking personalised, technology-enabled, and hassle-free experiences (DigitalGuest, 2025</w:t>
      </w:r>
      <w:r w:rsidR="00D53A1F">
        <w:t>b</w:t>
      </w:r>
      <w:r w:rsidRPr="00677A1E">
        <w:t>). Hotels that fail to meet these evolving preferences risk losing repeat business and positive word-of-mouth, and this appears to be a factor for Coastal Horizon. Outdated service models, lack of digital engagement tools, and limited focus on tailored experiences make it difficult to attract new guests or retain loyal ones (Hotelspeak, 2025).</w:t>
      </w:r>
    </w:p>
    <w:p w14:paraId="1E13BD46" w14:textId="2B762035" w:rsidR="00677A1E" w:rsidRPr="00677A1E" w:rsidRDefault="00677A1E" w:rsidP="00677A1E">
      <w:pPr>
        <w:spacing w:line="360" w:lineRule="auto"/>
        <w:jc w:val="both"/>
      </w:pPr>
      <w:r w:rsidRPr="00677A1E">
        <w:t xml:space="preserve">Effective guest service strategies are no longer just </w:t>
      </w:r>
      <w:r w:rsidR="00DA6D79">
        <w:t>‘</w:t>
      </w:r>
      <w:r w:rsidRPr="00677A1E">
        <w:t>nice to have</w:t>
      </w:r>
      <w:r w:rsidR="00DA6D79">
        <w:t>’</w:t>
      </w:r>
      <w:r w:rsidR="00DA6D79" w:rsidRPr="00677A1E">
        <w:t xml:space="preserve"> they</w:t>
      </w:r>
      <w:r w:rsidRPr="00677A1E">
        <w:t xml:space="preserve"> are central to financial performance. Studies indicate that positive guest experiences can directly impact revenue through repeat bookings, higher spending on ancillary services (like dining and events), and stronger online reputation scores (HospitalityNet, 2024). In contrast, negative </w:t>
      </w:r>
      <w:r w:rsidR="00591D23" w:rsidRPr="00677A1E">
        <w:t>perceptions especially</w:t>
      </w:r>
      <w:r w:rsidRPr="00677A1E">
        <w:t xml:space="preserve"> around service quality  can depress occupancy and reduce average rates.</w:t>
      </w:r>
    </w:p>
    <w:p w14:paraId="7650DFD2" w14:textId="77777777" w:rsidR="00677A1E" w:rsidRPr="00677A1E" w:rsidRDefault="00677A1E" w:rsidP="00677A1E">
      <w:pPr>
        <w:spacing w:line="360" w:lineRule="auto"/>
        <w:jc w:val="both"/>
      </w:pPr>
      <w:r w:rsidRPr="00677A1E">
        <w:lastRenderedPageBreak/>
        <w:t xml:space="preserve">For Coastal Horizon, improving guest service isn’t only about frontline staff behaviour; it means investing in </w:t>
      </w:r>
      <w:r w:rsidRPr="00677A1E">
        <w:rPr>
          <w:rFonts w:eastAsiaTheme="majorEastAsia"/>
        </w:rPr>
        <w:t>training, digital guest engagement platforms, real-time feedback channels, and personalised offerings</w:t>
      </w:r>
      <w:r w:rsidRPr="00677A1E">
        <w:t>. These investments tend to pay off through increased satisfaction and stronger demand resilience.</w:t>
      </w:r>
    </w:p>
    <w:p w14:paraId="7F66EC62" w14:textId="0E9E28CF" w:rsidR="00DC6A75" w:rsidRPr="00D75ACD" w:rsidRDefault="00677A1E" w:rsidP="00677A1E">
      <w:pPr>
        <w:spacing w:line="360" w:lineRule="auto"/>
        <w:jc w:val="both"/>
      </w:pPr>
      <w:r w:rsidRPr="00677A1E">
        <w:t>In summary, while financial issues have been clear and measurable, the underlying guest service experience has an equally strong influence on long-term success. Aligning service delivery with current customer expectations is essential for the hotel’s recover</w:t>
      </w:r>
      <w:r w:rsidR="00DA6D79">
        <w:t>.</w:t>
      </w:r>
    </w:p>
    <w:p w14:paraId="21C8DB50" w14:textId="31C18D04" w:rsidR="002445F4" w:rsidRPr="002445F4" w:rsidRDefault="002445F4" w:rsidP="002445F4">
      <w:pPr>
        <w:shd w:val="clear" w:color="auto" w:fill="E97132" w:themeFill="accent2"/>
        <w:spacing w:before="100" w:beforeAutospacing="1" w:after="100" w:afterAutospacing="1" w:line="360" w:lineRule="auto"/>
        <w:jc w:val="both"/>
        <w:outlineLvl w:val="2"/>
        <w:rPr>
          <w:b/>
          <w:bCs/>
          <w:color w:val="0F4761" w:themeColor="accent1" w:themeShade="BF"/>
          <w:sz w:val="36"/>
          <w:szCs w:val="36"/>
        </w:rPr>
      </w:pPr>
      <w:r w:rsidRPr="00543739">
        <w:rPr>
          <w:b/>
          <w:bCs/>
          <w:color w:val="0F4761" w:themeColor="accent1" w:themeShade="BF"/>
          <w:sz w:val="36"/>
          <w:szCs w:val="36"/>
        </w:rPr>
        <w:t xml:space="preserve"> </w:t>
      </w:r>
      <w:bookmarkStart w:id="6" w:name="_Toc219322396"/>
      <w:r w:rsidR="00DC6A75">
        <w:rPr>
          <w:b/>
          <w:bCs/>
          <w:color w:val="0F4761" w:themeColor="accent1" w:themeShade="BF"/>
          <w:sz w:val="36"/>
          <w:szCs w:val="36"/>
        </w:rPr>
        <w:t>Recommendations</w:t>
      </w:r>
      <w:bookmarkEnd w:id="6"/>
    </w:p>
    <w:p w14:paraId="5E4A5D83" w14:textId="77777777" w:rsidR="00677A1E" w:rsidRPr="00677A1E" w:rsidRDefault="00677A1E" w:rsidP="00677A1E">
      <w:pPr>
        <w:spacing w:line="360" w:lineRule="auto"/>
        <w:jc w:val="both"/>
      </w:pPr>
      <w:r w:rsidRPr="00677A1E">
        <w:t>Based on the financial analysis, market assessment, and service performance findings, the Coastal Horizon Hotel requires a focused and realistic turnaround strategy that addresses declining revenues, rising costs, and weakening guest satisfaction. The following recommendations build directly on the identified issues and aim to restore financial stability while rebuilding the hotel’s reputation as a competitive coastal destination.</w:t>
      </w:r>
    </w:p>
    <w:p w14:paraId="65F264DF" w14:textId="77777777" w:rsidR="00677A1E" w:rsidRPr="00677A1E" w:rsidRDefault="00677A1E" w:rsidP="00677A1E">
      <w:pPr>
        <w:spacing w:line="360" w:lineRule="auto"/>
        <w:jc w:val="both"/>
      </w:pPr>
      <w:r w:rsidRPr="00677A1E">
        <w:t>First, the hotel should reposition its guest service strategy to align with changing customer expectations. Declining occupancy and ARR suggest that current offerings are no longer compelling. Rather than competing on price, the hotel should compete on experience and value by improving service consistency, staff training, and personalisation. Investing in customer service training will help improve guest interactions, encourage repeat visits, and strengthen online reviews, which are critical drivers of bookings. Simple changes such as proactive guest communication, improved check-in experiences, and structured feedback collection can deliver meaningful improvements without excessive cost.</w:t>
      </w:r>
    </w:p>
    <w:p w14:paraId="1F14A9A3" w14:textId="77777777" w:rsidR="00677A1E" w:rsidRPr="00677A1E" w:rsidRDefault="00677A1E" w:rsidP="00677A1E">
      <w:pPr>
        <w:spacing w:line="360" w:lineRule="auto"/>
        <w:jc w:val="both"/>
      </w:pPr>
      <w:r w:rsidRPr="00677A1E">
        <w:t>Second, cost control must be prioritised to address the imbalance between revenue and operating expenses. Operating costs increased by £200,000 over three years despite falling revenue, indicating inefficiencies. Management should conduct a detailed cost review focusing on labour scheduling, supplier contracts, and energy usage. Introducing smarter staff rostering aligned with occupancy levels and renegotiating supplier agreements can reduce fixed costs without harming service quality. These actions directly respond to the identified cost escalation that pushed the hotel into a net loss.</w:t>
      </w:r>
    </w:p>
    <w:p w14:paraId="76BC97E5" w14:textId="77777777" w:rsidR="00677A1E" w:rsidRPr="00677A1E" w:rsidRDefault="00677A1E" w:rsidP="00677A1E">
      <w:pPr>
        <w:spacing w:line="360" w:lineRule="auto"/>
        <w:jc w:val="both"/>
      </w:pPr>
      <w:r w:rsidRPr="00677A1E">
        <w:t xml:space="preserve">Third, the hotel should optimise pricing and revenue management using existing room inventory more effectively. Falling ARR and occupancy indicate weak pricing strategy. Adopting dynamic pricing, seasonal packages, and bundled offers (rooms combined with </w:t>
      </w:r>
      <w:r w:rsidRPr="00677A1E">
        <w:lastRenderedPageBreak/>
        <w:t>dining or events) can increase revenue per guest without heavy discounting. This approach builds on existing facilities rather than introducing new services and helps stabilise cash flow.</w:t>
      </w:r>
    </w:p>
    <w:p w14:paraId="3C1C298C" w14:textId="77777777" w:rsidR="00677A1E" w:rsidRPr="00677A1E" w:rsidRDefault="00677A1E" w:rsidP="00677A1E">
      <w:pPr>
        <w:spacing w:line="360" w:lineRule="auto"/>
        <w:jc w:val="both"/>
      </w:pPr>
      <w:r w:rsidRPr="00677A1E">
        <w:t>Fourth, selective asset refresh and maintenance should be prioritised rather than full-scale refurbishment. The decline in property and equipment value suggests deferred maintenance, which likely affects guest perceptions. Targeted upgrades to high-impact areas such as guest rooms, bathrooms, and public spaces can significantly improve satisfaction while remaining financially feasible.</w:t>
      </w:r>
    </w:p>
    <w:p w14:paraId="1F72B55B" w14:textId="77777777" w:rsidR="00677A1E" w:rsidRPr="00677A1E" w:rsidRDefault="00677A1E" w:rsidP="00677A1E">
      <w:pPr>
        <w:spacing w:line="360" w:lineRule="auto"/>
        <w:jc w:val="both"/>
      </w:pPr>
      <w:r w:rsidRPr="00677A1E">
        <w:t>Finally, the hotel should closely monitor financial and operational performance using clear KPIs such as occupancy rate, ARR, operating margin, and guest satisfaction scores. Regular review will allow management to respond quickly to underperformance and avoid repeating past issues.</w:t>
      </w:r>
    </w:p>
    <w:p w14:paraId="0EA42134" w14:textId="77777777" w:rsidR="00677A1E" w:rsidRPr="00677A1E" w:rsidRDefault="00677A1E" w:rsidP="00677A1E">
      <w:pPr>
        <w:spacing w:line="360" w:lineRule="auto"/>
        <w:jc w:val="both"/>
      </w:pPr>
      <w:r w:rsidRPr="00677A1E">
        <w:t>In conclusion, by improving service quality, tightening cost control, refining pricing strategies, and maintaining core assets, the Coastal Horizon Hotel can realistically stabilise its finances, rebuild guest trust, and move toward sustainable profitability without introducing unnecessary risk.</w:t>
      </w:r>
    </w:p>
    <w:p w14:paraId="576B1DDA" w14:textId="77777777" w:rsidR="008825A9" w:rsidRPr="00131A62" w:rsidRDefault="008825A9" w:rsidP="00131A62">
      <w:pPr>
        <w:spacing w:before="100" w:beforeAutospacing="1" w:after="100" w:afterAutospacing="1" w:line="360" w:lineRule="auto"/>
        <w:jc w:val="both"/>
        <w:rPr>
          <w:color w:val="000000" w:themeColor="text1"/>
        </w:rPr>
      </w:pPr>
    </w:p>
    <w:p w14:paraId="5533352D" w14:textId="77777777" w:rsidR="004D7960" w:rsidRPr="00847942" w:rsidRDefault="004D7960" w:rsidP="003D47F6"/>
    <w:p w14:paraId="1A5D364D" w14:textId="77777777" w:rsidR="002A33A5" w:rsidRPr="00847942" w:rsidRDefault="002A33A5" w:rsidP="003D47F6"/>
    <w:p w14:paraId="0C955DF8" w14:textId="77777777" w:rsidR="00250ACB" w:rsidRPr="003D47F6" w:rsidRDefault="00250ACB" w:rsidP="003D47F6"/>
    <w:p w14:paraId="753F969A" w14:textId="77777777" w:rsidR="009765AB" w:rsidRPr="00847942" w:rsidRDefault="009765AB" w:rsidP="00847942">
      <w:pPr>
        <w:spacing w:line="360" w:lineRule="auto"/>
        <w:jc w:val="both"/>
        <w:rPr>
          <w:rFonts w:eastAsiaTheme="majorEastAsia"/>
          <w:sz w:val="40"/>
          <w:szCs w:val="40"/>
        </w:rPr>
      </w:pPr>
      <w:r w:rsidRPr="00847942">
        <w:br w:type="page"/>
      </w:r>
    </w:p>
    <w:p w14:paraId="598969AD" w14:textId="2748975C" w:rsidR="00F80FB6" w:rsidRPr="007A0427" w:rsidRDefault="009765AB" w:rsidP="00C336E4">
      <w:pPr>
        <w:pStyle w:val="Heading1"/>
        <w:shd w:val="clear" w:color="auto" w:fill="E97132" w:themeFill="accent2"/>
        <w:spacing w:line="360" w:lineRule="auto"/>
        <w:jc w:val="both"/>
        <w:rPr>
          <w:rFonts w:ascii="Times New Roman" w:hAnsi="Times New Roman" w:cs="Times New Roman"/>
          <w:b/>
          <w:bCs/>
          <w:color w:val="auto"/>
          <w:sz w:val="36"/>
          <w:szCs w:val="36"/>
        </w:rPr>
      </w:pPr>
      <w:bookmarkStart w:id="7" w:name="_Toc219322397"/>
      <w:r w:rsidRPr="00EC196C">
        <w:rPr>
          <w:rFonts w:ascii="Times New Roman" w:hAnsi="Times New Roman" w:cs="Times New Roman"/>
          <w:b/>
          <w:bCs/>
          <w:color w:val="auto"/>
          <w:sz w:val="36"/>
          <w:szCs w:val="36"/>
        </w:rPr>
        <w:lastRenderedPageBreak/>
        <w:t>Reference</w:t>
      </w:r>
      <w:bookmarkEnd w:id="7"/>
    </w:p>
    <w:p w14:paraId="07A80371" w14:textId="77777777" w:rsidR="00F80FB6" w:rsidRPr="00953F5D" w:rsidRDefault="00F80FB6" w:rsidP="00953F5D">
      <w:pPr>
        <w:spacing w:line="360" w:lineRule="auto"/>
        <w:jc w:val="both"/>
      </w:pPr>
    </w:p>
    <w:p w14:paraId="7C72833B" w14:textId="77777777" w:rsidR="00ED2539" w:rsidRPr="00F80FB6" w:rsidRDefault="00ED2539" w:rsidP="00C77BD8">
      <w:pPr>
        <w:pStyle w:val="ListParagraph"/>
        <w:spacing w:line="276" w:lineRule="auto"/>
        <w:ind w:left="1080"/>
      </w:pPr>
    </w:p>
    <w:p w14:paraId="502171C8" w14:textId="77777777" w:rsidR="00ED2539" w:rsidRPr="00F80FB6" w:rsidRDefault="00ED2539" w:rsidP="001C7C2C">
      <w:pPr>
        <w:spacing w:before="100" w:beforeAutospacing="1" w:after="100" w:afterAutospacing="1" w:line="360" w:lineRule="auto"/>
        <w:ind w:left="360"/>
      </w:pPr>
      <w:r w:rsidRPr="00F80FB6">
        <w:t xml:space="preserve">Ali, B., Gardi, B., Othman, B., Ahmed, S., Ismael, N., Hamza, P., Aziz, H. and Sabir, B. (2021) 'Hotel service quality: The impact of service quality on customer satisfaction in hospitality', </w:t>
      </w:r>
      <w:r w:rsidRPr="001C7C2C">
        <w:rPr>
          <w:i/>
          <w:iCs/>
        </w:rPr>
        <w:t>International Journal of Engineering, Business and Management</w:t>
      </w:r>
      <w:r w:rsidRPr="00F80FB6">
        <w:t xml:space="preserve">, 5(3), pp. 14–28.Available at: </w:t>
      </w:r>
      <w:hyperlink r:id="rId25" w:history="1">
        <w:r w:rsidRPr="001C7C2C">
          <w:rPr>
            <w:rStyle w:val="Hyperlink"/>
            <w:color w:val="0B769F" w:themeColor="accent4" w:themeShade="BF"/>
          </w:rPr>
          <w:t>https://www.researchgate.net/publication/351780048_Hotel_Service_Quality_The_Impact_of_Service_Quality_on_Customer_Satisfaction_in Hospitality</w:t>
        </w:r>
      </w:hyperlink>
      <w:r w:rsidRPr="001C7C2C">
        <w:rPr>
          <w:color w:val="0B769F" w:themeColor="accent4" w:themeShade="BF"/>
        </w:rPr>
        <w:t xml:space="preserve">. </w:t>
      </w:r>
      <w:r w:rsidRPr="00F80FB6">
        <w:t xml:space="preserve">(Accessed: December 5, 2025). </w:t>
      </w:r>
    </w:p>
    <w:p w14:paraId="2E16EF88" w14:textId="77777777" w:rsidR="00ED2539" w:rsidRPr="00F80FB6" w:rsidRDefault="00ED2539" w:rsidP="001C7C2C">
      <w:pPr>
        <w:spacing w:before="100" w:beforeAutospacing="1" w:after="100" w:afterAutospacing="1" w:line="360" w:lineRule="auto"/>
        <w:ind w:left="360"/>
      </w:pPr>
      <w:r w:rsidRPr="00F80FB6">
        <w:t xml:space="preserve">Atrill, P. and McLaney, E. (2019) </w:t>
      </w:r>
      <w:r w:rsidRPr="001C7C2C">
        <w:rPr>
          <w:rStyle w:val="Emphasis"/>
          <w:rFonts w:eastAsiaTheme="majorEastAsia"/>
        </w:rPr>
        <w:t>Financial accounting for decision makers</w:t>
      </w:r>
      <w:r w:rsidRPr="00F80FB6">
        <w:t xml:space="preserve">. 9th edn. Harlow: Pearson Education. Available at: </w:t>
      </w:r>
      <w:hyperlink r:id="rId26" w:history="1">
        <w:r w:rsidRPr="001C7C2C">
          <w:rPr>
            <w:rStyle w:val="Hyperlink"/>
            <w:color w:val="0B769F" w:themeColor="accent4" w:themeShade="BF"/>
          </w:rPr>
          <w:t>https://www.academia.edu/41292275/Financial_Accounting_for_Decision_Makers</w:t>
        </w:r>
      </w:hyperlink>
      <w:r w:rsidRPr="001C7C2C">
        <w:rPr>
          <w:color w:val="0B769F" w:themeColor="accent4" w:themeShade="BF"/>
        </w:rPr>
        <w:t xml:space="preserve">  </w:t>
      </w:r>
      <w:r w:rsidRPr="00F80FB6">
        <w:t>(Accessed: December</w:t>
      </w:r>
      <w:r>
        <w:t xml:space="preserve"> 9,</w:t>
      </w:r>
      <w:r w:rsidRPr="00F80FB6">
        <w:t xml:space="preserve"> 2025).</w:t>
      </w:r>
    </w:p>
    <w:p w14:paraId="40F00122" w14:textId="77777777" w:rsidR="00ED2539" w:rsidRDefault="00ED2539" w:rsidP="001C7C2C">
      <w:pPr>
        <w:spacing w:line="360" w:lineRule="auto"/>
        <w:ind w:left="360"/>
      </w:pPr>
      <w:r w:rsidRPr="00F80FB6">
        <w:t xml:space="preserve">Božić, K. (2024) 'Financial benchmarking in the hotel industry', </w:t>
      </w:r>
      <w:r w:rsidRPr="001C7C2C">
        <w:rPr>
          <w:i/>
          <w:iCs/>
        </w:rPr>
        <w:t>Novi Ekonomist</w:t>
      </w:r>
      <w:r w:rsidRPr="00F80FB6">
        <w:t>, 18(1), pp. 35–50.</w:t>
      </w:r>
    </w:p>
    <w:p w14:paraId="52684F31" w14:textId="77777777" w:rsidR="00ED2539" w:rsidRPr="00F80FB6" w:rsidRDefault="00ED2539" w:rsidP="001C7C2C">
      <w:pPr>
        <w:spacing w:before="100" w:beforeAutospacing="1" w:after="100" w:afterAutospacing="1" w:line="360" w:lineRule="auto"/>
        <w:ind w:left="360"/>
      </w:pPr>
      <w:r w:rsidRPr="00F80FB6">
        <w:t xml:space="preserve">Chissom, D. </w:t>
      </w:r>
      <w:r>
        <w:t xml:space="preserve">(2024) </w:t>
      </w:r>
      <w:r w:rsidRPr="001C7C2C">
        <w:rPr>
          <w:i/>
          <w:iCs/>
        </w:rPr>
        <w:t>post-pandemic trends in the hospitality industry</w:t>
      </w:r>
      <w:r w:rsidRPr="00F80FB6">
        <w:t xml:space="preserve">. Available at: </w:t>
      </w:r>
      <w:hyperlink r:id="rId27" w:history="1">
        <w:r w:rsidRPr="001C7C2C">
          <w:rPr>
            <w:color w:val="0B769F" w:themeColor="accent4" w:themeShade="BF"/>
            <w:u w:val="single"/>
          </w:rPr>
          <w:t>(PDF) Post-Pandemic Trends in the Hospitality Industry</w:t>
        </w:r>
      </w:hyperlink>
      <w:r w:rsidRPr="001C7C2C">
        <w:rPr>
          <w:color w:val="0B769F" w:themeColor="accent4" w:themeShade="BF"/>
        </w:rPr>
        <w:t xml:space="preserve"> ,</w:t>
      </w:r>
      <w:r w:rsidRPr="001C7C2C">
        <w:rPr>
          <w:rFonts w:eastAsiaTheme="minorHAnsi"/>
          <w:color w:val="555555"/>
          <w:kern w:val="2"/>
          <w:shd w:val="clear" w:color="auto" w:fill="FFFFFF"/>
          <w:lang w:eastAsia="en-US"/>
          <w14:ligatures w14:val="standardContextual"/>
        </w:rPr>
        <w:t>DOI:</w:t>
      </w:r>
      <w:hyperlink r:id="rId28" w:tgtFrame="_blank" w:history="1">
        <w:r w:rsidRPr="001C7C2C">
          <w:rPr>
            <w:rFonts w:eastAsiaTheme="minorHAnsi"/>
            <w:color w:val="0B769F" w:themeColor="accent4" w:themeShade="BF"/>
            <w:kern w:val="2"/>
            <w:u w:val="single"/>
            <w:bdr w:val="none" w:sz="0" w:space="0" w:color="auto" w:frame="1"/>
            <w:shd w:val="clear" w:color="auto" w:fill="FFFFFF"/>
            <w:lang w:eastAsia="en-US"/>
            <w14:ligatures w14:val="standardContextual"/>
          </w:rPr>
          <w:t>10.47941/jmh.1961</w:t>
        </w:r>
      </w:hyperlink>
      <w:r w:rsidRPr="001C7C2C">
        <w:rPr>
          <w:rFonts w:eastAsiaTheme="minorHAnsi"/>
          <w:color w:val="0B769F" w:themeColor="accent4" w:themeShade="BF"/>
          <w:kern w:val="2"/>
          <w:lang w:eastAsia="en-US"/>
          <w14:ligatures w14:val="standardContextual"/>
        </w:rPr>
        <w:t xml:space="preserve">. </w:t>
      </w:r>
      <w:r w:rsidRPr="00F80FB6">
        <w:t xml:space="preserve">(Accessed 7 December 2025). </w:t>
      </w:r>
    </w:p>
    <w:p w14:paraId="06B2DC7A" w14:textId="77777777" w:rsidR="00ED2539" w:rsidRDefault="00ED2539" w:rsidP="001C7C2C">
      <w:pPr>
        <w:spacing w:line="276" w:lineRule="auto"/>
        <w:ind w:left="360"/>
      </w:pPr>
      <w:r>
        <w:t xml:space="preserve">Cornell Center for Hospitality Research (2024) </w:t>
      </w:r>
      <w:r w:rsidRPr="001C7C2C">
        <w:rPr>
          <w:rStyle w:val="Emphasis"/>
          <w:rFonts w:eastAsiaTheme="majorEastAsia"/>
        </w:rPr>
        <w:t>Annual Report FY 2023-2024</w:t>
      </w:r>
      <w:r>
        <w:t xml:space="preserve">. Ithaca, NY: Cornell University Nolan School of Hotel Administration. Available at: </w:t>
      </w:r>
      <w:hyperlink r:id="rId29" w:history="1">
        <w:r w:rsidRPr="00381E71">
          <w:rPr>
            <w:rStyle w:val="Hyperlink"/>
          </w:rPr>
          <w:t>https://hdl.handle.net/1813/115788</w:t>
        </w:r>
      </w:hyperlink>
      <w:r>
        <w:t xml:space="preserve"> </w:t>
      </w:r>
      <w:r>
        <w:t xml:space="preserve"> (Accessed: </w:t>
      </w:r>
      <w:r>
        <w:t>January 14,</w:t>
      </w:r>
      <w:r>
        <w:t xml:space="preserve"> 2026).</w:t>
      </w:r>
    </w:p>
    <w:p w14:paraId="16C0E759" w14:textId="77777777" w:rsidR="00ED2539" w:rsidRPr="00F80FB6" w:rsidRDefault="00ED2539" w:rsidP="001C7C2C">
      <w:pPr>
        <w:spacing w:before="100" w:beforeAutospacing="1" w:after="100" w:afterAutospacing="1" w:line="360" w:lineRule="auto"/>
        <w:ind w:left="360"/>
      </w:pPr>
      <w:r w:rsidRPr="00F80FB6">
        <w:t>DigitalGuest</w:t>
      </w:r>
      <w:r>
        <w:t xml:space="preserve"> (</w:t>
      </w:r>
      <w:r w:rsidRPr="00F80FB6">
        <w:t>2025a</w:t>
      </w:r>
      <w:r>
        <w:t>)</w:t>
      </w:r>
      <w:r w:rsidRPr="00F80FB6">
        <w:t xml:space="preserve"> </w:t>
      </w:r>
      <w:r w:rsidRPr="001C7C2C">
        <w:rPr>
          <w:i/>
          <w:iCs/>
        </w:rPr>
        <w:t>Hospitality Service Personalisation Trends</w:t>
      </w:r>
      <w:r w:rsidRPr="00F80FB6">
        <w:t xml:space="preserve">. Available at: </w:t>
      </w:r>
      <w:hyperlink r:id="rId30" w:history="1">
        <w:r w:rsidRPr="001C7C2C">
          <w:rPr>
            <w:rStyle w:val="Hyperlink"/>
            <w:color w:val="0B769F" w:themeColor="accent4" w:themeShade="BF"/>
          </w:rPr>
          <w:t>https://digitalguest.com/hospitality-service-personalisation-trends/</w:t>
        </w:r>
      </w:hyperlink>
      <w:r w:rsidRPr="001C7C2C">
        <w:rPr>
          <w:color w:val="0B769F" w:themeColor="accent4" w:themeShade="BF"/>
        </w:rPr>
        <w:t xml:space="preserve">.  </w:t>
      </w:r>
      <w:bookmarkStart w:id="8" w:name="_Hlk217810715"/>
      <w:r w:rsidRPr="00F80FB6">
        <w:t xml:space="preserve">(Accessed: Dec 5, 2025). </w:t>
      </w:r>
    </w:p>
    <w:bookmarkEnd w:id="8"/>
    <w:p w14:paraId="01780F90" w14:textId="77777777" w:rsidR="00ED2539" w:rsidRDefault="00ED2539" w:rsidP="001C7C2C">
      <w:pPr>
        <w:spacing w:before="100" w:beforeAutospacing="1" w:after="100" w:afterAutospacing="1" w:line="360" w:lineRule="auto"/>
        <w:ind w:left="360"/>
      </w:pPr>
      <w:r w:rsidRPr="00F80FB6">
        <w:t>DigitalGuest</w:t>
      </w:r>
      <w:r>
        <w:t xml:space="preserve"> (</w:t>
      </w:r>
      <w:r w:rsidRPr="00F80FB6">
        <w:t>2025b</w:t>
      </w:r>
      <w:r>
        <w:t xml:space="preserve">) </w:t>
      </w:r>
      <w:r w:rsidRPr="001C7C2C">
        <w:rPr>
          <w:i/>
          <w:iCs/>
        </w:rPr>
        <w:t>Top 10 Hospitality Trends for 2025: Personalization &amp; Sustainability</w:t>
      </w:r>
      <w:r w:rsidRPr="00F80FB6">
        <w:t xml:space="preserve">. </w:t>
      </w:r>
      <w:bookmarkStart w:id="9" w:name="_Hlk217811516"/>
      <w:r w:rsidRPr="00F80FB6">
        <w:t>Available at:</w:t>
      </w:r>
      <w:bookmarkEnd w:id="9"/>
      <w:r w:rsidRPr="00F80FB6">
        <w:t xml:space="preserve"> </w:t>
      </w:r>
      <w:r w:rsidRPr="001C7C2C">
        <w:rPr>
          <w:color w:val="0B769F" w:themeColor="accent4" w:themeShade="BF"/>
          <w:u w:val="single"/>
        </w:rPr>
        <w:t xml:space="preserve">https://digitalguest.com/hospitality-trends-2025/?utm_source=. </w:t>
      </w:r>
      <w:r w:rsidRPr="00F80FB6">
        <w:t xml:space="preserve">(Accessed: December 5, 2025). </w:t>
      </w:r>
    </w:p>
    <w:p w14:paraId="75F9ACB3" w14:textId="77777777" w:rsidR="00ED2539" w:rsidRPr="00F80FB6" w:rsidRDefault="00ED2539" w:rsidP="001C7C2C">
      <w:pPr>
        <w:spacing w:before="100" w:beforeAutospacing="1" w:after="100" w:afterAutospacing="1" w:line="360" w:lineRule="auto"/>
        <w:ind w:left="360"/>
      </w:pPr>
      <w:r w:rsidRPr="00DC3107">
        <w:lastRenderedPageBreak/>
        <w:t xml:space="preserve">EHL Hospitality Business School (2025) </w:t>
      </w:r>
      <w:r w:rsidRPr="001C7C2C">
        <w:rPr>
          <w:i/>
          <w:iCs/>
        </w:rPr>
        <w:t>EHL Insights Report: Hospitality Outlook 2026</w:t>
      </w:r>
      <w:r w:rsidRPr="00DC3107">
        <w:t xml:space="preserve">. Lausanne, Switzerland: EHL Hospitality Business School. Available at: </w:t>
      </w:r>
      <w:hyperlink r:id="rId31" w:tgtFrame="_new" w:history="1">
        <w:r w:rsidRPr="001C7C2C">
          <w:rPr>
            <w:color w:val="0B769F" w:themeColor="accent4" w:themeShade="BF"/>
            <w:u w:val="single"/>
          </w:rPr>
          <w:t>https://www.ehlgroup.com/en/innovation-research/hospitality-outlook-2025</w:t>
        </w:r>
      </w:hyperlink>
      <w:r w:rsidRPr="00DC3107">
        <w:t xml:space="preserve"> (Accessed:</w:t>
      </w:r>
      <w:r>
        <w:t xml:space="preserve"> December 10, </w:t>
      </w:r>
      <w:r w:rsidRPr="00DC3107">
        <w:t>2026).</w:t>
      </w:r>
    </w:p>
    <w:p w14:paraId="0663415F" w14:textId="77777777" w:rsidR="00ED2539" w:rsidRPr="00F80FB6" w:rsidRDefault="00ED2539" w:rsidP="001C7C2C">
      <w:pPr>
        <w:spacing w:before="100" w:beforeAutospacing="1" w:after="100" w:afterAutospacing="1" w:line="360" w:lineRule="auto"/>
        <w:ind w:left="360"/>
      </w:pPr>
      <w:r w:rsidRPr="00F80FB6">
        <w:t>Hospitality Technology</w:t>
      </w:r>
      <w:r>
        <w:t xml:space="preserve"> (</w:t>
      </w:r>
      <w:r w:rsidRPr="00F80FB6">
        <w:t>202</w:t>
      </w:r>
      <w:r>
        <w:t>3)</w:t>
      </w:r>
      <w:r w:rsidRPr="00F80FB6">
        <w:t xml:space="preserve"> </w:t>
      </w:r>
      <w:r w:rsidRPr="001C7C2C">
        <w:rPr>
          <w:i/>
          <w:iCs/>
        </w:rPr>
        <w:t>Lodging Technology Study.</w:t>
      </w:r>
      <w:r w:rsidRPr="00F80FB6">
        <w:t xml:space="preserve"> Available at: </w:t>
      </w:r>
      <w:hyperlink r:id="rId32" w:history="1">
        <w:r w:rsidRPr="001C7C2C">
          <w:rPr>
            <w:rStyle w:val="Hyperlink"/>
            <w:color w:val="0B769F" w:themeColor="accent4" w:themeShade="BF"/>
          </w:rPr>
          <w:t>https://hospitalitytech.com/2023-lodging-tech-study</w:t>
        </w:r>
      </w:hyperlink>
      <w:r w:rsidRPr="001C7C2C">
        <w:rPr>
          <w:color w:val="0B769F" w:themeColor="accent4" w:themeShade="BF"/>
        </w:rPr>
        <w:t xml:space="preserve">. </w:t>
      </w:r>
      <w:r w:rsidRPr="00F80FB6">
        <w:t xml:space="preserve">(Accessed: 6 December 2025).   </w:t>
      </w:r>
    </w:p>
    <w:p w14:paraId="28CF9F92" w14:textId="77777777" w:rsidR="00ED2539" w:rsidRPr="00F80FB6" w:rsidRDefault="00ED2539" w:rsidP="001C7C2C">
      <w:pPr>
        <w:spacing w:before="100" w:beforeAutospacing="1" w:after="100" w:afterAutospacing="1" w:line="360" w:lineRule="auto"/>
        <w:ind w:left="360"/>
      </w:pPr>
      <w:r w:rsidRPr="00F80FB6">
        <w:t>HospitalityNet</w:t>
      </w:r>
      <w:r>
        <w:t xml:space="preserve"> (</w:t>
      </w:r>
      <w:r w:rsidRPr="00F80FB6">
        <w:t>2024</w:t>
      </w:r>
      <w:r>
        <w:t>)</w:t>
      </w:r>
      <w:r w:rsidRPr="00F80FB6">
        <w:t xml:space="preserve"> </w:t>
      </w:r>
      <w:r w:rsidRPr="001C7C2C">
        <w:rPr>
          <w:i/>
          <w:iCs/>
        </w:rPr>
        <w:t>The Guest Experience and Hotel Revenue</w:t>
      </w:r>
      <w:r w:rsidRPr="00F80FB6">
        <w:t xml:space="preserve">. </w:t>
      </w:r>
      <w:bookmarkStart w:id="10" w:name="_Hlk217812389"/>
      <w:r w:rsidRPr="00F80FB6">
        <w:t xml:space="preserve">Available at: </w:t>
      </w:r>
      <w:bookmarkEnd w:id="10"/>
      <w:r w:rsidRPr="001C7C2C">
        <w:rPr>
          <w:color w:val="0B769F" w:themeColor="accent4" w:themeShade="BF"/>
        </w:rPr>
        <w:fldChar w:fldCharType="begin"/>
      </w:r>
      <w:r w:rsidRPr="001C7C2C">
        <w:rPr>
          <w:color w:val="0B769F" w:themeColor="accent4" w:themeShade="BF"/>
        </w:rPr>
        <w:instrText>HYPERLINK "https://www.hospitalitynet.org/opinion/4092278.html"</w:instrText>
      </w:r>
      <w:r w:rsidRPr="001C7C2C">
        <w:rPr>
          <w:color w:val="0B769F" w:themeColor="accent4" w:themeShade="BF"/>
        </w:rPr>
        <w:fldChar w:fldCharType="separate"/>
      </w:r>
      <w:r w:rsidRPr="001C7C2C">
        <w:rPr>
          <w:rStyle w:val="Hyperlink"/>
          <w:color w:val="0B769F" w:themeColor="accent4" w:themeShade="BF"/>
        </w:rPr>
        <w:t>https://www.hospitalitynet.org/opinion/4092278.html</w:t>
      </w:r>
      <w:r w:rsidRPr="001C7C2C">
        <w:rPr>
          <w:color w:val="0B769F" w:themeColor="accent4" w:themeShade="BF"/>
        </w:rPr>
        <w:fldChar w:fldCharType="end"/>
      </w:r>
      <w:r w:rsidRPr="001C7C2C">
        <w:rPr>
          <w:color w:val="0B769F" w:themeColor="accent4" w:themeShade="BF"/>
        </w:rPr>
        <w:t>.</w:t>
      </w:r>
      <w:r w:rsidRPr="00F80FB6">
        <w:t xml:space="preserve"> </w:t>
      </w:r>
      <w:bookmarkStart w:id="11" w:name="_Hlk217811732"/>
      <w:r w:rsidRPr="00F80FB6">
        <w:t xml:space="preserve">(Accessed: 7 December 2025). </w:t>
      </w:r>
    </w:p>
    <w:bookmarkEnd w:id="11"/>
    <w:p w14:paraId="40297782" w14:textId="77777777" w:rsidR="00ED2539" w:rsidRPr="00F80FB6" w:rsidRDefault="00ED2539" w:rsidP="001C7C2C">
      <w:pPr>
        <w:spacing w:before="100" w:beforeAutospacing="1" w:after="100" w:afterAutospacing="1" w:line="360" w:lineRule="auto"/>
        <w:ind w:left="360"/>
      </w:pPr>
      <w:r w:rsidRPr="00F80FB6">
        <w:t>Hotelspeak</w:t>
      </w:r>
      <w:r>
        <w:t xml:space="preserve"> (</w:t>
      </w:r>
      <w:r w:rsidRPr="00F80FB6">
        <w:t>2025</w:t>
      </w:r>
      <w:r>
        <w:t>)</w:t>
      </w:r>
      <w:r w:rsidRPr="00F80FB6">
        <w:t xml:space="preserve"> </w:t>
      </w:r>
      <w:r w:rsidRPr="001C7C2C">
        <w:rPr>
          <w:i/>
          <w:iCs/>
        </w:rPr>
        <w:t>Hotels Are Losing Revenue Not Because of Competition but Because They Don’t Know Their Guests</w:t>
      </w:r>
      <w:r w:rsidRPr="00F80FB6">
        <w:t xml:space="preserve">. Available at: </w:t>
      </w:r>
      <w:hyperlink r:id="rId33" w:history="1">
        <w:r w:rsidRPr="001C7C2C">
          <w:rPr>
            <w:rStyle w:val="Hyperlink"/>
            <w:color w:val="0B769F" w:themeColor="accent4" w:themeShade="BF"/>
          </w:rPr>
          <w:t>https://www.hotelspeak.com/2025/03/hotels-are-losing-revenue-not-because-they-dont-know-their-guests</w:t>
        </w:r>
      </w:hyperlink>
      <w:r w:rsidRPr="001C7C2C">
        <w:rPr>
          <w:color w:val="0B769F" w:themeColor="accent4" w:themeShade="BF"/>
        </w:rPr>
        <w:t xml:space="preserve">. </w:t>
      </w:r>
      <w:bookmarkStart w:id="12" w:name="_Hlk217812617"/>
      <w:r w:rsidRPr="001C7C2C">
        <w:rPr>
          <w:color w:val="0B769F" w:themeColor="accent4" w:themeShade="BF"/>
        </w:rPr>
        <w:t>(</w:t>
      </w:r>
      <w:r w:rsidRPr="00F80FB6">
        <w:t>Accessed 7 December 2025).</w:t>
      </w:r>
    </w:p>
    <w:bookmarkEnd w:id="12"/>
    <w:p w14:paraId="11DA9D68" w14:textId="77777777" w:rsidR="00ED2539" w:rsidRPr="00F80FB6" w:rsidRDefault="00ED2539" w:rsidP="001C7C2C">
      <w:pPr>
        <w:spacing w:before="100" w:beforeAutospacing="1" w:after="100" w:afterAutospacing="1" w:line="360" w:lineRule="auto"/>
        <w:ind w:left="360"/>
      </w:pPr>
      <w:r w:rsidRPr="001C7C2C">
        <w:rPr>
          <w:rFonts w:eastAsiaTheme="minorHAnsi"/>
          <w:kern w:val="2"/>
          <w:lang w:eastAsia="en-US"/>
          <w14:ligatures w14:val="standardContextual"/>
        </w:rPr>
        <w:t xml:space="preserve">HVS (2025) </w:t>
      </w:r>
      <w:r w:rsidRPr="001C7C2C">
        <w:rPr>
          <w:i/>
          <w:iCs/>
          <w:kern w:val="2"/>
          <w:lang w:eastAsia="en-US"/>
          <w14:ligatures w14:val="standardContextual"/>
        </w:rPr>
        <w:t>Hotel Profitability in Transition: Cost Pressures and Budgeting Priorities for 2026</w:t>
      </w:r>
      <w:r w:rsidRPr="001C7C2C">
        <w:rPr>
          <w:rFonts w:eastAsiaTheme="minorHAnsi"/>
          <w:kern w:val="2"/>
          <w:lang w:eastAsia="en-US"/>
          <w14:ligatures w14:val="standardContextual"/>
        </w:rPr>
        <w:t xml:space="preserve">. Available at: </w:t>
      </w:r>
      <w:hyperlink r:id="rId34" w:tgtFrame="_new" w:history="1">
        <w:r w:rsidRPr="001C7C2C">
          <w:rPr>
            <w:color w:val="0B769F" w:themeColor="accent4" w:themeShade="BF"/>
            <w:kern w:val="2"/>
            <w:u w:val="single"/>
            <w:lang w:eastAsia="en-US"/>
            <w14:ligatures w14:val="standardContextual"/>
          </w:rPr>
          <w:t>https://www.hvs.com/article/10345-Hotel-Profitability-in-Transition-Cost-Pressures-and-Budgeting-Priorities-for-2026</w:t>
        </w:r>
      </w:hyperlink>
      <w:r w:rsidRPr="001C7C2C">
        <w:rPr>
          <w:rFonts w:eastAsiaTheme="minorHAnsi"/>
          <w:color w:val="0B769F" w:themeColor="accent4" w:themeShade="BF"/>
          <w:kern w:val="2"/>
          <w:lang w:eastAsia="en-US"/>
          <w14:ligatures w14:val="standardContextual"/>
        </w:rPr>
        <w:t xml:space="preserve"> </w:t>
      </w:r>
      <w:hyperlink r:id="rId35" w:tgtFrame="_blank" w:history="1">
        <w:r w:rsidRPr="001C7C2C">
          <w:rPr>
            <w:color w:val="0B769F" w:themeColor="accent4" w:themeShade="BF"/>
            <w:kern w:val="2"/>
            <w:u w:val="single"/>
            <w:lang w:eastAsia="en-US"/>
            <w14:ligatures w14:val="standardContextual"/>
          </w:rPr>
          <w:t>hvs.com</w:t>
        </w:r>
      </w:hyperlink>
      <w:r w:rsidRPr="001C7C2C">
        <w:rPr>
          <w:rFonts w:eastAsiaTheme="minorHAnsi"/>
          <w:color w:val="0B769F" w:themeColor="accent4" w:themeShade="BF"/>
          <w:kern w:val="2"/>
          <w:lang w:eastAsia="en-US"/>
          <w14:ligatures w14:val="standardContextual"/>
        </w:rPr>
        <w:t xml:space="preserve">. </w:t>
      </w:r>
      <w:r w:rsidRPr="00F80FB6">
        <w:t>(Accessed:7 December 2025).</w:t>
      </w:r>
    </w:p>
    <w:p w14:paraId="0AD556D5" w14:textId="77777777" w:rsidR="00ED2539" w:rsidRPr="001C7C2C" w:rsidRDefault="00ED2539" w:rsidP="001C7C2C">
      <w:pPr>
        <w:spacing w:before="100" w:beforeAutospacing="1" w:after="100" w:afterAutospacing="1" w:line="360" w:lineRule="auto"/>
        <w:ind w:left="360"/>
        <w:rPr>
          <w:rFonts w:eastAsiaTheme="minorHAnsi"/>
          <w:kern w:val="2"/>
          <w:lang w:eastAsia="en-US"/>
          <w14:ligatures w14:val="standardContextual"/>
        </w:rPr>
      </w:pPr>
      <w:r w:rsidRPr="001C7C2C">
        <w:rPr>
          <w:rFonts w:eastAsiaTheme="minorHAnsi"/>
          <w:kern w:val="2"/>
          <w:lang w:eastAsia="en-US"/>
          <w14:ligatures w14:val="standardContextual"/>
        </w:rPr>
        <w:t xml:space="preserve">LinkedIn Hospitality Tech (2025) </w:t>
      </w:r>
      <w:r w:rsidRPr="001C7C2C">
        <w:rPr>
          <w:i/>
          <w:iCs/>
          <w:kern w:val="2"/>
          <w:lang w:eastAsia="en-US"/>
          <w14:ligatures w14:val="standardContextual"/>
        </w:rPr>
        <w:t>Hospitality Businesses That Fail to Embrace Technology</w:t>
      </w:r>
      <w:r w:rsidRPr="001C7C2C">
        <w:rPr>
          <w:rFonts w:eastAsiaTheme="minorHAnsi"/>
          <w:kern w:val="2"/>
          <w:lang w:eastAsia="en-US"/>
          <w14:ligatures w14:val="standardContextual"/>
        </w:rPr>
        <w:t xml:space="preserve">. Available at: </w:t>
      </w:r>
      <w:hyperlink r:id="rId36" w:tgtFrame="_new" w:history="1">
        <w:r w:rsidRPr="001C7C2C">
          <w:rPr>
            <w:color w:val="0B769F" w:themeColor="accent4" w:themeShade="BF"/>
            <w:kern w:val="2"/>
            <w:u w:val="single"/>
            <w:lang w:eastAsia="en-US"/>
            <w14:ligatures w14:val="standardContextual"/>
          </w:rPr>
          <w:t>https://www.linkedin.com/pulse/hospitality-businesses-fail-embrace-technology-pradeep-jena-9pwdc</w:t>
        </w:r>
      </w:hyperlink>
      <w:r w:rsidRPr="001C7C2C">
        <w:rPr>
          <w:rFonts w:eastAsiaTheme="minorHAnsi"/>
          <w:color w:val="0B769F" w:themeColor="accent4" w:themeShade="BF"/>
          <w:kern w:val="2"/>
          <w:lang w:eastAsia="en-US"/>
          <w14:ligatures w14:val="standardContextual"/>
        </w:rPr>
        <w:t xml:space="preserve"> </w:t>
      </w:r>
      <w:hyperlink r:id="rId37" w:tgtFrame="_blank" w:history="1">
        <w:r w:rsidRPr="001C7C2C">
          <w:rPr>
            <w:color w:val="0B769F" w:themeColor="accent4" w:themeShade="BF"/>
            <w:kern w:val="2"/>
            <w:u w:val="single"/>
            <w:lang w:eastAsia="en-US"/>
            <w14:ligatures w14:val="standardContextual"/>
          </w:rPr>
          <w:t>LinkedIn</w:t>
        </w:r>
      </w:hyperlink>
      <w:r w:rsidRPr="001C7C2C">
        <w:rPr>
          <w:rFonts w:eastAsiaTheme="minorHAnsi"/>
          <w:color w:val="0B769F" w:themeColor="accent4" w:themeShade="BF"/>
          <w:kern w:val="2"/>
          <w:lang w:eastAsia="en-US"/>
          <w14:ligatures w14:val="standardContextual"/>
        </w:rPr>
        <w:t>.</w:t>
      </w:r>
      <w:r w:rsidRPr="001C7C2C">
        <w:rPr>
          <w:rFonts w:eastAsiaTheme="minorHAnsi"/>
          <w:kern w:val="2"/>
          <w:lang w:eastAsia="en-US"/>
          <w14:ligatures w14:val="standardContextual"/>
        </w:rPr>
        <w:t xml:space="preserve"> (Accessed: December 5, 2025).  </w:t>
      </w:r>
    </w:p>
    <w:p w14:paraId="3570D7C3" w14:textId="77777777" w:rsidR="00ED2539" w:rsidRPr="00F80FB6" w:rsidRDefault="00ED2539" w:rsidP="001C7C2C">
      <w:pPr>
        <w:spacing w:line="360" w:lineRule="auto"/>
        <w:ind w:left="360"/>
      </w:pPr>
      <w:r w:rsidRPr="00F80FB6">
        <w:t xml:space="preserve">NetSuite (2024) </w:t>
      </w:r>
      <w:r w:rsidRPr="001C7C2C">
        <w:rPr>
          <w:i/>
          <w:iCs/>
        </w:rPr>
        <w:t>Hospitality financial management: A complete guide</w:t>
      </w:r>
      <w:r>
        <w:t xml:space="preserve">. </w:t>
      </w:r>
      <w:r w:rsidRPr="00F80FB6">
        <w:t>Available at: https://www.netsuite.com (Accessed: 19 October 2025).</w:t>
      </w:r>
    </w:p>
    <w:p w14:paraId="45121806" w14:textId="77777777" w:rsidR="00ED2539" w:rsidRPr="00F80FB6" w:rsidRDefault="00ED2539" w:rsidP="001C7C2C">
      <w:pPr>
        <w:spacing w:before="100" w:beforeAutospacing="1" w:after="100" w:afterAutospacing="1" w:line="360" w:lineRule="auto"/>
        <w:ind w:left="360"/>
      </w:pPr>
      <w:r w:rsidRPr="00F80FB6">
        <w:t>NetSuite</w:t>
      </w:r>
      <w:r>
        <w:t xml:space="preserve"> (</w:t>
      </w:r>
      <w:r w:rsidRPr="00F80FB6">
        <w:t>2025</w:t>
      </w:r>
      <w:r>
        <w:t xml:space="preserve">) </w:t>
      </w:r>
      <w:r w:rsidRPr="001C7C2C">
        <w:rPr>
          <w:i/>
          <w:iCs/>
        </w:rPr>
        <w:t>Hospitality Financial Management: A Complete Guide</w:t>
      </w:r>
      <w:r w:rsidRPr="00F80FB6">
        <w:t xml:space="preserve">. Available at: </w:t>
      </w:r>
      <w:hyperlink r:id="rId38" w:tgtFrame="_new" w:history="1">
        <w:r w:rsidRPr="001C7C2C">
          <w:rPr>
            <w:color w:val="0B769F" w:themeColor="accent4" w:themeShade="BF"/>
            <w:u w:val="single"/>
          </w:rPr>
          <w:t>https://www.netsuite.com/portal/resource/articles/financial-management/hospitality-financial-management.shtml</w:t>
        </w:r>
      </w:hyperlink>
      <w:r w:rsidRPr="00F80FB6">
        <w:t xml:space="preserve">. (Accessed: 7, December 2025). </w:t>
      </w:r>
    </w:p>
    <w:p w14:paraId="62308342" w14:textId="77777777" w:rsidR="00ED2539" w:rsidRPr="001C7C2C" w:rsidRDefault="00ED2539" w:rsidP="001C7C2C">
      <w:pPr>
        <w:spacing w:before="100" w:beforeAutospacing="1" w:after="100" w:afterAutospacing="1" w:line="360" w:lineRule="auto"/>
        <w:ind w:left="360"/>
        <w:rPr>
          <w:rFonts w:eastAsiaTheme="minorHAnsi"/>
          <w:kern w:val="2"/>
          <w:lang w:eastAsia="en-US"/>
          <w14:ligatures w14:val="standardContextual"/>
        </w:rPr>
      </w:pPr>
      <w:r w:rsidRPr="001C7C2C">
        <w:rPr>
          <w:rFonts w:eastAsiaTheme="minorHAnsi"/>
          <w:kern w:val="2"/>
          <w:lang w:eastAsia="en-US"/>
          <w14:ligatures w14:val="standardContextual"/>
        </w:rPr>
        <w:t xml:space="preserve">Olsen, M.D (2017) </w:t>
      </w:r>
      <w:r w:rsidRPr="001C7C2C">
        <w:rPr>
          <w:i/>
          <w:iCs/>
          <w:kern w:val="2"/>
          <w:lang w:eastAsia="en-US"/>
          <w14:ligatures w14:val="standardContextual"/>
        </w:rPr>
        <w:t>The Effects of Customer Turnover on Profitability</w:t>
      </w:r>
      <w:r w:rsidRPr="001C7C2C">
        <w:rPr>
          <w:rFonts w:eastAsiaTheme="minorHAnsi"/>
          <w:kern w:val="2"/>
          <w:lang w:eastAsia="en-US"/>
          <w14:ligatures w14:val="standardContextual"/>
        </w:rPr>
        <w:t xml:space="preserve">. Available at: </w:t>
      </w:r>
      <w:hyperlink r:id="rId39" w:tgtFrame="_new" w:history="1">
        <w:r w:rsidRPr="001C7C2C">
          <w:rPr>
            <w:color w:val="0B769F" w:themeColor="accent4" w:themeShade="BF"/>
            <w:kern w:val="2"/>
            <w:u w:val="single"/>
            <w:lang w:eastAsia="en-US"/>
            <w14:ligatures w14:val="standardContextual"/>
          </w:rPr>
          <w:t>https://www.scribd.com/document/939131994/the-effects-of-customer-turnover-on-profitability-in-a-hotel</w:t>
        </w:r>
      </w:hyperlink>
      <w:r w:rsidRPr="001C7C2C">
        <w:rPr>
          <w:rFonts w:eastAsiaTheme="minorHAnsi"/>
          <w:color w:val="0B769F" w:themeColor="accent4" w:themeShade="BF"/>
          <w:kern w:val="2"/>
          <w:lang w:eastAsia="en-US"/>
          <w14:ligatures w14:val="standardContextual"/>
        </w:rPr>
        <w:t xml:space="preserve"> </w:t>
      </w:r>
      <w:hyperlink r:id="rId40" w:tgtFrame="_blank" w:history="1">
        <w:r w:rsidRPr="001C7C2C">
          <w:rPr>
            <w:color w:val="0B769F" w:themeColor="accent4" w:themeShade="BF"/>
            <w:kern w:val="2"/>
            <w:u w:val="single"/>
            <w:lang w:eastAsia="en-US"/>
            <w14:ligatures w14:val="standardContextual"/>
          </w:rPr>
          <w:t>Scribd</w:t>
        </w:r>
      </w:hyperlink>
      <w:r w:rsidRPr="001C7C2C">
        <w:rPr>
          <w:rFonts w:eastAsiaTheme="minorHAnsi"/>
          <w:color w:val="0B769F" w:themeColor="accent4" w:themeShade="BF"/>
          <w:kern w:val="2"/>
          <w:lang w:eastAsia="en-US"/>
          <w14:ligatures w14:val="standardContextual"/>
        </w:rPr>
        <w:t>.</w:t>
      </w:r>
      <w:r w:rsidRPr="001C7C2C">
        <w:rPr>
          <w:rFonts w:eastAsiaTheme="minorHAnsi"/>
          <w:kern w:val="2"/>
          <w:lang w:eastAsia="en-US"/>
          <w14:ligatures w14:val="standardContextual"/>
        </w:rPr>
        <w:t xml:space="preserve"> (Accessed: 10, December 2025).</w:t>
      </w:r>
    </w:p>
    <w:p w14:paraId="7A285616" w14:textId="77777777" w:rsidR="00ED2539" w:rsidRPr="001C7C2C" w:rsidRDefault="00ED2539" w:rsidP="001C7C2C">
      <w:pPr>
        <w:spacing w:before="100" w:beforeAutospacing="1" w:after="100" w:afterAutospacing="1" w:line="360" w:lineRule="auto"/>
        <w:ind w:left="360"/>
        <w:rPr>
          <w:rFonts w:eastAsiaTheme="minorHAnsi"/>
          <w:kern w:val="2"/>
          <w:lang w:eastAsia="en-US"/>
          <w14:ligatures w14:val="standardContextual"/>
        </w:rPr>
      </w:pPr>
      <w:r w:rsidRPr="001C7C2C">
        <w:rPr>
          <w:rFonts w:eastAsiaTheme="minorHAnsi"/>
          <w:kern w:val="2"/>
          <w:lang w:eastAsia="en-US"/>
          <w14:ligatures w14:val="standardContextual"/>
        </w:rPr>
        <w:lastRenderedPageBreak/>
        <w:t xml:space="preserve">Opus Business Advisory Group (2025) </w:t>
      </w:r>
      <w:r w:rsidRPr="001C7C2C">
        <w:rPr>
          <w:i/>
          <w:iCs/>
          <w:kern w:val="2"/>
          <w:lang w:eastAsia="en-US"/>
          <w14:ligatures w14:val="standardContextual"/>
        </w:rPr>
        <w:t>Hotel Sector Report – Finances Are Still Deteriorating</w:t>
      </w:r>
      <w:r w:rsidRPr="001C7C2C">
        <w:rPr>
          <w:rFonts w:eastAsiaTheme="minorHAnsi"/>
          <w:kern w:val="2"/>
          <w:lang w:eastAsia="en-US"/>
          <w14:ligatures w14:val="standardContextual"/>
        </w:rPr>
        <w:t xml:space="preserve">. Available at: </w:t>
      </w:r>
      <w:hyperlink r:id="rId41" w:tgtFrame="_new" w:history="1">
        <w:r w:rsidRPr="001C7C2C">
          <w:rPr>
            <w:color w:val="0B769F" w:themeColor="accent4" w:themeShade="BF"/>
            <w:kern w:val="2"/>
            <w:u w:val="single"/>
            <w:lang w:eastAsia="en-US"/>
            <w14:ligatures w14:val="standardContextual"/>
          </w:rPr>
          <w:t>https://opusllp.com/report/hotel-sector-report-finances-still-deteriorating/</w:t>
        </w:r>
      </w:hyperlink>
      <w:r w:rsidRPr="001C7C2C">
        <w:rPr>
          <w:rFonts w:eastAsiaTheme="minorHAnsi"/>
          <w:kern w:val="2"/>
          <w:lang w:eastAsia="en-US"/>
          <w14:ligatures w14:val="standardContextual"/>
        </w:rPr>
        <w:t xml:space="preserve"> </w:t>
      </w:r>
      <w:bookmarkStart w:id="13" w:name="_Hlk217814395"/>
      <w:r w:rsidRPr="001C7C2C">
        <w:rPr>
          <w:rFonts w:eastAsiaTheme="minorHAnsi"/>
          <w:kern w:val="2"/>
          <w:lang w:eastAsia="en-US"/>
          <w14:ligatures w14:val="standardContextual"/>
        </w:rPr>
        <w:t xml:space="preserve">(Accessed: December 10, 2025). </w:t>
      </w:r>
      <w:bookmarkEnd w:id="13"/>
    </w:p>
    <w:p w14:paraId="787B8565" w14:textId="77777777" w:rsidR="00ED2539" w:rsidRPr="001C7C2C" w:rsidRDefault="00ED2539" w:rsidP="001C7C2C">
      <w:pPr>
        <w:spacing w:before="100" w:beforeAutospacing="1" w:after="100" w:afterAutospacing="1" w:line="360" w:lineRule="auto"/>
        <w:ind w:left="360"/>
        <w:rPr>
          <w:rFonts w:eastAsiaTheme="minorHAnsi"/>
          <w:kern w:val="2"/>
          <w:lang w:eastAsia="en-US"/>
          <w14:ligatures w14:val="standardContextual"/>
        </w:rPr>
      </w:pPr>
      <w:r w:rsidRPr="001C7C2C">
        <w:rPr>
          <w:rFonts w:eastAsiaTheme="minorHAnsi"/>
          <w:kern w:val="2"/>
          <w:lang w:eastAsia="en-US"/>
          <w14:ligatures w14:val="standardContextual"/>
        </w:rPr>
        <w:t xml:space="preserve">PwC (2025) </w:t>
      </w:r>
      <w:r w:rsidRPr="001C7C2C">
        <w:rPr>
          <w:i/>
          <w:iCs/>
          <w:kern w:val="2"/>
          <w:lang w:eastAsia="en-US"/>
          <w14:ligatures w14:val="standardContextual"/>
        </w:rPr>
        <w:t>Hospitality Industry Stability and Growth</w:t>
      </w:r>
      <w:r w:rsidRPr="001C7C2C">
        <w:rPr>
          <w:rFonts w:eastAsiaTheme="minorHAnsi"/>
          <w:kern w:val="2"/>
          <w:lang w:eastAsia="en-US"/>
          <w14:ligatures w14:val="standardContextual"/>
        </w:rPr>
        <w:t xml:space="preserve">. </w:t>
      </w:r>
      <w:bookmarkStart w:id="14" w:name="_Hlk217814298"/>
      <w:r w:rsidRPr="001C7C2C">
        <w:rPr>
          <w:rFonts w:eastAsiaTheme="minorHAnsi"/>
          <w:kern w:val="2"/>
          <w:lang w:eastAsia="en-US"/>
          <w14:ligatures w14:val="standardContextual"/>
        </w:rPr>
        <w:t xml:space="preserve">Available at: </w:t>
      </w:r>
      <w:bookmarkEnd w:id="14"/>
      <w:r w:rsidRPr="001C7C2C">
        <w:rPr>
          <w:color w:val="0B769F" w:themeColor="accent4" w:themeShade="BF"/>
          <w:kern w:val="2"/>
          <w:u w:val="single"/>
          <w:lang w:eastAsia="en-US"/>
          <w14:ligatures w14:val="standardContextual"/>
        </w:rPr>
        <w:fldChar w:fldCharType="begin"/>
      </w:r>
      <w:r w:rsidRPr="001C7C2C">
        <w:rPr>
          <w:color w:val="0B769F" w:themeColor="accent4" w:themeShade="BF"/>
          <w:kern w:val="2"/>
          <w:u w:val="single"/>
          <w:lang w:eastAsia="en-US"/>
          <w14:ligatures w14:val="standardContextual"/>
        </w:rPr>
        <w:instrText>HYPERLINK "https://www.pwc.com/us/en/industries/consumer-markets/library/hospitality-stability-and-growth.html"</w:instrText>
      </w:r>
      <w:r w:rsidRPr="00F80FB6">
        <w:rPr>
          <w:lang w:eastAsia="en-US"/>
        </w:rPr>
      </w:r>
      <w:r w:rsidRPr="001C7C2C">
        <w:rPr>
          <w:color w:val="0B769F" w:themeColor="accent4" w:themeShade="BF"/>
          <w:kern w:val="2"/>
          <w:u w:val="single"/>
          <w:lang w:eastAsia="en-US"/>
          <w14:ligatures w14:val="standardContextual"/>
        </w:rPr>
        <w:fldChar w:fldCharType="separate"/>
      </w:r>
      <w:r w:rsidRPr="001C7C2C">
        <w:rPr>
          <w:rStyle w:val="Hyperlink"/>
          <w:color w:val="0B769F" w:themeColor="accent4" w:themeShade="BF"/>
          <w:kern w:val="2"/>
          <w:lang w:eastAsia="en-US"/>
          <w14:ligatures w14:val="standardContextual"/>
        </w:rPr>
        <w:t>https://www.pwc.com/us/en/industries/consumer-markets/library/hospitality-stability-and-growth.html</w:t>
      </w:r>
      <w:r w:rsidRPr="001C7C2C">
        <w:rPr>
          <w:color w:val="0B769F" w:themeColor="accent4" w:themeShade="BF"/>
          <w:kern w:val="2"/>
          <w:u w:val="single"/>
          <w:lang w:eastAsia="en-US"/>
          <w14:ligatures w14:val="standardContextual"/>
        </w:rPr>
        <w:fldChar w:fldCharType="end"/>
      </w:r>
      <w:r w:rsidRPr="001C7C2C">
        <w:rPr>
          <w:color w:val="0B769F" w:themeColor="accent4" w:themeShade="BF"/>
          <w:kern w:val="2"/>
          <w:u w:val="single"/>
          <w:lang w:eastAsia="en-US"/>
          <w14:ligatures w14:val="standardContextual"/>
        </w:rPr>
        <w:t>.</w:t>
      </w:r>
      <w:r w:rsidRPr="001C7C2C">
        <w:rPr>
          <w:rFonts w:eastAsiaTheme="minorHAnsi"/>
          <w:color w:val="0B769F" w:themeColor="accent4" w:themeShade="BF"/>
          <w:kern w:val="2"/>
          <w:lang w:eastAsia="en-US"/>
          <w14:ligatures w14:val="standardContextual"/>
        </w:rPr>
        <w:t xml:space="preserve"> </w:t>
      </w:r>
      <w:bookmarkStart w:id="15" w:name="_Hlk217816361"/>
      <w:r w:rsidRPr="001C7C2C">
        <w:rPr>
          <w:rFonts w:eastAsiaTheme="minorHAnsi"/>
          <w:kern w:val="2"/>
          <w:lang w:eastAsia="en-US"/>
          <w14:ligatures w14:val="standardContextual"/>
        </w:rPr>
        <w:t xml:space="preserve">(Accessed: December 12, 2025). </w:t>
      </w:r>
      <w:bookmarkEnd w:id="15"/>
    </w:p>
    <w:p w14:paraId="35B97A30" w14:textId="77777777" w:rsidR="00ED2539" w:rsidRPr="00F80FB6" w:rsidRDefault="00ED2539" w:rsidP="001C7C2C">
      <w:pPr>
        <w:spacing w:before="100" w:beforeAutospacing="1" w:after="100" w:afterAutospacing="1" w:line="360" w:lineRule="auto"/>
        <w:ind w:left="360"/>
      </w:pPr>
      <w:bookmarkStart w:id="16" w:name="_Hlk217813860"/>
      <w:r w:rsidRPr="00F80FB6">
        <w:t>Qraffa</w:t>
      </w:r>
      <w:r>
        <w:t xml:space="preserve"> (</w:t>
      </w:r>
      <w:r w:rsidRPr="00F80FB6">
        <w:t>202</w:t>
      </w:r>
      <w:r>
        <w:t xml:space="preserve">) </w:t>
      </w:r>
      <w:r w:rsidRPr="00F80FB6">
        <w:t xml:space="preserve"> </w:t>
      </w:r>
      <w:r w:rsidRPr="001C7C2C">
        <w:rPr>
          <w:i/>
          <w:iCs/>
        </w:rPr>
        <w:t>Customers’ Expectations in 2024</w:t>
      </w:r>
      <w:bookmarkEnd w:id="16"/>
      <w:r w:rsidRPr="00F80FB6">
        <w:t>.</w:t>
      </w:r>
      <w:r w:rsidRPr="001C7C2C">
        <w:rPr>
          <w:rFonts w:eastAsiaTheme="minorHAnsi"/>
          <w:kern w:val="2"/>
          <w:lang w:eastAsia="en-US"/>
          <w14:ligatures w14:val="standardContextual"/>
        </w:rPr>
        <w:t xml:space="preserve"> Available at:</w:t>
      </w:r>
      <w:r w:rsidRPr="00F80FB6">
        <w:t xml:space="preserve"> </w:t>
      </w:r>
      <w:hyperlink r:id="rId42" w:history="1">
        <w:r w:rsidRPr="001C7C2C">
          <w:rPr>
            <w:rStyle w:val="Hyperlink"/>
            <w:rFonts w:eastAsiaTheme="minorHAnsi"/>
            <w:color w:val="0B769F" w:themeColor="accent4" w:themeShade="BF"/>
            <w:kern w:val="2"/>
            <w:lang w:eastAsia="en-US"/>
            <w14:ligatures w14:val="standardContextual"/>
          </w:rPr>
          <w:t>https://www.qraffa.uk/industry-blog/1824433_customers-expectations-in-2024</w:t>
        </w:r>
      </w:hyperlink>
      <w:r w:rsidRPr="001C7C2C">
        <w:rPr>
          <w:rFonts w:eastAsiaTheme="minorHAnsi"/>
          <w:color w:val="0B769F" w:themeColor="accent4" w:themeShade="BF"/>
          <w:kern w:val="2"/>
          <w:lang w:eastAsia="en-US"/>
          <w14:ligatures w14:val="standardContextual"/>
        </w:rPr>
        <w:t xml:space="preserve">. </w:t>
      </w:r>
      <w:r w:rsidRPr="001C7C2C">
        <w:rPr>
          <w:rFonts w:eastAsiaTheme="minorHAnsi"/>
          <w:kern w:val="2"/>
          <w:lang w:eastAsia="en-US"/>
          <w14:ligatures w14:val="standardContextual"/>
        </w:rPr>
        <w:t>(Accessed: December 09, 2025).</w:t>
      </w:r>
    </w:p>
    <w:p w14:paraId="27915F14" w14:textId="77777777" w:rsidR="00ED2539" w:rsidRPr="00F80FB6" w:rsidRDefault="00ED2539" w:rsidP="001C7C2C">
      <w:pPr>
        <w:spacing w:before="100" w:beforeAutospacing="1" w:after="100" w:afterAutospacing="1" w:line="360" w:lineRule="auto"/>
        <w:ind w:left="360"/>
      </w:pPr>
      <w:r w:rsidRPr="00F80FB6">
        <w:t>VBW Ventures</w:t>
      </w:r>
      <w:r>
        <w:t xml:space="preserve"> (</w:t>
      </w:r>
      <w:r w:rsidRPr="00F80FB6">
        <w:t>2023</w:t>
      </w:r>
      <w:r>
        <w:t>)</w:t>
      </w:r>
      <w:r w:rsidRPr="00F80FB6">
        <w:t xml:space="preserve"> </w:t>
      </w:r>
      <w:r w:rsidRPr="001C7C2C">
        <w:rPr>
          <w:i/>
          <w:iCs/>
        </w:rPr>
        <w:t>Analysing the Shift in Consumer Preferences for Hotel Experiences Post-Pandemic</w:t>
      </w:r>
      <w:r w:rsidRPr="00F80FB6">
        <w:t xml:space="preserve">. </w:t>
      </w:r>
      <w:r w:rsidRPr="001C7C2C">
        <w:rPr>
          <w:i/>
          <w:iCs/>
        </w:rPr>
        <w:t>Deman for hygiene and cleanliness.</w:t>
      </w:r>
      <w:r w:rsidRPr="001C7C2C">
        <w:rPr>
          <w:rFonts w:eastAsiaTheme="minorHAnsi"/>
          <w:kern w:val="2"/>
          <w:lang w:eastAsia="en-US"/>
          <w14:ligatures w14:val="standardContextual"/>
        </w:rPr>
        <w:t xml:space="preserve"> </w:t>
      </w:r>
      <w:bookmarkStart w:id="17" w:name="_Hlk217814989"/>
      <w:r w:rsidRPr="001C7C2C">
        <w:rPr>
          <w:rFonts w:eastAsiaTheme="minorHAnsi"/>
          <w:kern w:val="2"/>
          <w:lang w:eastAsia="en-US"/>
          <w14:ligatures w14:val="standardContextual"/>
        </w:rPr>
        <w:t xml:space="preserve">Available at: </w:t>
      </w:r>
      <w:bookmarkEnd w:id="17"/>
      <w:r w:rsidRPr="001C7C2C">
        <w:rPr>
          <w:color w:val="0B769F" w:themeColor="accent4" w:themeShade="BF"/>
        </w:rPr>
        <w:fldChar w:fldCharType="begin"/>
      </w:r>
      <w:r w:rsidRPr="001C7C2C">
        <w:rPr>
          <w:color w:val="0B769F" w:themeColor="accent4" w:themeShade="BF"/>
        </w:rPr>
        <w:instrText>HYPERLINK "https://vbwventures.com/analyzing-the-shift-in-consumer-preferences-for-hotel-experiences-post-pandemic/?utm_source=chatgpt.com"</w:instrText>
      </w:r>
      <w:r w:rsidRPr="00F80FB6">
        <w:rPr>
          <w:color w:val="0B769F" w:themeColor="accent4" w:themeShade="BF"/>
        </w:rPr>
      </w:r>
      <w:r w:rsidRPr="001C7C2C">
        <w:rPr>
          <w:color w:val="0B769F" w:themeColor="accent4" w:themeShade="BF"/>
        </w:rPr>
        <w:fldChar w:fldCharType="separate"/>
      </w:r>
      <w:r w:rsidRPr="001C7C2C">
        <w:rPr>
          <w:color w:val="0B769F" w:themeColor="accent4" w:themeShade="BF"/>
          <w:u w:val="single"/>
        </w:rPr>
        <w:t xml:space="preserve">Analysing the Shift in Consumer Preferences for Hotel Experiences Post-Pandemic. </w:t>
      </w:r>
      <w:r w:rsidRPr="001C7C2C">
        <w:rPr>
          <w:color w:val="0B769F" w:themeColor="accent4" w:themeShade="BF"/>
        </w:rPr>
        <w:fldChar w:fldCharType="end"/>
      </w:r>
      <w:r w:rsidRPr="001C7C2C">
        <w:rPr>
          <w:rFonts w:eastAsiaTheme="minorHAnsi"/>
          <w:kern w:val="2"/>
          <w:lang w:eastAsia="en-US"/>
          <w14:ligatures w14:val="standardContextual"/>
        </w:rPr>
        <w:t xml:space="preserve"> (Accessed: December 12, 2025). </w:t>
      </w:r>
    </w:p>
    <w:sectPr w:rsidR="00ED2539" w:rsidRPr="00F80FB6" w:rsidSect="00865CE3">
      <w:footerReference w:type="default" r:id="rId43"/>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42F87" w14:textId="77777777" w:rsidR="00583DE3" w:rsidRDefault="00583DE3" w:rsidP="009759B9">
      <w:r>
        <w:separator/>
      </w:r>
    </w:p>
  </w:endnote>
  <w:endnote w:type="continuationSeparator" w:id="0">
    <w:p w14:paraId="279DF072" w14:textId="77777777" w:rsidR="00583DE3" w:rsidRDefault="00583DE3" w:rsidP="00975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5003227"/>
      <w:docPartObj>
        <w:docPartGallery w:val="Page Numbers (Bottom of Page)"/>
        <w:docPartUnique/>
      </w:docPartObj>
    </w:sdtPr>
    <w:sdtEndPr/>
    <w:sdtContent>
      <w:p w14:paraId="781808CA" w14:textId="66EB24B8" w:rsidR="001C7609" w:rsidRDefault="001C7609">
        <w:pPr>
          <w:pStyle w:val="Footer"/>
          <w:jc w:val="right"/>
        </w:pPr>
        <w:r>
          <w:fldChar w:fldCharType="begin"/>
        </w:r>
        <w:r>
          <w:instrText>PAGE   \* MERGEFORMAT</w:instrText>
        </w:r>
        <w:r>
          <w:fldChar w:fldCharType="separate"/>
        </w:r>
        <w:r>
          <w:t>2</w:t>
        </w:r>
        <w:r>
          <w:fldChar w:fldCharType="end"/>
        </w:r>
      </w:p>
    </w:sdtContent>
  </w:sdt>
  <w:p w14:paraId="52405409" w14:textId="77777777" w:rsidR="00455219" w:rsidRDefault="0045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6560888"/>
      <w:docPartObj>
        <w:docPartGallery w:val="Page Numbers (Bottom of Page)"/>
        <w:docPartUnique/>
      </w:docPartObj>
    </w:sdtPr>
    <w:sdtEndPr/>
    <w:sdtContent>
      <w:p w14:paraId="52DB01F9" w14:textId="699A9329" w:rsidR="00FD6AEF" w:rsidRDefault="00FD6AEF">
        <w:pPr>
          <w:pStyle w:val="Footer"/>
          <w:jc w:val="right"/>
        </w:pPr>
        <w:r>
          <w:fldChar w:fldCharType="begin"/>
        </w:r>
        <w:r>
          <w:instrText>PAGE   \* MERGEFORMAT</w:instrText>
        </w:r>
        <w:r>
          <w:fldChar w:fldCharType="separate"/>
        </w:r>
        <w:r>
          <w:t>2</w:t>
        </w:r>
        <w:r>
          <w:fldChar w:fldCharType="end"/>
        </w:r>
      </w:p>
    </w:sdtContent>
  </w:sdt>
  <w:p w14:paraId="3770CC5F" w14:textId="77777777" w:rsidR="00FD6AEF" w:rsidRDefault="00FD6A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49F1A" w14:textId="77777777" w:rsidR="00583DE3" w:rsidRDefault="00583DE3" w:rsidP="009759B9">
      <w:r>
        <w:separator/>
      </w:r>
    </w:p>
  </w:footnote>
  <w:footnote w:type="continuationSeparator" w:id="0">
    <w:p w14:paraId="137028DA" w14:textId="77777777" w:rsidR="00583DE3" w:rsidRDefault="00583DE3" w:rsidP="009759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C69F1"/>
    <w:multiLevelType w:val="multilevel"/>
    <w:tmpl w:val="19261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C2C5D"/>
    <w:multiLevelType w:val="multilevel"/>
    <w:tmpl w:val="60922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26B50"/>
    <w:multiLevelType w:val="hybridMultilevel"/>
    <w:tmpl w:val="4FA2740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BB960A9"/>
    <w:multiLevelType w:val="multilevel"/>
    <w:tmpl w:val="096A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EA5BFB"/>
    <w:multiLevelType w:val="multilevel"/>
    <w:tmpl w:val="E1806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1943A4"/>
    <w:multiLevelType w:val="hybridMultilevel"/>
    <w:tmpl w:val="9E4684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0A097C"/>
    <w:multiLevelType w:val="multilevel"/>
    <w:tmpl w:val="0714C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093049A"/>
    <w:multiLevelType w:val="multilevel"/>
    <w:tmpl w:val="5F0E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1F96527"/>
    <w:multiLevelType w:val="multilevel"/>
    <w:tmpl w:val="A4E4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1191571">
    <w:abstractNumId w:val="7"/>
  </w:num>
  <w:num w:numId="2" w16cid:durableId="2115324111">
    <w:abstractNumId w:val="0"/>
  </w:num>
  <w:num w:numId="3" w16cid:durableId="846137637">
    <w:abstractNumId w:val="8"/>
  </w:num>
  <w:num w:numId="4" w16cid:durableId="1267036605">
    <w:abstractNumId w:val="3"/>
  </w:num>
  <w:num w:numId="5" w16cid:durableId="1463303195">
    <w:abstractNumId w:val="6"/>
  </w:num>
  <w:num w:numId="6" w16cid:durableId="1771318696">
    <w:abstractNumId w:val="1"/>
  </w:num>
  <w:num w:numId="7" w16cid:durableId="1893468152">
    <w:abstractNumId w:val="4"/>
  </w:num>
  <w:num w:numId="8" w16cid:durableId="2003772085">
    <w:abstractNumId w:val="5"/>
  </w:num>
  <w:num w:numId="9" w16cid:durableId="99668427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44F0"/>
    <w:rsid w:val="000158EB"/>
    <w:rsid w:val="00017DA3"/>
    <w:rsid w:val="00024C5B"/>
    <w:rsid w:val="0002790D"/>
    <w:rsid w:val="000305E8"/>
    <w:rsid w:val="000346C6"/>
    <w:rsid w:val="00037F2A"/>
    <w:rsid w:val="00051DC9"/>
    <w:rsid w:val="00060DDD"/>
    <w:rsid w:val="00074C90"/>
    <w:rsid w:val="00075904"/>
    <w:rsid w:val="00080C8D"/>
    <w:rsid w:val="00083398"/>
    <w:rsid w:val="0009171D"/>
    <w:rsid w:val="000917C6"/>
    <w:rsid w:val="000942F6"/>
    <w:rsid w:val="00096101"/>
    <w:rsid w:val="000979E5"/>
    <w:rsid w:val="000A53A0"/>
    <w:rsid w:val="000A6DD1"/>
    <w:rsid w:val="000B6404"/>
    <w:rsid w:val="000C0B67"/>
    <w:rsid w:val="000D0B9D"/>
    <w:rsid w:val="000D4F61"/>
    <w:rsid w:val="000D7E0D"/>
    <w:rsid w:val="000E0649"/>
    <w:rsid w:val="000E44F0"/>
    <w:rsid w:val="000E46AD"/>
    <w:rsid w:val="000F5212"/>
    <w:rsid w:val="000F72A6"/>
    <w:rsid w:val="00101829"/>
    <w:rsid w:val="00104C52"/>
    <w:rsid w:val="001073E8"/>
    <w:rsid w:val="001110C1"/>
    <w:rsid w:val="0012190C"/>
    <w:rsid w:val="00131225"/>
    <w:rsid w:val="00131A62"/>
    <w:rsid w:val="00135081"/>
    <w:rsid w:val="001355CB"/>
    <w:rsid w:val="00135E9A"/>
    <w:rsid w:val="001364DD"/>
    <w:rsid w:val="0014125A"/>
    <w:rsid w:val="001432CD"/>
    <w:rsid w:val="00145335"/>
    <w:rsid w:val="00145C16"/>
    <w:rsid w:val="0016026A"/>
    <w:rsid w:val="001762EF"/>
    <w:rsid w:val="00187E15"/>
    <w:rsid w:val="00193410"/>
    <w:rsid w:val="001979F9"/>
    <w:rsid w:val="001A0DBE"/>
    <w:rsid w:val="001A76AF"/>
    <w:rsid w:val="001B18DE"/>
    <w:rsid w:val="001B6C73"/>
    <w:rsid w:val="001C1A28"/>
    <w:rsid w:val="001C3798"/>
    <w:rsid w:val="001C7609"/>
    <w:rsid w:val="001C7BE9"/>
    <w:rsid w:val="001C7C2C"/>
    <w:rsid w:val="001D0C2D"/>
    <w:rsid w:val="001D1B9C"/>
    <w:rsid w:val="001D2252"/>
    <w:rsid w:val="001D2779"/>
    <w:rsid w:val="001D34CE"/>
    <w:rsid w:val="001E0787"/>
    <w:rsid w:val="001E4A45"/>
    <w:rsid w:val="001E59DD"/>
    <w:rsid w:val="001E5DDC"/>
    <w:rsid w:val="001F2F7B"/>
    <w:rsid w:val="001F6F16"/>
    <w:rsid w:val="0020050B"/>
    <w:rsid w:val="00201EDE"/>
    <w:rsid w:val="002040DD"/>
    <w:rsid w:val="0020552C"/>
    <w:rsid w:val="00206A4F"/>
    <w:rsid w:val="00216BB0"/>
    <w:rsid w:val="002211F8"/>
    <w:rsid w:val="002224E6"/>
    <w:rsid w:val="00240792"/>
    <w:rsid w:val="002445F4"/>
    <w:rsid w:val="0024585A"/>
    <w:rsid w:val="00247090"/>
    <w:rsid w:val="00250ACB"/>
    <w:rsid w:val="002525FF"/>
    <w:rsid w:val="00254CBE"/>
    <w:rsid w:val="00254D8C"/>
    <w:rsid w:val="00256EAF"/>
    <w:rsid w:val="002578FC"/>
    <w:rsid w:val="00263391"/>
    <w:rsid w:val="00271734"/>
    <w:rsid w:val="002757F8"/>
    <w:rsid w:val="002870E3"/>
    <w:rsid w:val="00290E42"/>
    <w:rsid w:val="00294234"/>
    <w:rsid w:val="002A2FC0"/>
    <w:rsid w:val="002A33A5"/>
    <w:rsid w:val="002B41E8"/>
    <w:rsid w:val="002B7673"/>
    <w:rsid w:val="002C06B8"/>
    <w:rsid w:val="002C0F2D"/>
    <w:rsid w:val="002C3309"/>
    <w:rsid w:val="002D1A8A"/>
    <w:rsid w:val="002D2119"/>
    <w:rsid w:val="002D578B"/>
    <w:rsid w:val="002D71AD"/>
    <w:rsid w:val="002E7633"/>
    <w:rsid w:val="002F1A1A"/>
    <w:rsid w:val="002F388E"/>
    <w:rsid w:val="002F6C92"/>
    <w:rsid w:val="002F6CF6"/>
    <w:rsid w:val="00307284"/>
    <w:rsid w:val="003107D1"/>
    <w:rsid w:val="00313315"/>
    <w:rsid w:val="003161C5"/>
    <w:rsid w:val="003169A0"/>
    <w:rsid w:val="00317397"/>
    <w:rsid w:val="00321EF6"/>
    <w:rsid w:val="00324A4C"/>
    <w:rsid w:val="00325A99"/>
    <w:rsid w:val="003358FF"/>
    <w:rsid w:val="00335B73"/>
    <w:rsid w:val="00342BAD"/>
    <w:rsid w:val="00343EF4"/>
    <w:rsid w:val="00344D4D"/>
    <w:rsid w:val="0034637C"/>
    <w:rsid w:val="003632B9"/>
    <w:rsid w:val="00363C88"/>
    <w:rsid w:val="00370E55"/>
    <w:rsid w:val="00371855"/>
    <w:rsid w:val="00372359"/>
    <w:rsid w:val="003728B5"/>
    <w:rsid w:val="00396D1E"/>
    <w:rsid w:val="003B0EFE"/>
    <w:rsid w:val="003C04F2"/>
    <w:rsid w:val="003C3AFF"/>
    <w:rsid w:val="003D0044"/>
    <w:rsid w:val="003D47F6"/>
    <w:rsid w:val="003F09A8"/>
    <w:rsid w:val="003F44ED"/>
    <w:rsid w:val="00402E42"/>
    <w:rsid w:val="00406236"/>
    <w:rsid w:val="00414458"/>
    <w:rsid w:val="00417A9A"/>
    <w:rsid w:val="00420C99"/>
    <w:rsid w:val="00421C55"/>
    <w:rsid w:val="00425FF2"/>
    <w:rsid w:val="00434EF7"/>
    <w:rsid w:val="00440B83"/>
    <w:rsid w:val="00442DB2"/>
    <w:rsid w:val="00447AF7"/>
    <w:rsid w:val="00452CF2"/>
    <w:rsid w:val="00452E74"/>
    <w:rsid w:val="00455219"/>
    <w:rsid w:val="0046198E"/>
    <w:rsid w:val="004669FC"/>
    <w:rsid w:val="00467783"/>
    <w:rsid w:val="004736F1"/>
    <w:rsid w:val="00477B16"/>
    <w:rsid w:val="00494F84"/>
    <w:rsid w:val="00496C7E"/>
    <w:rsid w:val="004A0170"/>
    <w:rsid w:val="004A1535"/>
    <w:rsid w:val="004B34E0"/>
    <w:rsid w:val="004C436A"/>
    <w:rsid w:val="004D2035"/>
    <w:rsid w:val="004D6E4E"/>
    <w:rsid w:val="004D7960"/>
    <w:rsid w:val="004F6FBE"/>
    <w:rsid w:val="0050026B"/>
    <w:rsid w:val="00500DAF"/>
    <w:rsid w:val="00504231"/>
    <w:rsid w:val="005060B1"/>
    <w:rsid w:val="00506E94"/>
    <w:rsid w:val="00510628"/>
    <w:rsid w:val="00513566"/>
    <w:rsid w:val="005167A9"/>
    <w:rsid w:val="0052182F"/>
    <w:rsid w:val="00521CF7"/>
    <w:rsid w:val="00523E4C"/>
    <w:rsid w:val="00544124"/>
    <w:rsid w:val="00547430"/>
    <w:rsid w:val="005566C2"/>
    <w:rsid w:val="00574CD9"/>
    <w:rsid w:val="00574EE4"/>
    <w:rsid w:val="00577E2B"/>
    <w:rsid w:val="005839C5"/>
    <w:rsid w:val="00583DE3"/>
    <w:rsid w:val="00585681"/>
    <w:rsid w:val="00591D23"/>
    <w:rsid w:val="0059530D"/>
    <w:rsid w:val="005954DA"/>
    <w:rsid w:val="00597F57"/>
    <w:rsid w:val="005A070F"/>
    <w:rsid w:val="005A22DD"/>
    <w:rsid w:val="005A30D9"/>
    <w:rsid w:val="005A3C04"/>
    <w:rsid w:val="005A42CD"/>
    <w:rsid w:val="005B25B3"/>
    <w:rsid w:val="005C0DC2"/>
    <w:rsid w:val="005C405B"/>
    <w:rsid w:val="005D0721"/>
    <w:rsid w:val="005D1A9E"/>
    <w:rsid w:val="005D4636"/>
    <w:rsid w:val="005E1AE8"/>
    <w:rsid w:val="005E3771"/>
    <w:rsid w:val="005E7FA4"/>
    <w:rsid w:val="00604857"/>
    <w:rsid w:val="006076CF"/>
    <w:rsid w:val="006102AD"/>
    <w:rsid w:val="0061270C"/>
    <w:rsid w:val="006128FB"/>
    <w:rsid w:val="00613F48"/>
    <w:rsid w:val="006251DB"/>
    <w:rsid w:val="006271BA"/>
    <w:rsid w:val="006313E3"/>
    <w:rsid w:val="00631C5C"/>
    <w:rsid w:val="006344E5"/>
    <w:rsid w:val="006506B9"/>
    <w:rsid w:val="006562A8"/>
    <w:rsid w:val="00665F2A"/>
    <w:rsid w:val="00677A1E"/>
    <w:rsid w:val="00680B7F"/>
    <w:rsid w:val="00680D63"/>
    <w:rsid w:val="0068319C"/>
    <w:rsid w:val="006854FC"/>
    <w:rsid w:val="0068561F"/>
    <w:rsid w:val="0068609C"/>
    <w:rsid w:val="006901A3"/>
    <w:rsid w:val="006910A3"/>
    <w:rsid w:val="00692A8E"/>
    <w:rsid w:val="006A209A"/>
    <w:rsid w:val="006A4013"/>
    <w:rsid w:val="006B1B15"/>
    <w:rsid w:val="006B48CC"/>
    <w:rsid w:val="006B5CD6"/>
    <w:rsid w:val="006B6889"/>
    <w:rsid w:val="006C2976"/>
    <w:rsid w:val="006C2D10"/>
    <w:rsid w:val="006E6DCA"/>
    <w:rsid w:val="006F2C52"/>
    <w:rsid w:val="006F4449"/>
    <w:rsid w:val="006F4935"/>
    <w:rsid w:val="006F6102"/>
    <w:rsid w:val="00702E43"/>
    <w:rsid w:val="00703AB2"/>
    <w:rsid w:val="00704A14"/>
    <w:rsid w:val="00704EBD"/>
    <w:rsid w:val="0070588A"/>
    <w:rsid w:val="00706DA2"/>
    <w:rsid w:val="00717449"/>
    <w:rsid w:val="007272FC"/>
    <w:rsid w:val="007321BD"/>
    <w:rsid w:val="00735645"/>
    <w:rsid w:val="007408AF"/>
    <w:rsid w:val="00740BA8"/>
    <w:rsid w:val="007429DD"/>
    <w:rsid w:val="00742C6C"/>
    <w:rsid w:val="007615BC"/>
    <w:rsid w:val="00763AB6"/>
    <w:rsid w:val="007763A8"/>
    <w:rsid w:val="00783AA4"/>
    <w:rsid w:val="00792084"/>
    <w:rsid w:val="00794305"/>
    <w:rsid w:val="00795B30"/>
    <w:rsid w:val="007966AF"/>
    <w:rsid w:val="007A0427"/>
    <w:rsid w:val="007A5208"/>
    <w:rsid w:val="007A6A0C"/>
    <w:rsid w:val="007D0334"/>
    <w:rsid w:val="007E6240"/>
    <w:rsid w:val="007F05E9"/>
    <w:rsid w:val="007F200C"/>
    <w:rsid w:val="007F31B8"/>
    <w:rsid w:val="00805120"/>
    <w:rsid w:val="00805E40"/>
    <w:rsid w:val="0080612A"/>
    <w:rsid w:val="008116C8"/>
    <w:rsid w:val="008172E5"/>
    <w:rsid w:val="00820F9A"/>
    <w:rsid w:val="00822392"/>
    <w:rsid w:val="00822632"/>
    <w:rsid w:val="0083172A"/>
    <w:rsid w:val="00832F3C"/>
    <w:rsid w:val="00835085"/>
    <w:rsid w:val="008411A7"/>
    <w:rsid w:val="00847942"/>
    <w:rsid w:val="00854697"/>
    <w:rsid w:val="00860943"/>
    <w:rsid w:val="00863CBC"/>
    <w:rsid w:val="00864C78"/>
    <w:rsid w:val="00865CE3"/>
    <w:rsid w:val="00874F94"/>
    <w:rsid w:val="008825A9"/>
    <w:rsid w:val="008833E0"/>
    <w:rsid w:val="00885D65"/>
    <w:rsid w:val="008877A8"/>
    <w:rsid w:val="00887D57"/>
    <w:rsid w:val="0089061C"/>
    <w:rsid w:val="008963B3"/>
    <w:rsid w:val="00896F04"/>
    <w:rsid w:val="008A1EEE"/>
    <w:rsid w:val="008A404A"/>
    <w:rsid w:val="008A539F"/>
    <w:rsid w:val="008A793D"/>
    <w:rsid w:val="008B16BD"/>
    <w:rsid w:val="008B2254"/>
    <w:rsid w:val="008C45D7"/>
    <w:rsid w:val="008F43E0"/>
    <w:rsid w:val="00900BD2"/>
    <w:rsid w:val="00900F63"/>
    <w:rsid w:val="00901A02"/>
    <w:rsid w:val="00901FB2"/>
    <w:rsid w:val="00905B96"/>
    <w:rsid w:val="00907D9C"/>
    <w:rsid w:val="00915539"/>
    <w:rsid w:val="009164E1"/>
    <w:rsid w:val="0092065D"/>
    <w:rsid w:val="009308CA"/>
    <w:rsid w:val="009339B9"/>
    <w:rsid w:val="00942BE9"/>
    <w:rsid w:val="00953F5D"/>
    <w:rsid w:val="009560AB"/>
    <w:rsid w:val="00971C28"/>
    <w:rsid w:val="009759B9"/>
    <w:rsid w:val="009765AB"/>
    <w:rsid w:val="00977772"/>
    <w:rsid w:val="009808BE"/>
    <w:rsid w:val="00986594"/>
    <w:rsid w:val="009A2633"/>
    <w:rsid w:val="009A2842"/>
    <w:rsid w:val="009A394F"/>
    <w:rsid w:val="009B12A4"/>
    <w:rsid w:val="009B3109"/>
    <w:rsid w:val="009B33B1"/>
    <w:rsid w:val="009C14D3"/>
    <w:rsid w:val="009C1BC7"/>
    <w:rsid w:val="009C6A24"/>
    <w:rsid w:val="009D3B6F"/>
    <w:rsid w:val="009D7B1C"/>
    <w:rsid w:val="009E6698"/>
    <w:rsid w:val="009F02E1"/>
    <w:rsid w:val="009F0989"/>
    <w:rsid w:val="009F1086"/>
    <w:rsid w:val="009F760D"/>
    <w:rsid w:val="00A06C30"/>
    <w:rsid w:val="00A07168"/>
    <w:rsid w:val="00A21676"/>
    <w:rsid w:val="00A2184D"/>
    <w:rsid w:val="00A410F6"/>
    <w:rsid w:val="00A51739"/>
    <w:rsid w:val="00A52B04"/>
    <w:rsid w:val="00A60F3F"/>
    <w:rsid w:val="00A61302"/>
    <w:rsid w:val="00A66997"/>
    <w:rsid w:val="00A66BB9"/>
    <w:rsid w:val="00A70716"/>
    <w:rsid w:val="00A81570"/>
    <w:rsid w:val="00A82A53"/>
    <w:rsid w:val="00A85C01"/>
    <w:rsid w:val="00A86AAD"/>
    <w:rsid w:val="00A910A1"/>
    <w:rsid w:val="00AA5E2B"/>
    <w:rsid w:val="00AA680D"/>
    <w:rsid w:val="00AA7F0E"/>
    <w:rsid w:val="00AB1A0F"/>
    <w:rsid w:val="00AB2A4A"/>
    <w:rsid w:val="00AD1028"/>
    <w:rsid w:val="00AD26BA"/>
    <w:rsid w:val="00AD684C"/>
    <w:rsid w:val="00AE0265"/>
    <w:rsid w:val="00AE1A26"/>
    <w:rsid w:val="00AE2BC9"/>
    <w:rsid w:val="00AE6F37"/>
    <w:rsid w:val="00AF03B2"/>
    <w:rsid w:val="00AF66D8"/>
    <w:rsid w:val="00B11863"/>
    <w:rsid w:val="00B14B7A"/>
    <w:rsid w:val="00B17C0F"/>
    <w:rsid w:val="00B20553"/>
    <w:rsid w:val="00B275F0"/>
    <w:rsid w:val="00B277BB"/>
    <w:rsid w:val="00B30A94"/>
    <w:rsid w:val="00B30FEE"/>
    <w:rsid w:val="00B3382E"/>
    <w:rsid w:val="00B3521E"/>
    <w:rsid w:val="00B3625C"/>
    <w:rsid w:val="00B434EB"/>
    <w:rsid w:val="00B653E8"/>
    <w:rsid w:val="00B655E1"/>
    <w:rsid w:val="00B66E27"/>
    <w:rsid w:val="00B67117"/>
    <w:rsid w:val="00B71BC3"/>
    <w:rsid w:val="00B72A23"/>
    <w:rsid w:val="00B74424"/>
    <w:rsid w:val="00B7751A"/>
    <w:rsid w:val="00B8006E"/>
    <w:rsid w:val="00B80942"/>
    <w:rsid w:val="00B81A9F"/>
    <w:rsid w:val="00B81FEB"/>
    <w:rsid w:val="00B82D11"/>
    <w:rsid w:val="00B83AAE"/>
    <w:rsid w:val="00B8462C"/>
    <w:rsid w:val="00B87C81"/>
    <w:rsid w:val="00B9078B"/>
    <w:rsid w:val="00B90A2F"/>
    <w:rsid w:val="00BA1771"/>
    <w:rsid w:val="00BA783F"/>
    <w:rsid w:val="00BB319D"/>
    <w:rsid w:val="00BB37AA"/>
    <w:rsid w:val="00BC28A2"/>
    <w:rsid w:val="00BD1792"/>
    <w:rsid w:val="00BD3497"/>
    <w:rsid w:val="00BE269A"/>
    <w:rsid w:val="00BE4461"/>
    <w:rsid w:val="00BE503C"/>
    <w:rsid w:val="00BE505F"/>
    <w:rsid w:val="00BE6B44"/>
    <w:rsid w:val="00BE6EA6"/>
    <w:rsid w:val="00BF11AB"/>
    <w:rsid w:val="00BF2093"/>
    <w:rsid w:val="00BF5101"/>
    <w:rsid w:val="00C01F0D"/>
    <w:rsid w:val="00C03299"/>
    <w:rsid w:val="00C052F7"/>
    <w:rsid w:val="00C07969"/>
    <w:rsid w:val="00C128B3"/>
    <w:rsid w:val="00C166AD"/>
    <w:rsid w:val="00C17A0F"/>
    <w:rsid w:val="00C2085F"/>
    <w:rsid w:val="00C23300"/>
    <w:rsid w:val="00C31443"/>
    <w:rsid w:val="00C32905"/>
    <w:rsid w:val="00C336E4"/>
    <w:rsid w:val="00C353E2"/>
    <w:rsid w:val="00C36CEA"/>
    <w:rsid w:val="00C40E51"/>
    <w:rsid w:val="00C42986"/>
    <w:rsid w:val="00C52499"/>
    <w:rsid w:val="00C52ADD"/>
    <w:rsid w:val="00C5325D"/>
    <w:rsid w:val="00C56257"/>
    <w:rsid w:val="00C56C6F"/>
    <w:rsid w:val="00C70592"/>
    <w:rsid w:val="00C72467"/>
    <w:rsid w:val="00C72A4B"/>
    <w:rsid w:val="00C72FF0"/>
    <w:rsid w:val="00C77BD8"/>
    <w:rsid w:val="00C86884"/>
    <w:rsid w:val="00C96EE2"/>
    <w:rsid w:val="00CA1C62"/>
    <w:rsid w:val="00CA3369"/>
    <w:rsid w:val="00CB07AB"/>
    <w:rsid w:val="00CB5F14"/>
    <w:rsid w:val="00CB6817"/>
    <w:rsid w:val="00CC4DCF"/>
    <w:rsid w:val="00CD5E7C"/>
    <w:rsid w:val="00CE446C"/>
    <w:rsid w:val="00CE6C78"/>
    <w:rsid w:val="00CF2FC9"/>
    <w:rsid w:val="00D02B29"/>
    <w:rsid w:val="00D05CEB"/>
    <w:rsid w:val="00D13F4A"/>
    <w:rsid w:val="00D2654F"/>
    <w:rsid w:val="00D352BC"/>
    <w:rsid w:val="00D379B2"/>
    <w:rsid w:val="00D40214"/>
    <w:rsid w:val="00D4068B"/>
    <w:rsid w:val="00D4493E"/>
    <w:rsid w:val="00D51AEE"/>
    <w:rsid w:val="00D53A1F"/>
    <w:rsid w:val="00D5669D"/>
    <w:rsid w:val="00D6448B"/>
    <w:rsid w:val="00D75ACD"/>
    <w:rsid w:val="00D81040"/>
    <w:rsid w:val="00DA6D79"/>
    <w:rsid w:val="00DA7CC3"/>
    <w:rsid w:val="00DB5C6D"/>
    <w:rsid w:val="00DB6DB7"/>
    <w:rsid w:val="00DC0168"/>
    <w:rsid w:val="00DC0DBF"/>
    <w:rsid w:val="00DC3107"/>
    <w:rsid w:val="00DC41A3"/>
    <w:rsid w:val="00DC6A75"/>
    <w:rsid w:val="00DC6DB2"/>
    <w:rsid w:val="00DC70AB"/>
    <w:rsid w:val="00DC791F"/>
    <w:rsid w:val="00DD167B"/>
    <w:rsid w:val="00DD77D2"/>
    <w:rsid w:val="00DE36E5"/>
    <w:rsid w:val="00DF018E"/>
    <w:rsid w:val="00DF04A3"/>
    <w:rsid w:val="00DF05E0"/>
    <w:rsid w:val="00DF2BE4"/>
    <w:rsid w:val="00DF6A8B"/>
    <w:rsid w:val="00DF764F"/>
    <w:rsid w:val="00DF7AD5"/>
    <w:rsid w:val="00E02F22"/>
    <w:rsid w:val="00E0405E"/>
    <w:rsid w:val="00E0666E"/>
    <w:rsid w:val="00E20C94"/>
    <w:rsid w:val="00E20F92"/>
    <w:rsid w:val="00E235A7"/>
    <w:rsid w:val="00E27859"/>
    <w:rsid w:val="00E3369F"/>
    <w:rsid w:val="00E37FD4"/>
    <w:rsid w:val="00E55126"/>
    <w:rsid w:val="00E559E9"/>
    <w:rsid w:val="00E60A8F"/>
    <w:rsid w:val="00E62A46"/>
    <w:rsid w:val="00E6318B"/>
    <w:rsid w:val="00E645A7"/>
    <w:rsid w:val="00E822BE"/>
    <w:rsid w:val="00E846D3"/>
    <w:rsid w:val="00E848A3"/>
    <w:rsid w:val="00E84C99"/>
    <w:rsid w:val="00E876B7"/>
    <w:rsid w:val="00E90135"/>
    <w:rsid w:val="00E93F85"/>
    <w:rsid w:val="00E94388"/>
    <w:rsid w:val="00E9723C"/>
    <w:rsid w:val="00EA70C0"/>
    <w:rsid w:val="00EC196C"/>
    <w:rsid w:val="00EC1E5D"/>
    <w:rsid w:val="00EC5968"/>
    <w:rsid w:val="00ED028C"/>
    <w:rsid w:val="00ED2539"/>
    <w:rsid w:val="00ED7A48"/>
    <w:rsid w:val="00EE3130"/>
    <w:rsid w:val="00EE55EE"/>
    <w:rsid w:val="00EF6DB8"/>
    <w:rsid w:val="00EF7D90"/>
    <w:rsid w:val="00F00367"/>
    <w:rsid w:val="00F01579"/>
    <w:rsid w:val="00F02D3C"/>
    <w:rsid w:val="00F102B1"/>
    <w:rsid w:val="00F14392"/>
    <w:rsid w:val="00F16194"/>
    <w:rsid w:val="00F22034"/>
    <w:rsid w:val="00F22B43"/>
    <w:rsid w:val="00F25A84"/>
    <w:rsid w:val="00F25B4D"/>
    <w:rsid w:val="00F26461"/>
    <w:rsid w:val="00F31F7A"/>
    <w:rsid w:val="00F34142"/>
    <w:rsid w:val="00F3453B"/>
    <w:rsid w:val="00F37489"/>
    <w:rsid w:val="00F435D1"/>
    <w:rsid w:val="00F43959"/>
    <w:rsid w:val="00F44737"/>
    <w:rsid w:val="00F44861"/>
    <w:rsid w:val="00F458FA"/>
    <w:rsid w:val="00F51135"/>
    <w:rsid w:val="00F520BF"/>
    <w:rsid w:val="00F558D2"/>
    <w:rsid w:val="00F56984"/>
    <w:rsid w:val="00F57F82"/>
    <w:rsid w:val="00F636D0"/>
    <w:rsid w:val="00F651E6"/>
    <w:rsid w:val="00F709CD"/>
    <w:rsid w:val="00F75E5A"/>
    <w:rsid w:val="00F7602F"/>
    <w:rsid w:val="00F809C0"/>
    <w:rsid w:val="00F80FB6"/>
    <w:rsid w:val="00F91C38"/>
    <w:rsid w:val="00F9260D"/>
    <w:rsid w:val="00F97903"/>
    <w:rsid w:val="00F97FD2"/>
    <w:rsid w:val="00FA34AA"/>
    <w:rsid w:val="00FB3F58"/>
    <w:rsid w:val="00FD0206"/>
    <w:rsid w:val="00FD5D91"/>
    <w:rsid w:val="00FD6AEF"/>
    <w:rsid w:val="00FE52D8"/>
    <w:rsid w:val="00FF0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709F1A"/>
  <w15:chartTrackingRefBased/>
  <w15:docId w15:val="{2320E23A-C711-4E68-8BF6-2A2B7C0D5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90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E44F0"/>
    <w:pPr>
      <w:keepNext/>
      <w:keepLines/>
      <w:spacing w:before="36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E44F0"/>
    <w:pPr>
      <w:keepNext/>
      <w:keepLines/>
      <w:spacing w:before="16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E44F0"/>
    <w:pPr>
      <w:keepNext/>
      <w:keepLines/>
      <w:spacing w:before="16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E44F0"/>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0E44F0"/>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44F0"/>
    <w:pPr>
      <w:keepNext/>
      <w:keepLines/>
      <w:spacing w:before="4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44F0"/>
    <w:pPr>
      <w:keepNext/>
      <w:keepLines/>
      <w:spacing w:before="4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44F0"/>
    <w:pPr>
      <w:keepNext/>
      <w:keepLines/>
      <w:spacing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44F0"/>
    <w:pPr>
      <w:keepNext/>
      <w:keepLines/>
      <w:spacing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44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E44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E44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E44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0E44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44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44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44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44F0"/>
    <w:rPr>
      <w:rFonts w:eastAsiaTheme="majorEastAsia" w:cstheme="majorBidi"/>
      <w:color w:val="272727" w:themeColor="text1" w:themeTint="D8"/>
    </w:rPr>
  </w:style>
  <w:style w:type="paragraph" w:styleId="Title">
    <w:name w:val="Title"/>
    <w:basedOn w:val="Normal"/>
    <w:next w:val="Normal"/>
    <w:link w:val="TitleChar"/>
    <w:uiPriority w:val="10"/>
    <w:qFormat/>
    <w:rsid w:val="000E44F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44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44F0"/>
    <w:pPr>
      <w:numPr>
        <w:ilvl w:val="1"/>
      </w:numPr>
      <w:spacing w:after="160"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44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44F0"/>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0E44F0"/>
    <w:rPr>
      <w:i/>
      <w:iCs/>
      <w:color w:val="404040" w:themeColor="text1" w:themeTint="BF"/>
    </w:rPr>
  </w:style>
  <w:style w:type="paragraph" w:styleId="ListParagraph">
    <w:name w:val="List Paragraph"/>
    <w:basedOn w:val="Normal"/>
    <w:uiPriority w:val="34"/>
    <w:qFormat/>
    <w:rsid w:val="000E44F0"/>
    <w:pPr>
      <w:spacing w:after="160" w:line="278" w:lineRule="auto"/>
      <w:ind w:left="720"/>
      <w:contextualSpacing/>
    </w:pPr>
  </w:style>
  <w:style w:type="character" w:styleId="IntenseEmphasis">
    <w:name w:val="Intense Emphasis"/>
    <w:basedOn w:val="DefaultParagraphFont"/>
    <w:uiPriority w:val="21"/>
    <w:qFormat/>
    <w:rsid w:val="000E44F0"/>
    <w:rPr>
      <w:i/>
      <w:iCs/>
      <w:color w:val="0F4761" w:themeColor="accent1" w:themeShade="BF"/>
    </w:rPr>
  </w:style>
  <w:style w:type="paragraph" w:styleId="IntenseQuote">
    <w:name w:val="Intense Quote"/>
    <w:basedOn w:val="Normal"/>
    <w:next w:val="Normal"/>
    <w:link w:val="IntenseQuoteChar"/>
    <w:uiPriority w:val="30"/>
    <w:qFormat/>
    <w:rsid w:val="000E44F0"/>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44F0"/>
    <w:rPr>
      <w:i/>
      <w:iCs/>
      <w:color w:val="0F4761" w:themeColor="accent1" w:themeShade="BF"/>
    </w:rPr>
  </w:style>
  <w:style w:type="character" w:styleId="IntenseReference">
    <w:name w:val="Intense Reference"/>
    <w:basedOn w:val="DefaultParagraphFont"/>
    <w:uiPriority w:val="32"/>
    <w:qFormat/>
    <w:rsid w:val="000E44F0"/>
    <w:rPr>
      <w:b/>
      <w:bCs/>
      <w:smallCaps/>
      <w:color w:val="0F4761" w:themeColor="accent1" w:themeShade="BF"/>
      <w:spacing w:val="5"/>
    </w:rPr>
  </w:style>
  <w:style w:type="paragraph" w:styleId="NoSpacing">
    <w:name w:val="No Spacing"/>
    <w:link w:val="NoSpacingChar"/>
    <w:uiPriority w:val="1"/>
    <w:qFormat/>
    <w:rsid w:val="000E44F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0E44F0"/>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0E44F0"/>
    <w:pPr>
      <w:spacing w:before="240" w:line="259" w:lineRule="auto"/>
      <w:outlineLvl w:val="9"/>
    </w:pPr>
    <w:rPr>
      <w:sz w:val="32"/>
      <w:szCs w:val="32"/>
    </w:rPr>
  </w:style>
  <w:style w:type="paragraph" w:styleId="TOC1">
    <w:name w:val="toc 1"/>
    <w:basedOn w:val="Normal"/>
    <w:next w:val="Normal"/>
    <w:autoRedefine/>
    <w:uiPriority w:val="39"/>
    <w:unhideWhenUsed/>
    <w:rsid w:val="009765AB"/>
    <w:pPr>
      <w:spacing w:after="100" w:line="278" w:lineRule="auto"/>
    </w:pPr>
  </w:style>
  <w:style w:type="paragraph" w:styleId="TOC2">
    <w:name w:val="toc 2"/>
    <w:basedOn w:val="Normal"/>
    <w:next w:val="Normal"/>
    <w:autoRedefine/>
    <w:uiPriority w:val="39"/>
    <w:unhideWhenUsed/>
    <w:rsid w:val="009765AB"/>
    <w:pPr>
      <w:spacing w:after="100" w:line="278" w:lineRule="auto"/>
      <w:ind w:left="240"/>
    </w:pPr>
  </w:style>
  <w:style w:type="character" w:styleId="Hyperlink">
    <w:name w:val="Hyperlink"/>
    <w:basedOn w:val="DefaultParagraphFont"/>
    <w:uiPriority w:val="99"/>
    <w:unhideWhenUsed/>
    <w:rsid w:val="009765AB"/>
    <w:rPr>
      <w:color w:val="467886" w:themeColor="hyperlink"/>
      <w:u w:val="single"/>
    </w:rPr>
  </w:style>
  <w:style w:type="paragraph" w:styleId="Header">
    <w:name w:val="header"/>
    <w:basedOn w:val="Normal"/>
    <w:link w:val="HeaderChar"/>
    <w:uiPriority w:val="99"/>
    <w:unhideWhenUsed/>
    <w:rsid w:val="009759B9"/>
    <w:pPr>
      <w:tabs>
        <w:tab w:val="center" w:pos="4513"/>
        <w:tab w:val="right" w:pos="9026"/>
      </w:tabs>
    </w:pPr>
  </w:style>
  <w:style w:type="character" w:customStyle="1" w:styleId="HeaderChar">
    <w:name w:val="Header Char"/>
    <w:basedOn w:val="DefaultParagraphFont"/>
    <w:link w:val="Header"/>
    <w:uiPriority w:val="99"/>
    <w:rsid w:val="009759B9"/>
  </w:style>
  <w:style w:type="paragraph" w:styleId="Footer">
    <w:name w:val="footer"/>
    <w:basedOn w:val="Normal"/>
    <w:link w:val="FooterChar"/>
    <w:uiPriority w:val="99"/>
    <w:unhideWhenUsed/>
    <w:rsid w:val="009759B9"/>
    <w:pPr>
      <w:tabs>
        <w:tab w:val="center" w:pos="4513"/>
        <w:tab w:val="right" w:pos="9026"/>
      </w:tabs>
    </w:pPr>
  </w:style>
  <w:style w:type="character" w:customStyle="1" w:styleId="FooterChar">
    <w:name w:val="Footer Char"/>
    <w:basedOn w:val="DefaultParagraphFont"/>
    <w:link w:val="Footer"/>
    <w:uiPriority w:val="99"/>
    <w:rsid w:val="009759B9"/>
  </w:style>
  <w:style w:type="paragraph" w:styleId="NormalWeb">
    <w:name w:val="Normal (Web)"/>
    <w:basedOn w:val="Normal"/>
    <w:uiPriority w:val="99"/>
    <w:unhideWhenUsed/>
    <w:rsid w:val="002211F8"/>
    <w:pPr>
      <w:spacing w:before="100" w:beforeAutospacing="1" w:after="100" w:afterAutospacing="1"/>
    </w:pPr>
  </w:style>
  <w:style w:type="character" w:styleId="Strong">
    <w:name w:val="Strong"/>
    <w:basedOn w:val="DefaultParagraphFont"/>
    <w:uiPriority w:val="22"/>
    <w:qFormat/>
    <w:rsid w:val="002211F8"/>
    <w:rPr>
      <w:b/>
      <w:bCs/>
    </w:rPr>
  </w:style>
  <w:style w:type="paragraph" w:styleId="TOC3">
    <w:name w:val="toc 3"/>
    <w:basedOn w:val="Normal"/>
    <w:next w:val="Normal"/>
    <w:autoRedefine/>
    <w:uiPriority w:val="39"/>
    <w:unhideWhenUsed/>
    <w:rsid w:val="00EC5968"/>
    <w:pPr>
      <w:spacing w:after="100" w:line="278" w:lineRule="auto"/>
      <w:ind w:left="480"/>
    </w:pPr>
  </w:style>
  <w:style w:type="character" w:styleId="Emphasis">
    <w:name w:val="Emphasis"/>
    <w:basedOn w:val="DefaultParagraphFont"/>
    <w:uiPriority w:val="20"/>
    <w:qFormat/>
    <w:rsid w:val="00AB1A0F"/>
    <w:rPr>
      <w:i/>
      <w:iCs/>
    </w:rPr>
  </w:style>
  <w:style w:type="character" w:styleId="UnresolvedMention">
    <w:name w:val="Unresolved Mention"/>
    <w:basedOn w:val="DefaultParagraphFont"/>
    <w:uiPriority w:val="99"/>
    <w:semiHidden/>
    <w:unhideWhenUsed/>
    <w:rsid w:val="0061270C"/>
    <w:rPr>
      <w:color w:val="605E5C"/>
      <w:shd w:val="clear" w:color="auto" w:fill="E1DFDD"/>
    </w:rPr>
  </w:style>
  <w:style w:type="table" w:styleId="TableGrid">
    <w:name w:val="Table Grid"/>
    <w:basedOn w:val="TableNormal"/>
    <w:uiPriority w:val="39"/>
    <w:rsid w:val="00447A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47090"/>
    <w:rPr>
      <w:color w:val="96607D" w:themeColor="followedHyperlink"/>
      <w:u w:val="single"/>
    </w:rPr>
  </w:style>
  <w:style w:type="character" w:customStyle="1" w:styleId="ms-1">
    <w:name w:val="ms-1"/>
    <w:basedOn w:val="DefaultParagraphFont"/>
    <w:rsid w:val="00C42986"/>
  </w:style>
  <w:style w:type="character" w:customStyle="1" w:styleId="max-w-15ch">
    <w:name w:val="max-w-[15ch]"/>
    <w:basedOn w:val="DefaultParagraphFont"/>
    <w:rsid w:val="00C429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hyperlink" Target="https://www.academia.edu/41292275/Financial_Accounting_for_Decision_Makers" TargetMode="External"/><Relationship Id="rId39" Type="http://schemas.openxmlformats.org/officeDocument/2006/relationships/hyperlink" Target="https://www.scribd.com/document/939131994/THE-EFFECTS-OF-CUSTOMER-TURNOVER-ON-PROFITABILITY-IN-A-HOTEL?utm_source=chatgpt.com" TargetMode="External"/><Relationship Id="rId21" Type="http://schemas.openxmlformats.org/officeDocument/2006/relationships/diagramLayout" Target="diagrams/layout3.xml"/><Relationship Id="rId34" Type="http://schemas.openxmlformats.org/officeDocument/2006/relationships/hyperlink" Target="https://www.hvs.com/article/10345-Hotel-Profitability-in-Transition-Cost-Pressures-and-Budgeting-Priorities-for-2026?utm_source=chatgpt.com" TargetMode="External"/><Relationship Id="rId42" Type="http://schemas.openxmlformats.org/officeDocument/2006/relationships/hyperlink" Target="https://www.qraffa.uk/industry-blog/1824433_customers-expectations-in-2024"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diagramLayout" Target="diagrams/layout2.xml"/><Relationship Id="rId29" Type="http://schemas.openxmlformats.org/officeDocument/2006/relationships/hyperlink" Target="https://hdl.handle.net/1813/11578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07/relationships/diagramDrawing" Target="diagrams/drawing3.xml"/><Relationship Id="rId32" Type="http://schemas.openxmlformats.org/officeDocument/2006/relationships/hyperlink" Target="https://hospitalitytech.com/2023-lodging-tech-study" TargetMode="External"/><Relationship Id="rId37" Type="http://schemas.openxmlformats.org/officeDocument/2006/relationships/hyperlink" Target="https://www.linkedin.com/pulse/hospitality-businesses-fail-embrace-technology-pradeep-jena-9pwdc?utm_source=chatgpt.com" TargetMode="External"/><Relationship Id="rId40" Type="http://schemas.openxmlformats.org/officeDocument/2006/relationships/hyperlink" Target="https://www.scribd.com/document/939131994/THE-EFFECTS-OF-CUSTOMER-TURNOVER-ON-PROFITABILITY-IN-A-HOTEL?utm_source=chatgpt.com"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hyperlink" Target="https://doi.org/10.47941/jmh.1961" TargetMode="External"/><Relationship Id="rId36" Type="http://schemas.openxmlformats.org/officeDocument/2006/relationships/hyperlink" Target="https://www.linkedin.com/pulse/hospitality-businesses-fail-embrace-technology-pradeep-jena-9pwdc?utm_source=chatgpt.com" TargetMode="Externa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hyperlink" Target="https://www.ehlgroup.com/en/innovation-research/hospitality-outlook-2025?utm_source=chatgpt.com"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diagramQuickStyle" Target="diagrams/quickStyle3.xml"/><Relationship Id="rId27" Type="http://schemas.openxmlformats.org/officeDocument/2006/relationships/hyperlink" Target="https://www.researchgate.net/publication/381214385_Post-Pandemic_Trends_in_the_Hospitality_Industry" TargetMode="External"/><Relationship Id="rId30" Type="http://schemas.openxmlformats.org/officeDocument/2006/relationships/hyperlink" Target="https://digitalguest.com/hospitality-service-personalisation-trends/" TargetMode="External"/><Relationship Id="rId35" Type="http://schemas.openxmlformats.org/officeDocument/2006/relationships/hyperlink" Target="https://www.hvs.com/article/10345-Hotel-Profitability-in-Transition-Cost-Pressures-and-Budgeting-Priorities-for-2026?utm_source=chatgpt.com" TargetMode="External"/><Relationship Id="rId43" Type="http://schemas.openxmlformats.org/officeDocument/2006/relationships/footer" Target="footer2.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hyperlink" Target="https://www.researchgate.net/publication/351780048_Hotel_Service_Quality_The_Impact_of_Service_Quality_on_Customer_Satisfaction_in%20Hospitality" TargetMode="External"/><Relationship Id="rId33" Type="http://schemas.openxmlformats.org/officeDocument/2006/relationships/hyperlink" Target="https://www.hotelspeak.com/2025/03/hotels-are-losing-revenue-not-because-they-dont-know-their-guests" TargetMode="External"/><Relationship Id="rId38" Type="http://schemas.openxmlformats.org/officeDocument/2006/relationships/hyperlink" Target="https://www.netsuite.com/portal/resource/articles/financial-management/hospitality-financial-management.shtml?utm_source=chatgpt.com" TargetMode="External"/><Relationship Id="rId20" Type="http://schemas.openxmlformats.org/officeDocument/2006/relationships/diagramData" Target="diagrams/data3.xml"/><Relationship Id="rId41" Type="http://schemas.openxmlformats.org/officeDocument/2006/relationships/hyperlink" Target="https://opusllp.com/report/hotel-sector-report-finances-still-deteriorating/?utm_source=chatgpt.com"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CE6B82E-F21B-4965-8181-30010DDBE777}"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A021B801-3B3B-49ED-9FBC-5F77E9A4449B}">
      <dgm:prSet phldrT="[Text]" custT="1"/>
      <dgm:spPr>
        <a:xfrm>
          <a:off x="3728"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700">
              <a:solidFill>
                <a:sysClr val="window" lastClr="FFFFFF"/>
              </a:solidFill>
              <a:latin typeface="Aptos" panose="02110004020202020204"/>
              <a:ea typeface="+mn-ea"/>
              <a:cs typeface="+mn-cs"/>
            </a:rPr>
            <a:t>Revenue</a:t>
          </a:r>
        </a:p>
        <a:p>
          <a:pPr>
            <a:buNone/>
          </a:pPr>
          <a:r>
            <a:rPr lang="en-GB" sz="700">
              <a:solidFill>
                <a:sysClr val="window" lastClr="FFFFFF"/>
              </a:solidFill>
              <a:latin typeface="Aptos" panose="02110004020202020204"/>
              <a:ea typeface="+mn-ea"/>
              <a:cs typeface="+mn-cs"/>
            </a:rPr>
            <a:t>Year 2023</a:t>
          </a:r>
        </a:p>
        <a:p>
          <a:pPr>
            <a:buNone/>
          </a:pPr>
          <a:r>
            <a:rPr lang="en-GB" sz="700">
              <a:solidFill>
                <a:sysClr val="window" lastClr="FFFFFF"/>
              </a:solidFill>
              <a:latin typeface="Aptos" panose="02110004020202020204"/>
              <a:ea typeface="+mn-ea"/>
              <a:cs typeface="+mn-cs"/>
            </a:rPr>
            <a:t>£1,100,000</a:t>
          </a:r>
        </a:p>
        <a:p>
          <a:pPr>
            <a:buNone/>
          </a:pPr>
          <a:r>
            <a:rPr lang="en-GB" sz="700">
              <a:solidFill>
                <a:sysClr val="window" lastClr="FFFFFF"/>
              </a:solidFill>
              <a:latin typeface="Aptos" panose="02110004020202020204"/>
              <a:ea typeface="+mn-ea"/>
              <a:cs typeface="+mn-cs"/>
            </a:rPr>
            <a:t>Minus (-)</a:t>
          </a:r>
          <a:endParaRPr lang="en-GB" sz="600">
            <a:solidFill>
              <a:sysClr val="window" lastClr="FFFFFF"/>
            </a:solidFill>
            <a:latin typeface="Aptos" panose="02110004020202020204"/>
            <a:ea typeface="+mn-ea"/>
            <a:cs typeface="+mn-cs"/>
          </a:endParaRPr>
        </a:p>
      </dgm:t>
    </dgm:pt>
    <dgm:pt modelId="{EA239589-34C1-48DE-91C3-9E025F7E9D41}" type="parTrans" cxnId="{E2FFF7F3-35EB-4001-B92F-49E12234F672}">
      <dgm:prSet/>
      <dgm:spPr/>
      <dgm:t>
        <a:bodyPr/>
        <a:lstStyle/>
        <a:p>
          <a:endParaRPr lang="en-GB"/>
        </a:p>
      </dgm:t>
    </dgm:pt>
    <dgm:pt modelId="{63D247E1-14DA-40B6-B773-22FF714C3EA8}" type="sibTrans" cxnId="{E2FFF7F3-35EB-4001-B92F-49E12234F672}">
      <dgm:prSet/>
      <dgm:spPr>
        <a:xfrm>
          <a:off x="977839" y="595630"/>
          <a:ext cx="193859"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31BCE47B-5350-458A-9BFA-01312D756701}">
      <dgm:prSet phldrT="[Text]" custT="1"/>
      <dgm:spPr>
        <a:xfrm>
          <a:off x="1204099"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700">
              <a:solidFill>
                <a:sysClr val="window" lastClr="FFFFFF"/>
              </a:solidFill>
              <a:latin typeface="Aptos" panose="02110004020202020204"/>
              <a:ea typeface="+mn-ea"/>
              <a:cs typeface="+mn-cs"/>
            </a:rPr>
            <a:t>Revenue</a:t>
          </a:r>
        </a:p>
        <a:p>
          <a:pPr>
            <a:buNone/>
          </a:pPr>
          <a:r>
            <a:rPr lang="en-GB" sz="700">
              <a:solidFill>
                <a:sysClr val="window" lastClr="FFFFFF"/>
              </a:solidFill>
              <a:latin typeface="Aptos" panose="02110004020202020204"/>
              <a:ea typeface="+mn-ea"/>
              <a:cs typeface="+mn-cs"/>
            </a:rPr>
            <a:t>Year 2024</a:t>
          </a:r>
        </a:p>
        <a:p>
          <a:pPr>
            <a:buNone/>
          </a:pPr>
          <a:r>
            <a:rPr lang="en-GB" sz="700">
              <a:solidFill>
                <a:sysClr val="window" lastClr="FFFFFF"/>
              </a:solidFill>
              <a:latin typeface="Aptos" panose="02110004020202020204"/>
              <a:ea typeface="+mn-ea"/>
              <a:cs typeface="+mn-cs"/>
            </a:rPr>
            <a:t>£950,000</a:t>
          </a:r>
        </a:p>
        <a:p>
          <a:pPr>
            <a:buNone/>
          </a:pPr>
          <a:r>
            <a:rPr lang="en-GB" sz="700">
              <a:solidFill>
                <a:sysClr val="window" lastClr="FFFFFF"/>
              </a:solidFill>
              <a:latin typeface="Aptos" panose="02110004020202020204"/>
              <a:ea typeface="+mn-ea"/>
              <a:cs typeface="+mn-cs"/>
            </a:rPr>
            <a:t>Total (=)</a:t>
          </a:r>
          <a:endParaRPr lang="en-GB" sz="600">
            <a:solidFill>
              <a:sysClr val="window" lastClr="FFFFFF"/>
            </a:solidFill>
            <a:latin typeface="Aptos" panose="02110004020202020204"/>
            <a:ea typeface="+mn-ea"/>
            <a:cs typeface="+mn-cs"/>
          </a:endParaRPr>
        </a:p>
      </dgm:t>
    </dgm:pt>
    <dgm:pt modelId="{A38514E8-5260-4965-A499-CFAEC105F46A}" type="parTrans" cxnId="{5BAFA40A-E905-4A68-B589-EB8AFD2C3324}">
      <dgm:prSet/>
      <dgm:spPr/>
      <dgm:t>
        <a:bodyPr/>
        <a:lstStyle/>
        <a:p>
          <a:endParaRPr lang="en-GB"/>
        </a:p>
      </dgm:t>
    </dgm:pt>
    <dgm:pt modelId="{F84E7FF0-7CDE-46FE-91D7-6EFE459F4904}" type="sibTrans" cxnId="{5BAFA40A-E905-4A68-B589-EB8AFD2C3324}">
      <dgm:prSet/>
      <dgm:spPr>
        <a:xfrm>
          <a:off x="2178209" y="595630"/>
          <a:ext cx="193859"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E15153A9-869A-45D4-BD1A-C2D06A8762F9}">
      <dgm:prSet phldrT="[Text]" custT="1"/>
      <dgm:spPr>
        <a:xfrm>
          <a:off x="2404469"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700">
              <a:solidFill>
                <a:sysClr val="window" lastClr="FFFFFF"/>
              </a:solidFill>
              <a:latin typeface="Aptos" panose="02110004020202020204"/>
              <a:ea typeface="+mn-ea"/>
              <a:cs typeface="+mn-cs"/>
            </a:rPr>
            <a:t>Total</a:t>
          </a:r>
        </a:p>
        <a:p>
          <a:pPr>
            <a:buNone/>
          </a:pPr>
          <a:r>
            <a:rPr lang="en-GB" sz="700">
              <a:solidFill>
                <a:sysClr val="window" lastClr="FFFFFF"/>
              </a:solidFill>
              <a:latin typeface="Aptos" panose="02110004020202020204"/>
              <a:ea typeface="+mn-ea"/>
              <a:cs typeface="+mn-cs"/>
            </a:rPr>
            <a:t>Year 2022-2023</a:t>
          </a:r>
        </a:p>
        <a:p>
          <a:pPr>
            <a:buNone/>
          </a:pPr>
          <a:r>
            <a:rPr lang="en-GB" sz="700">
              <a:solidFill>
                <a:sysClr val="window" lastClr="FFFFFF"/>
              </a:solidFill>
              <a:latin typeface="Aptos" panose="02110004020202020204"/>
              <a:ea typeface="+mn-ea"/>
              <a:cs typeface="+mn-cs"/>
            </a:rPr>
            <a:t>£150,000</a:t>
          </a:r>
        </a:p>
        <a:p>
          <a:pPr>
            <a:buNone/>
          </a:pPr>
          <a:r>
            <a:rPr lang="en-GB" sz="700">
              <a:solidFill>
                <a:sysClr val="window" lastClr="FFFFFF"/>
              </a:solidFill>
              <a:latin typeface="Aptos" panose="02110004020202020204"/>
              <a:ea typeface="+mn-ea"/>
              <a:cs typeface="+mn-cs"/>
            </a:rPr>
            <a:t>Decrease</a:t>
          </a:r>
          <a:endParaRPr lang="en-GB" sz="600">
            <a:solidFill>
              <a:sysClr val="window" lastClr="FFFFFF"/>
            </a:solidFill>
            <a:latin typeface="Aptos" panose="02110004020202020204"/>
            <a:ea typeface="+mn-ea"/>
            <a:cs typeface="+mn-cs"/>
          </a:endParaRPr>
        </a:p>
      </dgm:t>
    </dgm:pt>
    <dgm:pt modelId="{97F781F4-8D23-4EF1-8AF9-D30B8ED9524B}" type="parTrans" cxnId="{2F9CE416-C411-4BB4-9447-F447A6785044}">
      <dgm:prSet/>
      <dgm:spPr/>
      <dgm:t>
        <a:bodyPr/>
        <a:lstStyle/>
        <a:p>
          <a:endParaRPr lang="en-GB"/>
        </a:p>
      </dgm:t>
    </dgm:pt>
    <dgm:pt modelId="{834C0AAB-B972-4CD2-B4C0-F90DF74B2891}" type="sibTrans" cxnId="{2F9CE416-C411-4BB4-9447-F447A6785044}">
      <dgm:prSet/>
      <dgm:spPr>
        <a:xfrm>
          <a:off x="3378580" y="595630"/>
          <a:ext cx="193859"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87630E9C-5E7E-433B-8043-9EAF08D679D5}">
      <dgm:prSet custT="1"/>
      <dgm:spPr>
        <a:xfrm>
          <a:off x="3604840"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700">
              <a:solidFill>
                <a:sysClr val="window" lastClr="FFFFFF"/>
              </a:solidFill>
              <a:latin typeface="Aptos" panose="02110004020202020204"/>
              <a:ea typeface="+mn-ea"/>
              <a:cs typeface="+mn-cs"/>
            </a:rPr>
            <a:t>(£150,000÷£1,100,000) x100</a:t>
          </a:r>
        </a:p>
        <a:p>
          <a:pPr>
            <a:buNone/>
          </a:pPr>
          <a:r>
            <a:rPr lang="en-GB" sz="700">
              <a:solidFill>
                <a:sysClr val="window" lastClr="FFFFFF"/>
              </a:solidFill>
              <a:latin typeface="Aptos" panose="02110004020202020204"/>
              <a:ea typeface="+mn-ea"/>
              <a:cs typeface="+mn-cs"/>
            </a:rPr>
            <a:t>Equal (=)</a:t>
          </a:r>
        </a:p>
      </dgm:t>
    </dgm:pt>
    <dgm:pt modelId="{1CD9179F-787F-4ED6-A176-0E169ABF21FF}" type="parTrans" cxnId="{3343950F-682D-4EDF-98FA-416E307A39A2}">
      <dgm:prSet/>
      <dgm:spPr/>
      <dgm:t>
        <a:bodyPr/>
        <a:lstStyle/>
        <a:p>
          <a:endParaRPr lang="en-GB"/>
        </a:p>
      </dgm:t>
    </dgm:pt>
    <dgm:pt modelId="{DBDE3889-92EE-45AD-B7E2-C4C874180FD2}" type="sibTrans" cxnId="{3343950F-682D-4EDF-98FA-416E307A39A2}">
      <dgm:prSet/>
      <dgm:spPr>
        <a:xfrm>
          <a:off x="4578950" y="595630"/>
          <a:ext cx="193859"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638C6F5F-AE8D-4BC5-AF66-FCF6CDBD3388}">
      <dgm:prSet custT="1"/>
      <dgm:spPr>
        <a:xfrm>
          <a:off x="4805210"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800">
              <a:solidFill>
                <a:sysClr val="window" lastClr="FFFFFF"/>
              </a:solidFill>
              <a:latin typeface="Aptos" panose="02110004020202020204"/>
              <a:ea typeface="+mn-ea"/>
              <a:cs typeface="+mn-cs"/>
            </a:rPr>
            <a:t>Percentage Decrease Of:</a:t>
          </a:r>
        </a:p>
        <a:p>
          <a:pPr>
            <a:buNone/>
          </a:pPr>
          <a:r>
            <a:rPr lang="en-GB" sz="800">
              <a:solidFill>
                <a:sysClr val="window" lastClr="FFFFFF"/>
              </a:solidFill>
              <a:latin typeface="Aptos" panose="02110004020202020204"/>
              <a:ea typeface="+mn-ea"/>
              <a:cs typeface="+mn-cs"/>
            </a:rPr>
            <a:t>13.64%</a:t>
          </a:r>
        </a:p>
      </dgm:t>
    </dgm:pt>
    <dgm:pt modelId="{ECC67061-E880-4553-99FF-B2A0DAB0F076}" type="parTrans" cxnId="{07E9F1B3-4DB3-4755-B955-63491F27748E}">
      <dgm:prSet/>
      <dgm:spPr/>
      <dgm:t>
        <a:bodyPr/>
        <a:lstStyle/>
        <a:p>
          <a:endParaRPr lang="en-GB"/>
        </a:p>
      </dgm:t>
    </dgm:pt>
    <dgm:pt modelId="{98EE0AEE-9628-460D-9C7C-A89F69DD88D5}" type="sibTrans" cxnId="{07E9F1B3-4DB3-4755-B955-63491F27748E}">
      <dgm:prSet/>
      <dgm:spPr/>
      <dgm:t>
        <a:bodyPr/>
        <a:lstStyle/>
        <a:p>
          <a:endParaRPr lang="en-GB"/>
        </a:p>
      </dgm:t>
    </dgm:pt>
    <dgm:pt modelId="{3F689E03-2019-43AE-992C-1546B720BC9A}" type="pres">
      <dgm:prSet presAssocID="{FCE6B82E-F21B-4965-8181-30010DDBE777}" presName="Name0" presStyleCnt="0">
        <dgm:presLayoutVars>
          <dgm:dir/>
          <dgm:resizeHandles val="exact"/>
        </dgm:presLayoutVars>
      </dgm:prSet>
      <dgm:spPr/>
    </dgm:pt>
    <dgm:pt modelId="{845452B7-5E96-4B1C-A802-5B08E207012B}" type="pres">
      <dgm:prSet presAssocID="{A021B801-3B3B-49ED-9FBC-5F77E9A4449B}" presName="node" presStyleLbl="node1" presStyleIdx="0" presStyleCnt="5" custLinFactNeighborX="-672" custLinFactNeighborY="8075">
        <dgm:presLayoutVars>
          <dgm:bulletEnabled val="1"/>
        </dgm:presLayoutVars>
      </dgm:prSet>
      <dgm:spPr/>
    </dgm:pt>
    <dgm:pt modelId="{25E2DDCB-F11C-4507-B5FB-61E9B9D9DA34}" type="pres">
      <dgm:prSet presAssocID="{63D247E1-14DA-40B6-B773-22FF714C3EA8}" presName="sibTrans" presStyleLbl="sibTrans1D1" presStyleIdx="0" presStyleCnt="4"/>
      <dgm:spPr/>
    </dgm:pt>
    <dgm:pt modelId="{11BF5BAD-8050-47F9-81FA-5894756F793F}" type="pres">
      <dgm:prSet presAssocID="{63D247E1-14DA-40B6-B773-22FF714C3EA8}" presName="connectorText" presStyleLbl="sibTrans1D1" presStyleIdx="0" presStyleCnt="4"/>
      <dgm:spPr/>
    </dgm:pt>
    <dgm:pt modelId="{331C0073-1AC8-4ACA-A594-6C3F17FED4D7}" type="pres">
      <dgm:prSet presAssocID="{31BCE47B-5350-458A-9BFA-01312D756701}" presName="node" presStyleLbl="node1" presStyleIdx="1" presStyleCnt="5">
        <dgm:presLayoutVars>
          <dgm:bulletEnabled val="1"/>
        </dgm:presLayoutVars>
      </dgm:prSet>
      <dgm:spPr/>
    </dgm:pt>
    <dgm:pt modelId="{5377747C-D6F1-474C-BFB6-DFAB91A40575}" type="pres">
      <dgm:prSet presAssocID="{F84E7FF0-7CDE-46FE-91D7-6EFE459F4904}" presName="sibTrans" presStyleLbl="sibTrans1D1" presStyleIdx="1" presStyleCnt="4"/>
      <dgm:spPr/>
    </dgm:pt>
    <dgm:pt modelId="{F8610696-5417-4BE0-9F2F-AF44B51287E6}" type="pres">
      <dgm:prSet presAssocID="{F84E7FF0-7CDE-46FE-91D7-6EFE459F4904}" presName="connectorText" presStyleLbl="sibTrans1D1" presStyleIdx="1" presStyleCnt="4"/>
      <dgm:spPr/>
    </dgm:pt>
    <dgm:pt modelId="{86FBBD63-D1AF-4146-9C32-C940802B43EC}" type="pres">
      <dgm:prSet presAssocID="{E15153A9-869A-45D4-BD1A-C2D06A8762F9}" presName="node" presStyleLbl="node1" presStyleIdx="2" presStyleCnt="5">
        <dgm:presLayoutVars>
          <dgm:bulletEnabled val="1"/>
        </dgm:presLayoutVars>
      </dgm:prSet>
      <dgm:spPr/>
    </dgm:pt>
    <dgm:pt modelId="{15BDC399-7A86-4BFF-AAC7-E8D9503BBDE4}" type="pres">
      <dgm:prSet presAssocID="{834C0AAB-B972-4CD2-B4C0-F90DF74B2891}" presName="sibTrans" presStyleLbl="sibTrans1D1" presStyleIdx="2" presStyleCnt="4"/>
      <dgm:spPr/>
    </dgm:pt>
    <dgm:pt modelId="{72534C87-D2E6-44BD-B7F2-65E5F9B196EC}" type="pres">
      <dgm:prSet presAssocID="{834C0AAB-B972-4CD2-B4C0-F90DF74B2891}" presName="connectorText" presStyleLbl="sibTrans1D1" presStyleIdx="2" presStyleCnt="4"/>
      <dgm:spPr/>
    </dgm:pt>
    <dgm:pt modelId="{3443E82E-91D8-4945-8C02-0AC74E3B899C}" type="pres">
      <dgm:prSet presAssocID="{87630E9C-5E7E-433B-8043-9EAF08D679D5}" presName="node" presStyleLbl="node1" presStyleIdx="3" presStyleCnt="5">
        <dgm:presLayoutVars>
          <dgm:bulletEnabled val="1"/>
        </dgm:presLayoutVars>
      </dgm:prSet>
      <dgm:spPr/>
    </dgm:pt>
    <dgm:pt modelId="{7C584DBF-2087-48B0-808C-DA229F98B1BE}" type="pres">
      <dgm:prSet presAssocID="{DBDE3889-92EE-45AD-B7E2-C4C874180FD2}" presName="sibTrans" presStyleLbl="sibTrans1D1" presStyleIdx="3" presStyleCnt="4"/>
      <dgm:spPr/>
    </dgm:pt>
    <dgm:pt modelId="{EA47216C-4BEE-48A0-87AB-7EFB1617273C}" type="pres">
      <dgm:prSet presAssocID="{DBDE3889-92EE-45AD-B7E2-C4C874180FD2}" presName="connectorText" presStyleLbl="sibTrans1D1" presStyleIdx="3" presStyleCnt="4"/>
      <dgm:spPr/>
    </dgm:pt>
    <dgm:pt modelId="{34D73643-E755-4E22-999A-8B1B5302A540}" type="pres">
      <dgm:prSet presAssocID="{638C6F5F-AE8D-4BC5-AF66-FCF6CDBD3388}" presName="node" presStyleLbl="node1" presStyleIdx="4" presStyleCnt="5">
        <dgm:presLayoutVars>
          <dgm:bulletEnabled val="1"/>
        </dgm:presLayoutVars>
      </dgm:prSet>
      <dgm:spPr/>
    </dgm:pt>
  </dgm:ptLst>
  <dgm:cxnLst>
    <dgm:cxn modelId="{5BAFA40A-E905-4A68-B589-EB8AFD2C3324}" srcId="{FCE6B82E-F21B-4965-8181-30010DDBE777}" destId="{31BCE47B-5350-458A-9BFA-01312D756701}" srcOrd="1" destOrd="0" parTransId="{A38514E8-5260-4965-A499-CFAEC105F46A}" sibTransId="{F84E7FF0-7CDE-46FE-91D7-6EFE459F4904}"/>
    <dgm:cxn modelId="{3343950F-682D-4EDF-98FA-416E307A39A2}" srcId="{FCE6B82E-F21B-4965-8181-30010DDBE777}" destId="{87630E9C-5E7E-433B-8043-9EAF08D679D5}" srcOrd="3" destOrd="0" parTransId="{1CD9179F-787F-4ED6-A176-0E169ABF21FF}" sibTransId="{DBDE3889-92EE-45AD-B7E2-C4C874180FD2}"/>
    <dgm:cxn modelId="{2F9CE416-C411-4BB4-9447-F447A6785044}" srcId="{FCE6B82E-F21B-4965-8181-30010DDBE777}" destId="{E15153A9-869A-45D4-BD1A-C2D06A8762F9}" srcOrd="2" destOrd="0" parTransId="{97F781F4-8D23-4EF1-8AF9-D30B8ED9524B}" sibTransId="{834C0AAB-B972-4CD2-B4C0-F90DF74B2891}"/>
    <dgm:cxn modelId="{CB966A25-5CAE-448D-B7A6-D4B8056957FB}" type="presOf" srcId="{638C6F5F-AE8D-4BC5-AF66-FCF6CDBD3388}" destId="{34D73643-E755-4E22-999A-8B1B5302A540}" srcOrd="0" destOrd="0" presId="urn:microsoft.com/office/officeart/2005/8/layout/bProcess3"/>
    <dgm:cxn modelId="{A4780D32-0683-4737-B4A0-F677F73E9492}" type="presOf" srcId="{FCE6B82E-F21B-4965-8181-30010DDBE777}" destId="{3F689E03-2019-43AE-992C-1546B720BC9A}" srcOrd="0" destOrd="0" presId="urn:microsoft.com/office/officeart/2005/8/layout/bProcess3"/>
    <dgm:cxn modelId="{02DDFC54-EBB9-4C77-BF5D-22811DD25AD9}" type="presOf" srcId="{834C0AAB-B972-4CD2-B4C0-F90DF74B2891}" destId="{72534C87-D2E6-44BD-B7F2-65E5F9B196EC}" srcOrd="1" destOrd="0" presId="urn:microsoft.com/office/officeart/2005/8/layout/bProcess3"/>
    <dgm:cxn modelId="{50523A79-D557-4112-AA49-D21A3D175772}" type="presOf" srcId="{DBDE3889-92EE-45AD-B7E2-C4C874180FD2}" destId="{EA47216C-4BEE-48A0-87AB-7EFB1617273C}" srcOrd="1" destOrd="0" presId="urn:microsoft.com/office/officeart/2005/8/layout/bProcess3"/>
    <dgm:cxn modelId="{649E9A7B-78BD-4178-B78F-1AAFCC20F5F4}" type="presOf" srcId="{63D247E1-14DA-40B6-B773-22FF714C3EA8}" destId="{11BF5BAD-8050-47F9-81FA-5894756F793F}" srcOrd="1" destOrd="0" presId="urn:microsoft.com/office/officeart/2005/8/layout/bProcess3"/>
    <dgm:cxn modelId="{A3A73D82-75CA-4318-B91A-6E7795B6980A}" type="presOf" srcId="{E15153A9-869A-45D4-BD1A-C2D06A8762F9}" destId="{86FBBD63-D1AF-4146-9C32-C940802B43EC}" srcOrd="0" destOrd="0" presId="urn:microsoft.com/office/officeart/2005/8/layout/bProcess3"/>
    <dgm:cxn modelId="{1135B585-EE7A-4C39-95CA-85E458584DC9}" type="presOf" srcId="{63D247E1-14DA-40B6-B773-22FF714C3EA8}" destId="{25E2DDCB-F11C-4507-B5FB-61E9B9D9DA34}" srcOrd="0" destOrd="0" presId="urn:microsoft.com/office/officeart/2005/8/layout/bProcess3"/>
    <dgm:cxn modelId="{DE1B398C-6587-4050-8204-DA81ABE97201}" type="presOf" srcId="{A021B801-3B3B-49ED-9FBC-5F77E9A4449B}" destId="{845452B7-5E96-4B1C-A802-5B08E207012B}" srcOrd="0" destOrd="0" presId="urn:microsoft.com/office/officeart/2005/8/layout/bProcess3"/>
    <dgm:cxn modelId="{92FFA79B-EF51-4228-AF7C-DB5357730C49}" type="presOf" srcId="{87630E9C-5E7E-433B-8043-9EAF08D679D5}" destId="{3443E82E-91D8-4945-8C02-0AC74E3B899C}" srcOrd="0" destOrd="0" presId="urn:microsoft.com/office/officeart/2005/8/layout/bProcess3"/>
    <dgm:cxn modelId="{14A5F3A4-4ABE-4599-BC97-00AD33F5412C}" type="presOf" srcId="{F84E7FF0-7CDE-46FE-91D7-6EFE459F4904}" destId="{5377747C-D6F1-474C-BFB6-DFAB91A40575}" srcOrd="0" destOrd="0" presId="urn:microsoft.com/office/officeart/2005/8/layout/bProcess3"/>
    <dgm:cxn modelId="{915CC3AD-1E2E-4C8C-BBD6-DF299E3A6A48}" type="presOf" srcId="{F84E7FF0-7CDE-46FE-91D7-6EFE459F4904}" destId="{F8610696-5417-4BE0-9F2F-AF44B51287E6}" srcOrd="1" destOrd="0" presId="urn:microsoft.com/office/officeart/2005/8/layout/bProcess3"/>
    <dgm:cxn modelId="{07E9F1B3-4DB3-4755-B955-63491F27748E}" srcId="{FCE6B82E-F21B-4965-8181-30010DDBE777}" destId="{638C6F5F-AE8D-4BC5-AF66-FCF6CDBD3388}" srcOrd="4" destOrd="0" parTransId="{ECC67061-E880-4553-99FF-B2A0DAB0F076}" sibTransId="{98EE0AEE-9628-460D-9C7C-A89F69DD88D5}"/>
    <dgm:cxn modelId="{941F76C6-F246-48CC-A232-537FC1760D76}" type="presOf" srcId="{834C0AAB-B972-4CD2-B4C0-F90DF74B2891}" destId="{15BDC399-7A86-4BFF-AAC7-E8D9503BBDE4}" srcOrd="0" destOrd="0" presId="urn:microsoft.com/office/officeart/2005/8/layout/bProcess3"/>
    <dgm:cxn modelId="{02595CDC-4300-48C9-B83D-65DF053B4EF9}" type="presOf" srcId="{DBDE3889-92EE-45AD-B7E2-C4C874180FD2}" destId="{7C584DBF-2087-48B0-808C-DA229F98B1BE}" srcOrd="0" destOrd="0" presId="urn:microsoft.com/office/officeart/2005/8/layout/bProcess3"/>
    <dgm:cxn modelId="{E2FFF7F3-35EB-4001-B92F-49E12234F672}" srcId="{FCE6B82E-F21B-4965-8181-30010DDBE777}" destId="{A021B801-3B3B-49ED-9FBC-5F77E9A4449B}" srcOrd="0" destOrd="0" parTransId="{EA239589-34C1-48DE-91C3-9E025F7E9D41}" sibTransId="{63D247E1-14DA-40B6-B773-22FF714C3EA8}"/>
    <dgm:cxn modelId="{A4A979F7-98A6-4135-8CBC-F40B76999475}" type="presOf" srcId="{31BCE47B-5350-458A-9BFA-01312D756701}" destId="{331C0073-1AC8-4ACA-A594-6C3F17FED4D7}" srcOrd="0" destOrd="0" presId="urn:microsoft.com/office/officeart/2005/8/layout/bProcess3"/>
    <dgm:cxn modelId="{9864831B-7FDE-4657-88A3-8884950AD496}" type="presParOf" srcId="{3F689E03-2019-43AE-992C-1546B720BC9A}" destId="{845452B7-5E96-4B1C-A802-5B08E207012B}" srcOrd="0" destOrd="0" presId="urn:microsoft.com/office/officeart/2005/8/layout/bProcess3"/>
    <dgm:cxn modelId="{7EE921B9-E6DE-4246-81D4-9BA52C6D1170}" type="presParOf" srcId="{3F689E03-2019-43AE-992C-1546B720BC9A}" destId="{25E2DDCB-F11C-4507-B5FB-61E9B9D9DA34}" srcOrd="1" destOrd="0" presId="urn:microsoft.com/office/officeart/2005/8/layout/bProcess3"/>
    <dgm:cxn modelId="{4E094310-E59E-4B01-9200-6D2B1D116469}" type="presParOf" srcId="{25E2DDCB-F11C-4507-B5FB-61E9B9D9DA34}" destId="{11BF5BAD-8050-47F9-81FA-5894756F793F}" srcOrd="0" destOrd="0" presId="urn:microsoft.com/office/officeart/2005/8/layout/bProcess3"/>
    <dgm:cxn modelId="{DBAD3A86-7908-487A-8004-EFE4A9E1FC85}" type="presParOf" srcId="{3F689E03-2019-43AE-992C-1546B720BC9A}" destId="{331C0073-1AC8-4ACA-A594-6C3F17FED4D7}" srcOrd="2" destOrd="0" presId="urn:microsoft.com/office/officeart/2005/8/layout/bProcess3"/>
    <dgm:cxn modelId="{A8B30437-7447-45AE-8EAC-FFFEC9D6857D}" type="presParOf" srcId="{3F689E03-2019-43AE-992C-1546B720BC9A}" destId="{5377747C-D6F1-474C-BFB6-DFAB91A40575}" srcOrd="3" destOrd="0" presId="urn:microsoft.com/office/officeart/2005/8/layout/bProcess3"/>
    <dgm:cxn modelId="{6407723E-1D78-41A0-8752-EE411C780615}" type="presParOf" srcId="{5377747C-D6F1-474C-BFB6-DFAB91A40575}" destId="{F8610696-5417-4BE0-9F2F-AF44B51287E6}" srcOrd="0" destOrd="0" presId="urn:microsoft.com/office/officeart/2005/8/layout/bProcess3"/>
    <dgm:cxn modelId="{C8E282AA-1C5D-403F-901C-D7147B078B9A}" type="presParOf" srcId="{3F689E03-2019-43AE-992C-1546B720BC9A}" destId="{86FBBD63-D1AF-4146-9C32-C940802B43EC}" srcOrd="4" destOrd="0" presId="urn:microsoft.com/office/officeart/2005/8/layout/bProcess3"/>
    <dgm:cxn modelId="{13036F3C-0FEA-45A1-BABD-AB3072E59E48}" type="presParOf" srcId="{3F689E03-2019-43AE-992C-1546B720BC9A}" destId="{15BDC399-7A86-4BFF-AAC7-E8D9503BBDE4}" srcOrd="5" destOrd="0" presId="urn:microsoft.com/office/officeart/2005/8/layout/bProcess3"/>
    <dgm:cxn modelId="{B7CE1C89-4027-437B-A7C6-C92F0919CB05}" type="presParOf" srcId="{15BDC399-7A86-4BFF-AAC7-E8D9503BBDE4}" destId="{72534C87-D2E6-44BD-B7F2-65E5F9B196EC}" srcOrd="0" destOrd="0" presId="urn:microsoft.com/office/officeart/2005/8/layout/bProcess3"/>
    <dgm:cxn modelId="{EAC6EDA7-99E0-482D-A0FC-FB0E4B42D8C0}" type="presParOf" srcId="{3F689E03-2019-43AE-992C-1546B720BC9A}" destId="{3443E82E-91D8-4945-8C02-0AC74E3B899C}" srcOrd="6" destOrd="0" presId="urn:microsoft.com/office/officeart/2005/8/layout/bProcess3"/>
    <dgm:cxn modelId="{32658D55-2424-4CD5-834C-DECB359FDC26}" type="presParOf" srcId="{3F689E03-2019-43AE-992C-1546B720BC9A}" destId="{7C584DBF-2087-48B0-808C-DA229F98B1BE}" srcOrd="7" destOrd="0" presId="urn:microsoft.com/office/officeart/2005/8/layout/bProcess3"/>
    <dgm:cxn modelId="{F1C6BC14-5149-45DB-B57D-171128DA1856}" type="presParOf" srcId="{7C584DBF-2087-48B0-808C-DA229F98B1BE}" destId="{EA47216C-4BEE-48A0-87AB-7EFB1617273C}" srcOrd="0" destOrd="0" presId="urn:microsoft.com/office/officeart/2005/8/layout/bProcess3"/>
    <dgm:cxn modelId="{97CC1D74-7CB9-42B9-BDB4-1D916CD7C784}" type="presParOf" srcId="{3F689E03-2019-43AE-992C-1546B720BC9A}" destId="{34D73643-E755-4E22-999A-8B1B5302A540}" srcOrd="8" destOrd="0" presId="urn:microsoft.com/office/officeart/2005/8/layout/bProcess3"/>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CE6B82E-F21B-4965-8181-30010DDBE777}"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A021B801-3B3B-49ED-9FBC-5F77E9A4449B}">
      <dgm:prSet phldrT="[Text]" custT="1"/>
      <dgm:spPr/>
      <dgm:t>
        <a:bodyPr/>
        <a:lstStyle/>
        <a:p>
          <a:r>
            <a:rPr lang="en-GB" sz="700"/>
            <a:t>Revenue</a:t>
          </a:r>
        </a:p>
        <a:p>
          <a:r>
            <a:rPr lang="en-GB" sz="700"/>
            <a:t>Year 2022</a:t>
          </a:r>
        </a:p>
        <a:p>
          <a:r>
            <a:rPr lang="en-GB" sz="700"/>
            <a:t>£1,200.000</a:t>
          </a:r>
        </a:p>
        <a:p>
          <a:r>
            <a:rPr lang="en-GB" sz="700"/>
            <a:t>Minus (-)</a:t>
          </a:r>
          <a:endParaRPr lang="en-GB" sz="600"/>
        </a:p>
      </dgm:t>
    </dgm:pt>
    <dgm:pt modelId="{EA239589-34C1-48DE-91C3-9E025F7E9D41}" type="parTrans" cxnId="{E2FFF7F3-35EB-4001-B92F-49E12234F672}">
      <dgm:prSet/>
      <dgm:spPr/>
      <dgm:t>
        <a:bodyPr/>
        <a:lstStyle/>
        <a:p>
          <a:endParaRPr lang="en-GB"/>
        </a:p>
      </dgm:t>
    </dgm:pt>
    <dgm:pt modelId="{63D247E1-14DA-40B6-B773-22FF714C3EA8}" type="sibTrans" cxnId="{E2FFF7F3-35EB-4001-B92F-49E12234F672}">
      <dgm:prSet/>
      <dgm:spPr/>
      <dgm:t>
        <a:bodyPr/>
        <a:lstStyle/>
        <a:p>
          <a:endParaRPr lang="en-GB"/>
        </a:p>
      </dgm:t>
    </dgm:pt>
    <dgm:pt modelId="{31BCE47B-5350-458A-9BFA-01312D756701}">
      <dgm:prSet phldrT="[Text]" custT="1"/>
      <dgm:spPr/>
      <dgm:t>
        <a:bodyPr/>
        <a:lstStyle/>
        <a:p>
          <a:r>
            <a:rPr lang="en-GB" sz="700"/>
            <a:t>Revenue</a:t>
          </a:r>
        </a:p>
        <a:p>
          <a:r>
            <a:rPr lang="en-GB" sz="700"/>
            <a:t>Year 2023</a:t>
          </a:r>
        </a:p>
        <a:p>
          <a:r>
            <a:rPr lang="en-GB" sz="700"/>
            <a:t>£1,100,000</a:t>
          </a:r>
        </a:p>
        <a:p>
          <a:r>
            <a:rPr lang="en-GB" sz="700"/>
            <a:t>Total (=)</a:t>
          </a:r>
          <a:endParaRPr lang="en-GB" sz="600"/>
        </a:p>
      </dgm:t>
    </dgm:pt>
    <dgm:pt modelId="{A38514E8-5260-4965-A499-CFAEC105F46A}" type="parTrans" cxnId="{5BAFA40A-E905-4A68-B589-EB8AFD2C3324}">
      <dgm:prSet/>
      <dgm:spPr/>
      <dgm:t>
        <a:bodyPr/>
        <a:lstStyle/>
        <a:p>
          <a:endParaRPr lang="en-GB"/>
        </a:p>
      </dgm:t>
    </dgm:pt>
    <dgm:pt modelId="{F84E7FF0-7CDE-46FE-91D7-6EFE459F4904}" type="sibTrans" cxnId="{5BAFA40A-E905-4A68-B589-EB8AFD2C3324}">
      <dgm:prSet/>
      <dgm:spPr/>
      <dgm:t>
        <a:bodyPr/>
        <a:lstStyle/>
        <a:p>
          <a:endParaRPr lang="en-GB"/>
        </a:p>
      </dgm:t>
    </dgm:pt>
    <dgm:pt modelId="{E15153A9-869A-45D4-BD1A-C2D06A8762F9}">
      <dgm:prSet phldrT="[Text]" custT="1"/>
      <dgm:spPr/>
      <dgm:t>
        <a:bodyPr/>
        <a:lstStyle/>
        <a:p>
          <a:r>
            <a:rPr lang="en-GB" sz="700"/>
            <a:t>Total</a:t>
          </a:r>
        </a:p>
        <a:p>
          <a:r>
            <a:rPr lang="en-GB" sz="700"/>
            <a:t>Year 2022-2023</a:t>
          </a:r>
        </a:p>
        <a:p>
          <a:r>
            <a:rPr lang="en-GB" sz="700"/>
            <a:t>£100,000</a:t>
          </a:r>
        </a:p>
        <a:p>
          <a:r>
            <a:rPr lang="en-GB" sz="700"/>
            <a:t>Decrease</a:t>
          </a:r>
          <a:endParaRPr lang="en-GB" sz="600"/>
        </a:p>
      </dgm:t>
    </dgm:pt>
    <dgm:pt modelId="{97F781F4-8D23-4EF1-8AF9-D30B8ED9524B}" type="parTrans" cxnId="{2F9CE416-C411-4BB4-9447-F447A6785044}">
      <dgm:prSet/>
      <dgm:spPr/>
      <dgm:t>
        <a:bodyPr/>
        <a:lstStyle/>
        <a:p>
          <a:endParaRPr lang="en-GB"/>
        </a:p>
      </dgm:t>
    </dgm:pt>
    <dgm:pt modelId="{834C0AAB-B972-4CD2-B4C0-F90DF74B2891}" type="sibTrans" cxnId="{2F9CE416-C411-4BB4-9447-F447A6785044}">
      <dgm:prSet/>
      <dgm:spPr/>
      <dgm:t>
        <a:bodyPr/>
        <a:lstStyle/>
        <a:p>
          <a:endParaRPr lang="en-GB"/>
        </a:p>
      </dgm:t>
    </dgm:pt>
    <dgm:pt modelId="{87630E9C-5E7E-433B-8043-9EAF08D679D5}">
      <dgm:prSet custT="1"/>
      <dgm:spPr/>
      <dgm:t>
        <a:bodyPr/>
        <a:lstStyle/>
        <a:p>
          <a:r>
            <a:rPr lang="en-GB" sz="700"/>
            <a:t>(£100,000÷£1,200,000) x100</a:t>
          </a:r>
        </a:p>
        <a:p>
          <a:r>
            <a:rPr lang="en-GB" sz="700"/>
            <a:t>Equal (=)</a:t>
          </a:r>
          <a:endParaRPr lang="en-GB" sz="600"/>
        </a:p>
      </dgm:t>
    </dgm:pt>
    <dgm:pt modelId="{1CD9179F-787F-4ED6-A176-0E169ABF21FF}" type="parTrans" cxnId="{3343950F-682D-4EDF-98FA-416E307A39A2}">
      <dgm:prSet/>
      <dgm:spPr/>
      <dgm:t>
        <a:bodyPr/>
        <a:lstStyle/>
        <a:p>
          <a:endParaRPr lang="en-GB"/>
        </a:p>
      </dgm:t>
    </dgm:pt>
    <dgm:pt modelId="{DBDE3889-92EE-45AD-B7E2-C4C874180FD2}" type="sibTrans" cxnId="{3343950F-682D-4EDF-98FA-416E307A39A2}">
      <dgm:prSet/>
      <dgm:spPr/>
      <dgm:t>
        <a:bodyPr/>
        <a:lstStyle/>
        <a:p>
          <a:endParaRPr lang="en-GB"/>
        </a:p>
      </dgm:t>
    </dgm:pt>
    <dgm:pt modelId="{638C6F5F-AE8D-4BC5-AF66-FCF6CDBD3388}">
      <dgm:prSet custT="1"/>
      <dgm:spPr/>
      <dgm:t>
        <a:bodyPr/>
        <a:lstStyle/>
        <a:p>
          <a:r>
            <a:rPr lang="en-GB" sz="800"/>
            <a:t>Percentage Decrease Of:</a:t>
          </a:r>
        </a:p>
        <a:p>
          <a:r>
            <a:rPr lang="en-GB" sz="800"/>
            <a:t>8.33%</a:t>
          </a:r>
          <a:endParaRPr lang="en-GB" sz="900"/>
        </a:p>
      </dgm:t>
    </dgm:pt>
    <dgm:pt modelId="{ECC67061-E880-4553-99FF-B2A0DAB0F076}" type="parTrans" cxnId="{07E9F1B3-4DB3-4755-B955-63491F27748E}">
      <dgm:prSet/>
      <dgm:spPr/>
      <dgm:t>
        <a:bodyPr/>
        <a:lstStyle/>
        <a:p>
          <a:endParaRPr lang="en-GB"/>
        </a:p>
      </dgm:t>
    </dgm:pt>
    <dgm:pt modelId="{98EE0AEE-9628-460D-9C7C-A89F69DD88D5}" type="sibTrans" cxnId="{07E9F1B3-4DB3-4755-B955-63491F27748E}">
      <dgm:prSet/>
      <dgm:spPr/>
      <dgm:t>
        <a:bodyPr/>
        <a:lstStyle/>
        <a:p>
          <a:endParaRPr lang="en-GB"/>
        </a:p>
      </dgm:t>
    </dgm:pt>
    <dgm:pt modelId="{3F689E03-2019-43AE-992C-1546B720BC9A}" type="pres">
      <dgm:prSet presAssocID="{FCE6B82E-F21B-4965-8181-30010DDBE777}" presName="Name0" presStyleCnt="0">
        <dgm:presLayoutVars>
          <dgm:dir/>
          <dgm:resizeHandles val="exact"/>
        </dgm:presLayoutVars>
      </dgm:prSet>
      <dgm:spPr/>
    </dgm:pt>
    <dgm:pt modelId="{845452B7-5E96-4B1C-A802-5B08E207012B}" type="pres">
      <dgm:prSet presAssocID="{A021B801-3B3B-49ED-9FBC-5F77E9A4449B}" presName="node" presStyleLbl="node1" presStyleIdx="0" presStyleCnt="5">
        <dgm:presLayoutVars>
          <dgm:bulletEnabled val="1"/>
        </dgm:presLayoutVars>
      </dgm:prSet>
      <dgm:spPr/>
    </dgm:pt>
    <dgm:pt modelId="{25E2DDCB-F11C-4507-B5FB-61E9B9D9DA34}" type="pres">
      <dgm:prSet presAssocID="{63D247E1-14DA-40B6-B773-22FF714C3EA8}" presName="sibTrans" presStyleLbl="sibTrans1D1" presStyleIdx="0" presStyleCnt="4"/>
      <dgm:spPr/>
    </dgm:pt>
    <dgm:pt modelId="{11BF5BAD-8050-47F9-81FA-5894756F793F}" type="pres">
      <dgm:prSet presAssocID="{63D247E1-14DA-40B6-B773-22FF714C3EA8}" presName="connectorText" presStyleLbl="sibTrans1D1" presStyleIdx="0" presStyleCnt="4"/>
      <dgm:spPr/>
    </dgm:pt>
    <dgm:pt modelId="{331C0073-1AC8-4ACA-A594-6C3F17FED4D7}" type="pres">
      <dgm:prSet presAssocID="{31BCE47B-5350-458A-9BFA-01312D756701}" presName="node" presStyleLbl="node1" presStyleIdx="1" presStyleCnt="5">
        <dgm:presLayoutVars>
          <dgm:bulletEnabled val="1"/>
        </dgm:presLayoutVars>
      </dgm:prSet>
      <dgm:spPr/>
    </dgm:pt>
    <dgm:pt modelId="{5377747C-D6F1-474C-BFB6-DFAB91A40575}" type="pres">
      <dgm:prSet presAssocID="{F84E7FF0-7CDE-46FE-91D7-6EFE459F4904}" presName="sibTrans" presStyleLbl="sibTrans1D1" presStyleIdx="1" presStyleCnt="4"/>
      <dgm:spPr/>
    </dgm:pt>
    <dgm:pt modelId="{F8610696-5417-4BE0-9F2F-AF44B51287E6}" type="pres">
      <dgm:prSet presAssocID="{F84E7FF0-7CDE-46FE-91D7-6EFE459F4904}" presName="connectorText" presStyleLbl="sibTrans1D1" presStyleIdx="1" presStyleCnt="4"/>
      <dgm:spPr/>
    </dgm:pt>
    <dgm:pt modelId="{86FBBD63-D1AF-4146-9C32-C940802B43EC}" type="pres">
      <dgm:prSet presAssocID="{E15153A9-869A-45D4-BD1A-C2D06A8762F9}" presName="node" presStyleLbl="node1" presStyleIdx="2" presStyleCnt="5">
        <dgm:presLayoutVars>
          <dgm:bulletEnabled val="1"/>
        </dgm:presLayoutVars>
      </dgm:prSet>
      <dgm:spPr/>
    </dgm:pt>
    <dgm:pt modelId="{15BDC399-7A86-4BFF-AAC7-E8D9503BBDE4}" type="pres">
      <dgm:prSet presAssocID="{834C0AAB-B972-4CD2-B4C0-F90DF74B2891}" presName="sibTrans" presStyleLbl="sibTrans1D1" presStyleIdx="2" presStyleCnt="4"/>
      <dgm:spPr/>
    </dgm:pt>
    <dgm:pt modelId="{72534C87-D2E6-44BD-B7F2-65E5F9B196EC}" type="pres">
      <dgm:prSet presAssocID="{834C0AAB-B972-4CD2-B4C0-F90DF74B2891}" presName="connectorText" presStyleLbl="sibTrans1D1" presStyleIdx="2" presStyleCnt="4"/>
      <dgm:spPr/>
    </dgm:pt>
    <dgm:pt modelId="{3443E82E-91D8-4945-8C02-0AC74E3B899C}" type="pres">
      <dgm:prSet presAssocID="{87630E9C-5E7E-433B-8043-9EAF08D679D5}" presName="node" presStyleLbl="node1" presStyleIdx="3" presStyleCnt="5">
        <dgm:presLayoutVars>
          <dgm:bulletEnabled val="1"/>
        </dgm:presLayoutVars>
      </dgm:prSet>
      <dgm:spPr/>
    </dgm:pt>
    <dgm:pt modelId="{7C584DBF-2087-48B0-808C-DA229F98B1BE}" type="pres">
      <dgm:prSet presAssocID="{DBDE3889-92EE-45AD-B7E2-C4C874180FD2}" presName="sibTrans" presStyleLbl="sibTrans1D1" presStyleIdx="3" presStyleCnt="4"/>
      <dgm:spPr/>
    </dgm:pt>
    <dgm:pt modelId="{EA47216C-4BEE-48A0-87AB-7EFB1617273C}" type="pres">
      <dgm:prSet presAssocID="{DBDE3889-92EE-45AD-B7E2-C4C874180FD2}" presName="connectorText" presStyleLbl="sibTrans1D1" presStyleIdx="3" presStyleCnt="4"/>
      <dgm:spPr/>
    </dgm:pt>
    <dgm:pt modelId="{34D73643-E755-4E22-999A-8B1B5302A540}" type="pres">
      <dgm:prSet presAssocID="{638C6F5F-AE8D-4BC5-AF66-FCF6CDBD3388}" presName="node" presStyleLbl="node1" presStyleIdx="4" presStyleCnt="5">
        <dgm:presLayoutVars>
          <dgm:bulletEnabled val="1"/>
        </dgm:presLayoutVars>
      </dgm:prSet>
      <dgm:spPr/>
    </dgm:pt>
  </dgm:ptLst>
  <dgm:cxnLst>
    <dgm:cxn modelId="{5BAFA40A-E905-4A68-B589-EB8AFD2C3324}" srcId="{FCE6B82E-F21B-4965-8181-30010DDBE777}" destId="{31BCE47B-5350-458A-9BFA-01312D756701}" srcOrd="1" destOrd="0" parTransId="{A38514E8-5260-4965-A499-CFAEC105F46A}" sibTransId="{F84E7FF0-7CDE-46FE-91D7-6EFE459F4904}"/>
    <dgm:cxn modelId="{3343950F-682D-4EDF-98FA-416E307A39A2}" srcId="{FCE6B82E-F21B-4965-8181-30010DDBE777}" destId="{87630E9C-5E7E-433B-8043-9EAF08D679D5}" srcOrd="3" destOrd="0" parTransId="{1CD9179F-787F-4ED6-A176-0E169ABF21FF}" sibTransId="{DBDE3889-92EE-45AD-B7E2-C4C874180FD2}"/>
    <dgm:cxn modelId="{2F9CE416-C411-4BB4-9447-F447A6785044}" srcId="{FCE6B82E-F21B-4965-8181-30010DDBE777}" destId="{E15153A9-869A-45D4-BD1A-C2D06A8762F9}" srcOrd="2" destOrd="0" parTransId="{97F781F4-8D23-4EF1-8AF9-D30B8ED9524B}" sibTransId="{834C0AAB-B972-4CD2-B4C0-F90DF74B2891}"/>
    <dgm:cxn modelId="{CB966A25-5CAE-448D-B7A6-D4B8056957FB}" type="presOf" srcId="{638C6F5F-AE8D-4BC5-AF66-FCF6CDBD3388}" destId="{34D73643-E755-4E22-999A-8B1B5302A540}" srcOrd="0" destOrd="0" presId="urn:microsoft.com/office/officeart/2005/8/layout/bProcess3"/>
    <dgm:cxn modelId="{A4780D32-0683-4737-B4A0-F677F73E9492}" type="presOf" srcId="{FCE6B82E-F21B-4965-8181-30010DDBE777}" destId="{3F689E03-2019-43AE-992C-1546B720BC9A}" srcOrd="0" destOrd="0" presId="urn:microsoft.com/office/officeart/2005/8/layout/bProcess3"/>
    <dgm:cxn modelId="{02DDFC54-EBB9-4C77-BF5D-22811DD25AD9}" type="presOf" srcId="{834C0AAB-B972-4CD2-B4C0-F90DF74B2891}" destId="{72534C87-D2E6-44BD-B7F2-65E5F9B196EC}" srcOrd="1" destOrd="0" presId="urn:microsoft.com/office/officeart/2005/8/layout/bProcess3"/>
    <dgm:cxn modelId="{50523A79-D557-4112-AA49-D21A3D175772}" type="presOf" srcId="{DBDE3889-92EE-45AD-B7E2-C4C874180FD2}" destId="{EA47216C-4BEE-48A0-87AB-7EFB1617273C}" srcOrd="1" destOrd="0" presId="urn:microsoft.com/office/officeart/2005/8/layout/bProcess3"/>
    <dgm:cxn modelId="{649E9A7B-78BD-4178-B78F-1AAFCC20F5F4}" type="presOf" srcId="{63D247E1-14DA-40B6-B773-22FF714C3EA8}" destId="{11BF5BAD-8050-47F9-81FA-5894756F793F}" srcOrd="1" destOrd="0" presId="urn:microsoft.com/office/officeart/2005/8/layout/bProcess3"/>
    <dgm:cxn modelId="{A3A73D82-75CA-4318-B91A-6E7795B6980A}" type="presOf" srcId="{E15153A9-869A-45D4-BD1A-C2D06A8762F9}" destId="{86FBBD63-D1AF-4146-9C32-C940802B43EC}" srcOrd="0" destOrd="0" presId="urn:microsoft.com/office/officeart/2005/8/layout/bProcess3"/>
    <dgm:cxn modelId="{1135B585-EE7A-4C39-95CA-85E458584DC9}" type="presOf" srcId="{63D247E1-14DA-40B6-B773-22FF714C3EA8}" destId="{25E2DDCB-F11C-4507-B5FB-61E9B9D9DA34}" srcOrd="0" destOrd="0" presId="urn:microsoft.com/office/officeart/2005/8/layout/bProcess3"/>
    <dgm:cxn modelId="{DE1B398C-6587-4050-8204-DA81ABE97201}" type="presOf" srcId="{A021B801-3B3B-49ED-9FBC-5F77E9A4449B}" destId="{845452B7-5E96-4B1C-A802-5B08E207012B}" srcOrd="0" destOrd="0" presId="urn:microsoft.com/office/officeart/2005/8/layout/bProcess3"/>
    <dgm:cxn modelId="{92FFA79B-EF51-4228-AF7C-DB5357730C49}" type="presOf" srcId="{87630E9C-5E7E-433B-8043-9EAF08D679D5}" destId="{3443E82E-91D8-4945-8C02-0AC74E3B899C}" srcOrd="0" destOrd="0" presId="urn:microsoft.com/office/officeart/2005/8/layout/bProcess3"/>
    <dgm:cxn modelId="{14A5F3A4-4ABE-4599-BC97-00AD33F5412C}" type="presOf" srcId="{F84E7FF0-7CDE-46FE-91D7-6EFE459F4904}" destId="{5377747C-D6F1-474C-BFB6-DFAB91A40575}" srcOrd="0" destOrd="0" presId="urn:microsoft.com/office/officeart/2005/8/layout/bProcess3"/>
    <dgm:cxn modelId="{915CC3AD-1E2E-4C8C-BBD6-DF299E3A6A48}" type="presOf" srcId="{F84E7FF0-7CDE-46FE-91D7-6EFE459F4904}" destId="{F8610696-5417-4BE0-9F2F-AF44B51287E6}" srcOrd="1" destOrd="0" presId="urn:microsoft.com/office/officeart/2005/8/layout/bProcess3"/>
    <dgm:cxn modelId="{07E9F1B3-4DB3-4755-B955-63491F27748E}" srcId="{FCE6B82E-F21B-4965-8181-30010DDBE777}" destId="{638C6F5F-AE8D-4BC5-AF66-FCF6CDBD3388}" srcOrd="4" destOrd="0" parTransId="{ECC67061-E880-4553-99FF-B2A0DAB0F076}" sibTransId="{98EE0AEE-9628-460D-9C7C-A89F69DD88D5}"/>
    <dgm:cxn modelId="{941F76C6-F246-48CC-A232-537FC1760D76}" type="presOf" srcId="{834C0AAB-B972-4CD2-B4C0-F90DF74B2891}" destId="{15BDC399-7A86-4BFF-AAC7-E8D9503BBDE4}" srcOrd="0" destOrd="0" presId="urn:microsoft.com/office/officeart/2005/8/layout/bProcess3"/>
    <dgm:cxn modelId="{02595CDC-4300-48C9-B83D-65DF053B4EF9}" type="presOf" srcId="{DBDE3889-92EE-45AD-B7E2-C4C874180FD2}" destId="{7C584DBF-2087-48B0-808C-DA229F98B1BE}" srcOrd="0" destOrd="0" presId="urn:microsoft.com/office/officeart/2005/8/layout/bProcess3"/>
    <dgm:cxn modelId="{E2FFF7F3-35EB-4001-B92F-49E12234F672}" srcId="{FCE6B82E-F21B-4965-8181-30010DDBE777}" destId="{A021B801-3B3B-49ED-9FBC-5F77E9A4449B}" srcOrd="0" destOrd="0" parTransId="{EA239589-34C1-48DE-91C3-9E025F7E9D41}" sibTransId="{63D247E1-14DA-40B6-B773-22FF714C3EA8}"/>
    <dgm:cxn modelId="{A4A979F7-98A6-4135-8CBC-F40B76999475}" type="presOf" srcId="{31BCE47B-5350-458A-9BFA-01312D756701}" destId="{331C0073-1AC8-4ACA-A594-6C3F17FED4D7}" srcOrd="0" destOrd="0" presId="urn:microsoft.com/office/officeart/2005/8/layout/bProcess3"/>
    <dgm:cxn modelId="{9864831B-7FDE-4657-88A3-8884950AD496}" type="presParOf" srcId="{3F689E03-2019-43AE-992C-1546B720BC9A}" destId="{845452B7-5E96-4B1C-A802-5B08E207012B}" srcOrd="0" destOrd="0" presId="urn:microsoft.com/office/officeart/2005/8/layout/bProcess3"/>
    <dgm:cxn modelId="{7EE921B9-E6DE-4246-81D4-9BA52C6D1170}" type="presParOf" srcId="{3F689E03-2019-43AE-992C-1546B720BC9A}" destId="{25E2DDCB-F11C-4507-B5FB-61E9B9D9DA34}" srcOrd="1" destOrd="0" presId="urn:microsoft.com/office/officeart/2005/8/layout/bProcess3"/>
    <dgm:cxn modelId="{4E094310-E59E-4B01-9200-6D2B1D116469}" type="presParOf" srcId="{25E2DDCB-F11C-4507-B5FB-61E9B9D9DA34}" destId="{11BF5BAD-8050-47F9-81FA-5894756F793F}" srcOrd="0" destOrd="0" presId="urn:microsoft.com/office/officeart/2005/8/layout/bProcess3"/>
    <dgm:cxn modelId="{DBAD3A86-7908-487A-8004-EFE4A9E1FC85}" type="presParOf" srcId="{3F689E03-2019-43AE-992C-1546B720BC9A}" destId="{331C0073-1AC8-4ACA-A594-6C3F17FED4D7}" srcOrd="2" destOrd="0" presId="urn:microsoft.com/office/officeart/2005/8/layout/bProcess3"/>
    <dgm:cxn modelId="{A8B30437-7447-45AE-8EAC-FFFEC9D6857D}" type="presParOf" srcId="{3F689E03-2019-43AE-992C-1546B720BC9A}" destId="{5377747C-D6F1-474C-BFB6-DFAB91A40575}" srcOrd="3" destOrd="0" presId="urn:microsoft.com/office/officeart/2005/8/layout/bProcess3"/>
    <dgm:cxn modelId="{6407723E-1D78-41A0-8752-EE411C780615}" type="presParOf" srcId="{5377747C-D6F1-474C-BFB6-DFAB91A40575}" destId="{F8610696-5417-4BE0-9F2F-AF44B51287E6}" srcOrd="0" destOrd="0" presId="urn:microsoft.com/office/officeart/2005/8/layout/bProcess3"/>
    <dgm:cxn modelId="{C8E282AA-1C5D-403F-901C-D7147B078B9A}" type="presParOf" srcId="{3F689E03-2019-43AE-992C-1546B720BC9A}" destId="{86FBBD63-D1AF-4146-9C32-C940802B43EC}" srcOrd="4" destOrd="0" presId="urn:microsoft.com/office/officeart/2005/8/layout/bProcess3"/>
    <dgm:cxn modelId="{13036F3C-0FEA-45A1-BABD-AB3072E59E48}" type="presParOf" srcId="{3F689E03-2019-43AE-992C-1546B720BC9A}" destId="{15BDC399-7A86-4BFF-AAC7-E8D9503BBDE4}" srcOrd="5" destOrd="0" presId="urn:microsoft.com/office/officeart/2005/8/layout/bProcess3"/>
    <dgm:cxn modelId="{B7CE1C89-4027-437B-A7C6-C92F0919CB05}" type="presParOf" srcId="{15BDC399-7A86-4BFF-AAC7-E8D9503BBDE4}" destId="{72534C87-D2E6-44BD-B7F2-65E5F9B196EC}" srcOrd="0" destOrd="0" presId="urn:microsoft.com/office/officeart/2005/8/layout/bProcess3"/>
    <dgm:cxn modelId="{EAC6EDA7-99E0-482D-A0FC-FB0E4B42D8C0}" type="presParOf" srcId="{3F689E03-2019-43AE-992C-1546B720BC9A}" destId="{3443E82E-91D8-4945-8C02-0AC74E3B899C}" srcOrd="6" destOrd="0" presId="urn:microsoft.com/office/officeart/2005/8/layout/bProcess3"/>
    <dgm:cxn modelId="{32658D55-2424-4CD5-834C-DECB359FDC26}" type="presParOf" srcId="{3F689E03-2019-43AE-992C-1546B720BC9A}" destId="{7C584DBF-2087-48B0-808C-DA229F98B1BE}" srcOrd="7" destOrd="0" presId="urn:microsoft.com/office/officeart/2005/8/layout/bProcess3"/>
    <dgm:cxn modelId="{F1C6BC14-5149-45DB-B57D-171128DA1856}" type="presParOf" srcId="{7C584DBF-2087-48B0-808C-DA229F98B1BE}" destId="{EA47216C-4BEE-48A0-87AB-7EFB1617273C}" srcOrd="0" destOrd="0" presId="urn:microsoft.com/office/officeart/2005/8/layout/bProcess3"/>
    <dgm:cxn modelId="{97CC1D74-7CB9-42B9-BDB4-1D916CD7C784}" type="presParOf" srcId="{3F689E03-2019-43AE-992C-1546B720BC9A}" destId="{34D73643-E755-4E22-999A-8B1B5302A540}" srcOrd="8" destOrd="0" presId="urn:microsoft.com/office/officeart/2005/8/layout/bProcess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CE6B82E-F21B-4965-8181-30010DDBE777}" type="doc">
      <dgm:prSet loTypeId="urn:microsoft.com/office/officeart/2005/8/layout/bProcess3" loCatId="process" qsTypeId="urn:microsoft.com/office/officeart/2005/8/quickstyle/simple1" qsCatId="simple" csTypeId="urn:microsoft.com/office/officeart/2005/8/colors/accent1_2" csCatId="accent1" phldr="1"/>
      <dgm:spPr/>
      <dgm:t>
        <a:bodyPr/>
        <a:lstStyle/>
        <a:p>
          <a:endParaRPr lang="en-GB"/>
        </a:p>
      </dgm:t>
    </dgm:pt>
    <dgm:pt modelId="{A021B801-3B3B-49ED-9FBC-5F77E9A4449B}">
      <dgm:prSet phldrT="[Text]" custT="1"/>
      <dgm:spPr>
        <a:xfrm>
          <a:off x="3728"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800">
              <a:solidFill>
                <a:sysClr val="window" lastClr="FFFFFF"/>
              </a:solidFill>
              <a:latin typeface="Aptos" panose="02110004020202020204"/>
              <a:ea typeface="+mn-ea"/>
              <a:cs typeface="+mn-cs"/>
            </a:rPr>
            <a:t>Net Income</a:t>
          </a:r>
        </a:p>
        <a:p>
          <a:pPr>
            <a:buNone/>
          </a:pPr>
          <a:r>
            <a:rPr lang="en-GB" sz="800">
              <a:solidFill>
                <a:sysClr val="window" lastClr="FFFFFF"/>
              </a:solidFill>
              <a:latin typeface="Aptos" panose="02110004020202020204"/>
              <a:ea typeface="+mn-ea"/>
              <a:cs typeface="+mn-cs"/>
            </a:rPr>
            <a:t>Year 2022</a:t>
          </a:r>
        </a:p>
        <a:p>
          <a:pPr>
            <a:buNone/>
          </a:pPr>
          <a:r>
            <a:rPr lang="en-GB" sz="800">
              <a:solidFill>
                <a:sysClr val="window" lastClr="FFFFFF"/>
              </a:solidFill>
              <a:latin typeface="Aptos" panose="02110004020202020204"/>
              <a:ea typeface="+mn-ea"/>
              <a:cs typeface="+mn-cs"/>
            </a:rPr>
            <a:t>£300,000</a:t>
          </a:r>
        </a:p>
        <a:p>
          <a:pPr>
            <a:buNone/>
          </a:pPr>
          <a:r>
            <a:rPr lang="en-GB" sz="800">
              <a:solidFill>
                <a:sysClr val="window" lastClr="FFFFFF"/>
              </a:solidFill>
              <a:latin typeface="Aptos" panose="02110004020202020204"/>
              <a:ea typeface="+mn-ea"/>
              <a:cs typeface="+mn-cs"/>
            </a:rPr>
            <a:t>Minus (-)</a:t>
          </a:r>
          <a:endParaRPr lang="en-GB" sz="600">
            <a:solidFill>
              <a:sysClr val="window" lastClr="FFFFFF"/>
            </a:solidFill>
            <a:latin typeface="Aptos" panose="02110004020202020204"/>
            <a:ea typeface="+mn-ea"/>
            <a:cs typeface="+mn-cs"/>
          </a:endParaRPr>
        </a:p>
      </dgm:t>
    </dgm:pt>
    <dgm:pt modelId="{EA239589-34C1-48DE-91C3-9E025F7E9D41}" type="parTrans" cxnId="{E2FFF7F3-35EB-4001-B92F-49E12234F672}">
      <dgm:prSet/>
      <dgm:spPr/>
      <dgm:t>
        <a:bodyPr/>
        <a:lstStyle/>
        <a:p>
          <a:endParaRPr lang="en-GB"/>
        </a:p>
      </dgm:t>
    </dgm:pt>
    <dgm:pt modelId="{63D247E1-14DA-40B6-B773-22FF714C3EA8}" type="sibTrans" cxnId="{E2FFF7F3-35EB-4001-B92F-49E12234F672}">
      <dgm:prSet/>
      <dgm:spPr>
        <a:xfrm>
          <a:off x="977839" y="595630"/>
          <a:ext cx="193859"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31BCE47B-5350-458A-9BFA-01312D756701}">
      <dgm:prSet phldrT="[Text]" custT="1"/>
      <dgm:spPr>
        <a:xfrm>
          <a:off x="1204099"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800">
              <a:solidFill>
                <a:sysClr val="window" lastClr="FFFFFF"/>
              </a:solidFill>
              <a:latin typeface="Aptos" panose="02110004020202020204"/>
              <a:ea typeface="+mn-ea"/>
              <a:cs typeface="+mn-cs"/>
            </a:rPr>
            <a:t>Revenue</a:t>
          </a:r>
        </a:p>
        <a:p>
          <a:pPr>
            <a:buNone/>
          </a:pPr>
          <a:r>
            <a:rPr lang="en-GB" sz="800">
              <a:solidFill>
                <a:sysClr val="window" lastClr="FFFFFF"/>
              </a:solidFill>
              <a:latin typeface="Aptos" panose="02110004020202020204"/>
              <a:ea typeface="+mn-ea"/>
              <a:cs typeface="+mn-cs"/>
            </a:rPr>
            <a:t>Year 2023</a:t>
          </a:r>
        </a:p>
        <a:p>
          <a:pPr>
            <a:buNone/>
          </a:pPr>
          <a:r>
            <a:rPr lang="en-GB" sz="800">
              <a:solidFill>
                <a:sysClr val="window" lastClr="FFFFFF"/>
              </a:solidFill>
              <a:latin typeface="Aptos" panose="02110004020202020204"/>
              <a:ea typeface="+mn-ea"/>
              <a:cs typeface="+mn-cs"/>
            </a:rPr>
            <a:t>£150,000</a:t>
          </a:r>
        </a:p>
        <a:p>
          <a:pPr>
            <a:buNone/>
          </a:pPr>
          <a:r>
            <a:rPr lang="en-GB" sz="800">
              <a:solidFill>
                <a:sysClr val="window" lastClr="FFFFFF"/>
              </a:solidFill>
              <a:latin typeface="Aptos" panose="02110004020202020204"/>
              <a:ea typeface="+mn-ea"/>
              <a:cs typeface="+mn-cs"/>
            </a:rPr>
            <a:t>Total (=)</a:t>
          </a:r>
          <a:endParaRPr lang="en-GB" sz="600">
            <a:solidFill>
              <a:sysClr val="window" lastClr="FFFFFF"/>
            </a:solidFill>
            <a:latin typeface="Aptos" panose="02110004020202020204"/>
            <a:ea typeface="+mn-ea"/>
            <a:cs typeface="+mn-cs"/>
          </a:endParaRPr>
        </a:p>
      </dgm:t>
    </dgm:pt>
    <dgm:pt modelId="{A38514E8-5260-4965-A499-CFAEC105F46A}" type="parTrans" cxnId="{5BAFA40A-E905-4A68-B589-EB8AFD2C3324}">
      <dgm:prSet/>
      <dgm:spPr/>
      <dgm:t>
        <a:bodyPr/>
        <a:lstStyle/>
        <a:p>
          <a:endParaRPr lang="en-GB"/>
        </a:p>
      </dgm:t>
    </dgm:pt>
    <dgm:pt modelId="{F84E7FF0-7CDE-46FE-91D7-6EFE459F4904}" type="sibTrans" cxnId="{5BAFA40A-E905-4A68-B589-EB8AFD2C3324}">
      <dgm:prSet/>
      <dgm:spPr>
        <a:xfrm>
          <a:off x="2178209" y="595630"/>
          <a:ext cx="193859"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E15153A9-869A-45D4-BD1A-C2D06A8762F9}">
      <dgm:prSet phldrT="[Text]" custT="1"/>
      <dgm:spPr>
        <a:xfrm>
          <a:off x="2404469" y="348576"/>
          <a:ext cx="975910" cy="585546"/>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gm:spPr>
      <dgm:t>
        <a:bodyPr/>
        <a:lstStyle/>
        <a:p>
          <a:pPr>
            <a:buNone/>
          </a:pPr>
          <a:r>
            <a:rPr lang="en-GB" sz="800">
              <a:solidFill>
                <a:sysClr val="window" lastClr="FFFFFF"/>
              </a:solidFill>
              <a:latin typeface="Aptos" panose="02110004020202020204"/>
              <a:ea typeface="+mn-ea"/>
              <a:cs typeface="+mn-cs"/>
            </a:rPr>
            <a:t>Total</a:t>
          </a:r>
        </a:p>
        <a:p>
          <a:pPr>
            <a:buNone/>
          </a:pPr>
          <a:r>
            <a:rPr lang="en-GB" sz="800">
              <a:solidFill>
                <a:sysClr val="window" lastClr="FFFFFF"/>
              </a:solidFill>
              <a:latin typeface="Aptos" panose="02110004020202020204"/>
              <a:ea typeface="+mn-ea"/>
              <a:cs typeface="+mn-cs"/>
            </a:rPr>
            <a:t>Year 2022-2023</a:t>
          </a:r>
        </a:p>
        <a:p>
          <a:pPr>
            <a:buNone/>
          </a:pPr>
          <a:r>
            <a:rPr lang="en-GB" sz="800">
              <a:solidFill>
                <a:sysClr val="window" lastClr="FFFFFF"/>
              </a:solidFill>
              <a:latin typeface="Aptos" panose="02110004020202020204"/>
              <a:ea typeface="+mn-ea"/>
              <a:cs typeface="+mn-cs"/>
            </a:rPr>
            <a:t>£150,000</a:t>
          </a:r>
        </a:p>
        <a:p>
          <a:pPr>
            <a:buNone/>
          </a:pPr>
          <a:r>
            <a:rPr lang="en-GB" sz="800">
              <a:solidFill>
                <a:sysClr val="window" lastClr="FFFFFF"/>
              </a:solidFill>
              <a:latin typeface="Aptos" panose="02110004020202020204"/>
              <a:ea typeface="+mn-ea"/>
              <a:cs typeface="+mn-cs"/>
            </a:rPr>
            <a:t>Decrease</a:t>
          </a:r>
          <a:endParaRPr lang="en-GB" sz="600">
            <a:solidFill>
              <a:sysClr val="window" lastClr="FFFFFF"/>
            </a:solidFill>
            <a:latin typeface="Aptos" panose="02110004020202020204"/>
            <a:ea typeface="+mn-ea"/>
            <a:cs typeface="+mn-cs"/>
          </a:endParaRPr>
        </a:p>
      </dgm:t>
    </dgm:pt>
    <dgm:pt modelId="{97F781F4-8D23-4EF1-8AF9-D30B8ED9524B}" type="parTrans" cxnId="{2F9CE416-C411-4BB4-9447-F447A6785044}">
      <dgm:prSet/>
      <dgm:spPr/>
      <dgm:t>
        <a:bodyPr/>
        <a:lstStyle/>
        <a:p>
          <a:endParaRPr lang="en-GB"/>
        </a:p>
      </dgm:t>
    </dgm:pt>
    <dgm:pt modelId="{834C0AAB-B972-4CD2-B4C0-F90DF74B2891}" type="sibTrans" cxnId="{2F9CE416-C411-4BB4-9447-F447A6785044}">
      <dgm:prSet/>
      <dgm:spPr>
        <a:xfrm>
          <a:off x="3378580" y="595630"/>
          <a:ext cx="193859" cy="91440"/>
        </a:xfrm>
        <a:noFill/>
        <a:ln w="12700" cap="flat" cmpd="sng" algn="ctr">
          <a:solidFill>
            <a:srgbClr val="156082">
              <a:hueOff val="0"/>
              <a:satOff val="0"/>
              <a:lumOff val="0"/>
              <a:alphaOff val="0"/>
            </a:srgbClr>
          </a:solidFill>
          <a:prstDash val="solid"/>
          <a:miter lim="800000"/>
          <a:tailEnd type="arrow"/>
        </a:ln>
        <a:effectLst/>
      </dgm:spPr>
      <dgm:t>
        <a:bodyPr/>
        <a:lstStyle/>
        <a:p>
          <a:pPr>
            <a:buNone/>
          </a:pPr>
          <a:endParaRPr lang="en-GB">
            <a:solidFill>
              <a:sysClr val="windowText" lastClr="000000">
                <a:hueOff val="0"/>
                <a:satOff val="0"/>
                <a:lumOff val="0"/>
                <a:alphaOff val="0"/>
              </a:sysClr>
            </a:solidFill>
            <a:latin typeface="Aptos" panose="02110004020202020204"/>
            <a:ea typeface="+mn-ea"/>
            <a:cs typeface="+mn-cs"/>
          </a:endParaRPr>
        </a:p>
      </dgm:t>
    </dgm:pt>
    <dgm:pt modelId="{3443075A-CC41-4BD1-AE0D-597BE0029A4A}">
      <dgm:prSet custT="1"/>
      <dgm:spPr/>
      <dgm:t>
        <a:bodyPr/>
        <a:lstStyle/>
        <a:p>
          <a:endParaRPr lang="en-GB" sz="700"/>
        </a:p>
        <a:p>
          <a:r>
            <a:rPr lang="en-GB" sz="800"/>
            <a:t>Total from</a:t>
          </a:r>
        </a:p>
        <a:p>
          <a:r>
            <a:rPr lang="en-GB" sz="800"/>
            <a:t>Year 2023-2024</a:t>
          </a:r>
        </a:p>
        <a:p>
          <a:r>
            <a:rPr lang="en-GB" sz="800"/>
            <a:t>£150,000-(-£150,000)</a:t>
          </a:r>
        </a:p>
        <a:p>
          <a:r>
            <a:rPr lang="en-GB" sz="800"/>
            <a:t>Total of</a:t>
          </a:r>
        </a:p>
        <a:p>
          <a:r>
            <a:rPr lang="en-GB" sz="800"/>
            <a:t>£300,000 Decrease</a:t>
          </a:r>
        </a:p>
        <a:p>
          <a:endParaRPr lang="en-GB" sz="600"/>
        </a:p>
      </dgm:t>
    </dgm:pt>
    <dgm:pt modelId="{AA2018FC-5EAE-46F0-A807-F8C5B7051023}" type="parTrans" cxnId="{48BB4A44-D1F6-4594-8D17-982A3D772ECA}">
      <dgm:prSet/>
      <dgm:spPr/>
      <dgm:t>
        <a:bodyPr/>
        <a:lstStyle/>
        <a:p>
          <a:endParaRPr lang="en-GB"/>
        </a:p>
      </dgm:t>
    </dgm:pt>
    <dgm:pt modelId="{800473FD-36E2-4EFD-BB90-37133F001632}" type="sibTrans" cxnId="{48BB4A44-D1F6-4594-8D17-982A3D772ECA}">
      <dgm:prSet/>
      <dgm:spPr/>
      <dgm:t>
        <a:bodyPr/>
        <a:lstStyle/>
        <a:p>
          <a:endParaRPr lang="en-GB"/>
        </a:p>
      </dgm:t>
    </dgm:pt>
    <dgm:pt modelId="{3F689E03-2019-43AE-992C-1546B720BC9A}" type="pres">
      <dgm:prSet presAssocID="{FCE6B82E-F21B-4965-8181-30010DDBE777}" presName="Name0" presStyleCnt="0">
        <dgm:presLayoutVars>
          <dgm:dir/>
          <dgm:resizeHandles val="exact"/>
        </dgm:presLayoutVars>
      </dgm:prSet>
      <dgm:spPr/>
    </dgm:pt>
    <dgm:pt modelId="{845452B7-5E96-4B1C-A802-5B08E207012B}" type="pres">
      <dgm:prSet presAssocID="{A021B801-3B3B-49ED-9FBC-5F77E9A4449B}" presName="node" presStyleLbl="node1" presStyleIdx="0" presStyleCnt="4">
        <dgm:presLayoutVars>
          <dgm:bulletEnabled val="1"/>
        </dgm:presLayoutVars>
      </dgm:prSet>
      <dgm:spPr/>
    </dgm:pt>
    <dgm:pt modelId="{25E2DDCB-F11C-4507-B5FB-61E9B9D9DA34}" type="pres">
      <dgm:prSet presAssocID="{63D247E1-14DA-40B6-B773-22FF714C3EA8}" presName="sibTrans" presStyleLbl="sibTrans1D1" presStyleIdx="0" presStyleCnt="3"/>
      <dgm:spPr/>
    </dgm:pt>
    <dgm:pt modelId="{11BF5BAD-8050-47F9-81FA-5894756F793F}" type="pres">
      <dgm:prSet presAssocID="{63D247E1-14DA-40B6-B773-22FF714C3EA8}" presName="connectorText" presStyleLbl="sibTrans1D1" presStyleIdx="0" presStyleCnt="3"/>
      <dgm:spPr/>
    </dgm:pt>
    <dgm:pt modelId="{331C0073-1AC8-4ACA-A594-6C3F17FED4D7}" type="pres">
      <dgm:prSet presAssocID="{31BCE47B-5350-458A-9BFA-01312D756701}" presName="node" presStyleLbl="node1" presStyleIdx="1" presStyleCnt="4" custLinFactNeighborX="-3876" custLinFactNeighborY="3794">
        <dgm:presLayoutVars>
          <dgm:bulletEnabled val="1"/>
        </dgm:presLayoutVars>
      </dgm:prSet>
      <dgm:spPr/>
    </dgm:pt>
    <dgm:pt modelId="{5377747C-D6F1-474C-BFB6-DFAB91A40575}" type="pres">
      <dgm:prSet presAssocID="{F84E7FF0-7CDE-46FE-91D7-6EFE459F4904}" presName="sibTrans" presStyleLbl="sibTrans1D1" presStyleIdx="1" presStyleCnt="3"/>
      <dgm:spPr/>
    </dgm:pt>
    <dgm:pt modelId="{F8610696-5417-4BE0-9F2F-AF44B51287E6}" type="pres">
      <dgm:prSet presAssocID="{F84E7FF0-7CDE-46FE-91D7-6EFE459F4904}" presName="connectorText" presStyleLbl="sibTrans1D1" presStyleIdx="1" presStyleCnt="3"/>
      <dgm:spPr/>
    </dgm:pt>
    <dgm:pt modelId="{86FBBD63-D1AF-4146-9C32-C940802B43EC}" type="pres">
      <dgm:prSet presAssocID="{E15153A9-869A-45D4-BD1A-C2D06A8762F9}" presName="node" presStyleLbl="node1" presStyleIdx="2" presStyleCnt="4">
        <dgm:presLayoutVars>
          <dgm:bulletEnabled val="1"/>
        </dgm:presLayoutVars>
      </dgm:prSet>
      <dgm:spPr/>
    </dgm:pt>
    <dgm:pt modelId="{0383FD6B-8FAE-4A2E-861A-1225B20A00FD}" type="pres">
      <dgm:prSet presAssocID="{834C0AAB-B972-4CD2-B4C0-F90DF74B2891}" presName="sibTrans" presStyleLbl="sibTrans1D1" presStyleIdx="2" presStyleCnt="3"/>
      <dgm:spPr>
        <a:custGeom>
          <a:avLst/>
          <a:gdLst/>
          <a:ahLst/>
          <a:cxnLst/>
          <a:rect l="0" t="0" r="0" b="0"/>
          <a:pathLst>
            <a:path>
              <a:moveTo>
                <a:pt x="0" y="45720"/>
              </a:moveTo>
              <a:lnTo>
                <a:pt x="193859" y="45720"/>
              </a:lnTo>
            </a:path>
          </a:pathLst>
        </a:custGeom>
      </dgm:spPr>
    </dgm:pt>
    <dgm:pt modelId="{CFA7398A-A2F6-427F-8920-FCF9402422F5}" type="pres">
      <dgm:prSet presAssocID="{834C0AAB-B972-4CD2-B4C0-F90DF74B2891}" presName="connectorText" presStyleLbl="sibTrans1D1" presStyleIdx="2" presStyleCnt="3"/>
      <dgm:spPr/>
    </dgm:pt>
    <dgm:pt modelId="{82DDEB10-8E36-4EBD-9120-76A0CD6063E9}" type="pres">
      <dgm:prSet presAssocID="{3443075A-CC41-4BD1-AE0D-597BE0029A4A}" presName="node" presStyleLbl="node1" presStyleIdx="3" presStyleCnt="4">
        <dgm:presLayoutVars>
          <dgm:bulletEnabled val="1"/>
        </dgm:presLayoutVars>
      </dgm:prSet>
      <dgm:spPr/>
    </dgm:pt>
  </dgm:ptLst>
  <dgm:cxnLst>
    <dgm:cxn modelId="{5BAFA40A-E905-4A68-B589-EB8AFD2C3324}" srcId="{FCE6B82E-F21B-4965-8181-30010DDBE777}" destId="{31BCE47B-5350-458A-9BFA-01312D756701}" srcOrd="1" destOrd="0" parTransId="{A38514E8-5260-4965-A499-CFAEC105F46A}" sibTransId="{F84E7FF0-7CDE-46FE-91D7-6EFE459F4904}"/>
    <dgm:cxn modelId="{2F9CE416-C411-4BB4-9447-F447A6785044}" srcId="{FCE6B82E-F21B-4965-8181-30010DDBE777}" destId="{E15153A9-869A-45D4-BD1A-C2D06A8762F9}" srcOrd="2" destOrd="0" parTransId="{97F781F4-8D23-4EF1-8AF9-D30B8ED9524B}" sibTransId="{834C0AAB-B972-4CD2-B4C0-F90DF74B2891}"/>
    <dgm:cxn modelId="{A4780D32-0683-4737-B4A0-F677F73E9492}" type="presOf" srcId="{FCE6B82E-F21B-4965-8181-30010DDBE777}" destId="{3F689E03-2019-43AE-992C-1546B720BC9A}" srcOrd="0" destOrd="0" presId="urn:microsoft.com/office/officeart/2005/8/layout/bProcess3"/>
    <dgm:cxn modelId="{48BB4A44-D1F6-4594-8D17-982A3D772ECA}" srcId="{FCE6B82E-F21B-4965-8181-30010DDBE777}" destId="{3443075A-CC41-4BD1-AE0D-597BE0029A4A}" srcOrd="3" destOrd="0" parTransId="{AA2018FC-5EAE-46F0-A807-F8C5B7051023}" sibTransId="{800473FD-36E2-4EFD-BB90-37133F001632}"/>
    <dgm:cxn modelId="{921F0245-3091-4478-90F9-BF315325D52C}" type="presOf" srcId="{834C0AAB-B972-4CD2-B4C0-F90DF74B2891}" destId="{CFA7398A-A2F6-427F-8920-FCF9402422F5}" srcOrd="1" destOrd="0" presId="urn:microsoft.com/office/officeart/2005/8/layout/bProcess3"/>
    <dgm:cxn modelId="{649E9A7B-78BD-4178-B78F-1AAFCC20F5F4}" type="presOf" srcId="{63D247E1-14DA-40B6-B773-22FF714C3EA8}" destId="{11BF5BAD-8050-47F9-81FA-5894756F793F}" srcOrd="1" destOrd="0" presId="urn:microsoft.com/office/officeart/2005/8/layout/bProcess3"/>
    <dgm:cxn modelId="{A3A73D82-75CA-4318-B91A-6E7795B6980A}" type="presOf" srcId="{E15153A9-869A-45D4-BD1A-C2D06A8762F9}" destId="{86FBBD63-D1AF-4146-9C32-C940802B43EC}" srcOrd="0" destOrd="0" presId="urn:microsoft.com/office/officeart/2005/8/layout/bProcess3"/>
    <dgm:cxn modelId="{1135B585-EE7A-4C39-95CA-85E458584DC9}" type="presOf" srcId="{63D247E1-14DA-40B6-B773-22FF714C3EA8}" destId="{25E2DDCB-F11C-4507-B5FB-61E9B9D9DA34}" srcOrd="0" destOrd="0" presId="urn:microsoft.com/office/officeart/2005/8/layout/bProcess3"/>
    <dgm:cxn modelId="{DE1B398C-6587-4050-8204-DA81ABE97201}" type="presOf" srcId="{A021B801-3B3B-49ED-9FBC-5F77E9A4449B}" destId="{845452B7-5E96-4B1C-A802-5B08E207012B}" srcOrd="0" destOrd="0" presId="urn:microsoft.com/office/officeart/2005/8/layout/bProcess3"/>
    <dgm:cxn modelId="{14A5F3A4-4ABE-4599-BC97-00AD33F5412C}" type="presOf" srcId="{F84E7FF0-7CDE-46FE-91D7-6EFE459F4904}" destId="{5377747C-D6F1-474C-BFB6-DFAB91A40575}" srcOrd="0" destOrd="0" presId="urn:microsoft.com/office/officeart/2005/8/layout/bProcess3"/>
    <dgm:cxn modelId="{22BB27AD-1DB0-45F4-BF29-0FAFB511AD3E}" type="presOf" srcId="{834C0AAB-B972-4CD2-B4C0-F90DF74B2891}" destId="{0383FD6B-8FAE-4A2E-861A-1225B20A00FD}" srcOrd="0" destOrd="0" presId="urn:microsoft.com/office/officeart/2005/8/layout/bProcess3"/>
    <dgm:cxn modelId="{915CC3AD-1E2E-4C8C-BBD6-DF299E3A6A48}" type="presOf" srcId="{F84E7FF0-7CDE-46FE-91D7-6EFE459F4904}" destId="{F8610696-5417-4BE0-9F2F-AF44B51287E6}" srcOrd="1" destOrd="0" presId="urn:microsoft.com/office/officeart/2005/8/layout/bProcess3"/>
    <dgm:cxn modelId="{7652BEE1-8448-428B-BD0C-61F04A6C5BF7}" type="presOf" srcId="{3443075A-CC41-4BD1-AE0D-597BE0029A4A}" destId="{82DDEB10-8E36-4EBD-9120-76A0CD6063E9}" srcOrd="0" destOrd="0" presId="urn:microsoft.com/office/officeart/2005/8/layout/bProcess3"/>
    <dgm:cxn modelId="{E2FFF7F3-35EB-4001-B92F-49E12234F672}" srcId="{FCE6B82E-F21B-4965-8181-30010DDBE777}" destId="{A021B801-3B3B-49ED-9FBC-5F77E9A4449B}" srcOrd="0" destOrd="0" parTransId="{EA239589-34C1-48DE-91C3-9E025F7E9D41}" sibTransId="{63D247E1-14DA-40B6-B773-22FF714C3EA8}"/>
    <dgm:cxn modelId="{A4A979F7-98A6-4135-8CBC-F40B76999475}" type="presOf" srcId="{31BCE47B-5350-458A-9BFA-01312D756701}" destId="{331C0073-1AC8-4ACA-A594-6C3F17FED4D7}" srcOrd="0" destOrd="0" presId="urn:microsoft.com/office/officeart/2005/8/layout/bProcess3"/>
    <dgm:cxn modelId="{9864831B-7FDE-4657-88A3-8884950AD496}" type="presParOf" srcId="{3F689E03-2019-43AE-992C-1546B720BC9A}" destId="{845452B7-5E96-4B1C-A802-5B08E207012B}" srcOrd="0" destOrd="0" presId="urn:microsoft.com/office/officeart/2005/8/layout/bProcess3"/>
    <dgm:cxn modelId="{7EE921B9-E6DE-4246-81D4-9BA52C6D1170}" type="presParOf" srcId="{3F689E03-2019-43AE-992C-1546B720BC9A}" destId="{25E2DDCB-F11C-4507-B5FB-61E9B9D9DA34}" srcOrd="1" destOrd="0" presId="urn:microsoft.com/office/officeart/2005/8/layout/bProcess3"/>
    <dgm:cxn modelId="{4E094310-E59E-4B01-9200-6D2B1D116469}" type="presParOf" srcId="{25E2DDCB-F11C-4507-B5FB-61E9B9D9DA34}" destId="{11BF5BAD-8050-47F9-81FA-5894756F793F}" srcOrd="0" destOrd="0" presId="urn:microsoft.com/office/officeart/2005/8/layout/bProcess3"/>
    <dgm:cxn modelId="{DBAD3A86-7908-487A-8004-EFE4A9E1FC85}" type="presParOf" srcId="{3F689E03-2019-43AE-992C-1546B720BC9A}" destId="{331C0073-1AC8-4ACA-A594-6C3F17FED4D7}" srcOrd="2" destOrd="0" presId="urn:microsoft.com/office/officeart/2005/8/layout/bProcess3"/>
    <dgm:cxn modelId="{A8B30437-7447-45AE-8EAC-FFFEC9D6857D}" type="presParOf" srcId="{3F689E03-2019-43AE-992C-1546B720BC9A}" destId="{5377747C-D6F1-474C-BFB6-DFAB91A40575}" srcOrd="3" destOrd="0" presId="urn:microsoft.com/office/officeart/2005/8/layout/bProcess3"/>
    <dgm:cxn modelId="{6407723E-1D78-41A0-8752-EE411C780615}" type="presParOf" srcId="{5377747C-D6F1-474C-BFB6-DFAB91A40575}" destId="{F8610696-5417-4BE0-9F2F-AF44B51287E6}" srcOrd="0" destOrd="0" presId="urn:microsoft.com/office/officeart/2005/8/layout/bProcess3"/>
    <dgm:cxn modelId="{C8E282AA-1C5D-403F-901C-D7147B078B9A}" type="presParOf" srcId="{3F689E03-2019-43AE-992C-1546B720BC9A}" destId="{86FBBD63-D1AF-4146-9C32-C940802B43EC}" srcOrd="4" destOrd="0" presId="urn:microsoft.com/office/officeart/2005/8/layout/bProcess3"/>
    <dgm:cxn modelId="{75EAFA34-D803-4D91-8CAE-C14A77FA67D7}" type="presParOf" srcId="{3F689E03-2019-43AE-992C-1546B720BC9A}" destId="{0383FD6B-8FAE-4A2E-861A-1225B20A00FD}" srcOrd="5" destOrd="0" presId="urn:microsoft.com/office/officeart/2005/8/layout/bProcess3"/>
    <dgm:cxn modelId="{2AEC8E4F-E302-4CBF-93CB-6907868B6E6D}" type="presParOf" srcId="{0383FD6B-8FAE-4A2E-861A-1225B20A00FD}" destId="{CFA7398A-A2F6-427F-8920-FCF9402422F5}" srcOrd="0" destOrd="0" presId="urn:microsoft.com/office/officeart/2005/8/layout/bProcess3"/>
    <dgm:cxn modelId="{3B3B6A2E-CE4C-49EB-9B7F-20213C1DC9EC}" type="presParOf" srcId="{3F689E03-2019-43AE-992C-1546B720BC9A}" destId="{82DDEB10-8E36-4EBD-9120-76A0CD6063E9}" srcOrd="6" destOrd="0" presId="urn:microsoft.com/office/officeart/2005/8/layout/bProcess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E2DDCB-F11C-4507-B5FB-61E9B9D9DA34}">
      <dsp:nvSpPr>
        <dsp:cNvPr id="0" name=""/>
        <dsp:cNvSpPr/>
      </dsp:nvSpPr>
      <dsp:spPr>
        <a:xfrm>
          <a:off x="973157" y="294005"/>
          <a:ext cx="200189"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ptos" panose="02110004020202020204"/>
            <a:ea typeface="+mn-ea"/>
            <a:cs typeface="+mn-cs"/>
          </a:endParaRPr>
        </a:p>
      </dsp:txBody>
      <dsp:txXfrm>
        <a:off x="1067363" y="338602"/>
        <a:ext cx="0" cy="0"/>
      </dsp:txXfrm>
    </dsp:sp>
    <dsp:sp modelId="{845452B7-5E96-4B1C-A802-5B08E207012B}">
      <dsp:nvSpPr>
        <dsp:cNvPr id="0" name=""/>
        <dsp:cNvSpPr/>
      </dsp:nvSpPr>
      <dsp:spPr>
        <a:xfrm>
          <a:off x="0" y="94474"/>
          <a:ext cx="974957" cy="584974"/>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Revenue</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Year 2023</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£1,100,000</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Minus (-)</a:t>
          </a:r>
          <a:endParaRPr lang="en-GB" sz="600" kern="1200">
            <a:solidFill>
              <a:sysClr val="window" lastClr="FFFFFF"/>
            </a:solidFill>
            <a:latin typeface="Aptos" panose="02110004020202020204"/>
            <a:ea typeface="+mn-ea"/>
            <a:cs typeface="+mn-cs"/>
          </a:endParaRPr>
        </a:p>
      </dsp:txBody>
      <dsp:txXfrm>
        <a:off x="0" y="94474"/>
        <a:ext cx="974957" cy="584974"/>
      </dsp:txXfrm>
    </dsp:sp>
    <dsp:sp modelId="{5377747C-D6F1-474C-BFB6-DFAB91A40575}">
      <dsp:nvSpPr>
        <dsp:cNvPr id="0" name=""/>
        <dsp:cNvSpPr/>
      </dsp:nvSpPr>
      <dsp:spPr>
        <a:xfrm>
          <a:off x="2178905" y="294005"/>
          <a:ext cx="193640"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ptos" panose="02110004020202020204"/>
            <a:ea typeface="+mn-ea"/>
            <a:cs typeface="+mn-cs"/>
          </a:endParaRPr>
        </a:p>
      </dsp:txBody>
      <dsp:txXfrm>
        <a:off x="2270119" y="338602"/>
        <a:ext cx="0" cy="0"/>
      </dsp:txXfrm>
    </dsp:sp>
    <dsp:sp modelId="{331C0073-1AC8-4ACA-A594-6C3F17FED4D7}">
      <dsp:nvSpPr>
        <dsp:cNvPr id="0" name=""/>
        <dsp:cNvSpPr/>
      </dsp:nvSpPr>
      <dsp:spPr>
        <a:xfrm>
          <a:off x="1205747" y="47237"/>
          <a:ext cx="974957" cy="584974"/>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Revenue</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Year 2024</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£950,000</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Total (=)</a:t>
          </a:r>
          <a:endParaRPr lang="en-GB" sz="600" kern="1200">
            <a:solidFill>
              <a:sysClr val="window" lastClr="FFFFFF"/>
            </a:solidFill>
            <a:latin typeface="Aptos" panose="02110004020202020204"/>
            <a:ea typeface="+mn-ea"/>
            <a:cs typeface="+mn-cs"/>
          </a:endParaRPr>
        </a:p>
      </dsp:txBody>
      <dsp:txXfrm>
        <a:off x="1205747" y="47237"/>
        <a:ext cx="974957" cy="584974"/>
      </dsp:txXfrm>
    </dsp:sp>
    <dsp:sp modelId="{15BDC399-7A86-4BFF-AAC7-E8D9503BBDE4}">
      <dsp:nvSpPr>
        <dsp:cNvPr id="0" name=""/>
        <dsp:cNvSpPr/>
      </dsp:nvSpPr>
      <dsp:spPr>
        <a:xfrm>
          <a:off x="3378103" y="294005"/>
          <a:ext cx="193640"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ptos" panose="02110004020202020204"/>
            <a:ea typeface="+mn-ea"/>
            <a:cs typeface="+mn-cs"/>
          </a:endParaRPr>
        </a:p>
      </dsp:txBody>
      <dsp:txXfrm>
        <a:off x="3469318" y="338602"/>
        <a:ext cx="0" cy="0"/>
      </dsp:txXfrm>
    </dsp:sp>
    <dsp:sp modelId="{86FBBD63-D1AF-4146-9C32-C940802B43EC}">
      <dsp:nvSpPr>
        <dsp:cNvPr id="0" name=""/>
        <dsp:cNvSpPr/>
      </dsp:nvSpPr>
      <dsp:spPr>
        <a:xfrm>
          <a:off x="2404946" y="47237"/>
          <a:ext cx="974957" cy="584974"/>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Total</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Year 2022-2023</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£150,000</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Decrease</a:t>
          </a:r>
          <a:endParaRPr lang="en-GB" sz="600" kern="1200">
            <a:solidFill>
              <a:sysClr val="window" lastClr="FFFFFF"/>
            </a:solidFill>
            <a:latin typeface="Aptos" panose="02110004020202020204"/>
            <a:ea typeface="+mn-ea"/>
            <a:cs typeface="+mn-cs"/>
          </a:endParaRPr>
        </a:p>
      </dsp:txBody>
      <dsp:txXfrm>
        <a:off x="2404946" y="47237"/>
        <a:ext cx="974957" cy="584974"/>
      </dsp:txXfrm>
    </dsp:sp>
    <dsp:sp modelId="{7C584DBF-2087-48B0-808C-DA229F98B1BE}">
      <dsp:nvSpPr>
        <dsp:cNvPr id="0" name=""/>
        <dsp:cNvSpPr/>
      </dsp:nvSpPr>
      <dsp:spPr>
        <a:xfrm>
          <a:off x="4577302" y="294005"/>
          <a:ext cx="193640"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ptos" panose="02110004020202020204"/>
            <a:ea typeface="+mn-ea"/>
            <a:cs typeface="+mn-cs"/>
          </a:endParaRPr>
        </a:p>
      </dsp:txBody>
      <dsp:txXfrm>
        <a:off x="4668516" y="338602"/>
        <a:ext cx="0" cy="0"/>
      </dsp:txXfrm>
    </dsp:sp>
    <dsp:sp modelId="{3443E82E-91D8-4945-8C02-0AC74E3B899C}">
      <dsp:nvSpPr>
        <dsp:cNvPr id="0" name=""/>
        <dsp:cNvSpPr/>
      </dsp:nvSpPr>
      <dsp:spPr>
        <a:xfrm>
          <a:off x="3604144" y="47237"/>
          <a:ext cx="974957" cy="584974"/>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(£150,000÷£1,100,000) x100</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Equal (=)</a:t>
          </a:r>
        </a:p>
      </dsp:txBody>
      <dsp:txXfrm>
        <a:off x="3604144" y="47237"/>
        <a:ext cx="974957" cy="584974"/>
      </dsp:txXfrm>
    </dsp:sp>
    <dsp:sp modelId="{34D73643-E755-4E22-999A-8B1B5302A540}">
      <dsp:nvSpPr>
        <dsp:cNvPr id="0" name=""/>
        <dsp:cNvSpPr/>
      </dsp:nvSpPr>
      <dsp:spPr>
        <a:xfrm>
          <a:off x="4803342" y="47237"/>
          <a:ext cx="974957" cy="584974"/>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Percentage Decrease Of:</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13.64%</a:t>
          </a:r>
        </a:p>
      </dsp:txBody>
      <dsp:txXfrm>
        <a:off x="4803342" y="47237"/>
        <a:ext cx="974957" cy="5849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E2DDCB-F11C-4507-B5FB-61E9B9D9DA34}">
      <dsp:nvSpPr>
        <dsp:cNvPr id="0" name=""/>
        <dsp:cNvSpPr/>
      </dsp:nvSpPr>
      <dsp:spPr>
        <a:xfrm>
          <a:off x="979707" y="296227"/>
          <a:ext cx="193640" cy="91440"/>
        </a:xfrm>
        <a:custGeom>
          <a:avLst/>
          <a:gdLst/>
          <a:ahLst/>
          <a:cxnLst/>
          <a:rect l="0" t="0" r="0" b="0"/>
          <a:pathLst>
            <a:path>
              <a:moveTo>
                <a:pt x="0" y="45720"/>
              </a:moveTo>
              <a:lnTo>
                <a:pt x="193640" y="45720"/>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1070921" y="340825"/>
        <a:ext cx="11212" cy="2244"/>
      </dsp:txXfrm>
    </dsp:sp>
    <dsp:sp modelId="{845452B7-5E96-4B1C-A802-5B08E207012B}">
      <dsp:nvSpPr>
        <dsp:cNvPr id="0" name=""/>
        <dsp:cNvSpPr/>
      </dsp:nvSpPr>
      <dsp:spPr>
        <a:xfrm>
          <a:off x="6549" y="49460"/>
          <a:ext cx="974957" cy="584974"/>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Revenue</a:t>
          </a:r>
        </a:p>
        <a:p>
          <a:pPr marL="0" lvl="0" indent="0" algn="ctr" defTabSz="311150">
            <a:lnSpc>
              <a:spcPct val="90000"/>
            </a:lnSpc>
            <a:spcBef>
              <a:spcPct val="0"/>
            </a:spcBef>
            <a:spcAft>
              <a:spcPct val="35000"/>
            </a:spcAft>
            <a:buNone/>
          </a:pPr>
          <a:r>
            <a:rPr lang="en-GB" sz="700" kern="1200"/>
            <a:t>Year 2022</a:t>
          </a:r>
        </a:p>
        <a:p>
          <a:pPr marL="0" lvl="0" indent="0" algn="ctr" defTabSz="311150">
            <a:lnSpc>
              <a:spcPct val="90000"/>
            </a:lnSpc>
            <a:spcBef>
              <a:spcPct val="0"/>
            </a:spcBef>
            <a:spcAft>
              <a:spcPct val="35000"/>
            </a:spcAft>
            <a:buNone/>
          </a:pPr>
          <a:r>
            <a:rPr lang="en-GB" sz="700" kern="1200"/>
            <a:t>£1,200.000</a:t>
          </a:r>
        </a:p>
        <a:p>
          <a:pPr marL="0" lvl="0" indent="0" algn="ctr" defTabSz="311150">
            <a:lnSpc>
              <a:spcPct val="90000"/>
            </a:lnSpc>
            <a:spcBef>
              <a:spcPct val="0"/>
            </a:spcBef>
            <a:spcAft>
              <a:spcPct val="35000"/>
            </a:spcAft>
            <a:buNone/>
          </a:pPr>
          <a:r>
            <a:rPr lang="en-GB" sz="700" kern="1200"/>
            <a:t>Minus (-)</a:t>
          </a:r>
          <a:endParaRPr lang="en-GB" sz="600" kern="1200"/>
        </a:p>
      </dsp:txBody>
      <dsp:txXfrm>
        <a:off x="6549" y="49460"/>
        <a:ext cx="974957" cy="584974"/>
      </dsp:txXfrm>
    </dsp:sp>
    <dsp:sp modelId="{5377747C-D6F1-474C-BFB6-DFAB91A40575}">
      <dsp:nvSpPr>
        <dsp:cNvPr id="0" name=""/>
        <dsp:cNvSpPr/>
      </dsp:nvSpPr>
      <dsp:spPr>
        <a:xfrm>
          <a:off x="2178905" y="296227"/>
          <a:ext cx="193640" cy="91440"/>
        </a:xfrm>
        <a:custGeom>
          <a:avLst/>
          <a:gdLst/>
          <a:ahLst/>
          <a:cxnLst/>
          <a:rect l="0" t="0" r="0" b="0"/>
          <a:pathLst>
            <a:path>
              <a:moveTo>
                <a:pt x="0" y="45720"/>
              </a:moveTo>
              <a:lnTo>
                <a:pt x="193640" y="45720"/>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2270119" y="340825"/>
        <a:ext cx="11212" cy="2244"/>
      </dsp:txXfrm>
    </dsp:sp>
    <dsp:sp modelId="{331C0073-1AC8-4ACA-A594-6C3F17FED4D7}">
      <dsp:nvSpPr>
        <dsp:cNvPr id="0" name=""/>
        <dsp:cNvSpPr/>
      </dsp:nvSpPr>
      <dsp:spPr>
        <a:xfrm>
          <a:off x="1205747" y="49460"/>
          <a:ext cx="974957" cy="584974"/>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Revenue</a:t>
          </a:r>
        </a:p>
        <a:p>
          <a:pPr marL="0" lvl="0" indent="0" algn="ctr" defTabSz="311150">
            <a:lnSpc>
              <a:spcPct val="90000"/>
            </a:lnSpc>
            <a:spcBef>
              <a:spcPct val="0"/>
            </a:spcBef>
            <a:spcAft>
              <a:spcPct val="35000"/>
            </a:spcAft>
            <a:buNone/>
          </a:pPr>
          <a:r>
            <a:rPr lang="en-GB" sz="700" kern="1200"/>
            <a:t>Year 2023</a:t>
          </a:r>
        </a:p>
        <a:p>
          <a:pPr marL="0" lvl="0" indent="0" algn="ctr" defTabSz="311150">
            <a:lnSpc>
              <a:spcPct val="90000"/>
            </a:lnSpc>
            <a:spcBef>
              <a:spcPct val="0"/>
            </a:spcBef>
            <a:spcAft>
              <a:spcPct val="35000"/>
            </a:spcAft>
            <a:buNone/>
          </a:pPr>
          <a:r>
            <a:rPr lang="en-GB" sz="700" kern="1200"/>
            <a:t>£1,100,000</a:t>
          </a:r>
        </a:p>
        <a:p>
          <a:pPr marL="0" lvl="0" indent="0" algn="ctr" defTabSz="311150">
            <a:lnSpc>
              <a:spcPct val="90000"/>
            </a:lnSpc>
            <a:spcBef>
              <a:spcPct val="0"/>
            </a:spcBef>
            <a:spcAft>
              <a:spcPct val="35000"/>
            </a:spcAft>
            <a:buNone/>
          </a:pPr>
          <a:r>
            <a:rPr lang="en-GB" sz="700" kern="1200"/>
            <a:t>Total (=)</a:t>
          </a:r>
          <a:endParaRPr lang="en-GB" sz="600" kern="1200"/>
        </a:p>
      </dsp:txBody>
      <dsp:txXfrm>
        <a:off x="1205747" y="49460"/>
        <a:ext cx="974957" cy="584974"/>
      </dsp:txXfrm>
    </dsp:sp>
    <dsp:sp modelId="{15BDC399-7A86-4BFF-AAC7-E8D9503BBDE4}">
      <dsp:nvSpPr>
        <dsp:cNvPr id="0" name=""/>
        <dsp:cNvSpPr/>
      </dsp:nvSpPr>
      <dsp:spPr>
        <a:xfrm>
          <a:off x="3378103" y="296227"/>
          <a:ext cx="193640" cy="91440"/>
        </a:xfrm>
        <a:custGeom>
          <a:avLst/>
          <a:gdLst/>
          <a:ahLst/>
          <a:cxnLst/>
          <a:rect l="0" t="0" r="0" b="0"/>
          <a:pathLst>
            <a:path>
              <a:moveTo>
                <a:pt x="0" y="45720"/>
              </a:moveTo>
              <a:lnTo>
                <a:pt x="193640" y="45720"/>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3469318" y="340825"/>
        <a:ext cx="11212" cy="2244"/>
      </dsp:txXfrm>
    </dsp:sp>
    <dsp:sp modelId="{86FBBD63-D1AF-4146-9C32-C940802B43EC}">
      <dsp:nvSpPr>
        <dsp:cNvPr id="0" name=""/>
        <dsp:cNvSpPr/>
      </dsp:nvSpPr>
      <dsp:spPr>
        <a:xfrm>
          <a:off x="2404946" y="49460"/>
          <a:ext cx="974957" cy="584974"/>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Total</a:t>
          </a:r>
        </a:p>
        <a:p>
          <a:pPr marL="0" lvl="0" indent="0" algn="ctr" defTabSz="311150">
            <a:lnSpc>
              <a:spcPct val="90000"/>
            </a:lnSpc>
            <a:spcBef>
              <a:spcPct val="0"/>
            </a:spcBef>
            <a:spcAft>
              <a:spcPct val="35000"/>
            </a:spcAft>
            <a:buNone/>
          </a:pPr>
          <a:r>
            <a:rPr lang="en-GB" sz="700" kern="1200"/>
            <a:t>Year 2022-2023</a:t>
          </a:r>
        </a:p>
        <a:p>
          <a:pPr marL="0" lvl="0" indent="0" algn="ctr" defTabSz="311150">
            <a:lnSpc>
              <a:spcPct val="90000"/>
            </a:lnSpc>
            <a:spcBef>
              <a:spcPct val="0"/>
            </a:spcBef>
            <a:spcAft>
              <a:spcPct val="35000"/>
            </a:spcAft>
            <a:buNone/>
          </a:pPr>
          <a:r>
            <a:rPr lang="en-GB" sz="700" kern="1200"/>
            <a:t>£100,000</a:t>
          </a:r>
        </a:p>
        <a:p>
          <a:pPr marL="0" lvl="0" indent="0" algn="ctr" defTabSz="311150">
            <a:lnSpc>
              <a:spcPct val="90000"/>
            </a:lnSpc>
            <a:spcBef>
              <a:spcPct val="0"/>
            </a:spcBef>
            <a:spcAft>
              <a:spcPct val="35000"/>
            </a:spcAft>
            <a:buNone/>
          </a:pPr>
          <a:r>
            <a:rPr lang="en-GB" sz="700" kern="1200"/>
            <a:t>Decrease</a:t>
          </a:r>
          <a:endParaRPr lang="en-GB" sz="600" kern="1200"/>
        </a:p>
      </dsp:txBody>
      <dsp:txXfrm>
        <a:off x="2404946" y="49460"/>
        <a:ext cx="974957" cy="584974"/>
      </dsp:txXfrm>
    </dsp:sp>
    <dsp:sp modelId="{7C584DBF-2087-48B0-808C-DA229F98B1BE}">
      <dsp:nvSpPr>
        <dsp:cNvPr id="0" name=""/>
        <dsp:cNvSpPr/>
      </dsp:nvSpPr>
      <dsp:spPr>
        <a:xfrm>
          <a:off x="4577302" y="296227"/>
          <a:ext cx="193640" cy="91440"/>
        </a:xfrm>
        <a:custGeom>
          <a:avLst/>
          <a:gdLst/>
          <a:ahLst/>
          <a:cxnLst/>
          <a:rect l="0" t="0" r="0" b="0"/>
          <a:pathLst>
            <a:path>
              <a:moveTo>
                <a:pt x="0" y="45720"/>
              </a:moveTo>
              <a:lnTo>
                <a:pt x="193640" y="45720"/>
              </a:lnTo>
            </a:path>
          </a:pathLst>
        </a:custGeom>
        <a:noFill/>
        <a:ln w="12700" cap="flat" cmpd="sng" algn="ctr">
          <a:solidFill>
            <a:schemeClr val="accent1">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p>
      </dsp:txBody>
      <dsp:txXfrm>
        <a:off x="4668516" y="340825"/>
        <a:ext cx="11212" cy="2244"/>
      </dsp:txXfrm>
    </dsp:sp>
    <dsp:sp modelId="{3443E82E-91D8-4945-8C02-0AC74E3B899C}">
      <dsp:nvSpPr>
        <dsp:cNvPr id="0" name=""/>
        <dsp:cNvSpPr/>
      </dsp:nvSpPr>
      <dsp:spPr>
        <a:xfrm>
          <a:off x="3604144" y="49460"/>
          <a:ext cx="974957" cy="584974"/>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r>
            <a:rPr lang="en-GB" sz="700" kern="1200"/>
            <a:t>(£100,000÷£1,200,000) x100</a:t>
          </a:r>
        </a:p>
        <a:p>
          <a:pPr marL="0" lvl="0" indent="0" algn="ctr" defTabSz="311150">
            <a:lnSpc>
              <a:spcPct val="90000"/>
            </a:lnSpc>
            <a:spcBef>
              <a:spcPct val="0"/>
            </a:spcBef>
            <a:spcAft>
              <a:spcPct val="35000"/>
            </a:spcAft>
            <a:buNone/>
          </a:pPr>
          <a:r>
            <a:rPr lang="en-GB" sz="700" kern="1200"/>
            <a:t>Equal (=)</a:t>
          </a:r>
          <a:endParaRPr lang="en-GB" sz="600" kern="1200"/>
        </a:p>
      </dsp:txBody>
      <dsp:txXfrm>
        <a:off x="3604144" y="49460"/>
        <a:ext cx="974957" cy="584974"/>
      </dsp:txXfrm>
    </dsp:sp>
    <dsp:sp modelId="{34D73643-E755-4E22-999A-8B1B5302A540}">
      <dsp:nvSpPr>
        <dsp:cNvPr id="0" name=""/>
        <dsp:cNvSpPr/>
      </dsp:nvSpPr>
      <dsp:spPr>
        <a:xfrm>
          <a:off x="4803342" y="49460"/>
          <a:ext cx="974957" cy="584974"/>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t>Percentage Decrease Of:</a:t>
          </a:r>
        </a:p>
        <a:p>
          <a:pPr marL="0" lvl="0" indent="0" algn="ctr" defTabSz="355600">
            <a:lnSpc>
              <a:spcPct val="90000"/>
            </a:lnSpc>
            <a:spcBef>
              <a:spcPct val="0"/>
            </a:spcBef>
            <a:spcAft>
              <a:spcPct val="35000"/>
            </a:spcAft>
            <a:buNone/>
          </a:pPr>
          <a:r>
            <a:rPr lang="en-GB" sz="800" kern="1200"/>
            <a:t>8.33%</a:t>
          </a:r>
          <a:endParaRPr lang="en-GB" sz="900" kern="1200"/>
        </a:p>
      </dsp:txBody>
      <dsp:txXfrm>
        <a:off x="4803342" y="49460"/>
        <a:ext cx="974957" cy="58497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E2DDCB-F11C-4507-B5FB-61E9B9D9DA34}">
      <dsp:nvSpPr>
        <dsp:cNvPr id="0" name=""/>
        <dsp:cNvSpPr/>
      </dsp:nvSpPr>
      <dsp:spPr>
        <a:xfrm>
          <a:off x="1263900" y="350202"/>
          <a:ext cx="210674"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ptos" panose="02110004020202020204"/>
            <a:ea typeface="+mn-ea"/>
            <a:cs typeface="+mn-cs"/>
          </a:endParaRPr>
        </a:p>
      </dsp:txBody>
      <dsp:txXfrm>
        <a:off x="1363190" y="394470"/>
        <a:ext cx="0" cy="0"/>
      </dsp:txXfrm>
    </dsp:sp>
    <dsp:sp modelId="{845452B7-5E96-4B1C-A802-5B08E207012B}">
      <dsp:nvSpPr>
        <dsp:cNvPr id="0" name=""/>
        <dsp:cNvSpPr/>
      </dsp:nvSpPr>
      <dsp:spPr>
        <a:xfrm>
          <a:off x="4070" y="17433"/>
          <a:ext cx="1261629" cy="756977"/>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Net Income</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Year 2022</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£300,000</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Minus (-)</a:t>
          </a:r>
          <a:endParaRPr lang="en-GB" sz="600" kern="1200">
            <a:solidFill>
              <a:sysClr val="window" lastClr="FFFFFF"/>
            </a:solidFill>
            <a:latin typeface="Aptos" panose="02110004020202020204"/>
            <a:ea typeface="+mn-ea"/>
            <a:cs typeface="+mn-cs"/>
          </a:endParaRPr>
        </a:p>
      </dsp:txBody>
      <dsp:txXfrm>
        <a:off x="4070" y="17433"/>
        <a:ext cx="1261629" cy="756977"/>
      </dsp:txXfrm>
    </dsp:sp>
    <dsp:sp modelId="{5377747C-D6F1-474C-BFB6-DFAB91A40575}">
      <dsp:nvSpPr>
        <dsp:cNvPr id="0" name=""/>
        <dsp:cNvSpPr/>
      </dsp:nvSpPr>
      <dsp:spPr>
        <a:xfrm>
          <a:off x="2766804" y="350202"/>
          <a:ext cx="308475"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ptos" panose="02110004020202020204"/>
            <a:ea typeface="+mn-ea"/>
            <a:cs typeface="+mn-cs"/>
          </a:endParaRPr>
        </a:p>
      </dsp:txBody>
      <dsp:txXfrm>
        <a:off x="2912554" y="394470"/>
        <a:ext cx="0" cy="0"/>
      </dsp:txXfrm>
    </dsp:sp>
    <dsp:sp modelId="{331C0073-1AC8-4ACA-A594-6C3F17FED4D7}">
      <dsp:nvSpPr>
        <dsp:cNvPr id="0" name=""/>
        <dsp:cNvSpPr/>
      </dsp:nvSpPr>
      <dsp:spPr>
        <a:xfrm>
          <a:off x="1506974" y="34867"/>
          <a:ext cx="1261629" cy="756977"/>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Revenue</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Year 2023</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£150,000</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Total (=)</a:t>
          </a:r>
          <a:endParaRPr lang="en-GB" sz="600" kern="1200">
            <a:solidFill>
              <a:sysClr val="window" lastClr="FFFFFF"/>
            </a:solidFill>
            <a:latin typeface="Aptos" panose="02110004020202020204"/>
            <a:ea typeface="+mn-ea"/>
            <a:cs typeface="+mn-cs"/>
          </a:endParaRPr>
        </a:p>
      </dsp:txBody>
      <dsp:txXfrm>
        <a:off x="1506974" y="34867"/>
        <a:ext cx="1261629" cy="756977"/>
      </dsp:txXfrm>
    </dsp:sp>
    <dsp:sp modelId="{0383FD6B-8FAE-4A2E-861A-1225B20A00FD}">
      <dsp:nvSpPr>
        <dsp:cNvPr id="0" name=""/>
        <dsp:cNvSpPr/>
      </dsp:nvSpPr>
      <dsp:spPr>
        <a:xfrm>
          <a:off x="4367509" y="350202"/>
          <a:ext cx="259574" cy="91440"/>
        </a:xfrm>
        <a:custGeom>
          <a:avLst/>
          <a:gdLst/>
          <a:ahLst/>
          <a:cxnLst/>
          <a:rect l="0" t="0" r="0" b="0"/>
          <a:pathLst>
            <a:path>
              <a:moveTo>
                <a:pt x="0" y="45720"/>
              </a:moveTo>
              <a:lnTo>
                <a:pt x="193859" y="45720"/>
              </a:lnTo>
            </a:path>
          </a:pathLst>
        </a:custGeom>
        <a:noFill/>
        <a:ln w="12700" cap="flat" cmpd="sng" algn="ctr">
          <a:solidFill>
            <a:srgbClr val="156082">
              <a:hueOff val="0"/>
              <a:satOff val="0"/>
              <a:lumOff val="0"/>
              <a:alphaOff val="0"/>
            </a:srgb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GB" sz="500" kern="1200">
            <a:solidFill>
              <a:sysClr val="windowText" lastClr="000000">
                <a:hueOff val="0"/>
                <a:satOff val="0"/>
                <a:lumOff val="0"/>
                <a:alphaOff val="0"/>
              </a:sysClr>
            </a:solidFill>
            <a:latin typeface="Aptos" panose="02110004020202020204"/>
            <a:ea typeface="+mn-ea"/>
            <a:cs typeface="+mn-cs"/>
          </a:endParaRPr>
        </a:p>
      </dsp:txBody>
      <dsp:txXfrm>
        <a:off x="4490042" y="394470"/>
        <a:ext cx="14508" cy="2904"/>
      </dsp:txXfrm>
    </dsp:sp>
    <dsp:sp modelId="{86FBBD63-D1AF-4146-9C32-C940802B43EC}">
      <dsp:nvSpPr>
        <dsp:cNvPr id="0" name=""/>
        <dsp:cNvSpPr/>
      </dsp:nvSpPr>
      <dsp:spPr>
        <a:xfrm>
          <a:off x="3107679" y="17433"/>
          <a:ext cx="1261629" cy="756977"/>
        </a:xfrm>
        <a:prstGeom prst="rect">
          <a:avLst/>
        </a:prstGeom>
        <a:solidFill>
          <a:srgbClr val="156082">
            <a:hueOff val="0"/>
            <a:satOff val="0"/>
            <a:lumOff val="0"/>
            <a:alphaOff val="0"/>
          </a:srgbClr>
        </a:solidFill>
        <a:ln w="1905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6896" tIns="56896" rIns="56896" bIns="56896" numCol="1" spcCol="1270" anchor="ctr" anchorCtr="0">
          <a:noAutofit/>
        </a:bodyPr>
        <a:lstStyle/>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Total</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Year 2022-2023</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£150,000</a:t>
          </a:r>
        </a:p>
        <a:p>
          <a:pPr marL="0" lvl="0" indent="0" algn="ctr" defTabSz="355600">
            <a:lnSpc>
              <a:spcPct val="90000"/>
            </a:lnSpc>
            <a:spcBef>
              <a:spcPct val="0"/>
            </a:spcBef>
            <a:spcAft>
              <a:spcPct val="35000"/>
            </a:spcAft>
            <a:buNone/>
          </a:pPr>
          <a:r>
            <a:rPr lang="en-GB" sz="800" kern="1200">
              <a:solidFill>
                <a:sysClr val="window" lastClr="FFFFFF"/>
              </a:solidFill>
              <a:latin typeface="Aptos" panose="02110004020202020204"/>
              <a:ea typeface="+mn-ea"/>
              <a:cs typeface="+mn-cs"/>
            </a:rPr>
            <a:t>Decrease</a:t>
          </a:r>
          <a:endParaRPr lang="en-GB" sz="600" kern="1200">
            <a:solidFill>
              <a:sysClr val="window" lastClr="FFFFFF"/>
            </a:solidFill>
            <a:latin typeface="Aptos" panose="02110004020202020204"/>
            <a:ea typeface="+mn-ea"/>
            <a:cs typeface="+mn-cs"/>
          </a:endParaRPr>
        </a:p>
      </dsp:txBody>
      <dsp:txXfrm>
        <a:off x="3107679" y="17433"/>
        <a:ext cx="1261629" cy="756977"/>
      </dsp:txXfrm>
    </dsp:sp>
    <dsp:sp modelId="{82DDEB10-8E36-4EBD-9120-76A0CD6063E9}">
      <dsp:nvSpPr>
        <dsp:cNvPr id="0" name=""/>
        <dsp:cNvSpPr/>
      </dsp:nvSpPr>
      <dsp:spPr>
        <a:xfrm>
          <a:off x="4659484" y="17433"/>
          <a:ext cx="1261629" cy="756977"/>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784" tIns="49784" rIns="49784" bIns="49784" numCol="1" spcCol="1270" anchor="ctr" anchorCtr="0">
          <a:noAutofit/>
        </a:bodyPr>
        <a:lstStyle/>
        <a:p>
          <a:pPr marL="0" lvl="0" indent="0" algn="ctr" defTabSz="311150">
            <a:lnSpc>
              <a:spcPct val="90000"/>
            </a:lnSpc>
            <a:spcBef>
              <a:spcPct val="0"/>
            </a:spcBef>
            <a:spcAft>
              <a:spcPct val="35000"/>
            </a:spcAft>
            <a:buNone/>
          </a:pPr>
          <a:endParaRPr lang="en-GB" sz="700" kern="1200"/>
        </a:p>
        <a:p>
          <a:pPr marL="0" lvl="0" indent="0" algn="ctr" defTabSz="311150">
            <a:lnSpc>
              <a:spcPct val="90000"/>
            </a:lnSpc>
            <a:spcBef>
              <a:spcPct val="0"/>
            </a:spcBef>
            <a:spcAft>
              <a:spcPct val="35000"/>
            </a:spcAft>
            <a:buNone/>
          </a:pPr>
          <a:r>
            <a:rPr lang="en-GB" sz="800" kern="1200"/>
            <a:t>Total from</a:t>
          </a:r>
        </a:p>
        <a:p>
          <a:pPr marL="0" lvl="0" indent="0" algn="ctr" defTabSz="311150">
            <a:lnSpc>
              <a:spcPct val="90000"/>
            </a:lnSpc>
            <a:spcBef>
              <a:spcPct val="0"/>
            </a:spcBef>
            <a:spcAft>
              <a:spcPct val="35000"/>
            </a:spcAft>
            <a:buNone/>
          </a:pPr>
          <a:r>
            <a:rPr lang="en-GB" sz="800" kern="1200"/>
            <a:t>Year 2023-2024</a:t>
          </a:r>
        </a:p>
        <a:p>
          <a:pPr marL="0" lvl="0" indent="0" algn="ctr" defTabSz="311150">
            <a:lnSpc>
              <a:spcPct val="90000"/>
            </a:lnSpc>
            <a:spcBef>
              <a:spcPct val="0"/>
            </a:spcBef>
            <a:spcAft>
              <a:spcPct val="35000"/>
            </a:spcAft>
            <a:buNone/>
          </a:pPr>
          <a:r>
            <a:rPr lang="en-GB" sz="800" kern="1200"/>
            <a:t>£150,000-(-£150,000)</a:t>
          </a:r>
        </a:p>
        <a:p>
          <a:pPr marL="0" lvl="0" indent="0" algn="ctr" defTabSz="311150">
            <a:lnSpc>
              <a:spcPct val="90000"/>
            </a:lnSpc>
            <a:spcBef>
              <a:spcPct val="0"/>
            </a:spcBef>
            <a:spcAft>
              <a:spcPct val="35000"/>
            </a:spcAft>
            <a:buNone/>
          </a:pPr>
          <a:r>
            <a:rPr lang="en-GB" sz="800" kern="1200"/>
            <a:t>Total of</a:t>
          </a:r>
        </a:p>
        <a:p>
          <a:pPr marL="0" lvl="0" indent="0" algn="ctr" defTabSz="311150">
            <a:lnSpc>
              <a:spcPct val="90000"/>
            </a:lnSpc>
            <a:spcBef>
              <a:spcPct val="0"/>
            </a:spcBef>
            <a:spcAft>
              <a:spcPct val="35000"/>
            </a:spcAft>
            <a:buNone/>
          </a:pPr>
          <a:r>
            <a:rPr lang="en-GB" sz="800" kern="1200"/>
            <a:t>£300,000 Decrease</a:t>
          </a:r>
        </a:p>
        <a:p>
          <a:pPr marL="0" lvl="0" indent="0" algn="ctr" defTabSz="311150">
            <a:lnSpc>
              <a:spcPct val="90000"/>
            </a:lnSpc>
            <a:spcBef>
              <a:spcPct val="0"/>
            </a:spcBef>
            <a:spcAft>
              <a:spcPct val="35000"/>
            </a:spcAft>
            <a:buNone/>
          </a:pPr>
          <a:endParaRPr lang="en-GB" sz="600" kern="1200"/>
        </a:p>
      </dsp:txBody>
      <dsp:txXfrm>
        <a:off x="4659484" y="17433"/>
        <a:ext cx="1261629" cy="756977"/>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Dr. Ernest  Balutie Wa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6689A75-2EE6-4D01-ADFC-F172175F2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5299</Words>
  <Characters>30207</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Coastal Horizon Hotel</vt:lpstr>
    </vt:vector>
  </TitlesOfParts>
  <Company>Lecturer</Company>
  <LinksUpToDate>false</LinksUpToDate>
  <CharactersWithSpaces>35436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Coastal Horizon Hotel</dc:title>
  <dc:subject>Case study</dc:subject>
  <dc:creator>Sal Puma La Spina (2414865)</dc:creator>
  <cp:keywords/>
  <dc:description/>
  <cp:lastModifiedBy>Salvador Puma</cp:lastModifiedBy>
  <cp:revision>2</cp:revision>
  <dcterms:created xsi:type="dcterms:W3CDTF">2026-01-14T22:44:00Z</dcterms:created>
  <dcterms:modified xsi:type="dcterms:W3CDTF">2026-01-14T22:44:00Z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3f60a705-1ee5-4be9-82ee-1875d16a7ac0</vt:lpwstr>
  </property>
</Properties>
</file>