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ED9CC" w14:textId="77777777" w:rsidR="002313E3" w:rsidRPr="00665B6A" w:rsidRDefault="002313E3" w:rsidP="00665B6A">
      <w:pPr>
        <w:rPr>
          <w:rFonts w:ascii="Arial" w:hAnsi="Arial" w:cs="Arial"/>
          <w:noProof/>
          <w:sz w:val="32"/>
          <w:szCs w:val="32"/>
        </w:rPr>
      </w:pPr>
      <w:bookmarkStart w:id="0" w:name="_Hlk182341570"/>
    </w:p>
    <w:p w14:paraId="54C625AC" w14:textId="77777777" w:rsidR="002313E3" w:rsidRPr="00665B6A" w:rsidRDefault="002313E3" w:rsidP="00665B6A">
      <w:pPr>
        <w:jc w:val="center"/>
        <w:rPr>
          <w:rFonts w:ascii="Arial" w:hAnsi="Arial" w:cs="Arial"/>
          <w:noProof/>
          <w:sz w:val="32"/>
          <w:szCs w:val="32"/>
        </w:rPr>
      </w:pPr>
      <w:r w:rsidRPr="00665B6A">
        <w:rPr>
          <w:rFonts w:ascii="Arial" w:hAnsi="Arial" w:cs="Arial"/>
          <w:b/>
          <w:noProof/>
        </w:rPr>
        <w:drawing>
          <wp:inline distT="0" distB="0" distL="0" distR="0" wp14:anchorId="2BEB687A" wp14:editId="0113CE84">
            <wp:extent cx="2876550" cy="952500"/>
            <wp:effectExtent l="0" t="0" r="0" b="0"/>
            <wp:docPr id="8047373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952500"/>
                    </a:xfrm>
                    <a:prstGeom prst="rect">
                      <a:avLst/>
                    </a:prstGeom>
                    <a:noFill/>
                    <a:ln>
                      <a:noFill/>
                    </a:ln>
                  </pic:spPr>
                </pic:pic>
              </a:graphicData>
            </a:graphic>
          </wp:inline>
        </w:drawing>
      </w:r>
    </w:p>
    <w:p w14:paraId="50A02B06" w14:textId="77777777" w:rsidR="002313E3" w:rsidRPr="00665B6A" w:rsidRDefault="002313E3" w:rsidP="00665B6A">
      <w:pPr>
        <w:jc w:val="center"/>
        <w:rPr>
          <w:rFonts w:ascii="Arial" w:hAnsi="Arial" w:cs="Arial"/>
          <w:noProof/>
          <w:sz w:val="32"/>
          <w:szCs w:val="32"/>
        </w:rPr>
      </w:pPr>
    </w:p>
    <w:p w14:paraId="2B9F701B" w14:textId="69AF7C3F" w:rsidR="002313E3" w:rsidRPr="00665B6A" w:rsidRDefault="002313E3" w:rsidP="00665B6A">
      <w:pPr>
        <w:jc w:val="center"/>
        <w:rPr>
          <w:rFonts w:ascii="Arial" w:hAnsi="Arial" w:cs="Arial"/>
          <w:noProof/>
          <w:sz w:val="32"/>
          <w:szCs w:val="32"/>
        </w:rPr>
      </w:pPr>
      <w:r w:rsidRPr="00665B6A">
        <w:rPr>
          <w:rFonts w:ascii="Arial" w:hAnsi="Arial" w:cs="Arial"/>
          <w:noProof/>
          <w:sz w:val="32"/>
          <w:szCs w:val="32"/>
        </w:rPr>
        <w:t xml:space="preserve">Assignment Title: </w:t>
      </w:r>
      <w:r w:rsidR="004A2803" w:rsidRPr="00665B6A">
        <w:rPr>
          <w:rFonts w:ascii="Arial" w:hAnsi="Arial" w:cs="Arial"/>
          <w:noProof/>
          <w:sz w:val="32"/>
          <w:szCs w:val="32"/>
        </w:rPr>
        <w:t xml:space="preserve">‘Green Practice’ initiative of Hilton Hotels &amp; Resorts </w:t>
      </w:r>
    </w:p>
    <w:p w14:paraId="1E9C7701" w14:textId="77777777" w:rsidR="002313E3" w:rsidRPr="00665B6A" w:rsidRDefault="002313E3" w:rsidP="00665B6A">
      <w:pPr>
        <w:jc w:val="center"/>
        <w:rPr>
          <w:rFonts w:ascii="Arial" w:hAnsi="Arial" w:cs="Arial"/>
          <w:noProof/>
          <w:sz w:val="32"/>
          <w:szCs w:val="32"/>
        </w:rPr>
      </w:pPr>
    </w:p>
    <w:p w14:paraId="738E27DE" w14:textId="77777777" w:rsidR="002313E3" w:rsidRPr="00665B6A" w:rsidRDefault="002313E3" w:rsidP="00665B6A">
      <w:pPr>
        <w:jc w:val="center"/>
        <w:rPr>
          <w:rFonts w:ascii="Arial" w:hAnsi="Arial" w:cs="Arial"/>
          <w:noProof/>
          <w:sz w:val="32"/>
          <w:szCs w:val="32"/>
        </w:rPr>
      </w:pPr>
      <w:r w:rsidRPr="00665B6A">
        <w:rPr>
          <w:rFonts w:ascii="Arial" w:hAnsi="Arial" w:cs="Arial"/>
          <w:noProof/>
          <w:sz w:val="32"/>
          <w:szCs w:val="32"/>
        </w:rPr>
        <w:t>Module: Sustainable Hospitality &amp; Tourism Management</w:t>
      </w:r>
    </w:p>
    <w:p w14:paraId="2F9C6CEE" w14:textId="77777777" w:rsidR="002313E3" w:rsidRPr="00665B6A" w:rsidRDefault="002313E3" w:rsidP="00665B6A">
      <w:pPr>
        <w:jc w:val="center"/>
        <w:rPr>
          <w:rFonts w:ascii="Arial" w:hAnsi="Arial" w:cs="Arial"/>
          <w:noProof/>
          <w:sz w:val="32"/>
          <w:szCs w:val="32"/>
        </w:rPr>
      </w:pPr>
      <w:r w:rsidRPr="00665B6A">
        <w:rPr>
          <w:rFonts w:ascii="Arial" w:hAnsi="Arial" w:cs="Arial"/>
          <w:noProof/>
          <w:sz w:val="32"/>
          <w:szCs w:val="32"/>
        </w:rPr>
        <w:t>Module code: BMIH5006</w:t>
      </w:r>
    </w:p>
    <w:p w14:paraId="1F0BB4EA" w14:textId="77777777" w:rsidR="002313E3" w:rsidRPr="00665B6A" w:rsidRDefault="002313E3" w:rsidP="00665B6A">
      <w:pPr>
        <w:jc w:val="center"/>
        <w:rPr>
          <w:rFonts w:ascii="Arial" w:hAnsi="Arial" w:cs="Arial"/>
          <w:noProof/>
          <w:sz w:val="32"/>
          <w:szCs w:val="32"/>
        </w:rPr>
      </w:pPr>
    </w:p>
    <w:p w14:paraId="1F282F4E" w14:textId="681C05DA" w:rsidR="002313E3" w:rsidRPr="00665B6A" w:rsidRDefault="002313E3" w:rsidP="00665B6A">
      <w:pPr>
        <w:jc w:val="center"/>
        <w:rPr>
          <w:rFonts w:ascii="Arial" w:hAnsi="Arial" w:cs="Arial"/>
          <w:noProof/>
          <w:sz w:val="32"/>
          <w:szCs w:val="32"/>
        </w:rPr>
      </w:pPr>
      <w:r w:rsidRPr="00665B6A">
        <w:rPr>
          <w:rFonts w:ascii="Arial" w:hAnsi="Arial" w:cs="Arial"/>
          <w:noProof/>
          <w:sz w:val="32"/>
          <w:szCs w:val="32"/>
        </w:rPr>
        <w:t>Lecturer: Giulia Chifari</w:t>
      </w:r>
    </w:p>
    <w:p w14:paraId="63AB82F3" w14:textId="77777777" w:rsidR="002313E3" w:rsidRPr="00665B6A" w:rsidRDefault="002313E3" w:rsidP="00665B6A">
      <w:pPr>
        <w:jc w:val="center"/>
        <w:rPr>
          <w:rFonts w:ascii="Arial" w:hAnsi="Arial" w:cs="Arial"/>
          <w:noProof/>
          <w:sz w:val="32"/>
          <w:szCs w:val="32"/>
        </w:rPr>
      </w:pPr>
    </w:p>
    <w:p w14:paraId="469FEBF1" w14:textId="77777777" w:rsidR="007C5B14" w:rsidRPr="00665B6A" w:rsidRDefault="007C5B14" w:rsidP="00665B6A">
      <w:pPr>
        <w:jc w:val="center"/>
        <w:rPr>
          <w:rFonts w:ascii="Arial" w:hAnsi="Arial" w:cs="Arial"/>
          <w:noProof/>
          <w:sz w:val="32"/>
          <w:szCs w:val="32"/>
        </w:rPr>
      </w:pPr>
      <w:r w:rsidRPr="00665B6A">
        <w:rPr>
          <w:rFonts w:ascii="Arial" w:hAnsi="Arial" w:cs="Arial"/>
          <w:noProof/>
          <w:sz w:val="32"/>
          <w:szCs w:val="32"/>
        </w:rPr>
        <w:t>Prepared by:</w:t>
      </w:r>
    </w:p>
    <w:p w14:paraId="3253CA6E" w14:textId="77777777" w:rsidR="007C5B14" w:rsidRPr="00665B6A" w:rsidRDefault="007C5B14" w:rsidP="00665B6A">
      <w:pPr>
        <w:jc w:val="center"/>
        <w:rPr>
          <w:rFonts w:ascii="Arial" w:hAnsi="Arial" w:cs="Arial"/>
          <w:bCs/>
          <w:noProof/>
          <w:sz w:val="32"/>
          <w:szCs w:val="32"/>
        </w:rPr>
      </w:pPr>
      <w:r w:rsidRPr="00665B6A">
        <w:rPr>
          <w:rFonts w:ascii="Arial" w:hAnsi="Arial" w:cs="Arial"/>
          <w:bCs/>
          <w:noProof/>
          <w:sz w:val="32"/>
          <w:szCs w:val="32"/>
        </w:rPr>
        <w:t>Md Shiplu Uddin</w:t>
      </w:r>
    </w:p>
    <w:p w14:paraId="5389B3FA" w14:textId="77777777" w:rsidR="007C5B14" w:rsidRPr="00665B6A" w:rsidRDefault="007C5B14" w:rsidP="00665B6A">
      <w:pPr>
        <w:jc w:val="center"/>
        <w:rPr>
          <w:rFonts w:ascii="Arial" w:hAnsi="Arial" w:cs="Arial"/>
          <w:bCs/>
          <w:noProof/>
          <w:sz w:val="28"/>
          <w:szCs w:val="28"/>
        </w:rPr>
      </w:pPr>
      <w:r w:rsidRPr="00665B6A">
        <w:rPr>
          <w:rFonts w:ascii="Arial" w:hAnsi="Arial" w:cs="Arial"/>
          <w:bCs/>
          <w:noProof/>
          <w:sz w:val="32"/>
          <w:szCs w:val="32"/>
        </w:rPr>
        <w:t>Student ID: 2209548</w:t>
      </w:r>
    </w:p>
    <w:p w14:paraId="260670B9" w14:textId="77777777" w:rsidR="007C5B14" w:rsidRPr="00665B6A" w:rsidRDefault="007C5B14" w:rsidP="00665B6A">
      <w:pPr>
        <w:jc w:val="center"/>
        <w:rPr>
          <w:rFonts w:ascii="Arial" w:hAnsi="Arial" w:cs="Arial"/>
          <w:noProof/>
          <w:sz w:val="28"/>
          <w:szCs w:val="28"/>
        </w:rPr>
      </w:pPr>
    </w:p>
    <w:p w14:paraId="601F364A" w14:textId="202F99EB" w:rsidR="007C5B14" w:rsidRPr="00665B6A" w:rsidRDefault="007C5B14" w:rsidP="00665B6A">
      <w:pPr>
        <w:jc w:val="center"/>
        <w:rPr>
          <w:rFonts w:ascii="Arial" w:hAnsi="Arial" w:cs="Arial"/>
          <w:noProof/>
          <w:sz w:val="32"/>
          <w:szCs w:val="32"/>
        </w:rPr>
      </w:pPr>
      <w:r w:rsidRPr="00665B6A">
        <w:rPr>
          <w:rFonts w:ascii="Arial" w:hAnsi="Arial" w:cs="Arial"/>
          <w:noProof/>
          <w:sz w:val="32"/>
          <w:szCs w:val="32"/>
        </w:rPr>
        <w:t>Word Count: 2</w:t>
      </w:r>
      <w:r w:rsidR="00AB6910">
        <w:rPr>
          <w:rFonts w:ascii="Arial" w:hAnsi="Arial" w:cs="Arial"/>
          <w:noProof/>
          <w:sz w:val="32"/>
          <w:szCs w:val="32"/>
        </w:rPr>
        <w:t>1</w:t>
      </w:r>
      <w:r w:rsidRPr="00665B6A">
        <w:rPr>
          <w:rFonts w:ascii="Arial" w:hAnsi="Arial" w:cs="Arial"/>
          <w:noProof/>
          <w:sz w:val="32"/>
          <w:szCs w:val="32"/>
        </w:rPr>
        <w:t>77 words</w:t>
      </w:r>
    </w:p>
    <w:p w14:paraId="47566A08" w14:textId="436E786E" w:rsidR="00E80E3C" w:rsidRPr="00665B6A" w:rsidRDefault="00E80E3C" w:rsidP="00665B6A">
      <w:pPr>
        <w:rPr>
          <w:rFonts w:ascii="Arial" w:hAnsi="Arial" w:cs="Arial"/>
          <w:lang w:val="it-IT"/>
        </w:rPr>
      </w:pPr>
      <w:r w:rsidRPr="00665B6A">
        <w:rPr>
          <w:rFonts w:ascii="Arial" w:hAnsi="Arial" w:cs="Arial"/>
          <w:lang w:val="it-IT"/>
        </w:rPr>
        <w:br w:type="page"/>
      </w:r>
    </w:p>
    <w:p w14:paraId="45E5A049" w14:textId="77777777" w:rsidR="00B00262" w:rsidRPr="00B00262" w:rsidRDefault="00B00262" w:rsidP="00B00262">
      <w:pPr>
        <w:jc w:val="center"/>
        <w:rPr>
          <w:b/>
          <w:bCs/>
          <w:sz w:val="32"/>
          <w:szCs w:val="32"/>
        </w:rPr>
      </w:pPr>
      <w:r w:rsidRPr="00B00262">
        <w:rPr>
          <w:b/>
          <w:bCs/>
          <w:sz w:val="32"/>
          <w:szCs w:val="32"/>
        </w:rPr>
        <w:t>Declaration</w:t>
      </w:r>
    </w:p>
    <w:p w14:paraId="1542FB72" w14:textId="77777777" w:rsidR="00B00262" w:rsidRPr="005E5EDF" w:rsidRDefault="00B00262" w:rsidP="00B00262">
      <w:pPr>
        <w:rPr>
          <w:rFonts w:cs="Arial"/>
          <w:noProof/>
          <w:szCs w:val="22"/>
        </w:rPr>
      </w:pPr>
      <w:r w:rsidRPr="005E5EDF">
        <w:rPr>
          <w:rFonts w:cs="Arial"/>
          <w:noProof/>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B7153FD" w14:textId="77777777" w:rsidR="00B00262" w:rsidRDefault="00B00262">
      <w:pPr>
        <w:spacing w:line="259" w:lineRule="auto"/>
        <w:jc w:val="left"/>
        <w:rPr>
          <w:rFonts w:ascii="Arial" w:eastAsiaTheme="majorEastAsia" w:hAnsi="Arial" w:cs="Arial"/>
          <w:b/>
          <w:sz w:val="32"/>
          <w:szCs w:val="32"/>
        </w:rPr>
      </w:pPr>
      <w:r>
        <w:rPr>
          <w:rFonts w:ascii="Arial" w:hAnsi="Arial" w:cs="Arial"/>
        </w:rPr>
        <w:br w:type="page"/>
      </w:r>
    </w:p>
    <w:p w14:paraId="3D115CF8" w14:textId="1127B5AC" w:rsidR="009E0F70" w:rsidRPr="00665B6A" w:rsidRDefault="00E80E3C" w:rsidP="00665B6A">
      <w:pPr>
        <w:pStyle w:val="Heading1"/>
        <w:rPr>
          <w:rFonts w:cs="Arial"/>
        </w:rPr>
      </w:pPr>
      <w:bookmarkStart w:id="1" w:name="_Toc182570693"/>
      <w:r w:rsidRPr="00665B6A">
        <w:rPr>
          <w:rFonts w:cs="Arial"/>
        </w:rPr>
        <w:t>Executive Summary</w:t>
      </w:r>
      <w:bookmarkEnd w:id="1"/>
    </w:p>
    <w:p w14:paraId="7C0ECBCE" w14:textId="77777777" w:rsidR="00855137" w:rsidRPr="00665B6A" w:rsidRDefault="00855137" w:rsidP="00665B6A">
      <w:pPr>
        <w:rPr>
          <w:rFonts w:ascii="Arial" w:hAnsi="Arial" w:cs="Arial"/>
        </w:rPr>
      </w:pPr>
      <w:r w:rsidRPr="00665B6A">
        <w:rPr>
          <w:rFonts w:ascii="Arial" w:hAnsi="Arial" w:cs="Arial"/>
        </w:rPr>
        <w:t>This report addresses the environmentally friendly use of low-VOC coatings and finishes by Hilton Hotels &amp; Resorts. In order to improve employee well-being, raise tourist happiness, and meet worldwide sustainability goals, the hotel sector is realising more and more the value of green practices—especially those that improve indoor air quality—in particular those that help to Low-VOC paints improve indoor air quality and reduce health risks including respiratory problems especially in enclosed hotel facilities where visitors and staff spend long hours.</w:t>
      </w:r>
    </w:p>
    <w:p w14:paraId="5EAD866F" w14:textId="6CBCC1C3" w:rsidR="00855137" w:rsidRPr="00665B6A" w:rsidRDefault="00855137" w:rsidP="00665B6A">
      <w:pPr>
        <w:rPr>
          <w:rFonts w:ascii="Arial" w:hAnsi="Arial" w:cs="Arial"/>
        </w:rPr>
      </w:pPr>
      <w:r w:rsidRPr="00665B6A">
        <w:rPr>
          <w:rFonts w:ascii="Arial" w:hAnsi="Arial" w:cs="Arial"/>
        </w:rPr>
        <w:t xml:space="preserve">The </w:t>
      </w:r>
      <w:r w:rsidR="002313E3" w:rsidRPr="00665B6A">
        <w:rPr>
          <w:rFonts w:ascii="Arial" w:hAnsi="Arial" w:cs="Arial"/>
        </w:rPr>
        <w:t>report</w:t>
      </w:r>
      <w:r w:rsidRPr="00665B6A">
        <w:rPr>
          <w:rFonts w:ascii="Arial" w:hAnsi="Arial" w:cs="Arial"/>
        </w:rPr>
        <w:t xml:space="preserve"> </w:t>
      </w:r>
      <w:r w:rsidR="002313E3" w:rsidRPr="00665B6A">
        <w:rPr>
          <w:rFonts w:ascii="Arial" w:hAnsi="Arial" w:cs="Arial"/>
        </w:rPr>
        <w:t>analysed</w:t>
      </w:r>
      <w:r w:rsidRPr="00665B6A">
        <w:rPr>
          <w:rFonts w:ascii="Arial" w:hAnsi="Arial" w:cs="Arial"/>
        </w:rPr>
        <w:t xml:space="preserve"> that low-VOC paints improve the health of guests and staff as well as the brand's impression and the maintenance expenses. Marriott</w:t>
      </w:r>
      <w:r w:rsidR="007C058B" w:rsidRPr="00665B6A">
        <w:rPr>
          <w:rFonts w:ascii="Arial" w:hAnsi="Arial" w:cs="Arial"/>
        </w:rPr>
        <w:t xml:space="preserve">’s </w:t>
      </w:r>
      <w:r w:rsidRPr="00665B6A">
        <w:rPr>
          <w:rFonts w:ascii="Arial" w:hAnsi="Arial" w:cs="Arial"/>
        </w:rPr>
        <w:t>case studies show how green policies improve guest experiences, lower costs, and forward sustainability. Low-VOC paints provide significant financial and operational benefits over time, even with initial supply chain and cost concerns.</w:t>
      </w:r>
    </w:p>
    <w:p w14:paraId="52D1E45D" w14:textId="631E48BB" w:rsidR="00E80E3C" w:rsidRPr="00665B6A" w:rsidRDefault="00855137" w:rsidP="00665B6A">
      <w:pPr>
        <w:rPr>
          <w:rFonts w:ascii="Arial" w:hAnsi="Arial" w:cs="Arial"/>
        </w:rPr>
      </w:pPr>
      <w:r w:rsidRPr="00665B6A">
        <w:rPr>
          <w:rFonts w:ascii="Arial" w:hAnsi="Arial" w:cs="Arial"/>
        </w:rPr>
        <w:t xml:space="preserve">Hilton's suggested approach consists in strategic supplier alliances to guarantee supply, training of maintenance staff, and gradual deployment during restorations and new construction. Through good communication of these projects, Hilton can increase visitor loyalty and draw environmentally concerned travellers. Under its "Travel with Purpose" campaign, Hilton </w:t>
      </w:r>
      <w:bookmarkStart w:id="2" w:name="_Hlk182569709"/>
      <w:r w:rsidRPr="00665B6A">
        <w:rPr>
          <w:rFonts w:ascii="Arial" w:hAnsi="Arial" w:cs="Arial"/>
        </w:rPr>
        <w:t xml:space="preserve">promotes low-VOC coatings </w:t>
      </w:r>
      <w:bookmarkEnd w:id="2"/>
      <w:r w:rsidRPr="00665B6A">
        <w:rPr>
          <w:rFonts w:ascii="Arial" w:hAnsi="Arial" w:cs="Arial"/>
        </w:rPr>
        <w:t>to meet hotel sustainability and health requirements. This project fills in a void in Hilton's green projects and supports its dedication to environmentally friendly lodging, therefore improving the state of the earth, its employees, and its guests.</w:t>
      </w:r>
      <w:r w:rsidR="00E80E3C" w:rsidRPr="00665B6A">
        <w:rPr>
          <w:rFonts w:ascii="Arial" w:hAnsi="Arial" w:cs="Arial"/>
        </w:rPr>
        <w:br w:type="page"/>
      </w:r>
    </w:p>
    <w:sdt>
      <w:sdtPr>
        <w:rPr>
          <w:rFonts w:ascii="Arial" w:eastAsiaTheme="minorHAnsi" w:hAnsi="Arial" w:cs="Arial"/>
          <w:color w:val="auto"/>
          <w:sz w:val="24"/>
          <w:szCs w:val="24"/>
          <w:lang w:eastAsia="en-US"/>
        </w:rPr>
        <w:id w:val="-1123303588"/>
        <w:docPartObj>
          <w:docPartGallery w:val="Table of Contents"/>
          <w:docPartUnique/>
        </w:docPartObj>
      </w:sdtPr>
      <w:sdtEndPr>
        <w:rPr>
          <w:b/>
          <w:bCs/>
        </w:rPr>
      </w:sdtEndPr>
      <w:sdtContent>
        <w:p w14:paraId="6050B992" w14:textId="0A4948C6" w:rsidR="00855137" w:rsidRPr="00665B6A" w:rsidRDefault="00855137" w:rsidP="00665B6A">
          <w:pPr>
            <w:pStyle w:val="TOCHeading"/>
            <w:spacing w:line="360" w:lineRule="auto"/>
            <w:rPr>
              <w:rFonts w:ascii="Arial" w:hAnsi="Arial" w:cs="Arial"/>
            </w:rPr>
          </w:pPr>
          <w:r w:rsidRPr="00665B6A">
            <w:rPr>
              <w:rFonts w:ascii="Arial" w:hAnsi="Arial" w:cs="Arial"/>
            </w:rPr>
            <w:t>Table of Contents</w:t>
          </w:r>
        </w:p>
        <w:p w14:paraId="75FBFC1C" w14:textId="6F11EEF3" w:rsidR="002A16EF" w:rsidRDefault="003E26AC">
          <w:pPr>
            <w:pStyle w:val="TOC1"/>
            <w:tabs>
              <w:tab w:val="right" w:leader="dot" w:pos="9016"/>
            </w:tabs>
            <w:rPr>
              <w:rFonts w:asciiTheme="minorHAnsi" w:eastAsiaTheme="minorEastAsia" w:hAnsiTheme="minorHAnsi"/>
              <w:noProof/>
              <w:kern w:val="2"/>
              <w:lang w:eastAsia="en-GB"/>
              <w14:ligatures w14:val="standardContextual"/>
            </w:rPr>
          </w:pPr>
          <w:r>
            <w:rPr>
              <w:rFonts w:cs="Arial"/>
            </w:rPr>
            <w:fldChar w:fldCharType="begin"/>
          </w:r>
          <w:r>
            <w:rPr>
              <w:rFonts w:cs="Arial"/>
            </w:rPr>
            <w:instrText xml:space="preserve"> TOC \o "1-3" \h \z \u </w:instrText>
          </w:r>
          <w:r>
            <w:rPr>
              <w:rFonts w:cs="Arial"/>
            </w:rPr>
            <w:fldChar w:fldCharType="separate"/>
          </w:r>
          <w:hyperlink w:anchor="_Toc182570693" w:history="1">
            <w:r w:rsidR="002A16EF" w:rsidRPr="00CA664E">
              <w:rPr>
                <w:rStyle w:val="Hyperlink"/>
                <w:rFonts w:cs="Arial"/>
                <w:noProof/>
              </w:rPr>
              <w:t>Executive Summary</w:t>
            </w:r>
            <w:r w:rsidR="002A16EF">
              <w:rPr>
                <w:noProof/>
                <w:webHidden/>
              </w:rPr>
              <w:tab/>
            </w:r>
            <w:r w:rsidR="002A16EF">
              <w:rPr>
                <w:noProof/>
                <w:webHidden/>
              </w:rPr>
              <w:fldChar w:fldCharType="begin"/>
            </w:r>
            <w:r w:rsidR="002A16EF">
              <w:rPr>
                <w:noProof/>
                <w:webHidden/>
              </w:rPr>
              <w:instrText xml:space="preserve"> PAGEREF _Toc182570693 \h </w:instrText>
            </w:r>
            <w:r w:rsidR="002A16EF">
              <w:rPr>
                <w:noProof/>
                <w:webHidden/>
              </w:rPr>
            </w:r>
            <w:r w:rsidR="002A16EF">
              <w:rPr>
                <w:noProof/>
                <w:webHidden/>
              </w:rPr>
              <w:fldChar w:fldCharType="separate"/>
            </w:r>
            <w:r w:rsidR="002A16EF">
              <w:rPr>
                <w:noProof/>
                <w:webHidden/>
              </w:rPr>
              <w:t>3</w:t>
            </w:r>
            <w:r w:rsidR="002A16EF">
              <w:rPr>
                <w:noProof/>
                <w:webHidden/>
              </w:rPr>
              <w:fldChar w:fldCharType="end"/>
            </w:r>
          </w:hyperlink>
        </w:p>
        <w:p w14:paraId="5F03BDD9" w14:textId="480C5977" w:rsidR="002A16EF" w:rsidRDefault="002A16EF">
          <w:pPr>
            <w:pStyle w:val="TOC1"/>
            <w:tabs>
              <w:tab w:val="right" w:leader="dot" w:pos="9016"/>
            </w:tabs>
            <w:rPr>
              <w:rFonts w:asciiTheme="minorHAnsi" w:eastAsiaTheme="minorEastAsia" w:hAnsiTheme="minorHAnsi"/>
              <w:noProof/>
              <w:kern w:val="2"/>
              <w:lang w:eastAsia="en-GB"/>
              <w14:ligatures w14:val="standardContextual"/>
            </w:rPr>
          </w:pPr>
          <w:hyperlink w:anchor="_Toc182570694" w:history="1">
            <w:r w:rsidRPr="00CA664E">
              <w:rPr>
                <w:rStyle w:val="Hyperlink"/>
                <w:rFonts w:cs="Arial"/>
                <w:noProof/>
              </w:rPr>
              <w:t>Introduction</w:t>
            </w:r>
            <w:r>
              <w:rPr>
                <w:noProof/>
                <w:webHidden/>
              </w:rPr>
              <w:tab/>
            </w:r>
            <w:r>
              <w:rPr>
                <w:noProof/>
                <w:webHidden/>
              </w:rPr>
              <w:fldChar w:fldCharType="begin"/>
            </w:r>
            <w:r>
              <w:rPr>
                <w:noProof/>
                <w:webHidden/>
              </w:rPr>
              <w:instrText xml:space="preserve"> PAGEREF _Toc182570694 \h </w:instrText>
            </w:r>
            <w:r>
              <w:rPr>
                <w:noProof/>
                <w:webHidden/>
              </w:rPr>
            </w:r>
            <w:r>
              <w:rPr>
                <w:noProof/>
                <w:webHidden/>
              </w:rPr>
              <w:fldChar w:fldCharType="separate"/>
            </w:r>
            <w:r>
              <w:rPr>
                <w:noProof/>
                <w:webHidden/>
              </w:rPr>
              <w:t>5</w:t>
            </w:r>
            <w:r>
              <w:rPr>
                <w:noProof/>
                <w:webHidden/>
              </w:rPr>
              <w:fldChar w:fldCharType="end"/>
            </w:r>
          </w:hyperlink>
        </w:p>
        <w:p w14:paraId="2D971B74" w14:textId="79C8D5C3" w:rsidR="002A16EF" w:rsidRDefault="002A16EF">
          <w:pPr>
            <w:pStyle w:val="TOC1"/>
            <w:tabs>
              <w:tab w:val="right" w:leader="dot" w:pos="9016"/>
            </w:tabs>
            <w:rPr>
              <w:rFonts w:asciiTheme="minorHAnsi" w:eastAsiaTheme="minorEastAsia" w:hAnsiTheme="minorHAnsi"/>
              <w:noProof/>
              <w:kern w:val="2"/>
              <w:lang w:eastAsia="en-GB"/>
              <w14:ligatures w14:val="standardContextual"/>
            </w:rPr>
          </w:pPr>
          <w:hyperlink w:anchor="_Toc182570695" w:history="1">
            <w:r w:rsidRPr="00CA664E">
              <w:rPr>
                <w:rStyle w:val="Hyperlink"/>
                <w:rFonts w:cs="Arial"/>
                <w:noProof/>
              </w:rPr>
              <w:t>Main Findings</w:t>
            </w:r>
            <w:r>
              <w:rPr>
                <w:noProof/>
                <w:webHidden/>
              </w:rPr>
              <w:tab/>
            </w:r>
            <w:r>
              <w:rPr>
                <w:noProof/>
                <w:webHidden/>
              </w:rPr>
              <w:fldChar w:fldCharType="begin"/>
            </w:r>
            <w:r>
              <w:rPr>
                <w:noProof/>
                <w:webHidden/>
              </w:rPr>
              <w:instrText xml:space="preserve"> PAGEREF _Toc182570695 \h </w:instrText>
            </w:r>
            <w:r>
              <w:rPr>
                <w:noProof/>
                <w:webHidden/>
              </w:rPr>
            </w:r>
            <w:r>
              <w:rPr>
                <w:noProof/>
                <w:webHidden/>
              </w:rPr>
              <w:fldChar w:fldCharType="separate"/>
            </w:r>
            <w:r>
              <w:rPr>
                <w:noProof/>
                <w:webHidden/>
              </w:rPr>
              <w:t>6</w:t>
            </w:r>
            <w:r>
              <w:rPr>
                <w:noProof/>
                <w:webHidden/>
              </w:rPr>
              <w:fldChar w:fldCharType="end"/>
            </w:r>
          </w:hyperlink>
        </w:p>
        <w:p w14:paraId="19050104" w14:textId="2663F134" w:rsidR="002A16EF" w:rsidRDefault="002A16EF">
          <w:pPr>
            <w:pStyle w:val="TOC2"/>
            <w:tabs>
              <w:tab w:val="right" w:leader="dot" w:pos="9016"/>
            </w:tabs>
            <w:rPr>
              <w:rFonts w:asciiTheme="minorHAnsi" w:eastAsiaTheme="minorEastAsia" w:hAnsiTheme="minorHAnsi"/>
              <w:noProof/>
              <w:kern w:val="2"/>
              <w:lang w:eastAsia="en-GB"/>
              <w14:ligatures w14:val="standardContextual"/>
            </w:rPr>
          </w:pPr>
          <w:hyperlink w:anchor="_Toc182570696" w:history="1">
            <w:r w:rsidRPr="00CA664E">
              <w:rPr>
                <w:rStyle w:val="Hyperlink"/>
                <w:rFonts w:cs="Arial"/>
                <w:noProof/>
              </w:rPr>
              <w:t>Low-Emission Paints and Finishes: Overview and Importance</w:t>
            </w:r>
            <w:r>
              <w:rPr>
                <w:noProof/>
                <w:webHidden/>
              </w:rPr>
              <w:tab/>
            </w:r>
            <w:r>
              <w:rPr>
                <w:noProof/>
                <w:webHidden/>
              </w:rPr>
              <w:fldChar w:fldCharType="begin"/>
            </w:r>
            <w:r>
              <w:rPr>
                <w:noProof/>
                <w:webHidden/>
              </w:rPr>
              <w:instrText xml:space="preserve"> PAGEREF _Toc182570696 \h </w:instrText>
            </w:r>
            <w:r>
              <w:rPr>
                <w:noProof/>
                <w:webHidden/>
              </w:rPr>
            </w:r>
            <w:r>
              <w:rPr>
                <w:noProof/>
                <w:webHidden/>
              </w:rPr>
              <w:fldChar w:fldCharType="separate"/>
            </w:r>
            <w:r>
              <w:rPr>
                <w:noProof/>
                <w:webHidden/>
              </w:rPr>
              <w:t>6</w:t>
            </w:r>
            <w:r>
              <w:rPr>
                <w:noProof/>
                <w:webHidden/>
              </w:rPr>
              <w:fldChar w:fldCharType="end"/>
            </w:r>
          </w:hyperlink>
        </w:p>
        <w:p w14:paraId="7004C20E" w14:textId="410D802A" w:rsidR="002A16EF" w:rsidRDefault="002A16EF">
          <w:pPr>
            <w:pStyle w:val="TOC2"/>
            <w:tabs>
              <w:tab w:val="right" w:leader="dot" w:pos="9016"/>
            </w:tabs>
            <w:rPr>
              <w:rFonts w:asciiTheme="minorHAnsi" w:eastAsiaTheme="minorEastAsia" w:hAnsiTheme="minorHAnsi"/>
              <w:noProof/>
              <w:kern w:val="2"/>
              <w:lang w:eastAsia="en-GB"/>
              <w14:ligatures w14:val="standardContextual"/>
            </w:rPr>
          </w:pPr>
          <w:hyperlink w:anchor="_Toc182570697" w:history="1">
            <w:r w:rsidRPr="00CA664E">
              <w:rPr>
                <w:rStyle w:val="Hyperlink"/>
                <w:rFonts w:cs="Arial"/>
                <w:noProof/>
              </w:rPr>
              <w:t>Case Studies of Similar Implementations</w:t>
            </w:r>
            <w:r>
              <w:rPr>
                <w:noProof/>
                <w:webHidden/>
              </w:rPr>
              <w:tab/>
            </w:r>
            <w:r>
              <w:rPr>
                <w:noProof/>
                <w:webHidden/>
              </w:rPr>
              <w:fldChar w:fldCharType="begin"/>
            </w:r>
            <w:r>
              <w:rPr>
                <w:noProof/>
                <w:webHidden/>
              </w:rPr>
              <w:instrText xml:space="preserve"> PAGEREF _Toc182570697 \h </w:instrText>
            </w:r>
            <w:r>
              <w:rPr>
                <w:noProof/>
                <w:webHidden/>
              </w:rPr>
            </w:r>
            <w:r>
              <w:rPr>
                <w:noProof/>
                <w:webHidden/>
              </w:rPr>
              <w:fldChar w:fldCharType="separate"/>
            </w:r>
            <w:r>
              <w:rPr>
                <w:noProof/>
                <w:webHidden/>
              </w:rPr>
              <w:t>7</w:t>
            </w:r>
            <w:r>
              <w:rPr>
                <w:noProof/>
                <w:webHidden/>
              </w:rPr>
              <w:fldChar w:fldCharType="end"/>
            </w:r>
          </w:hyperlink>
        </w:p>
        <w:p w14:paraId="0195777E" w14:textId="759487CA" w:rsidR="002A16EF" w:rsidRDefault="002A16EF">
          <w:pPr>
            <w:pStyle w:val="TOC2"/>
            <w:tabs>
              <w:tab w:val="right" w:leader="dot" w:pos="9016"/>
            </w:tabs>
            <w:rPr>
              <w:rFonts w:asciiTheme="minorHAnsi" w:eastAsiaTheme="minorEastAsia" w:hAnsiTheme="minorHAnsi"/>
              <w:noProof/>
              <w:kern w:val="2"/>
              <w:lang w:eastAsia="en-GB"/>
              <w14:ligatures w14:val="standardContextual"/>
            </w:rPr>
          </w:pPr>
          <w:hyperlink w:anchor="_Toc182570698" w:history="1">
            <w:r w:rsidRPr="00CA664E">
              <w:rPr>
                <w:rStyle w:val="Hyperlink"/>
                <w:rFonts w:cs="Arial"/>
                <w:noProof/>
              </w:rPr>
              <w:t>Identified Gap in Hilton’s Current Sustainable Practices</w:t>
            </w:r>
            <w:r>
              <w:rPr>
                <w:noProof/>
                <w:webHidden/>
              </w:rPr>
              <w:tab/>
            </w:r>
            <w:r>
              <w:rPr>
                <w:noProof/>
                <w:webHidden/>
              </w:rPr>
              <w:fldChar w:fldCharType="begin"/>
            </w:r>
            <w:r>
              <w:rPr>
                <w:noProof/>
                <w:webHidden/>
              </w:rPr>
              <w:instrText xml:space="preserve"> PAGEREF _Toc182570698 \h </w:instrText>
            </w:r>
            <w:r>
              <w:rPr>
                <w:noProof/>
                <w:webHidden/>
              </w:rPr>
            </w:r>
            <w:r>
              <w:rPr>
                <w:noProof/>
                <w:webHidden/>
              </w:rPr>
              <w:fldChar w:fldCharType="separate"/>
            </w:r>
            <w:r>
              <w:rPr>
                <w:noProof/>
                <w:webHidden/>
              </w:rPr>
              <w:t>7</w:t>
            </w:r>
            <w:r>
              <w:rPr>
                <w:noProof/>
                <w:webHidden/>
              </w:rPr>
              <w:fldChar w:fldCharType="end"/>
            </w:r>
          </w:hyperlink>
        </w:p>
        <w:p w14:paraId="5E15DF88" w14:textId="22905DF3" w:rsidR="002A16EF" w:rsidRDefault="002A16EF">
          <w:pPr>
            <w:pStyle w:val="TOC2"/>
            <w:tabs>
              <w:tab w:val="right" w:leader="dot" w:pos="9016"/>
            </w:tabs>
            <w:rPr>
              <w:rFonts w:asciiTheme="minorHAnsi" w:eastAsiaTheme="minorEastAsia" w:hAnsiTheme="minorHAnsi"/>
              <w:noProof/>
              <w:kern w:val="2"/>
              <w:lang w:eastAsia="en-GB"/>
              <w14:ligatures w14:val="standardContextual"/>
            </w:rPr>
          </w:pPr>
          <w:hyperlink w:anchor="_Toc182570699" w:history="1">
            <w:r w:rsidRPr="00CA664E">
              <w:rPr>
                <w:rStyle w:val="Hyperlink"/>
                <w:rFonts w:cs="Arial"/>
                <w:noProof/>
              </w:rPr>
              <w:t>Proposed Solution and Implementation Plan for Hilton Hotels</w:t>
            </w:r>
            <w:r>
              <w:rPr>
                <w:noProof/>
                <w:webHidden/>
              </w:rPr>
              <w:tab/>
            </w:r>
            <w:r>
              <w:rPr>
                <w:noProof/>
                <w:webHidden/>
              </w:rPr>
              <w:fldChar w:fldCharType="begin"/>
            </w:r>
            <w:r>
              <w:rPr>
                <w:noProof/>
                <w:webHidden/>
              </w:rPr>
              <w:instrText xml:space="preserve"> PAGEREF _Toc182570699 \h </w:instrText>
            </w:r>
            <w:r>
              <w:rPr>
                <w:noProof/>
                <w:webHidden/>
              </w:rPr>
            </w:r>
            <w:r>
              <w:rPr>
                <w:noProof/>
                <w:webHidden/>
              </w:rPr>
              <w:fldChar w:fldCharType="separate"/>
            </w:r>
            <w:r>
              <w:rPr>
                <w:noProof/>
                <w:webHidden/>
              </w:rPr>
              <w:t>8</w:t>
            </w:r>
            <w:r>
              <w:rPr>
                <w:noProof/>
                <w:webHidden/>
              </w:rPr>
              <w:fldChar w:fldCharType="end"/>
            </w:r>
          </w:hyperlink>
        </w:p>
        <w:p w14:paraId="082D5E8B" w14:textId="12005595" w:rsidR="002A16EF" w:rsidRDefault="002A16EF">
          <w:pPr>
            <w:pStyle w:val="TOC2"/>
            <w:tabs>
              <w:tab w:val="right" w:leader="dot" w:pos="9016"/>
            </w:tabs>
            <w:rPr>
              <w:rFonts w:asciiTheme="minorHAnsi" w:eastAsiaTheme="minorEastAsia" w:hAnsiTheme="minorHAnsi"/>
              <w:noProof/>
              <w:kern w:val="2"/>
              <w:lang w:eastAsia="en-GB"/>
              <w14:ligatures w14:val="standardContextual"/>
            </w:rPr>
          </w:pPr>
          <w:hyperlink w:anchor="_Toc182570700" w:history="1">
            <w:r w:rsidRPr="00CA664E">
              <w:rPr>
                <w:rStyle w:val="Hyperlink"/>
                <w:rFonts w:cs="Arial"/>
                <w:noProof/>
              </w:rPr>
              <w:t>Benefits of Low-VOC Paints for Hilton Hotels and the Environment</w:t>
            </w:r>
            <w:r>
              <w:rPr>
                <w:noProof/>
                <w:webHidden/>
              </w:rPr>
              <w:tab/>
            </w:r>
            <w:r>
              <w:rPr>
                <w:noProof/>
                <w:webHidden/>
              </w:rPr>
              <w:fldChar w:fldCharType="begin"/>
            </w:r>
            <w:r>
              <w:rPr>
                <w:noProof/>
                <w:webHidden/>
              </w:rPr>
              <w:instrText xml:space="preserve"> PAGEREF _Toc182570700 \h </w:instrText>
            </w:r>
            <w:r>
              <w:rPr>
                <w:noProof/>
                <w:webHidden/>
              </w:rPr>
            </w:r>
            <w:r>
              <w:rPr>
                <w:noProof/>
                <w:webHidden/>
              </w:rPr>
              <w:fldChar w:fldCharType="separate"/>
            </w:r>
            <w:r>
              <w:rPr>
                <w:noProof/>
                <w:webHidden/>
              </w:rPr>
              <w:t>9</w:t>
            </w:r>
            <w:r>
              <w:rPr>
                <w:noProof/>
                <w:webHidden/>
              </w:rPr>
              <w:fldChar w:fldCharType="end"/>
            </w:r>
          </w:hyperlink>
        </w:p>
        <w:p w14:paraId="4F90BC48" w14:textId="2CBBBF4F" w:rsidR="002A16EF" w:rsidRDefault="002A16EF">
          <w:pPr>
            <w:pStyle w:val="TOC2"/>
            <w:tabs>
              <w:tab w:val="right" w:leader="dot" w:pos="9016"/>
            </w:tabs>
            <w:rPr>
              <w:rFonts w:asciiTheme="minorHAnsi" w:eastAsiaTheme="minorEastAsia" w:hAnsiTheme="minorHAnsi"/>
              <w:noProof/>
              <w:kern w:val="2"/>
              <w:lang w:eastAsia="en-GB"/>
              <w14:ligatures w14:val="standardContextual"/>
            </w:rPr>
          </w:pPr>
          <w:hyperlink w:anchor="_Toc182570701" w:history="1">
            <w:r w:rsidRPr="00CA664E">
              <w:rPr>
                <w:rStyle w:val="Hyperlink"/>
                <w:rFonts w:cs="Arial"/>
                <w:noProof/>
              </w:rPr>
              <w:t>Challenges and Limitations</w:t>
            </w:r>
            <w:r>
              <w:rPr>
                <w:noProof/>
                <w:webHidden/>
              </w:rPr>
              <w:tab/>
            </w:r>
            <w:r>
              <w:rPr>
                <w:noProof/>
                <w:webHidden/>
              </w:rPr>
              <w:fldChar w:fldCharType="begin"/>
            </w:r>
            <w:r>
              <w:rPr>
                <w:noProof/>
                <w:webHidden/>
              </w:rPr>
              <w:instrText xml:space="preserve"> PAGEREF _Toc182570701 \h </w:instrText>
            </w:r>
            <w:r>
              <w:rPr>
                <w:noProof/>
                <w:webHidden/>
              </w:rPr>
            </w:r>
            <w:r>
              <w:rPr>
                <w:noProof/>
                <w:webHidden/>
              </w:rPr>
              <w:fldChar w:fldCharType="separate"/>
            </w:r>
            <w:r>
              <w:rPr>
                <w:noProof/>
                <w:webHidden/>
              </w:rPr>
              <w:t>10</w:t>
            </w:r>
            <w:r>
              <w:rPr>
                <w:noProof/>
                <w:webHidden/>
              </w:rPr>
              <w:fldChar w:fldCharType="end"/>
            </w:r>
          </w:hyperlink>
        </w:p>
        <w:p w14:paraId="7E94026D" w14:textId="746651D9" w:rsidR="002A16EF" w:rsidRDefault="002A16EF">
          <w:pPr>
            <w:pStyle w:val="TOC1"/>
            <w:tabs>
              <w:tab w:val="right" w:leader="dot" w:pos="9016"/>
            </w:tabs>
            <w:rPr>
              <w:rFonts w:asciiTheme="minorHAnsi" w:eastAsiaTheme="minorEastAsia" w:hAnsiTheme="minorHAnsi"/>
              <w:noProof/>
              <w:kern w:val="2"/>
              <w:lang w:eastAsia="en-GB"/>
              <w14:ligatures w14:val="standardContextual"/>
            </w:rPr>
          </w:pPr>
          <w:hyperlink w:anchor="_Toc182570702" w:history="1">
            <w:r w:rsidRPr="00CA664E">
              <w:rPr>
                <w:rStyle w:val="Hyperlink"/>
                <w:rFonts w:cs="Arial"/>
                <w:noProof/>
              </w:rPr>
              <w:t>Conclusion and Recommendations</w:t>
            </w:r>
            <w:r>
              <w:rPr>
                <w:noProof/>
                <w:webHidden/>
              </w:rPr>
              <w:tab/>
            </w:r>
            <w:r>
              <w:rPr>
                <w:noProof/>
                <w:webHidden/>
              </w:rPr>
              <w:fldChar w:fldCharType="begin"/>
            </w:r>
            <w:r>
              <w:rPr>
                <w:noProof/>
                <w:webHidden/>
              </w:rPr>
              <w:instrText xml:space="preserve"> PAGEREF _Toc182570702 \h </w:instrText>
            </w:r>
            <w:r>
              <w:rPr>
                <w:noProof/>
                <w:webHidden/>
              </w:rPr>
            </w:r>
            <w:r>
              <w:rPr>
                <w:noProof/>
                <w:webHidden/>
              </w:rPr>
              <w:fldChar w:fldCharType="separate"/>
            </w:r>
            <w:r>
              <w:rPr>
                <w:noProof/>
                <w:webHidden/>
              </w:rPr>
              <w:t>11</w:t>
            </w:r>
            <w:r>
              <w:rPr>
                <w:noProof/>
                <w:webHidden/>
              </w:rPr>
              <w:fldChar w:fldCharType="end"/>
            </w:r>
          </w:hyperlink>
        </w:p>
        <w:p w14:paraId="0F2DFB7F" w14:textId="1128D806" w:rsidR="002A16EF" w:rsidRDefault="002A16EF">
          <w:pPr>
            <w:pStyle w:val="TOC1"/>
            <w:tabs>
              <w:tab w:val="right" w:leader="dot" w:pos="9016"/>
            </w:tabs>
            <w:rPr>
              <w:rFonts w:asciiTheme="minorHAnsi" w:eastAsiaTheme="minorEastAsia" w:hAnsiTheme="minorHAnsi"/>
              <w:noProof/>
              <w:kern w:val="2"/>
              <w:lang w:eastAsia="en-GB"/>
              <w14:ligatures w14:val="standardContextual"/>
            </w:rPr>
          </w:pPr>
          <w:hyperlink w:anchor="_Toc182570703" w:history="1">
            <w:r w:rsidRPr="00CA664E">
              <w:rPr>
                <w:rStyle w:val="Hyperlink"/>
                <w:rFonts w:cs="Arial"/>
                <w:noProof/>
              </w:rPr>
              <w:t>Reference List</w:t>
            </w:r>
            <w:r>
              <w:rPr>
                <w:noProof/>
                <w:webHidden/>
              </w:rPr>
              <w:tab/>
            </w:r>
            <w:r>
              <w:rPr>
                <w:noProof/>
                <w:webHidden/>
              </w:rPr>
              <w:fldChar w:fldCharType="begin"/>
            </w:r>
            <w:r>
              <w:rPr>
                <w:noProof/>
                <w:webHidden/>
              </w:rPr>
              <w:instrText xml:space="preserve"> PAGEREF _Toc182570703 \h </w:instrText>
            </w:r>
            <w:r>
              <w:rPr>
                <w:noProof/>
                <w:webHidden/>
              </w:rPr>
            </w:r>
            <w:r>
              <w:rPr>
                <w:noProof/>
                <w:webHidden/>
              </w:rPr>
              <w:fldChar w:fldCharType="separate"/>
            </w:r>
            <w:r>
              <w:rPr>
                <w:noProof/>
                <w:webHidden/>
              </w:rPr>
              <w:t>12</w:t>
            </w:r>
            <w:r>
              <w:rPr>
                <w:noProof/>
                <w:webHidden/>
              </w:rPr>
              <w:fldChar w:fldCharType="end"/>
            </w:r>
          </w:hyperlink>
        </w:p>
        <w:p w14:paraId="13EC0AB5" w14:textId="72160030" w:rsidR="00855137" w:rsidRPr="00665B6A" w:rsidRDefault="003E26AC" w:rsidP="00665B6A">
          <w:pPr>
            <w:rPr>
              <w:rFonts w:ascii="Arial" w:hAnsi="Arial" w:cs="Arial"/>
            </w:rPr>
          </w:pPr>
          <w:r>
            <w:rPr>
              <w:rFonts w:ascii="Arial" w:hAnsi="Arial" w:cs="Arial"/>
            </w:rPr>
            <w:fldChar w:fldCharType="end"/>
          </w:r>
        </w:p>
      </w:sdtContent>
    </w:sdt>
    <w:p w14:paraId="073A44C4" w14:textId="616CB9F0" w:rsidR="00E80E3C" w:rsidRPr="00665B6A" w:rsidRDefault="00E80E3C" w:rsidP="00665B6A">
      <w:pPr>
        <w:jc w:val="left"/>
        <w:rPr>
          <w:rFonts w:ascii="Arial" w:hAnsi="Arial" w:cs="Arial"/>
        </w:rPr>
      </w:pPr>
      <w:r w:rsidRPr="00665B6A">
        <w:rPr>
          <w:rFonts w:ascii="Arial" w:hAnsi="Arial" w:cs="Arial"/>
        </w:rPr>
        <w:br w:type="page"/>
      </w:r>
    </w:p>
    <w:p w14:paraId="4C946A40" w14:textId="77777777" w:rsidR="00E80E3C" w:rsidRPr="00665B6A" w:rsidRDefault="00E80E3C" w:rsidP="00665B6A">
      <w:pPr>
        <w:pStyle w:val="Heading1"/>
        <w:rPr>
          <w:rFonts w:cs="Arial"/>
        </w:rPr>
      </w:pPr>
      <w:bookmarkStart w:id="3" w:name="_Toc182570694"/>
      <w:r w:rsidRPr="00665B6A">
        <w:rPr>
          <w:rFonts w:cs="Arial"/>
        </w:rPr>
        <w:t>Introduction</w:t>
      </w:r>
      <w:bookmarkEnd w:id="3"/>
    </w:p>
    <w:p w14:paraId="5F4FC1EA" w14:textId="3A5577DC" w:rsidR="007D019F" w:rsidRPr="00665B6A" w:rsidRDefault="007D019F" w:rsidP="00665B6A">
      <w:pPr>
        <w:rPr>
          <w:rFonts w:ascii="Arial" w:hAnsi="Arial" w:cs="Arial"/>
        </w:rPr>
      </w:pPr>
      <w:r w:rsidRPr="00665B6A">
        <w:rPr>
          <w:rFonts w:ascii="Arial" w:hAnsi="Arial" w:cs="Arial"/>
        </w:rPr>
        <w:t>Green hotel operations help to lower pollution, cut resource use, and enable sustainable operations (Khalil et al., 2024). By using these strategies, hotels can improve their brand name, save money, save resources, and please customers (Prakash et al., 2022).</w:t>
      </w:r>
      <w:r w:rsidR="003C189E" w:rsidRPr="00665B6A">
        <w:rPr>
          <w:rFonts w:ascii="Arial" w:hAnsi="Arial" w:cs="Arial"/>
        </w:rPr>
        <w:t xml:space="preserve"> </w:t>
      </w:r>
      <w:r w:rsidRPr="00665B6A">
        <w:rPr>
          <w:rFonts w:ascii="Arial" w:hAnsi="Arial" w:cs="Arial"/>
        </w:rPr>
        <w:t xml:space="preserve">Poor air quality in enclosed areas, including hotel rooms and lobbies, can compromise guest health and experience and cause respiratory problems, discomfort, and other health concerns (Abdulaali et al., 2021). Low-VOC paints and finishes are a strategic Green Practice that lowers VOCs </w:t>
      </w:r>
      <w:r w:rsidR="003C189E" w:rsidRPr="00665B6A">
        <w:rPr>
          <w:rFonts w:ascii="Arial" w:hAnsi="Arial" w:cs="Arial"/>
        </w:rPr>
        <w:t>therefore</w:t>
      </w:r>
      <w:r w:rsidRPr="00665B6A">
        <w:rPr>
          <w:rFonts w:ascii="Arial" w:hAnsi="Arial" w:cs="Arial"/>
        </w:rPr>
        <w:t xml:space="preserve"> improving home air quality</w:t>
      </w:r>
      <w:r w:rsidR="003C189E" w:rsidRPr="00665B6A">
        <w:rPr>
          <w:rFonts w:ascii="Arial" w:hAnsi="Arial" w:cs="Arial"/>
        </w:rPr>
        <w:t xml:space="preserve"> (Zhang et al., 2021)</w:t>
      </w:r>
      <w:r w:rsidRPr="00665B6A">
        <w:rPr>
          <w:rFonts w:ascii="Arial" w:hAnsi="Arial" w:cs="Arial"/>
        </w:rPr>
        <w:t>. This strategy improves guest comfort as well as staff members' general welfare.</w:t>
      </w:r>
    </w:p>
    <w:p w14:paraId="57FED15D" w14:textId="15A0023A" w:rsidR="00E80E3C" w:rsidRPr="00665B6A" w:rsidRDefault="007D019F" w:rsidP="00665B6A">
      <w:pPr>
        <w:rPr>
          <w:rFonts w:ascii="Arial" w:hAnsi="Arial" w:cs="Arial"/>
        </w:rPr>
      </w:pPr>
      <w:r w:rsidRPr="00665B6A">
        <w:rPr>
          <w:rFonts w:ascii="Arial" w:hAnsi="Arial" w:cs="Arial"/>
        </w:rPr>
        <w:t>Globally operating hotel brand Hilton Hotels &amp; Resorts is well-known for its environmental dedication (Hilton, 2024). Pursuing eco-friendly credentials, such the well-known Green Key certification, Hilton is dedicated to reducing its environmental effect</w:t>
      </w:r>
      <w:r w:rsidR="001D3F7E">
        <w:rPr>
          <w:rFonts w:ascii="Arial" w:hAnsi="Arial" w:cs="Arial"/>
        </w:rPr>
        <w:t xml:space="preserve"> </w:t>
      </w:r>
      <w:r w:rsidR="001D3F7E" w:rsidRPr="00665B6A">
        <w:rPr>
          <w:rFonts w:ascii="Arial" w:hAnsi="Arial" w:cs="Arial"/>
        </w:rPr>
        <w:t>(Hilton, 2022)</w:t>
      </w:r>
      <w:r w:rsidRPr="00665B6A">
        <w:rPr>
          <w:rFonts w:ascii="Arial" w:hAnsi="Arial" w:cs="Arial"/>
        </w:rPr>
        <w:t>. Hilton gives sustainability top priority using energy-efficient lighting, water conservation, and sustainable procurement. By using low-emission coatings, Hilton would improve its health and environmentally friendly hotels.</w:t>
      </w:r>
      <w:r w:rsidR="00E80E3C" w:rsidRPr="00665B6A">
        <w:rPr>
          <w:rFonts w:ascii="Arial" w:hAnsi="Arial" w:cs="Arial"/>
        </w:rPr>
        <w:br w:type="page"/>
      </w:r>
    </w:p>
    <w:p w14:paraId="15FD93D0" w14:textId="3B5CDFA4" w:rsidR="00E80E3C" w:rsidRPr="00665B6A" w:rsidRDefault="00E80E3C" w:rsidP="00665B6A">
      <w:pPr>
        <w:pStyle w:val="Heading1"/>
        <w:rPr>
          <w:rFonts w:cs="Arial"/>
        </w:rPr>
      </w:pPr>
      <w:bookmarkStart w:id="4" w:name="_Toc182570695"/>
      <w:r w:rsidRPr="00665B6A">
        <w:rPr>
          <w:rFonts w:cs="Arial"/>
        </w:rPr>
        <w:t>Main Findings</w:t>
      </w:r>
      <w:bookmarkEnd w:id="4"/>
    </w:p>
    <w:p w14:paraId="7757F2A2" w14:textId="77777777" w:rsidR="00FF4FE3" w:rsidRPr="00665B6A" w:rsidRDefault="00FF4FE3" w:rsidP="00665B6A">
      <w:pPr>
        <w:pStyle w:val="Heading2"/>
        <w:rPr>
          <w:rFonts w:ascii="Arial" w:hAnsi="Arial" w:cs="Arial"/>
        </w:rPr>
      </w:pPr>
      <w:bookmarkStart w:id="5" w:name="_Toc182570696"/>
      <w:r w:rsidRPr="00665B6A">
        <w:rPr>
          <w:rFonts w:ascii="Arial" w:hAnsi="Arial" w:cs="Arial"/>
        </w:rPr>
        <w:t>Low-Emission Paints and Finishes: Overview and Importance</w:t>
      </w:r>
      <w:bookmarkEnd w:id="5"/>
    </w:p>
    <w:p w14:paraId="43C5C518" w14:textId="47C710A5" w:rsidR="007D019F" w:rsidRPr="00665B6A" w:rsidRDefault="007D019F" w:rsidP="00665B6A">
      <w:pPr>
        <w:rPr>
          <w:rFonts w:ascii="Arial" w:hAnsi="Arial" w:cs="Arial"/>
        </w:rPr>
      </w:pPr>
      <w:r w:rsidRPr="00665B6A">
        <w:rPr>
          <w:rFonts w:ascii="Arial" w:hAnsi="Arial" w:cs="Arial"/>
        </w:rPr>
        <w:t>Low-emission, or low-VOC, paints release little volatile organic chemicals (VOCs), which, at ambient temperature, escape into the atmosphere and contaminate both indoors and outside (Zhou, 2022). Volatile organic chemicals (VOCs) such formaldehyde, benzene, and toluene included in conventional paints can leak toxic gases for a long length of time (Krishnamurthy et al., 2020). Particularly in great numbers, the Environmental Protection Agency (EPA) has said that volatile organic compounds (VOCs) can cause migraines, respiratory problems, and more serious long-term impacts (EPA, 2018). Low-VOC paints, however, use different ingredients or chemical processes to reduce these emissions, therefore improving the safety of interior spaces without sacrificing the quality of the colour or durability (Sakkas, 2022).</w:t>
      </w:r>
    </w:p>
    <w:p w14:paraId="152701D6" w14:textId="31C07F8F" w:rsidR="007D019F" w:rsidRPr="00665B6A" w:rsidRDefault="007D019F" w:rsidP="00665B6A">
      <w:pPr>
        <w:rPr>
          <w:rFonts w:ascii="Arial" w:hAnsi="Arial" w:cs="Arial"/>
        </w:rPr>
      </w:pPr>
      <w:r w:rsidRPr="00665B6A">
        <w:rPr>
          <w:rFonts w:ascii="Arial" w:hAnsi="Arial" w:cs="Arial"/>
        </w:rPr>
        <w:t>Low-VOC paints greatly influence indoor air quality</w:t>
      </w:r>
      <w:r w:rsidR="006B40DE" w:rsidRPr="00665B6A">
        <w:rPr>
          <w:rFonts w:ascii="Arial" w:hAnsi="Arial" w:cs="Arial"/>
        </w:rPr>
        <w:t xml:space="preserve"> (Zhou, 2022)</w:t>
      </w:r>
      <w:r w:rsidRPr="00665B6A">
        <w:rPr>
          <w:rFonts w:ascii="Arial" w:hAnsi="Arial" w:cs="Arial"/>
        </w:rPr>
        <w:t>. Since hotels are enclosed surroundings where guests and staff must spend long times, air quality affects their health and comfort. Low-VOC paints help to reduce airborne pollutants as well as both short- and long-term health issues (Zhang et al., 2021). In hotels, customer pleasure and well-being depend especially on cleanliness. A better indoor environment fits the wellness tourism trend, which is defined by visitors seeking healthy lodging (da Costa Guerra, dos Santos and Gonçalves, 2022). Bardukova (2023) found that wellness-oriented hospitality—which includes improvements to air quality—increases customer satisfaction.</w:t>
      </w:r>
    </w:p>
    <w:p w14:paraId="147E3999" w14:textId="77777777" w:rsidR="007D019F" w:rsidRPr="00665B6A" w:rsidRDefault="007D019F" w:rsidP="00665B6A">
      <w:pPr>
        <w:rPr>
          <w:rFonts w:ascii="Arial" w:hAnsi="Arial" w:cs="Arial"/>
        </w:rPr>
      </w:pPr>
      <w:r w:rsidRPr="00665B6A">
        <w:rPr>
          <w:rFonts w:ascii="Arial" w:hAnsi="Arial" w:cs="Arial"/>
        </w:rPr>
        <w:t>Low-VOC paints also help to reduce employee hazardous material exposure, which is vital for the long-term health of maintenance and housekeeping staff who routinely come into touch with painted surfaces (Rivera, 2024). Reduced VOC exposure has been linked to lower prevalence of occupational asthma and other respiratory diseases among hotel employees. Reducing hotel healthcare expenditures and raising employee productivity and job satisfaction will help to indirectly improve guest experiences (Lin et al., 2021).</w:t>
      </w:r>
    </w:p>
    <w:p w14:paraId="497467AA" w14:textId="33860EC2" w:rsidR="007D019F" w:rsidRPr="00665B6A" w:rsidRDefault="007D019F" w:rsidP="00665B6A">
      <w:pPr>
        <w:rPr>
          <w:rFonts w:ascii="Arial" w:hAnsi="Arial" w:cs="Arial"/>
        </w:rPr>
      </w:pPr>
      <w:r w:rsidRPr="00665B6A">
        <w:rPr>
          <w:rFonts w:ascii="Arial" w:hAnsi="Arial" w:cs="Arial"/>
        </w:rPr>
        <w:t>Low-VOC paints could have worse pigment brightness and more initial expenses and less durability</w:t>
      </w:r>
      <w:r w:rsidR="0098628B" w:rsidRPr="00665B6A">
        <w:rPr>
          <w:rFonts w:ascii="Arial" w:hAnsi="Arial" w:cs="Arial"/>
        </w:rPr>
        <w:t xml:space="preserve"> (Zhang et al., 2021)</w:t>
      </w:r>
      <w:r w:rsidRPr="00665B6A">
        <w:rPr>
          <w:rFonts w:ascii="Arial" w:hAnsi="Arial" w:cs="Arial"/>
        </w:rPr>
        <w:t>. Low-VOC coatings, according to Zhou (2022)</w:t>
      </w:r>
      <w:r w:rsidR="007C058B" w:rsidRPr="00665B6A">
        <w:rPr>
          <w:rFonts w:ascii="Arial" w:hAnsi="Arial" w:cs="Arial"/>
        </w:rPr>
        <w:t>,</w:t>
      </w:r>
      <w:r w:rsidRPr="00665B6A">
        <w:rPr>
          <w:rFonts w:ascii="Arial" w:hAnsi="Arial" w:cs="Arial"/>
        </w:rPr>
        <w:t xml:space="preserve"> enhance the quality of indoor environments but do not remove all pollutants. Sustainable hotels must so keep an eye on air quality. Low-VOC paints can help hotels meet their corporate social responsibility, satisfy demand for environmentally friendly lodging, and help to improve interior air quality in spite of these obstacles</w:t>
      </w:r>
      <w:r w:rsidR="0098628B" w:rsidRPr="00665B6A">
        <w:rPr>
          <w:rFonts w:ascii="Arial" w:hAnsi="Arial" w:cs="Arial"/>
        </w:rPr>
        <w:t xml:space="preserve"> (Sakkas, 2022)</w:t>
      </w:r>
      <w:r w:rsidRPr="00665B6A">
        <w:rPr>
          <w:rFonts w:ascii="Arial" w:hAnsi="Arial" w:cs="Arial"/>
        </w:rPr>
        <w:t>. Hilton hotels might satisfy environmental criteria and provide a more sustainable and healthier environment for staff members as well as visitors by using low-VOC paints.</w:t>
      </w:r>
    </w:p>
    <w:p w14:paraId="34202746" w14:textId="77777777" w:rsidR="00FF4FE3" w:rsidRPr="00665B6A" w:rsidRDefault="00FF4FE3" w:rsidP="00665B6A">
      <w:pPr>
        <w:pStyle w:val="Heading2"/>
        <w:rPr>
          <w:rFonts w:ascii="Arial" w:hAnsi="Arial" w:cs="Arial"/>
        </w:rPr>
      </w:pPr>
      <w:bookmarkStart w:id="6" w:name="_Toc182570697"/>
      <w:r w:rsidRPr="00665B6A">
        <w:rPr>
          <w:rFonts w:ascii="Arial" w:hAnsi="Arial" w:cs="Arial"/>
        </w:rPr>
        <w:t>Case Studies of Similar Implementations</w:t>
      </w:r>
      <w:bookmarkEnd w:id="6"/>
    </w:p>
    <w:p w14:paraId="28B680D0" w14:textId="3F71AA5D" w:rsidR="007D019F" w:rsidRPr="00665B6A" w:rsidRDefault="007D019F" w:rsidP="00665B6A">
      <w:pPr>
        <w:rPr>
          <w:rFonts w:ascii="Arial" w:hAnsi="Arial" w:cs="Arial"/>
        </w:rPr>
      </w:pPr>
      <w:r w:rsidRPr="00665B6A">
        <w:rPr>
          <w:rFonts w:ascii="Arial" w:hAnsi="Arial" w:cs="Arial"/>
        </w:rPr>
        <w:t>Low-VOC paints are being used more and more in hotels and other companies which give sustainability and indoor air quality top priority</w:t>
      </w:r>
      <w:r w:rsidR="007C058B" w:rsidRPr="00665B6A">
        <w:rPr>
          <w:rFonts w:ascii="Arial" w:hAnsi="Arial" w:cs="Arial"/>
        </w:rPr>
        <w:t xml:space="preserve"> (Zhang et al., 2021)</w:t>
      </w:r>
      <w:r w:rsidRPr="00665B6A">
        <w:rPr>
          <w:rFonts w:ascii="Arial" w:hAnsi="Arial" w:cs="Arial"/>
        </w:rPr>
        <w:t>. Low-VOC coatings are part of Marriott International's Serve360 sustainability plan and help to define its features (Marriott International, 2023). Based on its annual sustainability reports, Marriott uses low-emission coatings to minimise its environmental effect</w:t>
      </w:r>
      <w:r w:rsidR="007F0A8B" w:rsidRPr="00665B6A">
        <w:rPr>
          <w:rFonts w:ascii="Arial" w:hAnsi="Arial" w:cs="Arial"/>
        </w:rPr>
        <w:t xml:space="preserve"> (Marriott, 2024)</w:t>
      </w:r>
      <w:r w:rsidRPr="00665B6A">
        <w:rPr>
          <w:rFonts w:ascii="Arial" w:hAnsi="Arial" w:cs="Arial"/>
        </w:rPr>
        <w:t>. Marriott International (2023) claims that this change has improved indoor air quality, therefore improving employee well-being and visitor experience quality in an industry where consumers and staff spend more time indoors.</w:t>
      </w:r>
    </w:p>
    <w:p w14:paraId="361E580A" w14:textId="04C43834" w:rsidR="007D019F" w:rsidRPr="00665B6A" w:rsidRDefault="007D019F" w:rsidP="00665B6A">
      <w:pPr>
        <w:rPr>
          <w:rFonts w:ascii="Arial" w:hAnsi="Arial" w:cs="Arial"/>
        </w:rPr>
      </w:pPr>
      <w:r w:rsidRPr="00665B6A">
        <w:rPr>
          <w:rFonts w:ascii="Arial" w:hAnsi="Arial" w:cs="Arial"/>
        </w:rPr>
        <w:t>These programs clearly have benefits for terms of brand reputation and health. Low-VOC paints improve indoor air quality by reducing respiratory irritation and long-term health hazards for employees and visitors (Zhou, 2022). Reduced employee turnover and air quality issues have helped Marriott save money (Marin-Pantelescu, 2021). The fact that green approaches improve operational efficiency supports the idea that sustainability might improve financial success. For particular qualities, low-VOC coatings are more costly than traditional ones (Sakkas, 2022). In areas with limited suppliers, some hotels found low-VOC coatings that satisfied aesthetic and durability criteria difficult to find (Bungau et al., 2022). These challenges highlight the need of strategic planning and strong supplier agreements in ensuring supply and quality.</w:t>
      </w:r>
    </w:p>
    <w:p w14:paraId="2D450664" w14:textId="77777777" w:rsidR="00FF4FE3" w:rsidRPr="00665B6A" w:rsidRDefault="00FF4FE3" w:rsidP="00665B6A">
      <w:pPr>
        <w:pStyle w:val="Heading2"/>
        <w:rPr>
          <w:rFonts w:ascii="Arial" w:hAnsi="Arial" w:cs="Arial"/>
        </w:rPr>
      </w:pPr>
      <w:bookmarkStart w:id="7" w:name="_Toc182570698"/>
      <w:r w:rsidRPr="00665B6A">
        <w:rPr>
          <w:rFonts w:ascii="Arial" w:hAnsi="Arial" w:cs="Arial"/>
        </w:rPr>
        <w:t>Identified Gap in Hilton’s Current Sustainable Practices</w:t>
      </w:r>
      <w:bookmarkEnd w:id="7"/>
    </w:p>
    <w:p w14:paraId="31971A81" w14:textId="77777777" w:rsidR="007D019F" w:rsidRPr="00665B6A" w:rsidRDefault="007D019F" w:rsidP="00665B6A">
      <w:pPr>
        <w:rPr>
          <w:rFonts w:ascii="Arial" w:hAnsi="Arial" w:cs="Arial"/>
        </w:rPr>
      </w:pPr>
      <w:r w:rsidRPr="00665B6A">
        <w:rPr>
          <w:rFonts w:ascii="Arial" w:hAnsi="Arial" w:cs="Arial"/>
        </w:rPr>
        <w:t>Leading hotel sustainability practitioner Hilton Hotels &amp; Resorts uses initiatives in water conservation, waste reduction, and energy efficiency to reach this (Hilton, 2022). Using water-efficient fixtures and environmentally friendly lighting, Hilton's "Travel with Purpose" campaign improves environmental performance (Hilton, 2023). Especially in its use of low-VOC coatings, Hilton's interior air quality approach seems to be erratic. Although Hilton has improved its water and energy use, its sustainability reports show little sign of low-VOC paints being widely used (Marin-Pantelescu, 2021). This is a lost chance as, as well as health-conscious tourists, interior air quality is growingly crucial for the well-being of guests and staff.</w:t>
      </w:r>
    </w:p>
    <w:p w14:paraId="0CE0A3A1" w14:textId="7EB72BA3" w:rsidR="007D019F" w:rsidRPr="00665B6A" w:rsidRDefault="007D019F" w:rsidP="00665B6A">
      <w:pPr>
        <w:rPr>
          <w:rFonts w:ascii="Arial" w:hAnsi="Arial" w:cs="Arial"/>
        </w:rPr>
      </w:pPr>
      <w:r w:rsidRPr="00665B6A">
        <w:rPr>
          <w:rFonts w:ascii="Arial" w:hAnsi="Arial" w:cs="Arial"/>
        </w:rPr>
        <w:t>By using low-VOC paints, Hilton has the ability to meet consumer demand for greener, healthier lodging</w:t>
      </w:r>
      <w:r w:rsidR="007F0A8B" w:rsidRPr="00665B6A">
        <w:rPr>
          <w:rFonts w:ascii="Arial" w:hAnsi="Arial" w:cs="Arial"/>
        </w:rPr>
        <w:t xml:space="preserve"> (Hilton, 2022)</w:t>
      </w:r>
      <w:r w:rsidRPr="00665B6A">
        <w:rPr>
          <w:rFonts w:ascii="Arial" w:hAnsi="Arial" w:cs="Arial"/>
        </w:rPr>
        <w:t>. Low-VOC materials help to lower harmful emissions, thereby improving the quality of indoor air in enclosed areas where visitors and staff spend long times (Jin et al., 2020). By using low-emission paints</w:t>
      </w:r>
      <w:r w:rsidR="00687042" w:rsidRPr="00665B6A">
        <w:rPr>
          <w:rFonts w:ascii="Arial" w:hAnsi="Arial" w:cs="Arial"/>
        </w:rPr>
        <w:t xml:space="preserve">, </w:t>
      </w:r>
      <w:r w:rsidRPr="00665B6A">
        <w:rPr>
          <w:rFonts w:ascii="Arial" w:hAnsi="Arial" w:cs="Arial"/>
        </w:rPr>
        <w:t>Hilton may be able to draw environmentally concerned guests who value sustainable lodging</w:t>
      </w:r>
      <w:r w:rsidR="00687042" w:rsidRPr="00665B6A">
        <w:rPr>
          <w:rFonts w:ascii="Arial" w:hAnsi="Arial" w:cs="Arial"/>
        </w:rPr>
        <w:t xml:space="preserve"> (Cooper, 2021)</w:t>
      </w:r>
      <w:r w:rsidRPr="00665B6A">
        <w:rPr>
          <w:rFonts w:ascii="Arial" w:hAnsi="Arial" w:cs="Arial"/>
        </w:rPr>
        <w:t>. Low-VOC paints help Hilton's environmental goal to be furthered by reducing air pollution and respiratory problems among staff and guests (</w:t>
      </w:r>
      <w:r w:rsidR="008E7CBA" w:rsidRPr="00665B6A">
        <w:rPr>
          <w:rFonts w:ascii="Arial" w:hAnsi="Arial" w:cs="Arial"/>
        </w:rPr>
        <w:t xml:space="preserve">Sakkas, 2022; </w:t>
      </w:r>
      <w:r w:rsidRPr="00665B6A">
        <w:rPr>
          <w:rFonts w:ascii="Arial" w:hAnsi="Arial" w:cs="Arial"/>
        </w:rPr>
        <w:t>Rivera, 2024). Thus, Hilton properties should adopt low-VOC coatings in order to reach environmental goals and follow the worldwide trend of health-oriented hospitality</w:t>
      </w:r>
      <w:r w:rsidR="008E7CBA" w:rsidRPr="00665B6A">
        <w:rPr>
          <w:rFonts w:ascii="Arial" w:hAnsi="Arial" w:cs="Arial"/>
        </w:rPr>
        <w:t>.</w:t>
      </w:r>
    </w:p>
    <w:p w14:paraId="304AB6D3" w14:textId="77777777" w:rsidR="00FF4FE3" w:rsidRPr="00665B6A" w:rsidRDefault="00FF4FE3" w:rsidP="00665B6A">
      <w:pPr>
        <w:pStyle w:val="Heading2"/>
        <w:rPr>
          <w:rFonts w:ascii="Arial" w:hAnsi="Arial" w:cs="Arial"/>
        </w:rPr>
      </w:pPr>
      <w:bookmarkStart w:id="8" w:name="_Toc182570699"/>
      <w:r w:rsidRPr="00665B6A">
        <w:rPr>
          <w:rFonts w:ascii="Arial" w:hAnsi="Arial" w:cs="Arial"/>
        </w:rPr>
        <w:t>Proposed Solution and Implementation Plan for Hilton Hotels</w:t>
      </w:r>
      <w:bookmarkEnd w:id="8"/>
    </w:p>
    <w:p w14:paraId="5854DDC2" w14:textId="307F4057" w:rsidR="007D019F" w:rsidRPr="00665B6A" w:rsidRDefault="00FF4FE3" w:rsidP="00665B6A">
      <w:pPr>
        <w:pStyle w:val="ListParagraph"/>
        <w:numPr>
          <w:ilvl w:val="0"/>
          <w:numId w:val="1"/>
        </w:numPr>
        <w:rPr>
          <w:rFonts w:ascii="Arial" w:hAnsi="Arial" w:cs="Arial"/>
        </w:rPr>
      </w:pPr>
      <w:r w:rsidRPr="00665B6A">
        <w:rPr>
          <w:rFonts w:ascii="Arial" w:hAnsi="Arial" w:cs="Arial"/>
          <w:b/>
          <w:bCs/>
        </w:rPr>
        <w:t>Implementation Strategy</w:t>
      </w:r>
      <w:r w:rsidR="007D019F" w:rsidRPr="00665B6A">
        <w:rPr>
          <w:rFonts w:ascii="Arial" w:hAnsi="Arial" w:cs="Arial"/>
          <w:b/>
          <w:bCs/>
        </w:rPr>
        <w:t>:</w:t>
      </w:r>
      <w:r w:rsidR="007D019F" w:rsidRPr="00665B6A">
        <w:rPr>
          <w:rFonts w:ascii="Arial" w:hAnsi="Arial" w:cs="Arial"/>
        </w:rPr>
        <w:t xml:space="preserve"> To apply low-emission coatings throughout its hotels, Hilton has the choice to give low-VOC materials top priority during new building and renovations. Hilton might guarantee a regular supply of premium, low-VOC paints that satisfy both aesthetic and practical needs by working with environmentally responsible paint makers (Bungau et al., 2022). The main places of passenger interaction are lobbies, guest rooms, and meeting spaces; these also greatly affect the air quality. As so, the acceptance of these technologies might start in these spheres (Kim et al., 2023). Hilton might use low-VOC paints incrementally, starting with restorations (Zhang et al., 2021), to minimise operational interruptions and maximise environmental benefits. Hilton might also want to take part in LEED or Green Key, which highlight indoor air quality and environmental performance and call for environmental performance (Hallas, 2024). Hilton might improve its sustainability by include low-VOC materials into these certification criteria, therefore improving the indoor air quality and guest well-being (</w:t>
      </w:r>
      <w:r w:rsidR="003E5B3F" w:rsidRPr="00665B6A">
        <w:rPr>
          <w:rFonts w:ascii="Arial" w:hAnsi="Arial" w:cs="Arial"/>
        </w:rPr>
        <w:t xml:space="preserve">Jauhari, </w:t>
      </w:r>
      <w:r w:rsidR="007D019F" w:rsidRPr="00665B6A">
        <w:rPr>
          <w:rFonts w:ascii="Arial" w:hAnsi="Arial" w:cs="Arial"/>
        </w:rPr>
        <w:t>202</w:t>
      </w:r>
      <w:r w:rsidR="003E5B3F" w:rsidRPr="00665B6A">
        <w:rPr>
          <w:rFonts w:ascii="Arial" w:hAnsi="Arial" w:cs="Arial"/>
        </w:rPr>
        <w:t>1</w:t>
      </w:r>
      <w:r w:rsidR="007D019F" w:rsidRPr="00665B6A">
        <w:rPr>
          <w:rFonts w:ascii="Arial" w:hAnsi="Arial" w:cs="Arial"/>
        </w:rPr>
        <w:t>).</w:t>
      </w:r>
    </w:p>
    <w:p w14:paraId="0733666D" w14:textId="1EC15D46" w:rsidR="007D019F" w:rsidRPr="00665B6A" w:rsidRDefault="00FF4FE3" w:rsidP="00665B6A">
      <w:pPr>
        <w:pStyle w:val="ListParagraph"/>
        <w:numPr>
          <w:ilvl w:val="0"/>
          <w:numId w:val="1"/>
        </w:numPr>
        <w:rPr>
          <w:rFonts w:ascii="Arial" w:hAnsi="Arial" w:cs="Arial"/>
        </w:rPr>
      </w:pPr>
      <w:r w:rsidRPr="00665B6A">
        <w:rPr>
          <w:rFonts w:ascii="Arial" w:hAnsi="Arial" w:cs="Arial"/>
          <w:b/>
          <w:bCs/>
        </w:rPr>
        <w:t>Cost Analysis and Feasibility</w:t>
      </w:r>
      <w:r w:rsidR="007D019F" w:rsidRPr="00665B6A">
        <w:rPr>
          <w:rFonts w:ascii="Arial" w:hAnsi="Arial" w:cs="Arial"/>
          <w:b/>
          <w:bCs/>
        </w:rPr>
        <w:t>:</w:t>
      </w:r>
      <w:r w:rsidR="007D019F" w:rsidRPr="00665B6A">
        <w:rPr>
          <w:rFonts w:ascii="Arial" w:hAnsi="Arial" w:cs="Arial"/>
        </w:rPr>
        <w:t xml:space="preserve"> Although low-VOC paints cost more than ordinary paints, as per Prakash et al. (2022) the long-term benefits usually exceed their cost. Low-VOC paints require less frequent repainting than high-VOC paints, so reducing respiratory healthcare costs and maintenance expenses (David and Niculescu, 2021). By lowering maintenance and improving visitor happiness using low-VOC materials, Marriott International turned a positive ROI within three years (Marriott International, 2022). Particularly in areas where low-VOC coatings are more difficult to get, Hilton might also use regional procurement techniques and bulk purchase agreements to ensure a consistent supply chain (Rivera, 2024). By phased adoption, Hilton can gradually apply sustainability budgets, therefore lowering property costs. The hotel sector's growing focus on environmentally friendly practices helps low-VOC coatings to be commercially viable and with competitive advantage (Abera, 2024).</w:t>
      </w:r>
    </w:p>
    <w:p w14:paraId="03FD9572" w14:textId="678F5848" w:rsidR="007D019F" w:rsidRPr="00665B6A" w:rsidRDefault="00FF4FE3" w:rsidP="00665B6A">
      <w:pPr>
        <w:pStyle w:val="ListParagraph"/>
        <w:numPr>
          <w:ilvl w:val="0"/>
          <w:numId w:val="1"/>
        </w:numPr>
        <w:rPr>
          <w:rFonts w:ascii="Arial" w:hAnsi="Arial" w:cs="Arial"/>
        </w:rPr>
      </w:pPr>
      <w:r w:rsidRPr="00665B6A">
        <w:rPr>
          <w:rFonts w:ascii="Arial" w:hAnsi="Arial" w:cs="Arial"/>
          <w:b/>
          <w:bCs/>
        </w:rPr>
        <w:t>Staff Training and Guest Communication</w:t>
      </w:r>
      <w:r w:rsidR="007D019F" w:rsidRPr="00665B6A">
        <w:rPr>
          <w:rFonts w:ascii="Arial" w:hAnsi="Arial" w:cs="Arial"/>
        </w:rPr>
        <w:t>: Hilton is obliged to instruct maintenance staff members on the use of low-VOC paints across its hotels and inform guests on this as well. Low-VOC paints are taught to be applied by maintenance staff; hence, compared to ordinary paints, they call for different drying and ventilation needs. Materials lifespan and improvements in air quality call for suitable application (Marin-Pantelescu, 2021). Guest correspondence should also highlight Hilton's environmental practices. Hilton can promote low-VOC coatings on its website, in-room supplies, and through staff contacts as well as on its website. Informed with the sustainable operations of the hotel, customers are more likely to value their stay and return (Bungau et al., 2022). By openly revealing its indoor air quality projects, Hilton has the ability to draw eco-aware guests who value health and wellness and build brand loyalty (Abdulaali et al., 2021).</w:t>
      </w:r>
    </w:p>
    <w:p w14:paraId="50439D7D" w14:textId="77777777" w:rsidR="00FF4FE3" w:rsidRPr="00665B6A" w:rsidRDefault="00FF4FE3" w:rsidP="00665B6A">
      <w:pPr>
        <w:pStyle w:val="Heading2"/>
        <w:rPr>
          <w:rFonts w:ascii="Arial" w:hAnsi="Arial" w:cs="Arial"/>
        </w:rPr>
      </w:pPr>
      <w:bookmarkStart w:id="9" w:name="_Toc182570700"/>
      <w:r w:rsidRPr="00665B6A">
        <w:rPr>
          <w:rFonts w:ascii="Arial" w:hAnsi="Arial" w:cs="Arial"/>
        </w:rPr>
        <w:t>Benefits of Low-VOC Paints for Hilton Hotels and the Environment</w:t>
      </w:r>
      <w:bookmarkEnd w:id="9"/>
    </w:p>
    <w:p w14:paraId="5D831B4B" w14:textId="77777777" w:rsidR="007D019F" w:rsidRPr="00665B6A" w:rsidRDefault="007D019F" w:rsidP="00665B6A">
      <w:pPr>
        <w:rPr>
          <w:rFonts w:ascii="Arial" w:hAnsi="Arial" w:cs="Arial"/>
        </w:rPr>
      </w:pPr>
      <w:r w:rsidRPr="00665B6A">
        <w:rPr>
          <w:rFonts w:ascii="Arial" w:hAnsi="Arial" w:cs="Arial"/>
        </w:rPr>
        <w:t>From operational effectiveness to reputation, low-VOC coatings benefit Hilton Hotels. One big benefit is guest satisfaction. Low-VOC paints improve indoor air quality, therefore relieving visitors—especially those with air pollution sensitivity—of respiratory problems, headaches, and discomfort (Abera, 2024). Hilton's dedication to better interiors is in line with the growing desire for wellness-oriented rooms among visitors, which is predicted to provide better visitor loyalty and positive assessments (Marin-Pantelescu, 2021). By publicly supporting the use of low-VOC coatings, Hilton strengthens its brand image as a responsible, forward-looking hotel business committed to environmental stewardship and guest wellness. Eco-aware travellers will find this strategy appealing, and it gives Hilton a competitive edge (Bungau et al., 2022).</w:t>
      </w:r>
    </w:p>
    <w:p w14:paraId="09BAF35A" w14:textId="2D935153" w:rsidR="007D019F" w:rsidRPr="00665B6A" w:rsidRDefault="007D019F" w:rsidP="00665B6A">
      <w:pPr>
        <w:rPr>
          <w:rFonts w:ascii="Arial" w:hAnsi="Arial" w:cs="Arial"/>
        </w:rPr>
      </w:pPr>
      <w:r w:rsidRPr="00665B6A">
        <w:rPr>
          <w:rFonts w:ascii="Arial" w:hAnsi="Arial" w:cs="Arial"/>
        </w:rPr>
        <w:t>Low-VOC paints reduce health-related obligations, so helping to save money. Improved interior air quality</w:t>
      </w:r>
      <w:r w:rsidR="007C058B" w:rsidRPr="00665B6A">
        <w:rPr>
          <w:rFonts w:ascii="Arial" w:hAnsi="Arial" w:cs="Arial"/>
        </w:rPr>
        <w:t xml:space="preserve"> </w:t>
      </w:r>
      <w:r w:rsidRPr="00665B6A">
        <w:rPr>
          <w:rFonts w:ascii="Arial" w:hAnsi="Arial" w:cs="Arial"/>
        </w:rPr>
        <w:t>can help to offset absenteeism, staff and guest illness, and health insurance costs</w:t>
      </w:r>
      <w:r w:rsidR="007C058B" w:rsidRPr="00665B6A">
        <w:rPr>
          <w:rFonts w:ascii="Arial" w:hAnsi="Arial" w:cs="Arial"/>
        </w:rPr>
        <w:t xml:space="preserve">  (Abdulaali et al., 2021)</w:t>
      </w:r>
      <w:r w:rsidRPr="00665B6A">
        <w:rPr>
          <w:rFonts w:ascii="Arial" w:hAnsi="Arial" w:cs="Arial"/>
        </w:rPr>
        <w:t>. Furthermore, more durable and requiring less maintenance these coatings are, which over time helps to lower both expenses and resources (David and Niculescu, 2021).</w:t>
      </w:r>
    </w:p>
    <w:p w14:paraId="641674C5" w14:textId="7ABD5ABD" w:rsidR="007D019F" w:rsidRPr="00665B6A" w:rsidRDefault="007D019F" w:rsidP="00665B6A">
      <w:pPr>
        <w:rPr>
          <w:rFonts w:ascii="Arial" w:hAnsi="Arial" w:cs="Arial"/>
        </w:rPr>
      </w:pPr>
      <w:r w:rsidRPr="00665B6A">
        <w:rPr>
          <w:rFonts w:ascii="Arial" w:hAnsi="Arial" w:cs="Arial"/>
        </w:rPr>
        <w:t>By lowering greenhouse gas emissions and air pollution</w:t>
      </w:r>
      <w:r w:rsidR="008F2982" w:rsidRPr="00665B6A">
        <w:rPr>
          <w:rFonts w:ascii="Arial" w:hAnsi="Arial" w:cs="Arial"/>
        </w:rPr>
        <w:t xml:space="preserve">, </w:t>
      </w:r>
      <w:r w:rsidRPr="00665B6A">
        <w:rPr>
          <w:rFonts w:ascii="Arial" w:hAnsi="Arial" w:cs="Arial"/>
        </w:rPr>
        <w:t>low-VOC coatings help Hilton's sustainability goals and worldwide environmental objectives</w:t>
      </w:r>
      <w:r w:rsidR="008F2982" w:rsidRPr="00665B6A">
        <w:rPr>
          <w:rFonts w:ascii="Arial" w:hAnsi="Arial" w:cs="Arial"/>
        </w:rPr>
        <w:t xml:space="preserve"> (Ghobakhloo et al., 2023)</w:t>
      </w:r>
      <w:r w:rsidRPr="00665B6A">
        <w:rPr>
          <w:rFonts w:ascii="Arial" w:hAnsi="Arial" w:cs="Arial"/>
        </w:rPr>
        <w:t>. Conventional paints release dangerous chemicals that help to produce ozone and both domestic and outdoor pollution (Krishnamurthy et al., 2020). Using low-VOC materials helps Hilton support world sustainability.</w:t>
      </w:r>
    </w:p>
    <w:p w14:paraId="51A016BA" w14:textId="77777777" w:rsidR="00FF4FE3" w:rsidRPr="00665B6A" w:rsidRDefault="00FF4FE3" w:rsidP="00665B6A">
      <w:pPr>
        <w:pStyle w:val="Heading2"/>
        <w:rPr>
          <w:rFonts w:ascii="Arial" w:hAnsi="Arial" w:cs="Arial"/>
        </w:rPr>
      </w:pPr>
      <w:bookmarkStart w:id="10" w:name="_Toc182570701"/>
      <w:r w:rsidRPr="00665B6A">
        <w:rPr>
          <w:rFonts w:ascii="Arial" w:hAnsi="Arial" w:cs="Arial"/>
        </w:rPr>
        <w:t>Challenges and Limitations</w:t>
      </w:r>
      <w:bookmarkEnd w:id="10"/>
    </w:p>
    <w:p w14:paraId="3F4E0B53" w14:textId="360D2F56" w:rsidR="007D019F" w:rsidRPr="00665B6A" w:rsidRDefault="007D019F" w:rsidP="00665B6A">
      <w:pPr>
        <w:rPr>
          <w:rFonts w:ascii="Arial" w:hAnsi="Arial" w:cs="Arial"/>
        </w:rPr>
      </w:pPr>
      <w:r w:rsidRPr="00665B6A">
        <w:rPr>
          <w:rFonts w:ascii="Arial" w:hAnsi="Arial" w:cs="Arial"/>
        </w:rPr>
        <w:t>Using low-VOC paints Hilton hotels could pay more upfront costs</w:t>
      </w:r>
      <w:r w:rsidR="007C058B" w:rsidRPr="00665B6A">
        <w:rPr>
          <w:rFonts w:ascii="Arial" w:hAnsi="Arial" w:cs="Arial"/>
        </w:rPr>
        <w:t xml:space="preserve"> (Prakash et al., 2022)</w:t>
      </w:r>
      <w:r w:rsidRPr="00665B6A">
        <w:rPr>
          <w:rFonts w:ascii="Arial" w:hAnsi="Arial" w:cs="Arial"/>
        </w:rPr>
        <w:t xml:space="preserve">. </w:t>
      </w:r>
      <w:r w:rsidR="007C058B" w:rsidRPr="00665B6A">
        <w:rPr>
          <w:rFonts w:ascii="Arial" w:hAnsi="Arial" w:cs="Arial"/>
        </w:rPr>
        <w:t>Since</w:t>
      </w:r>
      <w:r w:rsidRPr="00665B6A">
        <w:rPr>
          <w:rFonts w:ascii="Arial" w:hAnsi="Arial" w:cs="Arial"/>
        </w:rPr>
        <w:t xml:space="preserve"> low-VOC paints use safer, alternative ingredients, they cost more than standard paints. Especially in big property portfolios, this could put a pressure on budgets (David and Niculescu, 2021). Finding dependable suppliers can be difficult since location affects the availability and quality of low-VOC paint. Implementing the plan consistently across all hotels could prove challenging for Hilton, hence supply chain logistics may </w:t>
      </w:r>
      <w:r w:rsidR="007C058B" w:rsidRPr="00665B6A">
        <w:rPr>
          <w:rFonts w:ascii="Arial" w:hAnsi="Arial" w:cs="Arial"/>
        </w:rPr>
        <w:t>suffer,</w:t>
      </w:r>
      <w:r w:rsidRPr="00665B6A">
        <w:rPr>
          <w:rFonts w:ascii="Arial" w:hAnsi="Arial" w:cs="Arial"/>
        </w:rPr>
        <w:t xml:space="preserve"> and projects could be delayed (Bungau et al., 2022). Interventions are another issue in running hotels with lots of visitors (Hilton, 2023). Special application and drying times for low-VOC paints could cause room closures and disruptions to passenger service. High-occupancy hotels find room idleness to be a difficulty that can lower income (Marin-Pantelescu, 2021).</w:t>
      </w:r>
    </w:p>
    <w:p w14:paraId="2FCE754E" w14:textId="3E508384" w:rsidR="00FF4FE3" w:rsidRPr="00665B6A" w:rsidRDefault="007D019F" w:rsidP="00665B6A">
      <w:pPr>
        <w:rPr>
          <w:rFonts w:ascii="Arial" w:hAnsi="Arial" w:cs="Arial"/>
        </w:rPr>
      </w:pPr>
      <w:r w:rsidRPr="00665B6A">
        <w:rPr>
          <w:rFonts w:ascii="Arial" w:hAnsi="Arial" w:cs="Arial"/>
        </w:rPr>
        <w:t>Furthermore, considered should be the restrictions of low-VOC paints. In some areas, the scarcity of these colours could cause transportation expenses to rise and their use to decrease (Rivera, 2024). Because low-VOC paints have poor adherence to high-VOC finishes, they may need more preparation</w:t>
      </w:r>
      <w:r w:rsidR="004C464A" w:rsidRPr="00665B6A">
        <w:rPr>
          <w:rFonts w:ascii="Arial" w:hAnsi="Arial" w:cs="Arial"/>
        </w:rPr>
        <w:t xml:space="preserve"> (Ghobakhloo et al., 2023)</w:t>
      </w:r>
      <w:r w:rsidRPr="00665B6A">
        <w:rPr>
          <w:rFonts w:ascii="Arial" w:hAnsi="Arial" w:cs="Arial"/>
        </w:rPr>
        <w:t>. These paints improve household air quality, but they need annual maintenance to maintain their integrity and efficacy, which drives higher operating demands and maintenance costs even if they improve the quality of air.</w:t>
      </w:r>
      <w:r w:rsidR="00FF4FE3" w:rsidRPr="00665B6A">
        <w:rPr>
          <w:rFonts w:ascii="Arial" w:hAnsi="Arial" w:cs="Arial"/>
        </w:rPr>
        <w:br w:type="page"/>
      </w:r>
    </w:p>
    <w:p w14:paraId="4214E4BC" w14:textId="77777777" w:rsidR="00FF4FE3" w:rsidRPr="00665B6A" w:rsidRDefault="00FF4FE3" w:rsidP="00665B6A">
      <w:pPr>
        <w:pStyle w:val="Heading1"/>
        <w:rPr>
          <w:rFonts w:cs="Arial"/>
        </w:rPr>
      </w:pPr>
      <w:bookmarkStart w:id="11" w:name="_Toc182570702"/>
      <w:r w:rsidRPr="00665B6A">
        <w:rPr>
          <w:rFonts w:cs="Arial"/>
        </w:rPr>
        <w:t>Conclusion and Recommendations</w:t>
      </w:r>
      <w:bookmarkEnd w:id="11"/>
    </w:p>
    <w:p w14:paraId="7A0E4897" w14:textId="5424067C" w:rsidR="00FF4FE3" w:rsidRPr="00665B6A" w:rsidRDefault="00FF4FE3" w:rsidP="00665B6A">
      <w:pPr>
        <w:rPr>
          <w:rFonts w:ascii="Arial" w:hAnsi="Arial" w:cs="Arial"/>
        </w:rPr>
      </w:pPr>
      <w:r w:rsidRPr="00665B6A">
        <w:rPr>
          <w:rFonts w:ascii="Arial" w:hAnsi="Arial" w:cs="Arial"/>
        </w:rPr>
        <w:t>The proposed adoption of low-emission paints across Hilton Hotels holds significant potential to improve indoor air quality, enhance guest satisfaction, and strengthen Hilton’s brand image as a leader in sustainable hospitality. Low-VOC paints reduce the release of harmful volatile organic compounds, fostering a healthier environment for both guests and staff (</w:t>
      </w:r>
      <w:r w:rsidR="00AF32FE" w:rsidRPr="00665B6A">
        <w:rPr>
          <w:rFonts w:ascii="Arial" w:eastAsia="Times New Roman" w:hAnsi="Arial" w:cs="Arial"/>
          <w:lang w:eastAsia="en-GB"/>
        </w:rPr>
        <w:t>Abera, 2024</w:t>
      </w:r>
      <w:r w:rsidRPr="00665B6A">
        <w:rPr>
          <w:rFonts w:ascii="Arial" w:hAnsi="Arial" w:cs="Arial"/>
        </w:rPr>
        <w:t>). By aligning with consumer expectations for wellness-focused accommodations and contributing to global sustainability goals, Hilton can position itself competitively while also reducing operational costs related to maintenance and health-related issues (</w:t>
      </w:r>
      <w:r w:rsidR="001F26FE" w:rsidRPr="00665B6A">
        <w:rPr>
          <w:rFonts w:ascii="Arial" w:eastAsia="Times New Roman" w:hAnsi="Arial" w:cs="Arial"/>
          <w:lang w:eastAsia="en-GB"/>
        </w:rPr>
        <w:t>Marin-Pantelescu, 2021</w:t>
      </w:r>
      <w:r w:rsidRPr="00665B6A">
        <w:rPr>
          <w:rFonts w:ascii="Arial" w:hAnsi="Arial" w:cs="Arial"/>
        </w:rPr>
        <w:t>). The integration of low-VOC paints into Hilton’s properties addresses an existing gap in its green practices, complementing other eco-initiatives within its “Travel with Purpose” program and setting a new standard in environmentally conscious operations.</w:t>
      </w:r>
    </w:p>
    <w:p w14:paraId="5A19CCA0" w14:textId="0F032D39" w:rsidR="00FF4FE3" w:rsidRPr="00665B6A" w:rsidRDefault="00FF4FE3" w:rsidP="00665B6A">
      <w:pPr>
        <w:rPr>
          <w:rFonts w:ascii="Arial" w:hAnsi="Arial" w:cs="Arial"/>
        </w:rPr>
      </w:pPr>
      <w:r w:rsidRPr="00665B6A">
        <w:rPr>
          <w:rFonts w:ascii="Arial" w:hAnsi="Arial" w:cs="Arial"/>
        </w:rPr>
        <w:t>To maximize the impact of this initiative, several recommendations are suggested. First, Hilton should consider expanding its commitment to low-VOC materials beyond paints to include other finishes, such as carpets, furniture, and adhesives, which also contribute to indoor air quality. This broader approach would further reinforce Hilton’s health-cantered sustainability goals. Second, Hilton could incorporate low-VOC paints as a standard in its sustainability policies and certification processes, making this practice a core requirement in all renovations and new constructions. By embedding low-VOC criteria in its wider sustainability policy, Hilton can ensure consistent application and measurable environmental benefits across all properties (Marriott International, 2022).</w:t>
      </w:r>
    </w:p>
    <w:p w14:paraId="55D26797" w14:textId="3ECA2690" w:rsidR="00FF4FE3" w:rsidRPr="00665B6A" w:rsidRDefault="00FF4FE3" w:rsidP="00665B6A">
      <w:pPr>
        <w:rPr>
          <w:rFonts w:ascii="Arial" w:hAnsi="Arial" w:cs="Arial"/>
        </w:rPr>
      </w:pPr>
      <w:r w:rsidRPr="00665B6A">
        <w:rPr>
          <w:rFonts w:ascii="Arial" w:hAnsi="Arial" w:cs="Arial"/>
        </w:rPr>
        <w:t xml:space="preserve">Lastly, Hilton should consider establishing partnerships with certified suppliers to secure a reliable supply chain for low-VOC paints and other eco-friendly materials, potentially reducing costs through bulk purchasing and establishing regional supply networks </w:t>
      </w:r>
      <w:r w:rsidR="00AF32FE" w:rsidRPr="00665B6A">
        <w:rPr>
          <w:rFonts w:ascii="Arial" w:hAnsi="Arial" w:cs="Arial"/>
        </w:rPr>
        <w:t xml:space="preserve">(David and </w:t>
      </w:r>
      <w:proofErr w:type="spellStart"/>
      <w:r w:rsidR="00AF32FE" w:rsidRPr="00665B6A">
        <w:rPr>
          <w:rFonts w:ascii="Arial" w:hAnsi="Arial" w:cs="Arial"/>
        </w:rPr>
        <w:t>Niculescu</w:t>
      </w:r>
      <w:proofErr w:type="spellEnd"/>
      <w:r w:rsidR="00AF32FE" w:rsidRPr="00665B6A">
        <w:rPr>
          <w:rFonts w:ascii="Arial" w:hAnsi="Arial" w:cs="Arial"/>
        </w:rPr>
        <w:t>, 2021)</w:t>
      </w:r>
      <w:r w:rsidRPr="00665B6A">
        <w:rPr>
          <w:rFonts w:ascii="Arial" w:hAnsi="Arial" w:cs="Arial"/>
        </w:rPr>
        <w:t>. Through these measures, Hilton can effectively integrate low-VOC paints into a comprehensive, impactful sustainability strategy that not only meets immediate operational needs but also builds long-term resilience in a changing hospitality landscape.</w:t>
      </w:r>
    </w:p>
    <w:p w14:paraId="2482178C" w14:textId="2DCE26B5" w:rsidR="00855137" w:rsidRPr="00665B6A" w:rsidRDefault="00855137" w:rsidP="00665B6A">
      <w:pPr>
        <w:jc w:val="left"/>
        <w:rPr>
          <w:rFonts w:ascii="Arial" w:hAnsi="Arial" w:cs="Arial"/>
        </w:rPr>
      </w:pPr>
      <w:r w:rsidRPr="00665B6A">
        <w:rPr>
          <w:rFonts w:ascii="Arial" w:hAnsi="Arial" w:cs="Arial"/>
        </w:rPr>
        <w:br w:type="page"/>
      </w:r>
    </w:p>
    <w:p w14:paraId="58AFC738" w14:textId="399B15F1" w:rsidR="00855137" w:rsidRPr="00665B6A" w:rsidRDefault="00855137" w:rsidP="00665B6A">
      <w:pPr>
        <w:pStyle w:val="Heading1"/>
        <w:rPr>
          <w:rFonts w:cs="Arial"/>
        </w:rPr>
      </w:pPr>
      <w:bookmarkStart w:id="12" w:name="_Toc182570703"/>
      <w:r w:rsidRPr="00665B6A">
        <w:rPr>
          <w:rFonts w:cs="Arial"/>
        </w:rPr>
        <w:t>Reference List</w:t>
      </w:r>
      <w:bookmarkEnd w:id="12"/>
    </w:p>
    <w:p w14:paraId="1BA41257" w14:textId="77777777" w:rsidR="00A803C5" w:rsidRPr="00665B6A" w:rsidRDefault="00A803C5" w:rsidP="00665B6A">
      <w:pPr>
        <w:rPr>
          <w:rFonts w:ascii="Arial" w:hAnsi="Arial" w:cs="Arial"/>
        </w:rPr>
      </w:pPr>
      <w:proofErr w:type="spellStart"/>
      <w:r w:rsidRPr="00665B6A">
        <w:rPr>
          <w:rFonts w:ascii="Arial" w:eastAsia="Times New Roman" w:hAnsi="Arial" w:cs="Arial"/>
          <w:lang w:eastAsia="en-GB"/>
        </w:rPr>
        <w:t>Abdulaali</w:t>
      </w:r>
      <w:proofErr w:type="spellEnd"/>
      <w:r w:rsidRPr="00665B6A">
        <w:rPr>
          <w:rFonts w:ascii="Arial" w:eastAsia="Times New Roman" w:hAnsi="Arial" w:cs="Arial"/>
          <w:lang w:eastAsia="en-GB"/>
        </w:rPr>
        <w:t xml:space="preserve">, H.S., Usman, I., </w:t>
      </w:r>
      <w:proofErr w:type="spellStart"/>
      <w:r w:rsidRPr="00665B6A">
        <w:rPr>
          <w:rFonts w:ascii="Arial" w:eastAsia="Times New Roman" w:hAnsi="Arial" w:cs="Arial"/>
          <w:lang w:eastAsia="en-GB"/>
        </w:rPr>
        <w:t>Hanafiah</w:t>
      </w:r>
      <w:proofErr w:type="spellEnd"/>
      <w:r w:rsidRPr="00665B6A">
        <w:rPr>
          <w:rFonts w:ascii="Arial" w:eastAsia="Times New Roman" w:hAnsi="Arial" w:cs="Arial"/>
          <w:lang w:eastAsia="en-GB"/>
        </w:rPr>
        <w:t xml:space="preserve">, M., </w:t>
      </w:r>
      <w:proofErr w:type="spellStart"/>
      <w:r w:rsidRPr="00665B6A">
        <w:rPr>
          <w:rFonts w:ascii="Arial" w:eastAsia="Times New Roman" w:hAnsi="Arial" w:cs="Arial"/>
          <w:lang w:eastAsia="en-GB"/>
        </w:rPr>
        <w:t>Abdulhasan</w:t>
      </w:r>
      <w:proofErr w:type="spellEnd"/>
      <w:r w:rsidRPr="00665B6A">
        <w:rPr>
          <w:rFonts w:ascii="Arial" w:eastAsia="Times New Roman" w:hAnsi="Arial" w:cs="Arial"/>
          <w:lang w:eastAsia="en-GB"/>
        </w:rPr>
        <w:t xml:space="preserve">, M., </w:t>
      </w:r>
      <w:proofErr w:type="spellStart"/>
      <w:r w:rsidRPr="00665B6A">
        <w:rPr>
          <w:rFonts w:ascii="Arial" w:eastAsia="Times New Roman" w:hAnsi="Arial" w:cs="Arial"/>
          <w:lang w:eastAsia="en-GB"/>
        </w:rPr>
        <w:t>Hamzah</w:t>
      </w:r>
      <w:proofErr w:type="spellEnd"/>
      <w:r w:rsidRPr="00665B6A">
        <w:rPr>
          <w:rFonts w:ascii="Arial" w:eastAsia="Times New Roman" w:hAnsi="Arial" w:cs="Arial"/>
          <w:lang w:eastAsia="en-GB"/>
        </w:rPr>
        <w:t xml:space="preserve">, M. and </w:t>
      </w:r>
      <w:proofErr w:type="spellStart"/>
      <w:r w:rsidRPr="00665B6A">
        <w:rPr>
          <w:rFonts w:ascii="Arial" w:eastAsia="Times New Roman" w:hAnsi="Arial" w:cs="Arial"/>
          <w:lang w:eastAsia="en-GB"/>
        </w:rPr>
        <w:t>Nazal</w:t>
      </w:r>
      <w:proofErr w:type="spellEnd"/>
      <w:r w:rsidRPr="00665B6A">
        <w:rPr>
          <w:rFonts w:ascii="Arial" w:eastAsia="Times New Roman" w:hAnsi="Arial" w:cs="Arial"/>
          <w:lang w:eastAsia="en-GB"/>
        </w:rPr>
        <w:t xml:space="preserve">, A. (2020). Impact of poor indoor environmental quality (IEQ) to inhabitants’ health, wellbeing and satisfaction. </w:t>
      </w:r>
      <w:r w:rsidRPr="00665B6A">
        <w:rPr>
          <w:rFonts w:ascii="Arial" w:eastAsia="Times New Roman" w:hAnsi="Arial" w:cs="Arial"/>
          <w:i/>
          <w:iCs/>
          <w:lang w:eastAsia="en-GB"/>
        </w:rPr>
        <w:t>International Journal of Advanced Science and Technology</w:t>
      </w:r>
      <w:r w:rsidRPr="00665B6A">
        <w:rPr>
          <w:rFonts w:ascii="Arial" w:eastAsia="Times New Roman" w:hAnsi="Arial" w:cs="Arial"/>
          <w:lang w:eastAsia="en-GB"/>
        </w:rPr>
        <w:t xml:space="preserve">, </w:t>
      </w:r>
      <w:r w:rsidRPr="00665B6A">
        <w:rPr>
          <w:rFonts w:ascii="Arial" w:eastAsia="Times New Roman" w:hAnsi="Arial" w:cs="Arial"/>
          <w:i/>
          <w:iCs/>
          <w:lang w:eastAsia="en-GB"/>
        </w:rPr>
        <w:t>29</w:t>
      </w:r>
      <w:r w:rsidRPr="00665B6A">
        <w:rPr>
          <w:rFonts w:ascii="Arial" w:eastAsia="Times New Roman" w:hAnsi="Arial" w:cs="Arial"/>
          <w:lang w:eastAsia="en-GB"/>
        </w:rPr>
        <w:t>(3), pp.1-14.</w:t>
      </w:r>
    </w:p>
    <w:p w14:paraId="00605E8A" w14:textId="77777777" w:rsidR="00A803C5" w:rsidRPr="00665B6A" w:rsidRDefault="00A803C5" w:rsidP="00665B6A">
      <w:pPr>
        <w:rPr>
          <w:rFonts w:ascii="Arial" w:hAnsi="Arial" w:cs="Arial"/>
        </w:rPr>
      </w:pPr>
      <w:proofErr w:type="spellStart"/>
      <w:r w:rsidRPr="00665B6A">
        <w:rPr>
          <w:rFonts w:ascii="Arial" w:eastAsia="Times New Roman" w:hAnsi="Arial" w:cs="Arial"/>
          <w:lang w:eastAsia="en-GB"/>
        </w:rPr>
        <w:t>Abera</w:t>
      </w:r>
      <w:proofErr w:type="spellEnd"/>
      <w:r w:rsidRPr="00665B6A">
        <w:rPr>
          <w:rFonts w:ascii="Arial" w:eastAsia="Times New Roman" w:hAnsi="Arial" w:cs="Arial"/>
          <w:lang w:eastAsia="en-GB"/>
        </w:rPr>
        <w:t xml:space="preserve">, Y.A. (2024). Sustainable building materials: A comprehensive study on eco-friendly alternatives for construction. </w:t>
      </w:r>
      <w:r w:rsidRPr="00665B6A">
        <w:rPr>
          <w:rFonts w:ascii="Arial" w:eastAsia="Times New Roman" w:hAnsi="Arial" w:cs="Arial"/>
          <w:i/>
          <w:iCs/>
          <w:lang w:eastAsia="en-GB"/>
        </w:rPr>
        <w:t>Composites and Advanced Materials</w:t>
      </w:r>
      <w:r w:rsidRPr="00665B6A">
        <w:rPr>
          <w:rFonts w:ascii="Arial" w:eastAsia="Times New Roman" w:hAnsi="Arial" w:cs="Arial"/>
          <w:lang w:eastAsia="en-GB"/>
        </w:rPr>
        <w:t>, 33(1), p.1-17.</w:t>
      </w:r>
    </w:p>
    <w:p w14:paraId="0C1779D3" w14:textId="77777777" w:rsidR="00A803C5" w:rsidRPr="00665B6A" w:rsidRDefault="00A803C5" w:rsidP="00665B6A">
      <w:pPr>
        <w:rPr>
          <w:rFonts w:ascii="Arial" w:hAnsi="Arial" w:cs="Arial"/>
        </w:rPr>
      </w:pPr>
      <w:proofErr w:type="spellStart"/>
      <w:r w:rsidRPr="00665B6A">
        <w:rPr>
          <w:rFonts w:ascii="Arial" w:eastAsia="Times New Roman" w:hAnsi="Arial" w:cs="Arial"/>
          <w:lang w:eastAsia="en-GB"/>
        </w:rPr>
        <w:t>Bardukova</w:t>
      </w:r>
      <w:proofErr w:type="spellEnd"/>
      <w:r w:rsidRPr="00665B6A">
        <w:rPr>
          <w:rFonts w:ascii="Arial" w:eastAsia="Times New Roman" w:hAnsi="Arial" w:cs="Arial"/>
          <w:lang w:eastAsia="en-GB"/>
        </w:rPr>
        <w:t xml:space="preserve">, L. (2023). Navigating the Hospitality Horizon: Current Trends and Strategies for Customer Attraction and Retention in the Hotel Industry. </w:t>
      </w:r>
      <w:r w:rsidRPr="00665B6A">
        <w:rPr>
          <w:rFonts w:ascii="Arial" w:eastAsia="Times New Roman" w:hAnsi="Arial" w:cs="Arial"/>
          <w:i/>
          <w:iCs/>
          <w:lang w:eastAsia="en-GB"/>
        </w:rPr>
        <w:t>Economics and computer science</w:t>
      </w:r>
      <w:r w:rsidRPr="00665B6A">
        <w:rPr>
          <w:rFonts w:ascii="Arial" w:eastAsia="Times New Roman" w:hAnsi="Arial" w:cs="Arial"/>
          <w:lang w:eastAsia="en-GB"/>
        </w:rPr>
        <w:t xml:space="preserve">, </w:t>
      </w:r>
      <w:r w:rsidRPr="00665B6A">
        <w:rPr>
          <w:rFonts w:ascii="Arial" w:eastAsia="Times New Roman" w:hAnsi="Arial" w:cs="Arial"/>
          <w:i/>
          <w:iCs/>
          <w:lang w:eastAsia="en-GB"/>
        </w:rPr>
        <w:t>2</w:t>
      </w:r>
      <w:r w:rsidRPr="00665B6A">
        <w:rPr>
          <w:rFonts w:ascii="Arial" w:eastAsia="Times New Roman" w:hAnsi="Arial" w:cs="Arial"/>
          <w:lang w:eastAsia="en-GB"/>
        </w:rPr>
        <w:t>, pp.88-103.</w:t>
      </w:r>
    </w:p>
    <w:p w14:paraId="7BA95523" w14:textId="77777777" w:rsidR="00A803C5" w:rsidRPr="00665B6A" w:rsidRDefault="00A803C5" w:rsidP="00665B6A">
      <w:pPr>
        <w:pStyle w:val="NormalWeb"/>
        <w:spacing w:before="0" w:beforeAutospacing="0" w:after="240" w:afterAutospacing="0" w:line="360" w:lineRule="auto"/>
        <w:jc w:val="both"/>
        <w:rPr>
          <w:rFonts w:ascii="Arial" w:hAnsi="Arial" w:cs="Arial"/>
        </w:rPr>
      </w:pPr>
      <w:proofErr w:type="spellStart"/>
      <w:r w:rsidRPr="00665B6A">
        <w:rPr>
          <w:rFonts w:ascii="Arial" w:hAnsi="Arial" w:cs="Arial"/>
        </w:rPr>
        <w:t>Bungau</w:t>
      </w:r>
      <w:proofErr w:type="spellEnd"/>
      <w:r w:rsidRPr="00665B6A">
        <w:rPr>
          <w:rFonts w:ascii="Arial" w:hAnsi="Arial" w:cs="Arial"/>
        </w:rPr>
        <w:t xml:space="preserve">, C.C., </w:t>
      </w:r>
      <w:proofErr w:type="spellStart"/>
      <w:r w:rsidRPr="00665B6A">
        <w:rPr>
          <w:rFonts w:ascii="Arial" w:hAnsi="Arial" w:cs="Arial"/>
        </w:rPr>
        <w:t>Bungau</w:t>
      </w:r>
      <w:proofErr w:type="spellEnd"/>
      <w:r w:rsidRPr="00665B6A">
        <w:rPr>
          <w:rFonts w:ascii="Arial" w:hAnsi="Arial" w:cs="Arial"/>
        </w:rPr>
        <w:t xml:space="preserve">, T., Prada, I.F. and Prada, M.F. (2022). Green Buildings as a Necessity for Sustainable Environment Development: Dilemmas and Challenges. </w:t>
      </w:r>
      <w:r w:rsidRPr="00665B6A">
        <w:rPr>
          <w:rFonts w:ascii="Arial" w:hAnsi="Arial" w:cs="Arial"/>
          <w:i/>
          <w:iCs/>
        </w:rPr>
        <w:t>Sustainability</w:t>
      </w:r>
      <w:r w:rsidRPr="00665B6A">
        <w:rPr>
          <w:rFonts w:ascii="Arial" w:hAnsi="Arial" w:cs="Arial"/>
        </w:rPr>
        <w:t xml:space="preserve">, 14(20), p.13121. </w:t>
      </w:r>
      <w:proofErr w:type="spellStart"/>
      <w:r w:rsidRPr="00665B6A">
        <w:rPr>
          <w:rFonts w:ascii="Arial" w:hAnsi="Arial" w:cs="Arial"/>
        </w:rPr>
        <w:t>doi:https</w:t>
      </w:r>
      <w:proofErr w:type="spellEnd"/>
      <w:r w:rsidRPr="00665B6A">
        <w:rPr>
          <w:rFonts w:ascii="Arial" w:hAnsi="Arial" w:cs="Arial"/>
        </w:rPr>
        <w:t>://doi.org/10.3390/su142013121.</w:t>
      </w:r>
    </w:p>
    <w:p w14:paraId="0A5F7719" w14:textId="77777777" w:rsidR="002F3FF3" w:rsidRPr="00665B6A" w:rsidRDefault="00687042" w:rsidP="00665B6A">
      <w:pPr>
        <w:pStyle w:val="NormalWeb"/>
        <w:spacing w:after="240" w:line="360" w:lineRule="auto"/>
        <w:rPr>
          <w:rFonts w:ascii="Arial" w:hAnsi="Arial" w:cs="Arial"/>
        </w:rPr>
      </w:pPr>
      <w:r w:rsidRPr="00665B6A">
        <w:rPr>
          <w:rFonts w:ascii="Arial" w:hAnsi="Arial" w:cs="Arial"/>
        </w:rPr>
        <w:t>Cooper, C. (2021)</w:t>
      </w:r>
      <w:r w:rsidR="002F3FF3" w:rsidRPr="00665B6A">
        <w:rPr>
          <w:rFonts w:ascii="Arial" w:hAnsi="Arial" w:cs="Arial"/>
        </w:rPr>
        <w:t xml:space="preserve">. </w:t>
      </w:r>
      <w:r w:rsidRPr="00665B6A">
        <w:rPr>
          <w:rFonts w:ascii="Arial" w:hAnsi="Arial" w:cs="Arial"/>
          <w:i/>
          <w:iCs/>
        </w:rPr>
        <w:t>Essentials of tourism</w:t>
      </w:r>
      <w:r w:rsidRPr="00665B6A">
        <w:rPr>
          <w:rFonts w:ascii="Arial" w:hAnsi="Arial" w:cs="Arial"/>
        </w:rPr>
        <w:t>. Third edition. London: SAGE.</w:t>
      </w:r>
    </w:p>
    <w:p w14:paraId="5CAAADC9" w14:textId="1C802F23" w:rsidR="002F3FF3" w:rsidRPr="00665B6A" w:rsidRDefault="002F3FF3" w:rsidP="00665B6A">
      <w:pPr>
        <w:pStyle w:val="NormalWeb"/>
        <w:spacing w:after="240" w:line="360" w:lineRule="auto"/>
        <w:jc w:val="both"/>
        <w:rPr>
          <w:rFonts w:ascii="Arial" w:hAnsi="Arial" w:cs="Arial"/>
        </w:rPr>
      </w:pPr>
      <w:proofErr w:type="spellStart"/>
      <w:r w:rsidRPr="00665B6A">
        <w:rPr>
          <w:rFonts w:ascii="Arial" w:hAnsi="Arial" w:cs="Arial"/>
        </w:rPr>
        <w:t>Jauhari</w:t>
      </w:r>
      <w:proofErr w:type="spellEnd"/>
      <w:r w:rsidRPr="00665B6A">
        <w:rPr>
          <w:rFonts w:ascii="Arial" w:hAnsi="Arial" w:cs="Arial"/>
        </w:rPr>
        <w:t xml:space="preserve">, V (2021). </w:t>
      </w:r>
      <w:r w:rsidRPr="00665B6A">
        <w:rPr>
          <w:rFonts w:ascii="Arial" w:hAnsi="Arial" w:cs="Arial"/>
          <w:i/>
          <w:iCs/>
        </w:rPr>
        <w:t>Managing Sustainability in the Hospitality and Tourism Industry: Paradigms and Directions for the Future</w:t>
      </w:r>
      <w:r w:rsidRPr="00665B6A">
        <w:rPr>
          <w:rFonts w:ascii="Arial" w:hAnsi="Arial" w:cs="Arial"/>
        </w:rPr>
        <w:t xml:space="preserve">. 9th </w:t>
      </w:r>
      <w:proofErr w:type="spellStart"/>
      <w:r w:rsidRPr="00665B6A">
        <w:rPr>
          <w:rFonts w:ascii="Arial" w:hAnsi="Arial" w:cs="Arial"/>
        </w:rPr>
        <w:t>edn.Oakville</w:t>
      </w:r>
      <w:proofErr w:type="spellEnd"/>
      <w:r w:rsidRPr="00665B6A">
        <w:rPr>
          <w:rFonts w:ascii="Arial" w:hAnsi="Arial" w:cs="Arial"/>
        </w:rPr>
        <w:t>: Apple Academic Press. Inc.</w:t>
      </w:r>
    </w:p>
    <w:p w14:paraId="2A3424DB" w14:textId="77777777" w:rsidR="00A803C5" w:rsidRPr="00665B6A" w:rsidRDefault="00A803C5" w:rsidP="00665B6A">
      <w:pPr>
        <w:rPr>
          <w:rFonts w:ascii="Arial" w:hAnsi="Arial" w:cs="Arial"/>
        </w:rPr>
      </w:pPr>
      <w:r w:rsidRPr="00665B6A">
        <w:rPr>
          <w:rFonts w:ascii="Arial" w:eastAsia="Times New Roman" w:hAnsi="Arial" w:cs="Arial"/>
          <w:lang w:val="it-IT" w:eastAsia="en-GB"/>
        </w:rPr>
        <w:t xml:space="preserve">da Costa Guerra, R.J., dos Santos, N.N.P. and Gonçalves, E.C. (2022). </w:t>
      </w:r>
      <w:r w:rsidRPr="00665B6A">
        <w:rPr>
          <w:rFonts w:ascii="Arial" w:eastAsia="Times New Roman" w:hAnsi="Arial" w:cs="Arial"/>
          <w:lang w:eastAsia="en-GB"/>
        </w:rPr>
        <w:t xml:space="preserve">Health and Wellness Tourism: Contributions to a Local Sustainable Development Strategy. In </w:t>
      </w:r>
      <w:r w:rsidRPr="00665B6A">
        <w:rPr>
          <w:rFonts w:ascii="Arial" w:eastAsia="Times New Roman" w:hAnsi="Arial" w:cs="Arial"/>
          <w:i/>
          <w:iCs/>
          <w:lang w:eastAsia="en-GB"/>
        </w:rPr>
        <w:t>Cultural Sustainable Tourism</w:t>
      </w:r>
      <w:r w:rsidRPr="00665B6A">
        <w:rPr>
          <w:rFonts w:ascii="Arial" w:eastAsia="Times New Roman" w:hAnsi="Arial" w:cs="Arial"/>
          <w:lang w:eastAsia="en-GB"/>
        </w:rPr>
        <w:t xml:space="preserve"> (pp. 219-233). Cham: Springer International Publishing.</w:t>
      </w:r>
    </w:p>
    <w:p w14:paraId="2D76A792" w14:textId="77777777" w:rsidR="00A803C5" w:rsidRPr="00665B6A" w:rsidRDefault="00A803C5" w:rsidP="00665B6A">
      <w:pPr>
        <w:pStyle w:val="NormalWeb"/>
        <w:spacing w:before="0" w:beforeAutospacing="0" w:after="240" w:afterAutospacing="0" w:line="360" w:lineRule="auto"/>
        <w:jc w:val="both"/>
        <w:rPr>
          <w:rFonts w:ascii="Arial" w:hAnsi="Arial" w:cs="Arial"/>
        </w:rPr>
      </w:pPr>
      <w:r w:rsidRPr="00665B6A">
        <w:rPr>
          <w:rFonts w:ascii="Arial" w:hAnsi="Arial" w:cs="Arial"/>
        </w:rPr>
        <w:t xml:space="preserve">David, E. and </w:t>
      </w:r>
      <w:proofErr w:type="spellStart"/>
      <w:r w:rsidRPr="00665B6A">
        <w:rPr>
          <w:rFonts w:ascii="Arial" w:hAnsi="Arial" w:cs="Arial"/>
        </w:rPr>
        <w:t>Niculescu</w:t>
      </w:r>
      <w:proofErr w:type="spellEnd"/>
      <w:r w:rsidRPr="00665B6A">
        <w:rPr>
          <w:rFonts w:ascii="Arial" w:hAnsi="Arial" w:cs="Arial"/>
        </w:rPr>
        <w:t xml:space="preserve">, V.-C. (2021). Volatile Organic Compounds (VOCs) as Environmental Pollutants: Occurrence and Mitigation Using Nanomaterials. </w:t>
      </w:r>
      <w:r w:rsidRPr="00665B6A">
        <w:rPr>
          <w:rFonts w:ascii="Arial" w:hAnsi="Arial" w:cs="Arial"/>
          <w:i/>
          <w:iCs/>
        </w:rPr>
        <w:t>International Journal of Environmental Research and Public Health</w:t>
      </w:r>
      <w:r w:rsidRPr="00665B6A">
        <w:rPr>
          <w:rFonts w:ascii="Arial" w:hAnsi="Arial" w:cs="Arial"/>
        </w:rPr>
        <w:t xml:space="preserve">, 18(24), pp.1–15. </w:t>
      </w:r>
      <w:proofErr w:type="spellStart"/>
      <w:r w:rsidRPr="00665B6A">
        <w:rPr>
          <w:rFonts w:ascii="Arial" w:hAnsi="Arial" w:cs="Arial"/>
        </w:rPr>
        <w:t>doi:https</w:t>
      </w:r>
      <w:proofErr w:type="spellEnd"/>
      <w:r w:rsidRPr="00665B6A">
        <w:rPr>
          <w:rFonts w:ascii="Arial" w:hAnsi="Arial" w:cs="Arial"/>
        </w:rPr>
        <w:t>://doi.org/10.3390/ijerph182413147.</w:t>
      </w:r>
    </w:p>
    <w:p w14:paraId="3C0766DA" w14:textId="77777777" w:rsidR="00A803C5" w:rsidRPr="00665B6A" w:rsidRDefault="00A803C5" w:rsidP="00665B6A">
      <w:pPr>
        <w:pStyle w:val="NormalWeb"/>
        <w:spacing w:before="0" w:beforeAutospacing="0" w:after="240" w:afterAutospacing="0" w:line="360" w:lineRule="auto"/>
        <w:jc w:val="both"/>
        <w:rPr>
          <w:rFonts w:ascii="Arial" w:hAnsi="Arial" w:cs="Arial"/>
        </w:rPr>
      </w:pPr>
      <w:r w:rsidRPr="00665B6A">
        <w:rPr>
          <w:rFonts w:ascii="Arial" w:hAnsi="Arial" w:cs="Arial"/>
        </w:rPr>
        <w:t xml:space="preserve">EPA (2018). </w:t>
      </w:r>
      <w:r w:rsidRPr="00665B6A">
        <w:rPr>
          <w:rFonts w:ascii="Arial" w:hAnsi="Arial" w:cs="Arial"/>
          <w:i/>
          <w:iCs/>
        </w:rPr>
        <w:t>Volatile Organic Compounds’ Impact on Indoor Air Quality | US EPA</w:t>
      </w:r>
      <w:r w:rsidRPr="00665B6A">
        <w:rPr>
          <w:rFonts w:ascii="Arial" w:hAnsi="Arial" w:cs="Arial"/>
        </w:rPr>
        <w:t>. [online] US EPA. Available at: https://www.epa.gov/indoor-air-quality-iaq/volatile-organic-compounds-impact-indoor-air-quality [Accessed 12 Nov. 2024].</w:t>
      </w:r>
    </w:p>
    <w:p w14:paraId="030198BC" w14:textId="77777777" w:rsidR="00A803C5" w:rsidRPr="00665B6A" w:rsidRDefault="00A803C5" w:rsidP="00665B6A">
      <w:pPr>
        <w:rPr>
          <w:rFonts w:ascii="Arial" w:hAnsi="Arial" w:cs="Arial"/>
        </w:rPr>
      </w:pPr>
      <w:proofErr w:type="spellStart"/>
      <w:r w:rsidRPr="00665B6A">
        <w:rPr>
          <w:rFonts w:ascii="Arial" w:eastAsia="Times New Roman" w:hAnsi="Arial" w:cs="Arial"/>
          <w:lang w:eastAsia="en-GB"/>
        </w:rPr>
        <w:t>Ghobakhloo</w:t>
      </w:r>
      <w:proofErr w:type="spellEnd"/>
      <w:r w:rsidRPr="00665B6A">
        <w:rPr>
          <w:rFonts w:ascii="Arial" w:eastAsia="Times New Roman" w:hAnsi="Arial" w:cs="Arial"/>
          <w:lang w:eastAsia="en-GB"/>
        </w:rPr>
        <w:t xml:space="preserve">, S., </w:t>
      </w:r>
      <w:proofErr w:type="spellStart"/>
      <w:r w:rsidRPr="00665B6A">
        <w:rPr>
          <w:rFonts w:ascii="Arial" w:eastAsia="Times New Roman" w:hAnsi="Arial" w:cs="Arial"/>
          <w:lang w:eastAsia="en-GB"/>
        </w:rPr>
        <w:t>Khoshakhlagh</w:t>
      </w:r>
      <w:proofErr w:type="spellEnd"/>
      <w:r w:rsidRPr="00665B6A">
        <w:rPr>
          <w:rFonts w:ascii="Arial" w:eastAsia="Times New Roman" w:hAnsi="Arial" w:cs="Arial"/>
          <w:lang w:eastAsia="en-GB"/>
        </w:rPr>
        <w:t xml:space="preserve">, A.H., </w:t>
      </w:r>
      <w:proofErr w:type="spellStart"/>
      <w:r w:rsidRPr="00665B6A">
        <w:rPr>
          <w:rFonts w:ascii="Arial" w:eastAsia="Times New Roman" w:hAnsi="Arial" w:cs="Arial"/>
          <w:lang w:eastAsia="en-GB"/>
        </w:rPr>
        <w:t>Morais</w:t>
      </w:r>
      <w:proofErr w:type="spellEnd"/>
      <w:r w:rsidRPr="00665B6A">
        <w:rPr>
          <w:rFonts w:ascii="Arial" w:eastAsia="Times New Roman" w:hAnsi="Arial" w:cs="Arial"/>
          <w:lang w:eastAsia="en-GB"/>
        </w:rPr>
        <w:t xml:space="preserve">, S. and </w:t>
      </w:r>
      <w:proofErr w:type="spellStart"/>
      <w:r w:rsidRPr="00665B6A">
        <w:rPr>
          <w:rFonts w:ascii="Arial" w:eastAsia="Times New Roman" w:hAnsi="Arial" w:cs="Arial"/>
          <w:lang w:eastAsia="en-GB"/>
        </w:rPr>
        <w:t>Mazaheri</w:t>
      </w:r>
      <w:proofErr w:type="spellEnd"/>
      <w:r w:rsidRPr="00665B6A">
        <w:rPr>
          <w:rFonts w:ascii="Arial" w:eastAsia="Times New Roman" w:hAnsi="Arial" w:cs="Arial"/>
          <w:lang w:eastAsia="en-GB"/>
        </w:rPr>
        <w:t xml:space="preserve"> Tehrani, A. (2023). Exposure to volatile organic compounds in paint production plants: levels and potential human health risks. </w:t>
      </w:r>
      <w:r w:rsidRPr="00665B6A">
        <w:rPr>
          <w:rFonts w:ascii="Arial" w:eastAsia="Times New Roman" w:hAnsi="Arial" w:cs="Arial"/>
          <w:i/>
          <w:iCs/>
          <w:lang w:eastAsia="en-GB"/>
        </w:rPr>
        <w:t>Toxics</w:t>
      </w:r>
      <w:r w:rsidRPr="00665B6A">
        <w:rPr>
          <w:rFonts w:ascii="Arial" w:eastAsia="Times New Roman" w:hAnsi="Arial" w:cs="Arial"/>
          <w:lang w:eastAsia="en-GB"/>
        </w:rPr>
        <w:t xml:space="preserve">, </w:t>
      </w:r>
      <w:r w:rsidRPr="00665B6A">
        <w:rPr>
          <w:rFonts w:ascii="Arial" w:eastAsia="Times New Roman" w:hAnsi="Arial" w:cs="Arial"/>
          <w:i/>
          <w:iCs/>
          <w:lang w:eastAsia="en-GB"/>
        </w:rPr>
        <w:t>11</w:t>
      </w:r>
      <w:r w:rsidRPr="00665B6A">
        <w:rPr>
          <w:rFonts w:ascii="Arial" w:eastAsia="Times New Roman" w:hAnsi="Arial" w:cs="Arial"/>
          <w:lang w:eastAsia="en-GB"/>
        </w:rPr>
        <w:t>(2), p.111-123.</w:t>
      </w:r>
    </w:p>
    <w:p w14:paraId="6F4D081C" w14:textId="77777777" w:rsidR="00A803C5" w:rsidRPr="00665B6A" w:rsidRDefault="00A803C5" w:rsidP="00665B6A">
      <w:pPr>
        <w:rPr>
          <w:rFonts w:ascii="Arial" w:hAnsi="Arial" w:cs="Arial"/>
        </w:rPr>
      </w:pPr>
      <w:r w:rsidRPr="00665B6A">
        <w:rPr>
          <w:rFonts w:ascii="Arial" w:eastAsia="Times New Roman" w:hAnsi="Arial" w:cs="Arial"/>
          <w:lang w:eastAsia="en-GB"/>
        </w:rPr>
        <w:t xml:space="preserve">Hallas, N.E. (2024). LEED certification and sustainable building practices: a comprehensive guide to efficient and sustainable facilities. In </w:t>
      </w:r>
      <w:r w:rsidRPr="00665B6A">
        <w:rPr>
          <w:rFonts w:ascii="Arial" w:eastAsia="Times New Roman" w:hAnsi="Arial" w:cs="Arial"/>
          <w:i/>
          <w:iCs/>
          <w:lang w:eastAsia="en-GB"/>
        </w:rPr>
        <w:t>Design Strategies for Efficient and Sustainable Building Facilities</w:t>
      </w:r>
      <w:r w:rsidRPr="00665B6A">
        <w:rPr>
          <w:rFonts w:ascii="Arial" w:eastAsia="Times New Roman" w:hAnsi="Arial" w:cs="Arial"/>
          <w:lang w:eastAsia="en-GB"/>
        </w:rPr>
        <w:t xml:space="preserve"> (pp. 124-161). IGI Global.</w:t>
      </w:r>
    </w:p>
    <w:p w14:paraId="793D13A1" w14:textId="77777777" w:rsidR="00A803C5" w:rsidRPr="00665B6A" w:rsidRDefault="00A803C5" w:rsidP="00665B6A">
      <w:pPr>
        <w:pStyle w:val="NormalWeb"/>
        <w:spacing w:before="0" w:beforeAutospacing="0" w:after="240" w:afterAutospacing="0" w:line="360" w:lineRule="auto"/>
        <w:jc w:val="both"/>
        <w:rPr>
          <w:rFonts w:ascii="Arial" w:hAnsi="Arial" w:cs="Arial"/>
        </w:rPr>
      </w:pPr>
      <w:r w:rsidRPr="00665B6A">
        <w:rPr>
          <w:rFonts w:ascii="Arial" w:hAnsi="Arial" w:cs="Arial"/>
        </w:rPr>
        <w:t xml:space="preserve">Hilton (2022). </w:t>
      </w:r>
      <w:r w:rsidRPr="00665B6A">
        <w:rPr>
          <w:rFonts w:ascii="Arial" w:hAnsi="Arial" w:cs="Arial"/>
          <w:i/>
          <w:iCs/>
        </w:rPr>
        <w:t>Hilton 2022 Environmental, Social and Governance Report</w:t>
      </w:r>
      <w:r w:rsidRPr="00665B6A">
        <w:rPr>
          <w:rFonts w:ascii="Arial" w:hAnsi="Arial" w:cs="Arial"/>
        </w:rPr>
        <w:t>. [online] Available at: https://esg.hilton.com/wp-content/uploads/sites/4/2023/04/Hilton-2022-Environmental-Social-and-Governance-Report.pdf [Accessed 12 Nov. 2024].</w:t>
      </w:r>
    </w:p>
    <w:p w14:paraId="37270931" w14:textId="77777777" w:rsidR="00A803C5" w:rsidRPr="00665B6A" w:rsidRDefault="00A803C5" w:rsidP="00665B6A">
      <w:pPr>
        <w:pStyle w:val="NormalWeb"/>
        <w:spacing w:before="0" w:beforeAutospacing="0" w:after="240" w:afterAutospacing="0" w:line="360" w:lineRule="auto"/>
        <w:jc w:val="both"/>
        <w:rPr>
          <w:rFonts w:ascii="Arial" w:hAnsi="Arial" w:cs="Arial"/>
        </w:rPr>
      </w:pPr>
      <w:r w:rsidRPr="00665B6A">
        <w:rPr>
          <w:rFonts w:ascii="Arial" w:hAnsi="Arial" w:cs="Arial"/>
        </w:rPr>
        <w:t xml:space="preserve">Hilton (2023). </w:t>
      </w:r>
      <w:r w:rsidRPr="00665B6A">
        <w:rPr>
          <w:rFonts w:ascii="Arial" w:hAnsi="Arial" w:cs="Arial"/>
          <w:i/>
          <w:iCs/>
        </w:rPr>
        <w:t>Environmental Impact</w:t>
      </w:r>
      <w:r w:rsidRPr="00665B6A">
        <w:rPr>
          <w:rFonts w:ascii="Arial" w:hAnsi="Arial" w:cs="Arial"/>
        </w:rPr>
        <w:t>. [online] Hilton. Available at: https://esg.hilton.com/environment/ [Accessed 12 Nov. 2024].</w:t>
      </w:r>
    </w:p>
    <w:p w14:paraId="6F986075" w14:textId="77777777" w:rsidR="00A803C5" w:rsidRPr="00665B6A" w:rsidRDefault="00A803C5" w:rsidP="00665B6A">
      <w:pPr>
        <w:pStyle w:val="NormalWeb"/>
        <w:spacing w:before="0" w:beforeAutospacing="0" w:after="240" w:afterAutospacing="0" w:line="360" w:lineRule="auto"/>
        <w:jc w:val="both"/>
        <w:rPr>
          <w:rFonts w:ascii="Arial" w:hAnsi="Arial" w:cs="Arial"/>
        </w:rPr>
      </w:pPr>
      <w:r w:rsidRPr="00665B6A">
        <w:rPr>
          <w:rFonts w:ascii="Arial" w:hAnsi="Arial" w:cs="Arial"/>
        </w:rPr>
        <w:t xml:space="preserve">Hilton (2024). </w:t>
      </w:r>
      <w:r w:rsidRPr="00665B6A">
        <w:rPr>
          <w:rFonts w:ascii="Arial" w:hAnsi="Arial" w:cs="Arial"/>
          <w:i/>
          <w:iCs/>
        </w:rPr>
        <w:t>Hilton Brands | Global Hospitality Company</w:t>
      </w:r>
      <w:r w:rsidRPr="00665B6A">
        <w:rPr>
          <w:rFonts w:ascii="Arial" w:hAnsi="Arial" w:cs="Arial"/>
        </w:rPr>
        <w:t>. [online] Hilton.com. Available at: https://www.hilton.com/en/corporate/ [Accessed 12 Nov. 2024].</w:t>
      </w:r>
    </w:p>
    <w:p w14:paraId="43B96988" w14:textId="77777777" w:rsidR="00A803C5" w:rsidRPr="00665B6A" w:rsidRDefault="00A803C5" w:rsidP="00665B6A">
      <w:pPr>
        <w:rPr>
          <w:rFonts w:ascii="Arial" w:hAnsi="Arial" w:cs="Arial"/>
        </w:rPr>
      </w:pPr>
      <w:r w:rsidRPr="00665B6A">
        <w:rPr>
          <w:rFonts w:ascii="Arial" w:eastAsia="Times New Roman" w:hAnsi="Arial" w:cs="Arial"/>
          <w:lang w:eastAsia="en-GB"/>
        </w:rPr>
        <w:t xml:space="preserve">Khalil, N., </w:t>
      </w:r>
      <w:proofErr w:type="spellStart"/>
      <w:r w:rsidRPr="00665B6A">
        <w:rPr>
          <w:rFonts w:ascii="Arial" w:eastAsia="Times New Roman" w:hAnsi="Arial" w:cs="Arial"/>
          <w:lang w:eastAsia="en-GB"/>
        </w:rPr>
        <w:t>Che</w:t>
      </w:r>
      <w:proofErr w:type="spellEnd"/>
      <w:r w:rsidRPr="00665B6A">
        <w:rPr>
          <w:rFonts w:ascii="Arial" w:eastAsia="Times New Roman" w:hAnsi="Arial" w:cs="Arial"/>
          <w:lang w:eastAsia="en-GB"/>
        </w:rPr>
        <w:t xml:space="preserve"> Abdullah, S.N., </w:t>
      </w:r>
      <w:proofErr w:type="spellStart"/>
      <w:r w:rsidRPr="00665B6A">
        <w:rPr>
          <w:rFonts w:ascii="Arial" w:eastAsia="Times New Roman" w:hAnsi="Arial" w:cs="Arial"/>
          <w:lang w:eastAsia="en-GB"/>
        </w:rPr>
        <w:t>Haron</w:t>
      </w:r>
      <w:proofErr w:type="spellEnd"/>
      <w:r w:rsidRPr="00665B6A">
        <w:rPr>
          <w:rFonts w:ascii="Arial" w:eastAsia="Times New Roman" w:hAnsi="Arial" w:cs="Arial"/>
          <w:lang w:eastAsia="en-GB"/>
        </w:rPr>
        <w:t xml:space="preserve">, S.N. and Hamid, M.Y. (2024). A review of green practices and initiatives from stakeholder’s perspectives towards sustainable hotel operations and performance impact. </w:t>
      </w:r>
      <w:r w:rsidRPr="00665B6A">
        <w:rPr>
          <w:rFonts w:ascii="Arial" w:eastAsia="Times New Roman" w:hAnsi="Arial" w:cs="Arial"/>
          <w:i/>
          <w:iCs/>
          <w:lang w:eastAsia="en-GB"/>
        </w:rPr>
        <w:t>Journal of Facilities Management</w:t>
      </w:r>
      <w:r w:rsidRPr="00665B6A">
        <w:rPr>
          <w:rFonts w:ascii="Arial" w:eastAsia="Times New Roman" w:hAnsi="Arial" w:cs="Arial"/>
          <w:lang w:eastAsia="en-GB"/>
        </w:rPr>
        <w:t xml:space="preserve">, </w:t>
      </w:r>
      <w:r w:rsidRPr="00665B6A">
        <w:rPr>
          <w:rFonts w:ascii="Arial" w:eastAsia="Times New Roman" w:hAnsi="Arial" w:cs="Arial"/>
          <w:i/>
          <w:iCs/>
          <w:lang w:eastAsia="en-GB"/>
        </w:rPr>
        <w:t>22</w:t>
      </w:r>
      <w:r w:rsidRPr="00665B6A">
        <w:rPr>
          <w:rFonts w:ascii="Arial" w:eastAsia="Times New Roman" w:hAnsi="Arial" w:cs="Arial"/>
          <w:lang w:eastAsia="en-GB"/>
        </w:rPr>
        <w:t>(4), pp.653-682.</w:t>
      </w:r>
    </w:p>
    <w:p w14:paraId="3B125827" w14:textId="77777777" w:rsidR="00A803C5" w:rsidRPr="00665B6A" w:rsidRDefault="00A803C5" w:rsidP="00665B6A">
      <w:pPr>
        <w:rPr>
          <w:rFonts w:ascii="Arial" w:hAnsi="Arial" w:cs="Arial"/>
        </w:rPr>
      </w:pPr>
      <w:r w:rsidRPr="00665B6A">
        <w:rPr>
          <w:rFonts w:ascii="Arial" w:eastAsia="Times New Roman" w:hAnsi="Arial" w:cs="Arial"/>
          <w:lang w:eastAsia="en-GB"/>
        </w:rPr>
        <w:t xml:space="preserve">Kim, M., Lee, E., Kim, S.J., Cha, J. and </w:t>
      </w:r>
      <w:proofErr w:type="spellStart"/>
      <w:r w:rsidRPr="00665B6A">
        <w:rPr>
          <w:rFonts w:ascii="Arial" w:eastAsia="Times New Roman" w:hAnsi="Arial" w:cs="Arial"/>
          <w:lang w:eastAsia="en-GB"/>
        </w:rPr>
        <w:t>Cichy</w:t>
      </w:r>
      <w:proofErr w:type="spellEnd"/>
      <w:r w:rsidRPr="00665B6A">
        <w:rPr>
          <w:rFonts w:ascii="Arial" w:eastAsia="Times New Roman" w:hAnsi="Arial" w:cs="Arial"/>
          <w:lang w:eastAsia="en-GB"/>
        </w:rPr>
        <w:t xml:space="preserve">, R.F. (2023). Impact of indoor environmental quality on hotel guests’ </w:t>
      </w:r>
      <w:proofErr w:type="spellStart"/>
      <w:r w:rsidRPr="00665B6A">
        <w:rPr>
          <w:rFonts w:ascii="Arial" w:eastAsia="Times New Roman" w:hAnsi="Arial" w:cs="Arial"/>
          <w:lang w:eastAsia="en-GB"/>
        </w:rPr>
        <w:t>behaviors</w:t>
      </w:r>
      <w:proofErr w:type="spellEnd"/>
      <w:r w:rsidRPr="00665B6A">
        <w:rPr>
          <w:rFonts w:ascii="Arial" w:eastAsia="Times New Roman" w:hAnsi="Arial" w:cs="Arial"/>
          <w:lang w:eastAsia="en-GB"/>
        </w:rPr>
        <w:t xml:space="preserve">. </w:t>
      </w:r>
      <w:r w:rsidRPr="00665B6A">
        <w:rPr>
          <w:rFonts w:ascii="Arial" w:eastAsia="Times New Roman" w:hAnsi="Arial" w:cs="Arial"/>
          <w:i/>
          <w:iCs/>
          <w:lang w:eastAsia="en-GB"/>
        </w:rPr>
        <w:t>International Journal of Hospitality &amp; Tourism Administration</w:t>
      </w:r>
      <w:r w:rsidRPr="00665B6A">
        <w:rPr>
          <w:rFonts w:ascii="Arial" w:eastAsia="Times New Roman" w:hAnsi="Arial" w:cs="Arial"/>
          <w:lang w:eastAsia="en-GB"/>
        </w:rPr>
        <w:t xml:space="preserve">, </w:t>
      </w:r>
      <w:r w:rsidRPr="00665B6A">
        <w:rPr>
          <w:rFonts w:ascii="Arial" w:eastAsia="Times New Roman" w:hAnsi="Arial" w:cs="Arial"/>
          <w:i/>
          <w:iCs/>
          <w:lang w:eastAsia="en-GB"/>
        </w:rPr>
        <w:t>24</w:t>
      </w:r>
      <w:r w:rsidRPr="00665B6A">
        <w:rPr>
          <w:rFonts w:ascii="Arial" w:eastAsia="Times New Roman" w:hAnsi="Arial" w:cs="Arial"/>
          <w:lang w:eastAsia="en-GB"/>
        </w:rPr>
        <w:t>(2), pp.288-313.</w:t>
      </w:r>
    </w:p>
    <w:p w14:paraId="49CCB087" w14:textId="77777777" w:rsidR="00A803C5" w:rsidRPr="00665B6A" w:rsidRDefault="00A803C5" w:rsidP="00665B6A">
      <w:pPr>
        <w:rPr>
          <w:rFonts w:ascii="Arial" w:hAnsi="Arial" w:cs="Arial"/>
        </w:rPr>
      </w:pPr>
      <w:r w:rsidRPr="00665B6A">
        <w:rPr>
          <w:rFonts w:ascii="Arial" w:eastAsia="Times New Roman" w:hAnsi="Arial" w:cs="Arial"/>
          <w:lang w:eastAsia="en-GB"/>
        </w:rPr>
        <w:t xml:space="preserve">Krishnamurthy, A., Adebayo, B., </w:t>
      </w:r>
      <w:proofErr w:type="spellStart"/>
      <w:r w:rsidRPr="00665B6A">
        <w:rPr>
          <w:rFonts w:ascii="Arial" w:eastAsia="Times New Roman" w:hAnsi="Arial" w:cs="Arial"/>
          <w:lang w:eastAsia="en-GB"/>
        </w:rPr>
        <w:t>Gelles</w:t>
      </w:r>
      <w:proofErr w:type="spellEnd"/>
      <w:r w:rsidRPr="00665B6A">
        <w:rPr>
          <w:rFonts w:ascii="Arial" w:eastAsia="Times New Roman" w:hAnsi="Arial" w:cs="Arial"/>
          <w:lang w:eastAsia="en-GB"/>
        </w:rPr>
        <w:t xml:space="preserve">, T., </w:t>
      </w:r>
      <w:proofErr w:type="spellStart"/>
      <w:r w:rsidRPr="00665B6A">
        <w:rPr>
          <w:rFonts w:ascii="Arial" w:eastAsia="Times New Roman" w:hAnsi="Arial" w:cs="Arial"/>
          <w:lang w:eastAsia="en-GB"/>
        </w:rPr>
        <w:t>Rownaghi</w:t>
      </w:r>
      <w:proofErr w:type="spellEnd"/>
      <w:r w:rsidRPr="00665B6A">
        <w:rPr>
          <w:rFonts w:ascii="Arial" w:eastAsia="Times New Roman" w:hAnsi="Arial" w:cs="Arial"/>
          <w:lang w:eastAsia="en-GB"/>
        </w:rPr>
        <w:t xml:space="preserve">, A. and </w:t>
      </w:r>
      <w:proofErr w:type="spellStart"/>
      <w:r w:rsidRPr="00665B6A">
        <w:rPr>
          <w:rFonts w:ascii="Arial" w:eastAsia="Times New Roman" w:hAnsi="Arial" w:cs="Arial"/>
          <w:lang w:eastAsia="en-GB"/>
        </w:rPr>
        <w:t>Rezaei</w:t>
      </w:r>
      <w:proofErr w:type="spellEnd"/>
      <w:r w:rsidRPr="00665B6A">
        <w:rPr>
          <w:rFonts w:ascii="Arial" w:eastAsia="Times New Roman" w:hAnsi="Arial" w:cs="Arial"/>
          <w:lang w:eastAsia="en-GB"/>
        </w:rPr>
        <w:t xml:space="preserve">, F. (2020). Abatement of gaseous volatile organic compounds: A process perspective. </w:t>
      </w:r>
      <w:r w:rsidRPr="00665B6A">
        <w:rPr>
          <w:rFonts w:ascii="Arial" w:eastAsia="Times New Roman" w:hAnsi="Arial" w:cs="Arial"/>
          <w:i/>
          <w:iCs/>
          <w:lang w:eastAsia="en-GB"/>
        </w:rPr>
        <w:t>Catalysis Today</w:t>
      </w:r>
      <w:r w:rsidRPr="00665B6A">
        <w:rPr>
          <w:rFonts w:ascii="Arial" w:eastAsia="Times New Roman" w:hAnsi="Arial" w:cs="Arial"/>
          <w:lang w:eastAsia="en-GB"/>
        </w:rPr>
        <w:t xml:space="preserve">, </w:t>
      </w:r>
      <w:r w:rsidRPr="00665B6A">
        <w:rPr>
          <w:rFonts w:ascii="Arial" w:eastAsia="Times New Roman" w:hAnsi="Arial" w:cs="Arial"/>
          <w:i/>
          <w:iCs/>
          <w:lang w:eastAsia="en-GB"/>
        </w:rPr>
        <w:t>350</w:t>
      </w:r>
      <w:r w:rsidRPr="00665B6A">
        <w:rPr>
          <w:rFonts w:ascii="Arial" w:eastAsia="Times New Roman" w:hAnsi="Arial" w:cs="Arial"/>
          <w:lang w:eastAsia="en-GB"/>
        </w:rPr>
        <w:t>, pp.100-119.</w:t>
      </w:r>
    </w:p>
    <w:p w14:paraId="4C9CF526" w14:textId="77777777" w:rsidR="00A803C5" w:rsidRPr="00665B6A" w:rsidRDefault="00A803C5" w:rsidP="00665B6A">
      <w:pPr>
        <w:rPr>
          <w:rFonts w:ascii="Arial" w:hAnsi="Arial" w:cs="Arial"/>
        </w:rPr>
      </w:pPr>
      <w:r w:rsidRPr="00665B6A">
        <w:rPr>
          <w:rFonts w:ascii="Arial" w:eastAsia="Times New Roman" w:hAnsi="Arial" w:cs="Arial"/>
          <w:lang w:eastAsia="en-GB"/>
        </w:rPr>
        <w:t xml:space="preserve">Lin, N., </w:t>
      </w:r>
      <w:proofErr w:type="spellStart"/>
      <w:r w:rsidRPr="00665B6A">
        <w:rPr>
          <w:rFonts w:ascii="Arial" w:eastAsia="Times New Roman" w:hAnsi="Arial" w:cs="Arial"/>
          <w:lang w:eastAsia="en-GB"/>
        </w:rPr>
        <w:t>Rosemberg</w:t>
      </w:r>
      <w:proofErr w:type="spellEnd"/>
      <w:r w:rsidRPr="00665B6A">
        <w:rPr>
          <w:rFonts w:ascii="Arial" w:eastAsia="Times New Roman" w:hAnsi="Arial" w:cs="Arial"/>
          <w:lang w:eastAsia="en-GB"/>
        </w:rPr>
        <w:t>, M.A., Li, W., Meza</w:t>
      </w:r>
      <w:r w:rsidRPr="00665B6A">
        <w:rPr>
          <w:rFonts w:ascii="Cambria Math" w:eastAsia="Times New Roman" w:hAnsi="Cambria Math" w:cs="Cambria Math"/>
          <w:lang w:eastAsia="en-GB"/>
        </w:rPr>
        <w:t>‐</w:t>
      </w:r>
      <w:r w:rsidRPr="00665B6A">
        <w:rPr>
          <w:rFonts w:ascii="Arial" w:eastAsia="Times New Roman" w:hAnsi="Arial" w:cs="Arial"/>
          <w:lang w:eastAsia="en-GB"/>
        </w:rPr>
        <w:t xml:space="preserve">Wilson, E., Godwin, C. and </w:t>
      </w:r>
      <w:proofErr w:type="spellStart"/>
      <w:r w:rsidRPr="00665B6A">
        <w:rPr>
          <w:rFonts w:ascii="Arial" w:eastAsia="Times New Roman" w:hAnsi="Arial" w:cs="Arial"/>
          <w:lang w:eastAsia="en-GB"/>
        </w:rPr>
        <w:t>Batterman</w:t>
      </w:r>
      <w:proofErr w:type="spellEnd"/>
      <w:r w:rsidRPr="00665B6A">
        <w:rPr>
          <w:rFonts w:ascii="Arial" w:eastAsia="Times New Roman" w:hAnsi="Arial" w:cs="Arial"/>
          <w:lang w:eastAsia="en-GB"/>
        </w:rPr>
        <w:t xml:space="preserve">, S. (2021). Occupational exposure and health risks of volatile organic compounds of hotel housekeepers: Field measurements of exposure and health risks. </w:t>
      </w:r>
      <w:r w:rsidRPr="00665B6A">
        <w:rPr>
          <w:rFonts w:ascii="Arial" w:eastAsia="Times New Roman" w:hAnsi="Arial" w:cs="Arial"/>
          <w:i/>
          <w:iCs/>
          <w:lang w:eastAsia="en-GB"/>
        </w:rPr>
        <w:t>Indoor Air</w:t>
      </w:r>
      <w:r w:rsidRPr="00665B6A">
        <w:rPr>
          <w:rFonts w:ascii="Arial" w:eastAsia="Times New Roman" w:hAnsi="Arial" w:cs="Arial"/>
          <w:lang w:eastAsia="en-GB"/>
        </w:rPr>
        <w:t xml:space="preserve">, </w:t>
      </w:r>
      <w:r w:rsidRPr="00665B6A">
        <w:rPr>
          <w:rFonts w:ascii="Arial" w:eastAsia="Times New Roman" w:hAnsi="Arial" w:cs="Arial"/>
          <w:i/>
          <w:iCs/>
          <w:lang w:eastAsia="en-GB"/>
        </w:rPr>
        <w:t>31</w:t>
      </w:r>
      <w:r w:rsidRPr="00665B6A">
        <w:rPr>
          <w:rFonts w:ascii="Arial" w:eastAsia="Times New Roman" w:hAnsi="Arial" w:cs="Arial"/>
          <w:lang w:eastAsia="en-GB"/>
        </w:rPr>
        <w:t>(1), pp.26-39.</w:t>
      </w:r>
    </w:p>
    <w:p w14:paraId="3C757EEF" w14:textId="77777777" w:rsidR="00A803C5" w:rsidRPr="00665B6A" w:rsidRDefault="00A803C5" w:rsidP="00665B6A">
      <w:pPr>
        <w:rPr>
          <w:rFonts w:ascii="Arial" w:hAnsi="Arial" w:cs="Arial"/>
        </w:rPr>
      </w:pPr>
      <w:r w:rsidRPr="00665B6A">
        <w:rPr>
          <w:rFonts w:ascii="Arial" w:eastAsia="Times New Roman" w:hAnsi="Arial" w:cs="Arial"/>
          <w:lang w:eastAsia="en-GB"/>
        </w:rPr>
        <w:t>Marin-</w:t>
      </w:r>
      <w:proofErr w:type="spellStart"/>
      <w:r w:rsidRPr="00665B6A">
        <w:rPr>
          <w:rFonts w:ascii="Arial" w:eastAsia="Times New Roman" w:hAnsi="Arial" w:cs="Arial"/>
          <w:lang w:eastAsia="en-GB"/>
        </w:rPr>
        <w:t>Pantelescu</w:t>
      </w:r>
      <w:proofErr w:type="spellEnd"/>
      <w:r w:rsidRPr="00665B6A">
        <w:rPr>
          <w:rFonts w:ascii="Arial" w:eastAsia="Times New Roman" w:hAnsi="Arial" w:cs="Arial"/>
          <w:lang w:eastAsia="en-GB"/>
        </w:rPr>
        <w:t xml:space="preserve">, A. (2021). CSR in the Tourism Industry. In </w:t>
      </w:r>
      <w:r w:rsidRPr="00665B6A">
        <w:rPr>
          <w:rFonts w:ascii="Arial" w:eastAsia="Times New Roman" w:hAnsi="Arial" w:cs="Arial"/>
          <w:i/>
          <w:iCs/>
          <w:lang w:eastAsia="en-GB"/>
        </w:rPr>
        <w:t>CSR and Management Accounting Challenges in a Time of Global Crises</w:t>
      </w:r>
      <w:r w:rsidRPr="00665B6A">
        <w:rPr>
          <w:rFonts w:ascii="Arial" w:eastAsia="Times New Roman" w:hAnsi="Arial" w:cs="Arial"/>
          <w:lang w:eastAsia="en-GB"/>
        </w:rPr>
        <w:t xml:space="preserve"> (pp. 103-127). IGI Global.</w:t>
      </w:r>
    </w:p>
    <w:p w14:paraId="02935F49" w14:textId="77777777" w:rsidR="00A803C5" w:rsidRPr="00665B6A" w:rsidRDefault="00A803C5" w:rsidP="00665B6A">
      <w:pPr>
        <w:pStyle w:val="NormalWeb"/>
        <w:spacing w:before="0" w:beforeAutospacing="0" w:after="240" w:afterAutospacing="0" w:line="360" w:lineRule="auto"/>
        <w:jc w:val="both"/>
        <w:rPr>
          <w:rFonts w:ascii="Arial" w:hAnsi="Arial" w:cs="Arial"/>
        </w:rPr>
      </w:pPr>
      <w:r w:rsidRPr="00665B6A">
        <w:rPr>
          <w:rFonts w:ascii="Arial" w:hAnsi="Arial" w:cs="Arial"/>
        </w:rPr>
        <w:t xml:space="preserve">Marriott (2024). </w:t>
      </w:r>
      <w:r w:rsidRPr="00665B6A">
        <w:rPr>
          <w:rFonts w:ascii="Arial" w:hAnsi="Arial" w:cs="Arial"/>
          <w:i/>
          <w:iCs/>
        </w:rPr>
        <w:t>Sustain responsible operations</w:t>
      </w:r>
      <w:r w:rsidRPr="00665B6A">
        <w:rPr>
          <w:rFonts w:ascii="Arial" w:hAnsi="Arial" w:cs="Arial"/>
        </w:rPr>
        <w:t xml:space="preserve">. [online] </w:t>
      </w:r>
      <w:proofErr w:type="spellStart"/>
      <w:r w:rsidRPr="00665B6A">
        <w:rPr>
          <w:rFonts w:ascii="Arial" w:hAnsi="Arial" w:cs="Arial"/>
        </w:rPr>
        <w:t>csr-marriott</w:t>
      </w:r>
      <w:proofErr w:type="spellEnd"/>
      <w:r w:rsidRPr="00665B6A">
        <w:rPr>
          <w:rFonts w:ascii="Arial" w:hAnsi="Arial" w:cs="Arial"/>
        </w:rPr>
        <w:t>. Available at: https://serve360.marriott.com/sustain/ [Accessed 12 Nov. 2024].</w:t>
      </w:r>
    </w:p>
    <w:p w14:paraId="6ABB196E" w14:textId="77777777" w:rsidR="00A803C5" w:rsidRPr="00665B6A" w:rsidRDefault="00A803C5" w:rsidP="00665B6A">
      <w:pPr>
        <w:pStyle w:val="NormalWeb"/>
        <w:spacing w:before="0" w:beforeAutospacing="0" w:after="240" w:afterAutospacing="0" w:line="360" w:lineRule="auto"/>
        <w:jc w:val="both"/>
        <w:rPr>
          <w:rFonts w:ascii="Arial" w:hAnsi="Arial" w:cs="Arial"/>
        </w:rPr>
      </w:pPr>
      <w:r w:rsidRPr="00665B6A">
        <w:rPr>
          <w:rFonts w:ascii="Arial" w:hAnsi="Arial" w:cs="Arial"/>
        </w:rPr>
        <w:t xml:space="preserve">Marriott International (2023). </w:t>
      </w:r>
      <w:proofErr w:type="spellStart"/>
      <w:r w:rsidRPr="00665B6A">
        <w:rPr>
          <w:rFonts w:ascii="Arial" w:hAnsi="Arial" w:cs="Arial"/>
          <w:i/>
          <w:iCs/>
        </w:rPr>
        <w:t>csr-marriott</w:t>
      </w:r>
      <w:proofErr w:type="spellEnd"/>
      <w:r w:rsidRPr="00665B6A">
        <w:rPr>
          <w:rFonts w:ascii="Arial" w:hAnsi="Arial" w:cs="Arial"/>
        </w:rPr>
        <w:t xml:space="preserve">. [online] </w:t>
      </w:r>
      <w:proofErr w:type="spellStart"/>
      <w:r w:rsidRPr="00665B6A">
        <w:rPr>
          <w:rFonts w:ascii="Arial" w:hAnsi="Arial" w:cs="Arial"/>
        </w:rPr>
        <w:t>csr-marriott</w:t>
      </w:r>
      <w:proofErr w:type="spellEnd"/>
      <w:r w:rsidRPr="00665B6A">
        <w:rPr>
          <w:rFonts w:ascii="Arial" w:hAnsi="Arial" w:cs="Arial"/>
        </w:rPr>
        <w:t>. Available at: https://serve360.marriott.com/ [Accessed 12 Nov. 2024].</w:t>
      </w:r>
    </w:p>
    <w:p w14:paraId="26CB8DB9" w14:textId="77777777" w:rsidR="00A803C5" w:rsidRPr="00665B6A" w:rsidRDefault="00A803C5" w:rsidP="00665B6A">
      <w:pPr>
        <w:rPr>
          <w:rFonts w:ascii="Arial" w:hAnsi="Arial" w:cs="Arial"/>
        </w:rPr>
      </w:pPr>
      <w:r w:rsidRPr="00665B6A">
        <w:rPr>
          <w:rFonts w:ascii="Arial" w:eastAsia="Times New Roman" w:hAnsi="Arial" w:cs="Arial"/>
          <w:lang w:eastAsia="en-GB"/>
        </w:rPr>
        <w:t xml:space="preserve">Prakash, S., Sharma, V.P., Singh, R. and </w:t>
      </w:r>
      <w:proofErr w:type="spellStart"/>
      <w:r w:rsidRPr="00665B6A">
        <w:rPr>
          <w:rFonts w:ascii="Arial" w:eastAsia="Times New Roman" w:hAnsi="Arial" w:cs="Arial"/>
          <w:lang w:eastAsia="en-GB"/>
        </w:rPr>
        <w:t>Vijayvargy</w:t>
      </w:r>
      <w:proofErr w:type="spellEnd"/>
      <w:r w:rsidRPr="00665B6A">
        <w:rPr>
          <w:rFonts w:ascii="Arial" w:eastAsia="Times New Roman" w:hAnsi="Arial" w:cs="Arial"/>
          <w:lang w:eastAsia="en-GB"/>
        </w:rPr>
        <w:t xml:space="preserve">, L. (2022). Adopting green and sustainable practices in the hotel industry operations-an analysis of critical performance indicators for improved environmental quality. </w:t>
      </w:r>
      <w:r w:rsidRPr="00665B6A">
        <w:rPr>
          <w:rFonts w:ascii="Arial" w:eastAsia="Times New Roman" w:hAnsi="Arial" w:cs="Arial"/>
          <w:i/>
          <w:iCs/>
          <w:lang w:eastAsia="en-GB"/>
        </w:rPr>
        <w:t>Management of Environmental Quality: An International Journal</w:t>
      </w:r>
      <w:r w:rsidRPr="00665B6A">
        <w:rPr>
          <w:rFonts w:ascii="Arial" w:eastAsia="Times New Roman" w:hAnsi="Arial" w:cs="Arial"/>
          <w:lang w:eastAsia="en-GB"/>
        </w:rPr>
        <w:t xml:space="preserve">, </w:t>
      </w:r>
      <w:r w:rsidRPr="00665B6A">
        <w:rPr>
          <w:rFonts w:ascii="Arial" w:eastAsia="Times New Roman" w:hAnsi="Arial" w:cs="Arial"/>
          <w:i/>
          <w:iCs/>
          <w:lang w:eastAsia="en-GB"/>
        </w:rPr>
        <w:t>34</w:t>
      </w:r>
      <w:r w:rsidRPr="00665B6A">
        <w:rPr>
          <w:rFonts w:ascii="Arial" w:eastAsia="Times New Roman" w:hAnsi="Arial" w:cs="Arial"/>
          <w:lang w:eastAsia="en-GB"/>
        </w:rPr>
        <w:t>(4), pp.1057-1076.</w:t>
      </w:r>
    </w:p>
    <w:p w14:paraId="6A08A6E1" w14:textId="77777777" w:rsidR="00A803C5" w:rsidRPr="00665B6A" w:rsidRDefault="00A803C5" w:rsidP="00665B6A">
      <w:pPr>
        <w:rPr>
          <w:rFonts w:ascii="Arial" w:hAnsi="Arial" w:cs="Arial"/>
        </w:rPr>
      </w:pPr>
      <w:r w:rsidRPr="00665B6A">
        <w:rPr>
          <w:rFonts w:ascii="Arial" w:eastAsia="Times New Roman" w:hAnsi="Arial" w:cs="Arial"/>
          <w:lang w:eastAsia="en-GB"/>
        </w:rPr>
        <w:t xml:space="preserve">Rivera, G. (2024). </w:t>
      </w:r>
      <w:r w:rsidRPr="00665B6A">
        <w:rPr>
          <w:rFonts w:ascii="Arial" w:eastAsia="Times New Roman" w:hAnsi="Arial" w:cs="Arial"/>
          <w:i/>
          <w:iCs/>
          <w:lang w:eastAsia="en-GB"/>
        </w:rPr>
        <w:t>Building a Healthy Home: A Comparative Life-Cycle Analysis of Energy-Efficient and for the Degree of Master of Liberal Arts in Extension Studies Low-VOC Retrofits</w:t>
      </w:r>
      <w:r w:rsidRPr="00665B6A">
        <w:rPr>
          <w:rFonts w:ascii="Arial" w:eastAsia="Times New Roman" w:hAnsi="Arial" w:cs="Arial"/>
          <w:lang w:eastAsia="en-GB"/>
        </w:rPr>
        <w:t xml:space="preserve"> (Doctoral dissertation, Harvard University).</w:t>
      </w:r>
    </w:p>
    <w:p w14:paraId="68F6FA2D" w14:textId="77777777" w:rsidR="00A803C5" w:rsidRPr="00665B6A" w:rsidRDefault="00A803C5" w:rsidP="00665B6A">
      <w:pPr>
        <w:rPr>
          <w:rFonts w:ascii="Arial" w:hAnsi="Arial" w:cs="Arial"/>
        </w:rPr>
      </w:pPr>
      <w:proofErr w:type="spellStart"/>
      <w:r w:rsidRPr="00665B6A">
        <w:rPr>
          <w:rFonts w:ascii="Arial" w:eastAsia="Times New Roman" w:hAnsi="Arial" w:cs="Arial"/>
          <w:lang w:eastAsia="en-GB"/>
        </w:rPr>
        <w:t>Sakkas</w:t>
      </w:r>
      <w:proofErr w:type="spellEnd"/>
      <w:r w:rsidRPr="00665B6A">
        <w:rPr>
          <w:rFonts w:ascii="Arial" w:eastAsia="Times New Roman" w:hAnsi="Arial" w:cs="Arial"/>
          <w:lang w:eastAsia="en-GB"/>
        </w:rPr>
        <w:t xml:space="preserve">, A. (2022). </w:t>
      </w:r>
      <w:r w:rsidRPr="00665B6A">
        <w:rPr>
          <w:rFonts w:ascii="Arial" w:eastAsia="Times New Roman" w:hAnsi="Arial" w:cs="Arial"/>
          <w:i/>
          <w:iCs/>
          <w:lang w:eastAsia="en-GB"/>
        </w:rPr>
        <w:t>Exploring the indoor air quality requirements according to national and international standards</w:t>
      </w:r>
      <w:r w:rsidRPr="00665B6A">
        <w:rPr>
          <w:rFonts w:ascii="Arial" w:eastAsia="Times New Roman" w:hAnsi="Arial" w:cs="Arial"/>
          <w:lang w:eastAsia="en-GB"/>
        </w:rPr>
        <w:t xml:space="preserve"> (Doctoral dissertation, </w:t>
      </w:r>
      <w:proofErr w:type="spellStart"/>
      <w:r w:rsidRPr="00665B6A">
        <w:rPr>
          <w:rFonts w:ascii="Arial" w:eastAsia="Times New Roman" w:hAnsi="Arial" w:cs="Arial"/>
          <w:lang w:eastAsia="en-GB"/>
        </w:rPr>
        <w:t>Technische</w:t>
      </w:r>
      <w:proofErr w:type="spellEnd"/>
      <w:r w:rsidRPr="00665B6A">
        <w:rPr>
          <w:rFonts w:ascii="Arial" w:eastAsia="Times New Roman" w:hAnsi="Arial" w:cs="Arial"/>
          <w:lang w:eastAsia="en-GB"/>
        </w:rPr>
        <w:t xml:space="preserve"> </w:t>
      </w:r>
      <w:proofErr w:type="spellStart"/>
      <w:r w:rsidRPr="00665B6A">
        <w:rPr>
          <w:rFonts w:ascii="Arial" w:eastAsia="Times New Roman" w:hAnsi="Arial" w:cs="Arial"/>
          <w:lang w:eastAsia="en-GB"/>
        </w:rPr>
        <w:t>Universität</w:t>
      </w:r>
      <w:proofErr w:type="spellEnd"/>
      <w:r w:rsidRPr="00665B6A">
        <w:rPr>
          <w:rFonts w:ascii="Arial" w:eastAsia="Times New Roman" w:hAnsi="Arial" w:cs="Arial"/>
          <w:lang w:eastAsia="en-GB"/>
        </w:rPr>
        <w:t xml:space="preserve"> Wien).</w:t>
      </w:r>
    </w:p>
    <w:p w14:paraId="65E87486" w14:textId="77777777" w:rsidR="00A803C5" w:rsidRPr="00665B6A" w:rsidRDefault="00A803C5" w:rsidP="00665B6A">
      <w:pPr>
        <w:rPr>
          <w:rFonts w:ascii="Arial" w:hAnsi="Arial" w:cs="Arial"/>
        </w:rPr>
      </w:pPr>
      <w:r w:rsidRPr="00665B6A">
        <w:rPr>
          <w:rFonts w:ascii="Arial" w:eastAsia="Times New Roman" w:hAnsi="Arial" w:cs="Arial"/>
          <w:lang w:eastAsia="en-GB"/>
        </w:rPr>
        <w:t xml:space="preserve">Zhang, J., Chen, W., Liu, N., </w:t>
      </w:r>
      <w:proofErr w:type="spellStart"/>
      <w:r w:rsidRPr="00665B6A">
        <w:rPr>
          <w:rFonts w:ascii="Arial" w:eastAsia="Times New Roman" w:hAnsi="Arial" w:cs="Arial"/>
          <w:lang w:eastAsia="en-GB"/>
        </w:rPr>
        <w:t>Guo</w:t>
      </w:r>
      <w:proofErr w:type="spellEnd"/>
      <w:r w:rsidRPr="00665B6A">
        <w:rPr>
          <w:rFonts w:ascii="Arial" w:eastAsia="Times New Roman" w:hAnsi="Arial" w:cs="Arial"/>
          <w:lang w:eastAsia="en-GB"/>
        </w:rPr>
        <w:t xml:space="preserve">, B.B. and Zhang, Y. (2021). Testing and Reducing VOC Emissions from Building Materials and Furniture to Improve Indoor Air Quality. In </w:t>
      </w:r>
      <w:r w:rsidRPr="00665B6A">
        <w:rPr>
          <w:rFonts w:ascii="Arial" w:eastAsia="Times New Roman" w:hAnsi="Arial" w:cs="Arial"/>
          <w:i/>
          <w:iCs/>
          <w:lang w:eastAsia="en-GB"/>
        </w:rPr>
        <w:t>Handbook of Indoor Air Quality</w:t>
      </w:r>
      <w:r w:rsidRPr="00665B6A">
        <w:rPr>
          <w:rFonts w:ascii="Arial" w:eastAsia="Times New Roman" w:hAnsi="Arial" w:cs="Arial"/>
          <w:lang w:eastAsia="en-GB"/>
        </w:rPr>
        <w:t xml:space="preserve"> (pp. 1-46). Singapore: Springer Singapore.</w:t>
      </w:r>
    </w:p>
    <w:p w14:paraId="21CB3344" w14:textId="77777777" w:rsidR="00A803C5" w:rsidRPr="00665B6A" w:rsidRDefault="00A803C5" w:rsidP="00665B6A">
      <w:pPr>
        <w:rPr>
          <w:rFonts w:ascii="Arial" w:hAnsi="Arial" w:cs="Arial"/>
        </w:rPr>
      </w:pPr>
      <w:r w:rsidRPr="00665B6A">
        <w:rPr>
          <w:rFonts w:ascii="Arial" w:eastAsia="Times New Roman" w:hAnsi="Arial" w:cs="Arial"/>
          <w:lang w:eastAsia="en-GB"/>
        </w:rPr>
        <w:t xml:space="preserve">Zhou, X. (2022). Volatile organic compound emissions in building materials. In </w:t>
      </w:r>
      <w:r w:rsidRPr="00665B6A">
        <w:rPr>
          <w:rFonts w:ascii="Arial" w:eastAsia="Times New Roman" w:hAnsi="Arial" w:cs="Arial"/>
          <w:i/>
          <w:iCs/>
          <w:lang w:eastAsia="en-GB"/>
        </w:rPr>
        <w:t>Advances in the Toxicity of Construction and Building Materials</w:t>
      </w:r>
      <w:r w:rsidRPr="00665B6A">
        <w:rPr>
          <w:rFonts w:ascii="Arial" w:eastAsia="Times New Roman" w:hAnsi="Arial" w:cs="Arial"/>
          <w:lang w:eastAsia="en-GB"/>
        </w:rPr>
        <w:t xml:space="preserve"> (pp. 55-77). </w:t>
      </w:r>
      <w:proofErr w:type="spellStart"/>
      <w:r w:rsidRPr="00665B6A">
        <w:rPr>
          <w:rFonts w:ascii="Arial" w:eastAsia="Times New Roman" w:hAnsi="Arial" w:cs="Arial"/>
          <w:lang w:eastAsia="en-GB"/>
        </w:rPr>
        <w:t>Woodhead</w:t>
      </w:r>
      <w:proofErr w:type="spellEnd"/>
      <w:r w:rsidRPr="00665B6A">
        <w:rPr>
          <w:rFonts w:ascii="Arial" w:eastAsia="Times New Roman" w:hAnsi="Arial" w:cs="Arial"/>
          <w:lang w:eastAsia="en-GB"/>
        </w:rPr>
        <w:t xml:space="preserve"> Publishing.</w:t>
      </w:r>
    </w:p>
    <w:bookmarkEnd w:id="0"/>
    <w:p w14:paraId="2290D006" w14:textId="77777777" w:rsidR="00855137" w:rsidRPr="00665B6A" w:rsidRDefault="00855137" w:rsidP="00665B6A">
      <w:pPr>
        <w:rPr>
          <w:rFonts w:ascii="Arial" w:hAnsi="Arial" w:cs="Arial"/>
        </w:rPr>
      </w:pPr>
    </w:p>
    <w:sectPr w:rsidR="00855137" w:rsidRPr="00665B6A" w:rsidSect="00E80E3C">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A5C00A" w14:textId="77777777" w:rsidR="00967435" w:rsidRDefault="00967435" w:rsidP="005725B0">
      <w:pPr>
        <w:spacing w:after="0" w:line="240" w:lineRule="auto"/>
      </w:pPr>
      <w:r>
        <w:separator/>
      </w:r>
    </w:p>
  </w:endnote>
  <w:endnote w:type="continuationSeparator" w:id="0">
    <w:p w14:paraId="2560D4CA" w14:textId="77777777" w:rsidR="00967435" w:rsidRDefault="00967435" w:rsidP="0057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0691496"/>
      <w:docPartObj>
        <w:docPartGallery w:val="Page Numbers (Bottom of Page)"/>
        <w:docPartUnique/>
      </w:docPartObj>
    </w:sdtPr>
    <w:sdtEndPr/>
    <w:sdtContent>
      <w:p w14:paraId="0F203609" w14:textId="775F511E" w:rsidR="005725B0" w:rsidRDefault="005725B0">
        <w:pPr>
          <w:pStyle w:val="Footer"/>
          <w:jc w:val="right"/>
        </w:pPr>
        <w:r>
          <w:fldChar w:fldCharType="begin"/>
        </w:r>
        <w:r>
          <w:instrText>PAGE   \* MERGEFORMAT</w:instrText>
        </w:r>
        <w:r>
          <w:fldChar w:fldCharType="separate"/>
        </w:r>
        <w:r>
          <w:t>2</w:t>
        </w:r>
        <w:r>
          <w:fldChar w:fldCharType="end"/>
        </w:r>
      </w:p>
    </w:sdtContent>
  </w:sdt>
  <w:p w14:paraId="153E0DA0" w14:textId="77777777" w:rsidR="005725B0" w:rsidRDefault="00572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98D12F" w14:textId="77777777" w:rsidR="00967435" w:rsidRDefault="00967435" w:rsidP="005725B0">
      <w:pPr>
        <w:spacing w:after="0" w:line="240" w:lineRule="auto"/>
      </w:pPr>
      <w:r>
        <w:separator/>
      </w:r>
    </w:p>
  </w:footnote>
  <w:footnote w:type="continuationSeparator" w:id="0">
    <w:p w14:paraId="25089C07" w14:textId="77777777" w:rsidR="00967435" w:rsidRDefault="00967435" w:rsidP="0057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D04CA6"/>
    <w:multiLevelType w:val="hybridMultilevel"/>
    <w:tmpl w:val="9A506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877408"/>
    <w:multiLevelType w:val="hybridMultilevel"/>
    <w:tmpl w:val="7012D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8656792">
    <w:abstractNumId w:val="0"/>
  </w:num>
  <w:num w:numId="2" w16cid:durableId="2116554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2"/>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WwNDQ0NTewNAfyLJR0lIJTi4sz8/NACoxqAYDxsr0sAAAA"/>
  </w:docVars>
  <w:rsids>
    <w:rsidRoot w:val="002D6BE3"/>
    <w:rsid w:val="000126C1"/>
    <w:rsid w:val="000345A9"/>
    <w:rsid w:val="00062ED8"/>
    <w:rsid w:val="000A5EEE"/>
    <w:rsid w:val="000E4457"/>
    <w:rsid w:val="000E5953"/>
    <w:rsid w:val="0011341F"/>
    <w:rsid w:val="001136B1"/>
    <w:rsid w:val="00151172"/>
    <w:rsid w:val="00162895"/>
    <w:rsid w:val="001747A4"/>
    <w:rsid w:val="0017675B"/>
    <w:rsid w:val="00177D24"/>
    <w:rsid w:val="00192D37"/>
    <w:rsid w:val="001D3F7E"/>
    <w:rsid w:val="001D6733"/>
    <w:rsid w:val="001E2935"/>
    <w:rsid w:val="001F26FE"/>
    <w:rsid w:val="001F497F"/>
    <w:rsid w:val="002075FB"/>
    <w:rsid w:val="00214C52"/>
    <w:rsid w:val="002313E3"/>
    <w:rsid w:val="00256913"/>
    <w:rsid w:val="00275722"/>
    <w:rsid w:val="0029739B"/>
    <w:rsid w:val="002A0C92"/>
    <w:rsid w:val="002A16EF"/>
    <w:rsid w:val="002A3081"/>
    <w:rsid w:val="002D2820"/>
    <w:rsid w:val="002D6BE3"/>
    <w:rsid w:val="002E73F9"/>
    <w:rsid w:val="002F3BEE"/>
    <w:rsid w:val="002F3FF3"/>
    <w:rsid w:val="00302487"/>
    <w:rsid w:val="00302FC8"/>
    <w:rsid w:val="00304CB5"/>
    <w:rsid w:val="00305480"/>
    <w:rsid w:val="00387C5E"/>
    <w:rsid w:val="003C189E"/>
    <w:rsid w:val="003C4525"/>
    <w:rsid w:val="003E26AC"/>
    <w:rsid w:val="003E5B3F"/>
    <w:rsid w:val="0042520F"/>
    <w:rsid w:val="00436E95"/>
    <w:rsid w:val="00456BBF"/>
    <w:rsid w:val="00457823"/>
    <w:rsid w:val="00483E85"/>
    <w:rsid w:val="00495AC2"/>
    <w:rsid w:val="00496EF4"/>
    <w:rsid w:val="004A19D4"/>
    <w:rsid w:val="004A2803"/>
    <w:rsid w:val="004C464A"/>
    <w:rsid w:val="004C660A"/>
    <w:rsid w:val="00501953"/>
    <w:rsid w:val="00506E49"/>
    <w:rsid w:val="005121A3"/>
    <w:rsid w:val="00567470"/>
    <w:rsid w:val="005725B0"/>
    <w:rsid w:val="0057689B"/>
    <w:rsid w:val="00580126"/>
    <w:rsid w:val="00584E87"/>
    <w:rsid w:val="005A3D2B"/>
    <w:rsid w:val="005E163D"/>
    <w:rsid w:val="00600C00"/>
    <w:rsid w:val="00614381"/>
    <w:rsid w:val="006452E7"/>
    <w:rsid w:val="00645DA3"/>
    <w:rsid w:val="0065507C"/>
    <w:rsid w:val="00665B6A"/>
    <w:rsid w:val="00687042"/>
    <w:rsid w:val="006A0D28"/>
    <w:rsid w:val="006B40DE"/>
    <w:rsid w:val="006B4626"/>
    <w:rsid w:val="006E1720"/>
    <w:rsid w:val="006E6EDB"/>
    <w:rsid w:val="006F6B1D"/>
    <w:rsid w:val="00720A0B"/>
    <w:rsid w:val="00730A50"/>
    <w:rsid w:val="007429D6"/>
    <w:rsid w:val="00761944"/>
    <w:rsid w:val="007B0062"/>
    <w:rsid w:val="007B0621"/>
    <w:rsid w:val="007B5C75"/>
    <w:rsid w:val="007C058B"/>
    <w:rsid w:val="007C5B14"/>
    <w:rsid w:val="007D019F"/>
    <w:rsid w:val="007D10BB"/>
    <w:rsid w:val="007E629F"/>
    <w:rsid w:val="007E62ED"/>
    <w:rsid w:val="007F0A8B"/>
    <w:rsid w:val="007F763E"/>
    <w:rsid w:val="00831C55"/>
    <w:rsid w:val="00855137"/>
    <w:rsid w:val="00865DD8"/>
    <w:rsid w:val="008A2730"/>
    <w:rsid w:val="008B31C4"/>
    <w:rsid w:val="008B63CE"/>
    <w:rsid w:val="008E011E"/>
    <w:rsid w:val="008E7CBA"/>
    <w:rsid w:val="008F2982"/>
    <w:rsid w:val="008F57FD"/>
    <w:rsid w:val="00912AA3"/>
    <w:rsid w:val="00914627"/>
    <w:rsid w:val="00936203"/>
    <w:rsid w:val="00951701"/>
    <w:rsid w:val="00967435"/>
    <w:rsid w:val="00971A42"/>
    <w:rsid w:val="00974C71"/>
    <w:rsid w:val="0098628B"/>
    <w:rsid w:val="00996A89"/>
    <w:rsid w:val="009A6756"/>
    <w:rsid w:val="009C3895"/>
    <w:rsid w:val="009E0F70"/>
    <w:rsid w:val="00A26AA9"/>
    <w:rsid w:val="00A341A3"/>
    <w:rsid w:val="00A3518A"/>
    <w:rsid w:val="00A41D77"/>
    <w:rsid w:val="00A47FC8"/>
    <w:rsid w:val="00A527EA"/>
    <w:rsid w:val="00A60A01"/>
    <w:rsid w:val="00A803C5"/>
    <w:rsid w:val="00A95FBE"/>
    <w:rsid w:val="00AA17CA"/>
    <w:rsid w:val="00AB6910"/>
    <w:rsid w:val="00AF32FE"/>
    <w:rsid w:val="00B00262"/>
    <w:rsid w:val="00B00B94"/>
    <w:rsid w:val="00B10F98"/>
    <w:rsid w:val="00B11B11"/>
    <w:rsid w:val="00B137A7"/>
    <w:rsid w:val="00B31D4C"/>
    <w:rsid w:val="00B846E0"/>
    <w:rsid w:val="00BE473F"/>
    <w:rsid w:val="00BE7421"/>
    <w:rsid w:val="00BF051A"/>
    <w:rsid w:val="00C835FE"/>
    <w:rsid w:val="00C87761"/>
    <w:rsid w:val="00CA76F7"/>
    <w:rsid w:val="00CB4993"/>
    <w:rsid w:val="00CC1D1E"/>
    <w:rsid w:val="00CE0CA3"/>
    <w:rsid w:val="00CE7D0F"/>
    <w:rsid w:val="00D124A6"/>
    <w:rsid w:val="00D20D92"/>
    <w:rsid w:val="00D97012"/>
    <w:rsid w:val="00DB0174"/>
    <w:rsid w:val="00DB1E4D"/>
    <w:rsid w:val="00DE1F4B"/>
    <w:rsid w:val="00DF13A4"/>
    <w:rsid w:val="00DF2C18"/>
    <w:rsid w:val="00E11F52"/>
    <w:rsid w:val="00E20DF6"/>
    <w:rsid w:val="00E27AE6"/>
    <w:rsid w:val="00E80E3C"/>
    <w:rsid w:val="00EA67AC"/>
    <w:rsid w:val="00EA7AED"/>
    <w:rsid w:val="00EB43F3"/>
    <w:rsid w:val="00EB5433"/>
    <w:rsid w:val="00EC0DCD"/>
    <w:rsid w:val="00EC19BA"/>
    <w:rsid w:val="00F011CF"/>
    <w:rsid w:val="00F162EC"/>
    <w:rsid w:val="00F27A55"/>
    <w:rsid w:val="00F35FD5"/>
    <w:rsid w:val="00F63CE6"/>
    <w:rsid w:val="00FA34B2"/>
    <w:rsid w:val="00FA5506"/>
    <w:rsid w:val="00FB6238"/>
    <w:rsid w:val="00FD2A99"/>
    <w:rsid w:val="00FD36EE"/>
    <w:rsid w:val="00FE089F"/>
    <w:rsid w:val="00FF4F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86B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7B5C7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341A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2D6BE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D6BE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D6BE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D6BE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D6BE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D6BE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41A3"/>
    <w:rPr>
      <w:rFonts w:ascii="Times New Roman" w:eastAsiaTheme="majorEastAsia" w:hAnsi="Times New Roman" w:cstheme="majorBidi"/>
      <w:b/>
      <w:sz w:val="28"/>
      <w:szCs w:val="26"/>
      <w14:ligatures w14:val="none"/>
    </w:rPr>
  </w:style>
  <w:style w:type="character" w:customStyle="1" w:styleId="Heading1Char">
    <w:name w:val="Heading 1 Char"/>
    <w:basedOn w:val="DefaultParagraphFont"/>
    <w:link w:val="Heading1"/>
    <w:uiPriority w:val="9"/>
    <w:rsid w:val="007B5C75"/>
    <w:rPr>
      <w:rFonts w:ascii="Arial" w:eastAsiaTheme="majorEastAsia" w:hAnsi="Arial" w:cstheme="majorBidi"/>
      <w:b/>
      <w:sz w:val="32"/>
      <w:szCs w:val="32"/>
      <w14:ligatures w14:val="none"/>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2D6BE3"/>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2D6BE3"/>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2D6BE3"/>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2D6BE3"/>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2D6BE3"/>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2D6BE3"/>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2D6B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BE3"/>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2D6BE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BE3"/>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2D6BE3"/>
    <w:pPr>
      <w:spacing w:before="160"/>
      <w:jc w:val="center"/>
    </w:pPr>
    <w:rPr>
      <w:i/>
      <w:iCs/>
      <w:color w:val="404040" w:themeColor="text1" w:themeTint="BF"/>
    </w:rPr>
  </w:style>
  <w:style w:type="character" w:customStyle="1" w:styleId="QuoteChar">
    <w:name w:val="Quote Char"/>
    <w:basedOn w:val="DefaultParagraphFont"/>
    <w:link w:val="Quote"/>
    <w:uiPriority w:val="29"/>
    <w:rsid w:val="002D6BE3"/>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2D6BE3"/>
    <w:pPr>
      <w:ind w:left="720"/>
      <w:contextualSpacing/>
    </w:pPr>
  </w:style>
  <w:style w:type="character" w:styleId="IntenseEmphasis">
    <w:name w:val="Intense Emphasis"/>
    <w:basedOn w:val="DefaultParagraphFont"/>
    <w:uiPriority w:val="21"/>
    <w:qFormat/>
    <w:rsid w:val="002D6BE3"/>
    <w:rPr>
      <w:i/>
      <w:iCs/>
      <w:color w:val="0F4761" w:themeColor="accent1" w:themeShade="BF"/>
    </w:rPr>
  </w:style>
  <w:style w:type="paragraph" w:styleId="IntenseQuote">
    <w:name w:val="Intense Quote"/>
    <w:basedOn w:val="Normal"/>
    <w:next w:val="Normal"/>
    <w:link w:val="IntenseQuoteChar"/>
    <w:uiPriority w:val="30"/>
    <w:qFormat/>
    <w:rsid w:val="002D6B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BE3"/>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2D6BE3"/>
    <w:rPr>
      <w:b/>
      <w:bCs/>
      <w:smallCaps/>
      <w:color w:val="0F4761" w:themeColor="accent1" w:themeShade="BF"/>
      <w:spacing w:val="5"/>
    </w:rPr>
  </w:style>
  <w:style w:type="paragraph" w:styleId="NormalWeb">
    <w:name w:val="Normal (Web)"/>
    <w:basedOn w:val="Normal"/>
    <w:uiPriority w:val="99"/>
    <w:semiHidden/>
    <w:unhideWhenUsed/>
    <w:rsid w:val="00855137"/>
    <w:pPr>
      <w:spacing w:before="100" w:beforeAutospacing="1" w:after="100" w:afterAutospacing="1" w:line="240" w:lineRule="auto"/>
      <w:jc w:val="left"/>
    </w:pPr>
    <w:rPr>
      <w:rFonts w:eastAsia="Times New Roman" w:cs="Times New Roman"/>
      <w:lang w:eastAsia="en-GB"/>
    </w:rPr>
  </w:style>
  <w:style w:type="paragraph" w:styleId="TOCHeading">
    <w:name w:val="TOC Heading"/>
    <w:basedOn w:val="Heading1"/>
    <w:next w:val="Normal"/>
    <w:uiPriority w:val="39"/>
    <w:unhideWhenUsed/>
    <w:qFormat/>
    <w:rsid w:val="00855137"/>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3E26AC"/>
    <w:pPr>
      <w:spacing w:after="100"/>
    </w:pPr>
    <w:rPr>
      <w:rFonts w:ascii="Arial" w:hAnsi="Arial"/>
    </w:rPr>
  </w:style>
  <w:style w:type="paragraph" w:styleId="TOC2">
    <w:name w:val="toc 2"/>
    <w:basedOn w:val="Normal"/>
    <w:next w:val="Normal"/>
    <w:autoRedefine/>
    <w:uiPriority w:val="39"/>
    <w:unhideWhenUsed/>
    <w:rsid w:val="003E26AC"/>
    <w:pPr>
      <w:spacing w:after="100"/>
      <w:ind w:left="240"/>
    </w:pPr>
    <w:rPr>
      <w:rFonts w:ascii="Arial" w:hAnsi="Arial"/>
    </w:rPr>
  </w:style>
  <w:style w:type="paragraph" w:styleId="TOC3">
    <w:name w:val="toc 3"/>
    <w:basedOn w:val="Normal"/>
    <w:next w:val="Normal"/>
    <w:autoRedefine/>
    <w:uiPriority w:val="39"/>
    <w:unhideWhenUsed/>
    <w:rsid w:val="00855137"/>
    <w:pPr>
      <w:spacing w:after="100"/>
      <w:ind w:left="480"/>
    </w:pPr>
  </w:style>
  <w:style w:type="character" w:styleId="Hyperlink">
    <w:name w:val="Hyperlink"/>
    <w:basedOn w:val="DefaultParagraphFont"/>
    <w:uiPriority w:val="99"/>
    <w:unhideWhenUsed/>
    <w:rsid w:val="00855137"/>
    <w:rPr>
      <w:color w:val="467886" w:themeColor="hyperlink"/>
      <w:u w:val="single"/>
    </w:rPr>
  </w:style>
  <w:style w:type="paragraph" w:styleId="Header">
    <w:name w:val="header"/>
    <w:basedOn w:val="Normal"/>
    <w:link w:val="HeaderChar"/>
    <w:uiPriority w:val="99"/>
    <w:unhideWhenUsed/>
    <w:rsid w:val="00572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5B0"/>
    <w:rPr>
      <w:rFonts w:ascii="Times New Roman" w:hAnsi="Times New Roman"/>
      <w:sz w:val="24"/>
      <w:szCs w:val="24"/>
      <w14:ligatures w14:val="none"/>
    </w:rPr>
  </w:style>
  <w:style w:type="paragraph" w:styleId="Footer">
    <w:name w:val="footer"/>
    <w:basedOn w:val="Normal"/>
    <w:link w:val="FooterChar"/>
    <w:uiPriority w:val="99"/>
    <w:unhideWhenUsed/>
    <w:rsid w:val="00572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5B0"/>
    <w:rPr>
      <w:rFonts w:ascii="Times New Roman" w:hAnsi="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126120">
      <w:bodyDiv w:val="1"/>
      <w:marLeft w:val="0"/>
      <w:marRight w:val="0"/>
      <w:marTop w:val="0"/>
      <w:marBottom w:val="0"/>
      <w:divBdr>
        <w:top w:val="none" w:sz="0" w:space="0" w:color="auto"/>
        <w:left w:val="none" w:sz="0" w:space="0" w:color="auto"/>
        <w:bottom w:val="none" w:sz="0" w:space="0" w:color="auto"/>
        <w:right w:val="none" w:sz="0" w:space="0" w:color="auto"/>
      </w:divBdr>
      <w:divsChild>
        <w:div w:id="1660887916">
          <w:marLeft w:val="0"/>
          <w:marRight w:val="0"/>
          <w:marTop w:val="0"/>
          <w:marBottom w:val="0"/>
          <w:divBdr>
            <w:top w:val="none" w:sz="0" w:space="0" w:color="auto"/>
            <w:left w:val="none" w:sz="0" w:space="0" w:color="auto"/>
            <w:bottom w:val="none" w:sz="0" w:space="0" w:color="auto"/>
            <w:right w:val="none" w:sz="0" w:space="0" w:color="auto"/>
          </w:divBdr>
        </w:div>
      </w:divsChild>
    </w:div>
    <w:div w:id="203107332">
      <w:bodyDiv w:val="1"/>
      <w:marLeft w:val="0"/>
      <w:marRight w:val="0"/>
      <w:marTop w:val="0"/>
      <w:marBottom w:val="0"/>
      <w:divBdr>
        <w:top w:val="none" w:sz="0" w:space="0" w:color="auto"/>
        <w:left w:val="none" w:sz="0" w:space="0" w:color="auto"/>
        <w:bottom w:val="none" w:sz="0" w:space="0" w:color="auto"/>
        <w:right w:val="none" w:sz="0" w:space="0" w:color="auto"/>
      </w:divBdr>
      <w:divsChild>
        <w:div w:id="170990164">
          <w:marLeft w:val="0"/>
          <w:marRight w:val="0"/>
          <w:marTop w:val="0"/>
          <w:marBottom w:val="0"/>
          <w:divBdr>
            <w:top w:val="none" w:sz="0" w:space="0" w:color="auto"/>
            <w:left w:val="none" w:sz="0" w:space="0" w:color="auto"/>
            <w:bottom w:val="none" w:sz="0" w:space="0" w:color="auto"/>
            <w:right w:val="none" w:sz="0" w:space="0" w:color="auto"/>
          </w:divBdr>
        </w:div>
      </w:divsChild>
    </w:div>
    <w:div w:id="565844377">
      <w:bodyDiv w:val="1"/>
      <w:marLeft w:val="0"/>
      <w:marRight w:val="0"/>
      <w:marTop w:val="0"/>
      <w:marBottom w:val="0"/>
      <w:divBdr>
        <w:top w:val="none" w:sz="0" w:space="0" w:color="auto"/>
        <w:left w:val="none" w:sz="0" w:space="0" w:color="auto"/>
        <w:bottom w:val="none" w:sz="0" w:space="0" w:color="auto"/>
        <w:right w:val="none" w:sz="0" w:space="0" w:color="auto"/>
      </w:divBdr>
      <w:divsChild>
        <w:div w:id="962855583">
          <w:marLeft w:val="0"/>
          <w:marRight w:val="0"/>
          <w:marTop w:val="0"/>
          <w:marBottom w:val="0"/>
          <w:divBdr>
            <w:top w:val="none" w:sz="0" w:space="0" w:color="auto"/>
            <w:left w:val="none" w:sz="0" w:space="0" w:color="auto"/>
            <w:bottom w:val="none" w:sz="0" w:space="0" w:color="auto"/>
            <w:right w:val="none" w:sz="0" w:space="0" w:color="auto"/>
          </w:divBdr>
        </w:div>
      </w:divsChild>
    </w:div>
    <w:div w:id="773482548">
      <w:bodyDiv w:val="1"/>
      <w:marLeft w:val="0"/>
      <w:marRight w:val="0"/>
      <w:marTop w:val="0"/>
      <w:marBottom w:val="0"/>
      <w:divBdr>
        <w:top w:val="none" w:sz="0" w:space="0" w:color="auto"/>
        <w:left w:val="none" w:sz="0" w:space="0" w:color="auto"/>
        <w:bottom w:val="none" w:sz="0" w:space="0" w:color="auto"/>
        <w:right w:val="none" w:sz="0" w:space="0" w:color="auto"/>
      </w:divBdr>
      <w:divsChild>
        <w:div w:id="1292512997">
          <w:marLeft w:val="0"/>
          <w:marRight w:val="0"/>
          <w:marTop w:val="0"/>
          <w:marBottom w:val="0"/>
          <w:divBdr>
            <w:top w:val="none" w:sz="0" w:space="0" w:color="auto"/>
            <w:left w:val="none" w:sz="0" w:space="0" w:color="auto"/>
            <w:bottom w:val="none" w:sz="0" w:space="0" w:color="auto"/>
            <w:right w:val="none" w:sz="0" w:space="0" w:color="auto"/>
          </w:divBdr>
        </w:div>
      </w:divsChild>
    </w:div>
    <w:div w:id="787548446">
      <w:bodyDiv w:val="1"/>
      <w:marLeft w:val="0"/>
      <w:marRight w:val="0"/>
      <w:marTop w:val="0"/>
      <w:marBottom w:val="0"/>
      <w:divBdr>
        <w:top w:val="none" w:sz="0" w:space="0" w:color="auto"/>
        <w:left w:val="none" w:sz="0" w:space="0" w:color="auto"/>
        <w:bottom w:val="none" w:sz="0" w:space="0" w:color="auto"/>
        <w:right w:val="none" w:sz="0" w:space="0" w:color="auto"/>
      </w:divBdr>
      <w:divsChild>
        <w:div w:id="1711757539">
          <w:marLeft w:val="0"/>
          <w:marRight w:val="0"/>
          <w:marTop w:val="0"/>
          <w:marBottom w:val="0"/>
          <w:divBdr>
            <w:top w:val="none" w:sz="0" w:space="0" w:color="auto"/>
            <w:left w:val="none" w:sz="0" w:space="0" w:color="auto"/>
            <w:bottom w:val="none" w:sz="0" w:space="0" w:color="auto"/>
            <w:right w:val="none" w:sz="0" w:space="0" w:color="auto"/>
          </w:divBdr>
        </w:div>
      </w:divsChild>
    </w:div>
    <w:div w:id="1005667723">
      <w:bodyDiv w:val="1"/>
      <w:marLeft w:val="0"/>
      <w:marRight w:val="0"/>
      <w:marTop w:val="0"/>
      <w:marBottom w:val="0"/>
      <w:divBdr>
        <w:top w:val="none" w:sz="0" w:space="0" w:color="auto"/>
        <w:left w:val="none" w:sz="0" w:space="0" w:color="auto"/>
        <w:bottom w:val="none" w:sz="0" w:space="0" w:color="auto"/>
        <w:right w:val="none" w:sz="0" w:space="0" w:color="auto"/>
      </w:divBdr>
      <w:divsChild>
        <w:div w:id="1405762012">
          <w:marLeft w:val="0"/>
          <w:marRight w:val="0"/>
          <w:marTop w:val="0"/>
          <w:marBottom w:val="0"/>
          <w:divBdr>
            <w:top w:val="none" w:sz="0" w:space="0" w:color="auto"/>
            <w:left w:val="none" w:sz="0" w:space="0" w:color="auto"/>
            <w:bottom w:val="none" w:sz="0" w:space="0" w:color="auto"/>
            <w:right w:val="none" w:sz="0" w:space="0" w:color="auto"/>
          </w:divBdr>
        </w:div>
      </w:divsChild>
    </w:div>
    <w:div w:id="1097558634">
      <w:bodyDiv w:val="1"/>
      <w:marLeft w:val="0"/>
      <w:marRight w:val="0"/>
      <w:marTop w:val="0"/>
      <w:marBottom w:val="0"/>
      <w:divBdr>
        <w:top w:val="none" w:sz="0" w:space="0" w:color="auto"/>
        <w:left w:val="none" w:sz="0" w:space="0" w:color="auto"/>
        <w:bottom w:val="none" w:sz="0" w:space="0" w:color="auto"/>
        <w:right w:val="none" w:sz="0" w:space="0" w:color="auto"/>
      </w:divBdr>
      <w:divsChild>
        <w:div w:id="1698659282">
          <w:marLeft w:val="0"/>
          <w:marRight w:val="0"/>
          <w:marTop w:val="0"/>
          <w:marBottom w:val="0"/>
          <w:divBdr>
            <w:top w:val="none" w:sz="0" w:space="0" w:color="auto"/>
            <w:left w:val="none" w:sz="0" w:space="0" w:color="auto"/>
            <w:bottom w:val="none" w:sz="0" w:space="0" w:color="auto"/>
            <w:right w:val="none" w:sz="0" w:space="0" w:color="auto"/>
          </w:divBdr>
        </w:div>
      </w:divsChild>
    </w:div>
    <w:div w:id="1110122334">
      <w:bodyDiv w:val="1"/>
      <w:marLeft w:val="0"/>
      <w:marRight w:val="0"/>
      <w:marTop w:val="0"/>
      <w:marBottom w:val="0"/>
      <w:divBdr>
        <w:top w:val="none" w:sz="0" w:space="0" w:color="auto"/>
        <w:left w:val="none" w:sz="0" w:space="0" w:color="auto"/>
        <w:bottom w:val="none" w:sz="0" w:space="0" w:color="auto"/>
        <w:right w:val="none" w:sz="0" w:space="0" w:color="auto"/>
      </w:divBdr>
      <w:divsChild>
        <w:div w:id="740636421">
          <w:marLeft w:val="0"/>
          <w:marRight w:val="0"/>
          <w:marTop w:val="0"/>
          <w:marBottom w:val="0"/>
          <w:divBdr>
            <w:top w:val="none" w:sz="0" w:space="0" w:color="auto"/>
            <w:left w:val="none" w:sz="0" w:space="0" w:color="auto"/>
            <w:bottom w:val="none" w:sz="0" w:space="0" w:color="auto"/>
            <w:right w:val="none" w:sz="0" w:space="0" w:color="auto"/>
          </w:divBdr>
        </w:div>
      </w:divsChild>
    </w:div>
    <w:div w:id="1334189531">
      <w:bodyDiv w:val="1"/>
      <w:marLeft w:val="0"/>
      <w:marRight w:val="0"/>
      <w:marTop w:val="0"/>
      <w:marBottom w:val="0"/>
      <w:divBdr>
        <w:top w:val="none" w:sz="0" w:space="0" w:color="auto"/>
        <w:left w:val="none" w:sz="0" w:space="0" w:color="auto"/>
        <w:bottom w:val="none" w:sz="0" w:space="0" w:color="auto"/>
        <w:right w:val="none" w:sz="0" w:space="0" w:color="auto"/>
      </w:divBdr>
      <w:divsChild>
        <w:div w:id="282227839">
          <w:marLeft w:val="0"/>
          <w:marRight w:val="0"/>
          <w:marTop w:val="0"/>
          <w:marBottom w:val="0"/>
          <w:divBdr>
            <w:top w:val="none" w:sz="0" w:space="0" w:color="auto"/>
            <w:left w:val="none" w:sz="0" w:space="0" w:color="auto"/>
            <w:bottom w:val="none" w:sz="0" w:space="0" w:color="auto"/>
            <w:right w:val="none" w:sz="0" w:space="0" w:color="auto"/>
          </w:divBdr>
        </w:div>
      </w:divsChild>
    </w:div>
    <w:div w:id="1560284942">
      <w:bodyDiv w:val="1"/>
      <w:marLeft w:val="0"/>
      <w:marRight w:val="0"/>
      <w:marTop w:val="0"/>
      <w:marBottom w:val="0"/>
      <w:divBdr>
        <w:top w:val="none" w:sz="0" w:space="0" w:color="auto"/>
        <w:left w:val="none" w:sz="0" w:space="0" w:color="auto"/>
        <w:bottom w:val="none" w:sz="0" w:space="0" w:color="auto"/>
        <w:right w:val="none" w:sz="0" w:space="0" w:color="auto"/>
      </w:divBdr>
      <w:divsChild>
        <w:div w:id="1747218602">
          <w:marLeft w:val="0"/>
          <w:marRight w:val="0"/>
          <w:marTop w:val="0"/>
          <w:marBottom w:val="0"/>
          <w:divBdr>
            <w:top w:val="none" w:sz="0" w:space="0" w:color="auto"/>
            <w:left w:val="none" w:sz="0" w:space="0" w:color="auto"/>
            <w:bottom w:val="none" w:sz="0" w:space="0" w:color="auto"/>
            <w:right w:val="none" w:sz="0" w:space="0" w:color="auto"/>
          </w:divBdr>
        </w:div>
      </w:divsChild>
    </w:div>
    <w:div w:id="1639259428">
      <w:bodyDiv w:val="1"/>
      <w:marLeft w:val="0"/>
      <w:marRight w:val="0"/>
      <w:marTop w:val="0"/>
      <w:marBottom w:val="0"/>
      <w:divBdr>
        <w:top w:val="none" w:sz="0" w:space="0" w:color="auto"/>
        <w:left w:val="none" w:sz="0" w:space="0" w:color="auto"/>
        <w:bottom w:val="none" w:sz="0" w:space="0" w:color="auto"/>
        <w:right w:val="none" w:sz="0" w:space="0" w:color="auto"/>
      </w:divBdr>
      <w:divsChild>
        <w:div w:id="1882281592">
          <w:marLeft w:val="0"/>
          <w:marRight w:val="0"/>
          <w:marTop w:val="0"/>
          <w:marBottom w:val="0"/>
          <w:divBdr>
            <w:top w:val="none" w:sz="0" w:space="0" w:color="auto"/>
            <w:left w:val="none" w:sz="0" w:space="0" w:color="auto"/>
            <w:bottom w:val="none" w:sz="0" w:space="0" w:color="auto"/>
            <w:right w:val="none" w:sz="0" w:space="0" w:color="auto"/>
          </w:divBdr>
        </w:div>
      </w:divsChild>
    </w:div>
    <w:div w:id="1677071480">
      <w:bodyDiv w:val="1"/>
      <w:marLeft w:val="0"/>
      <w:marRight w:val="0"/>
      <w:marTop w:val="0"/>
      <w:marBottom w:val="0"/>
      <w:divBdr>
        <w:top w:val="none" w:sz="0" w:space="0" w:color="auto"/>
        <w:left w:val="none" w:sz="0" w:space="0" w:color="auto"/>
        <w:bottom w:val="none" w:sz="0" w:space="0" w:color="auto"/>
        <w:right w:val="none" w:sz="0" w:space="0" w:color="auto"/>
      </w:divBdr>
      <w:divsChild>
        <w:div w:id="1007485224">
          <w:marLeft w:val="0"/>
          <w:marRight w:val="0"/>
          <w:marTop w:val="0"/>
          <w:marBottom w:val="0"/>
          <w:divBdr>
            <w:top w:val="none" w:sz="0" w:space="0" w:color="auto"/>
            <w:left w:val="none" w:sz="0" w:space="0" w:color="auto"/>
            <w:bottom w:val="none" w:sz="0" w:space="0" w:color="auto"/>
            <w:right w:val="none" w:sz="0" w:space="0" w:color="auto"/>
          </w:divBdr>
        </w:div>
      </w:divsChild>
    </w:div>
    <w:div w:id="1733309452">
      <w:bodyDiv w:val="1"/>
      <w:marLeft w:val="0"/>
      <w:marRight w:val="0"/>
      <w:marTop w:val="0"/>
      <w:marBottom w:val="0"/>
      <w:divBdr>
        <w:top w:val="none" w:sz="0" w:space="0" w:color="auto"/>
        <w:left w:val="none" w:sz="0" w:space="0" w:color="auto"/>
        <w:bottom w:val="none" w:sz="0" w:space="0" w:color="auto"/>
        <w:right w:val="none" w:sz="0" w:space="0" w:color="auto"/>
      </w:divBdr>
      <w:divsChild>
        <w:div w:id="1239630271">
          <w:marLeft w:val="0"/>
          <w:marRight w:val="0"/>
          <w:marTop w:val="0"/>
          <w:marBottom w:val="0"/>
          <w:divBdr>
            <w:top w:val="none" w:sz="0" w:space="0" w:color="auto"/>
            <w:left w:val="none" w:sz="0" w:space="0" w:color="auto"/>
            <w:bottom w:val="none" w:sz="0" w:space="0" w:color="auto"/>
            <w:right w:val="none" w:sz="0" w:space="0" w:color="auto"/>
          </w:divBdr>
        </w:div>
      </w:divsChild>
    </w:div>
    <w:div w:id="1800606057">
      <w:bodyDiv w:val="1"/>
      <w:marLeft w:val="0"/>
      <w:marRight w:val="0"/>
      <w:marTop w:val="0"/>
      <w:marBottom w:val="0"/>
      <w:divBdr>
        <w:top w:val="none" w:sz="0" w:space="0" w:color="auto"/>
        <w:left w:val="none" w:sz="0" w:space="0" w:color="auto"/>
        <w:bottom w:val="none" w:sz="0" w:space="0" w:color="auto"/>
        <w:right w:val="none" w:sz="0" w:space="0" w:color="auto"/>
      </w:divBdr>
      <w:divsChild>
        <w:div w:id="1125152455">
          <w:marLeft w:val="0"/>
          <w:marRight w:val="0"/>
          <w:marTop w:val="0"/>
          <w:marBottom w:val="0"/>
          <w:divBdr>
            <w:top w:val="none" w:sz="0" w:space="0" w:color="auto"/>
            <w:left w:val="none" w:sz="0" w:space="0" w:color="auto"/>
            <w:bottom w:val="none" w:sz="0" w:space="0" w:color="auto"/>
            <w:right w:val="none" w:sz="0" w:space="0" w:color="auto"/>
          </w:divBdr>
        </w:div>
      </w:divsChild>
    </w:div>
    <w:div w:id="1841113977">
      <w:bodyDiv w:val="1"/>
      <w:marLeft w:val="0"/>
      <w:marRight w:val="0"/>
      <w:marTop w:val="0"/>
      <w:marBottom w:val="0"/>
      <w:divBdr>
        <w:top w:val="none" w:sz="0" w:space="0" w:color="auto"/>
        <w:left w:val="none" w:sz="0" w:space="0" w:color="auto"/>
        <w:bottom w:val="none" w:sz="0" w:space="0" w:color="auto"/>
        <w:right w:val="none" w:sz="0" w:space="0" w:color="auto"/>
      </w:divBdr>
      <w:divsChild>
        <w:div w:id="1655794154">
          <w:marLeft w:val="0"/>
          <w:marRight w:val="0"/>
          <w:marTop w:val="0"/>
          <w:marBottom w:val="0"/>
          <w:divBdr>
            <w:top w:val="none" w:sz="0" w:space="0" w:color="auto"/>
            <w:left w:val="none" w:sz="0" w:space="0" w:color="auto"/>
            <w:bottom w:val="none" w:sz="0" w:space="0" w:color="auto"/>
            <w:right w:val="none" w:sz="0" w:space="0" w:color="auto"/>
          </w:divBdr>
        </w:div>
      </w:divsChild>
    </w:div>
    <w:div w:id="1847093473">
      <w:bodyDiv w:val="1"/>
      <w:marLeft w:val="0"/>
      <w:marRight w:val="0"/>
      <w:marTop w:val="0"/>
      <w:marBottom w:val="0"/>
      <w:divBdr>
        <w:top w:val="none" w:sz="0" w:space="0" w:color="auto"/>
        <w:left w:val="none" w:sz="0" w:space="0" w:color="auto"/>
        <w:bottom w:val="none" w:sz="0" w:space="0" w:color="auto"/>
        <w:right w:val="none" w:sz="0" w:space="0" w:color="auto"/>
      </w:divBdr>
      <w:divsChild>
        <w:div w:id="1652901188">
          <w:marLeft w:val="0"/>
          <w:marRight w:val="0"/>
          <w:marTop w:val="0"/>
          <w:marBottom w:val="0"/>
          <w:divBdr>
            <w:top w:val="none" w:sz="0" w:space="0" w:color="auto"/>
            <w:left w:val="none" w:sz="0" w:space="0" w:color="auto"/>
            <w:bottom w:val="none" w:sz="0" w:space="0" w:color="auto"/>
            <w:right w:val="none" w:sz="0" w:space="0" w:color="auto"/>
          </w:divBdr>
        </w:div>
      </w:divsChild>
    </w:div>
    <w:div w:id="1967545637">
      <w:bodyDiv w:val="1"/>
      <w:marLeft w:val="0"/>
      <w:marRight w:val="0"/>
      <w:marTop w:val="0"/>
      <w:marBottom w:val="0"/>
      <w:divBdr>
        <w:top w:val="none" w:sz="0" w:space="0" w:color="auto"/>
        <w:left w:val="none" w:sz="0" w:space="0" w:color="auto"/>
        <w:bottom w:val="none" w:sz="0" w:space="0" w:color="auto"/>
        <w:right w:val="none" w:sz="0" w:space="0" w:color="auto"/>
      </w:divBdr>
      <w:divsChild>
        <w:div w:id="1673756213">
          <w:marLeft w:val="0"/>
          <w:marRight w:val="0"/>
          <w:marTop w:val="0"/>
          <w:marBottom w:val="0"/>
          <w:divBdr>
            <w:top w:val="none" w:sz="0" w:space="0" w:color="auto"/>
            <w:left w:val="none" w:sz="0" w:space="0" w:color="auto"/>
            <w:bottom w:val="none" w:sz="0" w:space="0" w:color="auto"/>
            <w:right w:val="none" w:sz="0" w:space="0" w:color="auto"/>
          </w:divBdr>
        </w:div>
      </w:divsChild>
    </w:div>
    <w:div w:id="1978218432">
      <w:bodyDiv w:val="1"/>
      <w:marLeft w:val="0"/>
      <w:marRight w:val="0"/>
      <w:marTop w:val="0"/>
      <w:marBottom w:val="0"/>
      <w:divBdr>
        <w:top w:val="none" w:sz="0" w:space="0" w:color="auto"/>
        <w:left w:val="none" w:sz="0" w:space="0" w:color="auto"/>
        <w:bottom w:val="none" w:sz="0" w:space="0" w:color="auto"/>
        <w:right w:val="none" w:sz="0" w:space="0" w:color="auto"/>
      </w:divBdr>
      <w:divsChild>
        <w:div w:id="249893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F2576-CA47-4F06-AAD9-2537E66C29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3623</Words>
  <Characters>20654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2024-11-15T12:30:00Z</dcterms:created>
  <dcterms:modified xsi:type="dcterms:W3CDTF">2024-11-15T12:30:00Z</dcterms:modified>
</cp:coreProperties>
</file>