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4E09" w:rsidRDefault="0051567E" w:rsidP="00DB4E09">
      <w:r>
        <w:t>1.</w:t>
      </w:r>
      <w:r>
        <w:tab/>
      </w:r>
      <w:r w:rsidR="00DB4E09" w:rsidRPr="00D03357">
        <w:t xml:space="preserve">Assume that the Renewable Energy Act 2017 [fictitious] (‘the Act’) empowers the Secretary of State for Energy and Development [fictitious] (‘the Secretary of State’), following an application by a district council, to make an order permitting land to be used for the purpose of constructing a wind farm. The aim of the Act is to promote the use of renewable energy. </w:t>
      </w:r>
    </w:p>
    <w:p w:rsidR="00DB4E09" w:rsidRDefault="00DB4E09" w:rsidP="00DB4E09">
      <w:r w:rsidRPr="00D03357">
        <w:t>The Act provides that, in making an order, the Secretary of State must take account of the need to minimise the effect on the environment, and specifically on wildlife. Section 27 of the Act provides that the Secretary of State ‘shall’ hold a public inquiry before making a final decision. Section 43 of the Act provides that the decision of the Secretary of State ‘will be final and cannot be challenged in any court proceedings whatsoever’.</w:t>
      </w:r>
    </w:p>
    <w:p w:rsidR="00DB4E09" w:rsidRDefault="00DB4E09" w:rsidP="00DB4E09">
      <w:r w:rsidRPr="00D03357">
        <w:t xml:space="preserve"> Queenstown District Council applied for an order authorising land at Kenton-</w:t>
      </w:r>
      <w:proofErr w:type="spellStart"/>
      <w:r w:rsidRPr="00D03357">
        <w:t>onSea</w:t>
      </w:r>
      <w:proofErr w:type="spellEnd"/>
      <w:r w:rsidRPr="00D03357">
        <w:t xml:space="preserve">, Cumbria, to be used for a ten-turbine wind farm. The Secretary of State granted this application, having decided not to hold a public inquiry, as there was already a wind farm located four miles away from the proposed site, and a public inquiry had been held before an order was granted on that occasion. The Secretary of State also stated that an important factor in her decision was that the wind farm would contribute to the economic regeneration of Kenton-on-Sea. </w:t>
      </w:r>
    </w:p>
    <w:p w:rsidR="00DB4E09" w:rsidRDefault="00DB4E09" w:rsidP="00DB4E09">
      <w:r w:rsidRPr="00D03357">
        <w:t>The National Association for the Protection of Birds (‘NAPB’), a (fictitious) charity that seeks to promote conservation and protection of birds, is concerned about the impact of the wind turbines on birdlife, as the wind farm will be situated only 100 metres from the Kenton-on-Sea Wildlife Conservation Area. Furthermore, the wind farm will be positioned on the route flown by an endangered species of migrating bird. The NAPB has also discovered that the Secretary of State’s son is a shareholder in International Turbines plc, the company that is proposing to construct the new wind farm.</w:t>
      </w:r>
    </w:p>
    <w:p w:rsidR="00DB4E09" w:rsidRPr="00D03357" w:rsidRDefault="00DB4E09" w:rsidP="00DB4E09">
      <w:pPr>
        <w:rPr>
          <w:b/>
        </w:rPr>
      </w:pPr>
      <w:r w:rsidRPr="00D03357">
        <w:rPr>
          <w:b/>
        </w:rPr>
        <w:t xml:space="preserve"> Advise the NAPB whether it may make a claim for judicial review. (25 marks)</w:t>
      </w:r>
    </w:p>
    <w:p w:rsidR="003576CE" w:rsidRDefault="003576CE" w:rsidP="00DB4E09">
      <w:bookmarkStart w:id="0" w:name="_GoBack"/>
      <w:bookmarkEnd w:id="0"/>
    </w:p>
    <w:p w:rsidR="001F576C" w:rsidRDefault="001F576C" w:rsidP="0051567E"/>
    <w:p w:rsidR="001F576C" w:rsidRPr="001F576C" w:rsidRDefault="001F576C" w:rsidP="0051567E">
      <w:pPr>
        <w:rPr>
          <w:b/>
          <w:u w:val="single"/>
        </w:rPr>
      </w:pPr>
      <w:r w:rsidRPr="001F576C">
        <w:rPr>
          <w:b/>
          <w:u w:val="single"/>
        </w:rPr>
        <w:t xml:space="preserve">Amenability/ Eligibility </w:t>
      </w:r>
    </w:p>
    <w:p w:rsidR="001F576C" w:rsidRDefault="001F576C" w:rsidP="0051567E">
      <w:r w:rsidRPr="001F576C">
        <w:t xml:space="preserve">The Secretary of State is a public law body as she is exercising statutory functions under the Renewable Energy Act 2107 (‘the Act’) by designating land for use as wind-farms. She is also thereby exercising a public function, so her decision is amenable to judicial review (O’Reilly v </w:t>
      </w:r>
      <w:proofErr w:type="spellStart"/>
      <w:r w:rsidRPr="001F576C">
        <w:t>Mackman</w:t>
      </w:r>
      <w:proofErr w:type="spellEnd"/>
      <w:r w:rsidRPr="001F576C">
        <w:t xml:space="preserve"> (1983)). As the NAPB is not directly affected by the decision, the issue arises whether it, as a pressure group, has ‘sufficient interest’ in the decision to apply for judicial review (</w:t>
      </w:r>
      <w:proofErr w:type="gramStart"/>
      <w:r w:rsidRPr="001F576C">
        <w:t>s.31(</w:t>
      </w:r>
      <w:proofErr w:type="gramEnd"/>
      <w:r w:rsidRPr="001F576C">
        <w:t xml:space="preserve">3) SCA 1981). The factors the courts consider in determining whether pressure groups have standing were outlined in R v </w:t>
      </w:r>
      <w:proofErr w:type="spellStart"/>
      <w:proofErr w:type="gramStart"/>
      <w:r w:rsidRPr="001F576C">
        <w:t>SoS</w:t>
      </w:r>
      <w:proofErr w:type="spellEnd"/>
      <w:proofErr w:type="gramEnd"/>
      <w:r w:rsidRPr="001F576C">
        <w:t xml:space="preserve"> for Foreign Affairs ex p. World Development Movement Ltd (1995) </w:t>
      </w:r>
    </w:p>
    <w:p w:rsidR="001F576C" w:rsidRDefault="001F576C" w:rsidP="0051567E">
      <w:r w:rsidRPr="001F576C">
        <w:sym w:font="Symbol" w:char="F0B7"/>
      </w:r>
      <w:r w:rsidRPr="001F576C">
        <w:t xml:space="preserve"> The importance of the matter </w:t>
      </w:r>
    </w:p>
    <w:p w:rsidR="001F576C" w:rsidRDefault="001F576C" w:rsidP="0051567E">
      <w:r w:rsidRPr="001F576C">
        <w:sym w:font="Symbol" w:char="F0B7"/>
      </w:r>
      <w:r w:rsidRPr="001F576C">
        <w:t xml:space="preserve"> The need to uphold the rule of law </w:t>
      </w:r>
    </w:p>
    <w:p w:rsidR="001F576C" w:rsidRDefault="001F576C" w:rsidP="0051567E">
      <w:r w:rsidRPr="001F576C">
        <w:sym w:font="Symbol" w:char="F0B7"/>
      </w:r>
      <w:r w:rsidRPr="001F576C">
        <w:t xml:space="preserve"> Whether any other body was likely to launch a challenge </w:t>
      </w:r>
    </w:p>
    <w:p w:rsidR="001F576C" w:rsidRDefault="001F576C" w:rsidP="0051567E">
      <w:r w:rsidRPr="001F576C">
        <w:sym w:font="Symbol" w:char="F0B7"/>
      </w:r>
      <w:r w:rsidRPr="001F576C">
        <w:t xml:space="preserve"> The role of the pressure group involved </w:t>
      </w:r>
      <w:proofErr w:type="gramStart"/>
      <w:r w:rsidRPr="001F576C">
        <w:t>The</w:t>
      </w:r>
      <w:proofErr w:type="gramEnd"/>
      <w:r w:rsidRPr="001F576C">
        <w:t xml:space="preserve"> issue of renewable energy is an important one, as is the need to protect birdlife. The NAPB is well placed to bring the claim due to its expertise and its role in protecting birds. As one of the possible grounds of review is bias, the rule of law is relevant; decisions should be taken impartially. The NAPB is likely to have sufficient interest under the WDM criteria. </w:t>
      </w:r>
    </w:p>
    <w:p w:rsidR="001F576C" w:rsidRPr="001F576C" w:rsidRDefault="001F576C" w:rsidP="0051567E">
      <w:pPr>
        <w:rPr>
          <w:b/>
          <w:u w:val="single"/>
        </w:rPr>
      </w:pPr>
      <w:r w:rsidRPr="001F576C">
        <w:rPr>
          <w:b/>
          <w:u w:val="single"/>
        </w:rPr>
        <w:t>Timing</w:t>
      </w:r>
    </w:p>
    <w:p w:rsidR="00DB4E09" w:rsidRDefault="001F576C" w:rsidP="0051567E">
      <w:r w:rsidRPr="001F576C">
        <w:t xml:space="preserve"> The claimant should apply for permission for judicial review promptly, without undue delay and in any event within three months of the date of the decision to designate the land (SCA </w:t>
      </w:r>
      <w:proofErr w:type="gramStart"/>
      <w:r w:rsidRPr="001F576C">
        <w:t>s.31(</w:t>
      </w:r>
      <w:proofErr w:type="gramEnd"/>
      <w:r w:rsidRPr="001F576C">
        <w:t xml:space="preserve">6), CPR 54.5). As long as the NAPB applies promptly, timing should not be a problem. </w:t>
      </w:r>
    </w:p>
    <w:p w:rsidR="00DB4E09" w:rsidRPr="00DB4E09" w:rsidRDefault="001F576C" w:rsidP="0051567E">
      <w:pPr>
        <w:rPr>
          <w:b/>
          <w:u w:val="single"/>
        </w:rPr>
      </w:pPr>
      <w:r w:rsidRPr="00DB4E09">
        <w:rPr>
          <w:b/>
          <w:u w:val="single"/>
        </w:rPr>
        <w:t>Ouster clause</w:t>
      </w:r>
    </w:p>
    <w:p w:rsidR="00DB4E09" w:rsidRDefault="001F576C" w:rsidP="0051567E">
      <w:r w:rsidRPr="001F576C">
        <w:t xml:space="preserve"> There is a full ouster clause which purports to prevent challenges to the Secretary of State’s decision. The courts have found ways of bypassing legislative attempts to exclude judicial review. The House of Lords’ decision in </w:t>
      </w:r>
      <w:proofErr w:type="spellStart"/>
      <w:r w:rsidRPr="001F576C">
        <w:t>Anisminic</w:t>
      </w:r>
      <w:proofErr w:type="spellEnd"/>
      <w:r w:rsidRPr="001F576C">
        <w:t xml:space="preserve"> v FCC (1969) made it clear that complete ouster clauses will not protect decisions that were never valid (‘nullities’) and thus it is for the courts to determine the validity of a decision. The ouster clause is highly unlikely to prevent the NAPB from bringing judicial review proceedings. </w:t>
      </w:r>
    </w:p>
    <w:p w:rsidR="00DB4E09" w:rsidRPr="00DB4E09" w:rsidRDefault="001F576C" w:rsidP="0051567E">
      <w:pPr>
        <w:rPr>
          <w:b/>
          <w:u w:val="single"/>
        </w:rPr>
      </w:pPr>
      <w:r w:rsidRPr="00DB4E09">
        <w:rPr>
          <w:b/>
          <w:u w:val="single"/>
        </w:rPr>
        <w:t>Grounds</w:t>
      </w:r>
    </w:p>
    <w:p w:rsidR="00DB4E09" w:rsidRDefault="001F576C" w:rsidP="0051567E">
      <w:r w:rsidRPr="001F576C">
        <w:t xml:space="preserve"> The grounds for judicial review were authoritatively clarified by Lord </w:t>
      </w:r>
      <w:proofErr w:type="spellStart"/>
      <w:r w:rsidRPr="001F576C">
        <w:t>Diplock</w:t>
      </w:r>
      <w:proofErr w:type="spellEnd"/>
      <w:r w:rsidRPr="001F576C">
        <w:t xml:space="preserve"> in CCSU v Minister for Civil Service (1984). They are illegality, irrationality and procedural impropriety’. </w:t>
      </w:r>
    </w:p>
    <w:p w:rsidR="00DB4E09" w:rsidRPr="00DB4E09" w:rsidRDefault="001F576C" w:rsidP="0051567E">
      <w:pPr>
        <w:rPr>
          <w:b/>
        </w:rPr>
      </w:pPr>
      <w:r w:rsidRPr="00DB4E09">
        <w:rPr>
          <w:b/>
        </w:rPr>
        <w:t>Illegality</w:t>
      </w:r>
    </w:p>
    <w:p w:rsidR="00DB4E09" w:rsidRDefault="001F576C" w:rsidP="0051567E">
      <w:r w:rsidRPr="001F576C">
        <w:t xml:space="preserve"> Ulterior purpose Public bodies will be acting illegally if they use their powers for an improper or unauthorised purpose (Congreve v Home Office (1976)). The Act’s purpose is the promotion of renewable energy. The reason given by the Secretary of State indicates that the decision had as its purpose the economic regeneration of Kenton-on-Sea; this seems irrelevant to the Act’s purpose. The Secretary of State seems to have had an ulterior motive (Sydney Municipal Council v Campbell (1925)). Alternatively, she may have taken into account an irrelevant consideration by considering the town’s economic regeneration (</w:t>
      </w:r>
      <w:proofErr w:type="spellStart"/>
      <w:r w:rsidRPr="001F576C">
        <w:t>Padfield</w:t>
      </w:r>
      <w:proofErr w:type="spellEnd"/>
      <w:r w:rsidRPr="001F576C">
        <w:t xml:space="preserve"> v Minister of Agriculture (1968)). </w:t>
      </w:r>
    </w:p>
    <w:p w:rsidR="00DB4E09" w:rsidRDefault="001F576C" w:rsidP="0051567E">
      <w:r w:rsidRPr="001F576C">
        <w:t xml:space="preserve">Relevant Considerations </w:t>
      </w:r>
    </w:p>
    <w:p w:rsidR="00DB4E09" w:rsidRDefault="001F576C" w:rsidP="0051567E">
      <w:r w:rsidRPr="001F576C">
        <w:t xml:space="preserve">The Secretary of State has failed to take into account that the wind farm is on the route flown by an endangered species of migrating birds and its proximity to the Wildlife Conservation Area (Roberts v Hopwood (1925)). </w:t>
      </w:r>
    </w:p>
    <w:p w:rsidR="00DB4E09" w:rsidRPr="00DB4E09" w:rsidRDefault="001F576C" w:rsidP="0051567E">
      <w:pPr>
        <w:rPr>
          <w:b/>
        </w:rPr>
      </w:pPr>
      <w:r w:rsidRPr="00DB4E09">
        <w:rPr>
          <w:b/>
        </w:rPr>
        <w:t>Irrationality</w:t>
      </w:r>
    </w:p>
    <w:p w:rsidR="00DB4E09" w:rsidRDefault="001F576C" w:rsidP="0051567E">
      <w:r w:rsidRPr="001F576C">
        <w:t xml:space="preserve"> The Secretary of State’s decision can be challenged if, having regard to relevant considerations only, it is so unreasonable that no reasonable body could have reached it (Associated Provincial Picture Houses v Wednesbury Corporation (1948)). Although the threshold is high, it could arguably be reached, given the proximity of the wildlife conservation area and the decision not to hold a public inquiry. This is particularly so given the importance of the area to migrating birds. The decision might accordingly be regarded as outrageous in its defiance of logic (CCSU). </w:t>
      </w:r>
    </w:p>
    <w:p w:rsidR="00DB4E09" w:rsidRPr="00DB4E09" w:rsidRDefault="001F576C" w:rsidP="0051567E">
      <w:pPr>
        <w:rPr>
          <w:b/>
        </w:rPr>
      </w:pPr>
      <w:r w:rsidRPr="00DB4E09">
        <w:rPr>
          <w:b/>
        </w:rPr>
        <w:t xml:space="preserve">Breach of natural justice: procedural ultra vires </w:t>
      </w:r>
    </w:p>
    <w:p w:rsidR="00DB4E09" w:rsidRDefault="001F576C" w:rsidP="0051567E">
      <w:r w:rsidRPr="001F576C">
        <w:t>Express procedural requirements</w:t>
      </w:r>
    </w:p>
    <w:p w:rsidR="00DB4E09" w:rsidRDefault="001F576C" w:rsidP="0051567E">
      <w:r w:rsidRPr="001F576C">
        <w:t xml:space="preserve"> Section 27 of the Act provides that the Minister ‘shall’ hold a public inquiry before making a final decision. This, clearly, was not adhered to. The court must therefore decide whether this was a ‘mandatory’ or ‘directory’ requirement. Mandatory requirements must be complied with and, if they are not, the decision will be void. Breach of directory requirements may be waived. In Howard v Boddington (1877), Lord Penzance indicated that the whole scope and purpose of the procedural requirement must be taken into account, as well as the importance of the provision disregarded and its relation to the general object to be secured by the Act. Courts have also moved away from focussing exclusively on the wording of the provision, but will also consider the overall context of the procedural safeguard (London and </w:t>
      </w:r>
      <w:proofErr w:type="spellStart"/>
      <w:r w:rsidRPr="001F576C">
        <w:t>Clydeside</w:t>
      </w:r>
      <w:proofErr w:type="spellEnd"/>
      <w:r w:rsidRPr="001F576C">
        <w:t xml:space="preserve"> Estates v Aberdeen District Council (1979)). In R v Secretary of State for the Home Department, ex p. </w:t>
      </w:r>
      <w:proofErr w:type="spellStart"/>
      <w:r w:rsidRPr="001F576C">
        <w:t>Jayeanthan</w:t>
      </w:r>
      <w:proofErr w:type="spellEnd"/>
      <w:r w:rsidRPr="001F576C">
        <w:t xml:space="preserve"> (2000) Lord Woolf MR stated that the court should put itself in the position of Parliament, as the body which enacted the legislation: the question for the court is whether it had been Parliament’s intention that failure to comply with the procedural requirement would render the decision unlawful. On this basis, the NAPB has strong grounds for arguing that Parliament could not have intended for decisions made under such circumstances to be considered lawful. The public inquiry is an important procedural safeguard, and the Secretary of State has made no attempt to comply with it. </w:t>
      </w:r>
    </w:p>
    <w:p w:rsidR="00DB4E09" w:rsidRDefault="001F576C" w:rsidP="0051567E">
      <w:r w:rsidRPr="001F576C">
        <w:t>Bias</w:t>
      </w:r>
    </w:p>
    <w:p w:rsidR="00DB4E09" w:rsidRDefault="001F576C" w:rsidP="0051567E">
      <w:r w:rsidRPr="001F576C">
        <w:t xml:space="preserve"> The Secretary of State’s son is a shareholder in International Turbines plc, which will be constructing the wind farm. The Secretary of State may not have a direct interest in the matter; the facts do not suggest any connection with the company, so there will not be an automatic presumption of bias (Dimes v Grand Junction Canal Proprietors (1852)). However, even if her interest falls short of a direct one, the NAPB could argue that it was still sufficient to lead a fair-minded and impartial observer to conclude that there was ‘a real possibility’ that the decision-maker had been biased (Porter v Magill (2001)). </w:t>
      </w:r>
    </w:p>
    <w:p w:rsidR="00DB4E09" w:rsidRDefault="001F576C" w:rsidP="0051567E">
      <w:r w:rsidRPr="001F576C">
        <w:t>Remedies</w:t>
      </w:r>
    </w:p>
    <w:p w:rsidR="001F576C" w:rsidRDefault="001F576C" w:rsidP="0051567E">
      <w:r w:rsidRPr="001F576C">
        <w:t xml:space="preserve"> The NAPB should seek a quashing order setting aside the decision and a mandatory order requiring the Secretary of State to hold an inquiry.</w:t>
      </w:r>
    </w:p>
    <w:sectPr w:rsidR="001F576C">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567E" w:rsidRDefault="0051567E" w:rsidP="0051567E">
      <w:pPr>
        <w:spacing w:after="0" w:line="240" w:lineRule="auto"/>
      </w:pPr>
      <w:r>
        <w:separator/>
      </w:r>
    </w:p>
  </w:endnote>
  <w:endnote w:type="continuationSeparator" w:id="0">
    <w:p w:rsidR="0051567E" w:rsidRDefault="0051567E" w:rsidP="005156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567E" w:rsidRDefault="0051567E" w:rsidP="0051567E">
      <w:pPr>
        <w:spacing w:after="0" w:line="240" w:lineRule="auto"/>
      </w:pPr>
      <w:r>
        <w:separator/>
      </w:r>
    </w:p>
  </w:footnote>
  <w:footnote w:type="continuationSeparator" w:id="0">
    <w:p w:rsidR="0051567E" w:rsidRDefault="0051567E" w:rsidP="005156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567E" w:rsidRDefault="00DB4E09">
    <w:pPr>
      <w:pStyle w:val="Header"/>
    </w:pPr>
    <w:r>
      <w:t>Judicial review question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567E"/>
    <w:rsid w:val="000122F4"/>
    <w:rsid w:val="00023B3D"/>
    <w:rsid w:val="000A11D7"/>
    <w:rsid w:val="000A4453"/>
    <w:rsid w:val="000A60E4"/>
    <w:rsid w:val="000B35F5"/>
    <w:rsid w:val="000B50DD"/>
    <w:rsid w:val="00102B55"/>
    <w:rsid w:val="001123D3"/>
    <w:rsid w:val="001701C9"/>
    <w:rsid w:val="00182CA4"/>
    <w:rsid w:val="001933D8"/>
    <w:rsid w:val="00197A79"/>
    <w:rsid w:val="001D5E34"/>
    <w:rsid w:val="001E58D7"/>
    <w:rsid w:val="001F4F7A"/>
    <w:rsid w:val="001F576C"/>
    <w:rsid w:val="002123AF"/>
    <w:rsid w:val="0022426F"/>
    <w:rsid w:val="00234BDB"/>
    <w:rsid w:val="00243D50"/>
    <w:rsid w:val="0027078E"/>
    <w:rsid w:val="00274566"/>
    <w:rsid w:val="003576CE"/>
    <w:rsid w:val="00364D0E"/>
    <w:rsid w:val="00385B14"/>
    <w:rsid w:val="00386ADA"/>
    <w:rsid w:val="0039328D"/>
    <w:rsid w:val="003A097A"/>
    <w:rsid w:val="003C18C7"/>
    <w:rsid w:val="00437F5E"/>
    <w:rsid w:val="00444237"/>
    <w:rsid w:val="00472653"/>
    <w:rsid w:val="00495BA6"/>
    <w:rsid w:val="004E5C7E"/>
    <w:rsid w:val="0051567E"/>
    <w:rsid w:val="00612DA3"/>
    <w:rsid w:val="006474B8"/>
    <w:rsid w:val="00664327"/>
    <w:rsid w:val="006A117F"/>
    <w:rsid w:val="006B1997"/>
    <w:rsid w:val="006E4EE1"/>
    <w:rsid w:val="007069E4"/>
    <w:rsid w:val="007444B2"/>
    <w:rsid w:val="00745232"/>
    <w:rsid w:val="00750AB7"/>
    <w:rsid w:val="007E5DE7"/>
    <w:rsid w:val="0085545E"/>
    <w:rsid w:val="0089276D"/>
    <w:rsid w:val="008B49EB"/>
    <w:rsid w:val="008C564D"/>
    <w:rsid w:val="008E3EC4"/>
    <w:rsid w:val="008F145D"/>
    <w:rsid w:val="009072DD"/>
    <w:rsid w:val="00907C15"/>
    <w:rsid w:val="009111A4"/>
    <w:rsid w:val="00956065"/>
    <w:rsid w:val="00975380"/>
    <w:rsid w:val="009A60A2"/>
    <w:rsid w:val="009C2E85"/>
    <w:rsid w:val="009D427B"/>
    <w:rsid w:val="009E756D"/>
    <w:rsid w:val="00A06966"/>
    <w:rsid w:val="00A30338"/>
    <w:rsid w:val="00A33881"/>
    <w:rsid w:val="00A6585E"/>
    <w:rsid w:val="00A87F81"/>
    <w:rsid w:val="00A94F07"/>
    <w:rsid w:val="00AA1DA0"/>
    <w:rsid w:val="00AA263F"/>
    <w:rsid w:val="00B0318F"/>
    <w:rsid w:val="00B1144C"/>
    <w:rsid w:val="00B5633E"/>
    <w:rsid w:val="00B91638"/>
    <w:rsid w:val="00BA13E6"/>
    <w:rsid w:val="00BA53E3"/>
    <w:rsid w:val="00BA7251"/>
    <w:rsid w:val="00BB29FD"/>
    <w:rsid w:val="00BB71DE"/>
    <w:rsid w:val="00BD2654"/>
    <w:rsid w:val="00BD2751"/>
    <w:rsid w:val="00C36241"/>
    <w:rsid w:val="00C77155"/>
    <w:rsid w:val="00D20EAE"/>
    <w:rsid w:val="00D33686"/>
    <w:rsid w:val="00D466B3"/>
    <w:rsid w:val="00D4676B"/>
    <w:rsid w:val="00D658E2"/>
    <w:rsid w:val="00DB3884"/>
    <w:rsid w:val="00DB4E09"/>
    <w:rsid w:val="00DF5088"/>
    <w:rsid w:val="00E015E3"/>
    <w:rsid w:val="00E34148"/>
    <w:rsid w:val="00E50C56"/>
    <w:rsid w:val="00E63801"/>
    <w:rsid w:val="00E863B7"/>
    <w:rsid w:val="00EC18D3"/>
    <w:rsid w:val="00EF14B8"/>
    <w:rsid w:val="00F06C60"/>
    <w:rsid w:val="00F30E40"/>
    <w:rsid w:val="00F35AD8"/>
    <w:rsid w:val="00F41411"/>
    <w:rsid w:val="00FA2200"/>
    <w:rsid w:val="00FB4A74"/>
    <w:rsid w:val="00FB673C"/>
    <w:rsid w:val="00FC16ED"/>
    <w:rsid w:val="00FD05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E30A5B-854B-4073-81CE-CA65DA030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56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567E"/>
  </w:style>
  <w:style w:type="paragraph" w:styleId="Footer">
    <w:name w:val="footer"/>
    <w:basedOn w:val="Normal"/>
    <w:link w:val="FooterChar"/>
    <w:uiPriority w:val="99"/>
    <w:unhideWhenUsed/>
    <w:rsid w:val="005156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567E"/>
  </w:style>
  <w:style w:type="paragraph" w:styleId="BalloonText">
    <w:name w:val="Balloon Text"/>
    <w:basedOn w:val="Normal"/>
    <w:link w:val="BalloonTextChar"/>
    <w:uiPriority w:val="99"/>
    <w:semiHidden/>
    <w:unhideWhenUsed/>
    <w:rsid w:val="001F57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576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1223</Words>
  <Characters>6977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Knight</dc:creator>
  <cp:keywords/>
  <dc:description/>
  <cp:lastModifiedBy>Laura Knight</cp:lastModifiedBy>
  <cp:revision>2</cp:revision>
  <cp:lastPrinted>2019-03-26T09:39:00Z</cp:lastPrinted>
  <dcterms:created xsi:type="dcterms:W3CDTF">2019-03-26T09:51:00Z</dcterms:created>
  <dcterms:modified xsi:type="dcterms:W3CDTF">2019-03-26T09:51:00Z</dcterms:modified>
</cp:coreProperties>
</file>