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26C9F" w14:textId="77777777" w:rsidR="0009783C" w:rsidRPr="00B2211C" w:rsidRDefault="0009783C" w:rsidP="00461A87">
      <w:pPr>
        <w:jc w:val="center"/>
        <w:rPr>
          <w:rFonts w:eastAsia="Times New Roman" w:cs="Times New Roman"/>
          <w:b/>
          <w:sz w:val="32"/>
          <w:szCs w:val="32"/>
        </w:rPr>
      </w:pPr>
    </w:p>
    <w:p w14:paraId="11BDCC62" w14:textId="77777777" w:rsidR="0009783C" w:rsidRPr="00B2211C" w:rsidRDefault="0009783C" w:rsidP="00461A87">
      <w:pPr>
        <w:jc w:val="center"/>
        <w:rPr>
          <w:rFonts w:eastAsia="Times New Roman" w:cs="Times New Roman"/>
          <w:b/>
          <w:sz w:val="32"/>
          <w:szCs w:val="32"/>
        </w:rPr>
      </w:pPr>
    </w:p>
    <w:p w14:paraId="39567D0E" w14:textId="77777777" w:rsidR="0009783C" w:rsidRPr="00B2211C" w:rsidRDefault="0009783C" w:rsidP="00461A87">
      <w:pPr>
        <w:jc w:val="center"/>
        <w:rPr>
          <w:rFonts w:eastAsia="Times New Roman" w:cs="Times New Roman"/>
          <w:b/>
          <w:sz w:val="32"/>
          <w:szCs w:val="32"/>
        </w:rPr>
      </w:pPr>
    </w:p>
    <w:p w14:paraId="4608576E" w14:textId="77777777" w:rsidR="0009783C" w:rsidRPr="00B2211C" w:rsidRDefault="0009783C" w:rsidP="00461A87">
      <w:pPr>
        <w:jc w:val="center"/>
        <w:rPr>
          <w:rFonts w:eastAsia="Times New Roman" w:cs="Times New Roman"/>
          <w:b/>
          <w:sz w:val="32"/>
          <w:szCs w:val="32"/>
        </w:rPr>
      </w:pPr>
    </w:p>
    <w:p w14:paraId="48913C0C" w14:textId="77777777" w:rsidR="0009783C" w:rsidRPr="00B2211C" w:rsidRDefault="0009783C" w:rsidP="00461A87">
      <w:pPr>
        <w:rPr>
          <w:rFonts w:eastAsia="Times New Roman" w:cs="Times New Roman"/>
          <w:b/>
          <w:sz w:val="32"/>
          <w:szCs w:val="32"/>
        </w:rPr>
      </w:pPr>
    </w:p>
    <w:p w14:paraId="06B96D08" w14:textId="77777777" w:rsidR="0009783C" w:rsidRPr="00B2211C" w:rsidRDefault="0009783C" w:rsidP="00461A87">
      <w:pPr>
        <w:jc w:val="center"/>
        <w:rPr>
          <w:rFonts w:eastAsia="Times New Roman" w:cs="Times New Roman"/>
          <w:b/>
          <w:sz w:val="32"/>
          <w:szCs w:val="32"/>
        </w:rPr>
      </w:pPr>
    </w:p>
    <w:p w14:paraId="12988920" w14:textId="77777777" w:rsidR="00DB5D28" w:rsidRDefault="00DD163F" w:rsidP="00461A87">
      <w:pPr>
        <w:jc w:val="center"/>
        <w:rPr>
          <w:rFonts w:eastAsia="Times New Roman" w:cs="Times New Roman"/>
          <w:b/>
          <w:sz w:val="44"/>
          <w:szCs w:val="44"/>
        </w:rPr>
      </w:pPr>
      <w:r w:rsidRPr="00B2211C">
        <w:rPr>
          <w:rFonts w:eastAsia="Times New Roman" w:cs="Times New Roman"/>
          <w:b/>
          <w:sz w:val="44"/>
          <w:szCs w:val="44"/>
        </w:rPr>
        <w:t>CONSULTANCY REPORT</w:t>
      </w:r>
    </w:p>
    <w:p w14:paraId="5BA5531C" w14:textId="4261F266" w:rsidR="004F42D7" w:rsidRPr="004F42D7" w:rsidRDefault="004F42D7" w:rsidP="004F42D7">
      <w:pPr>
        <w:jc w:val="center"/>
        <w:rPr>
          <w:b/>
          <w:bCs/>
          <w:sz w:val="44"/>
          <w:szCs w:val="44"/>
        </w:rPr>
      </w:pPr>
      <w:r>
        <w:rPr>
          <w:rFonts w:eastAsia="Times New Roman" w:cs="Times New Roman"/>
          <w:b/>
          <w:sz w:val="44"/>
          <w:szCs w:val="44"/>
        </w:rPr>
        <w:t>Marian Aurel Funie(</w:t>
      </w:r>
      <w:r w:rsidRPr="004F42D7">
        <w:rPr>
          <w:b/>
          <w:bCs/>
          <w:sz w:val="44"/>
          <w:szCs w:val="44"/>
        </w:rPr>
        <w:t>2246593</w:t>
      </w:r>
      <w:r>
        <w:rPr>
          <w:b/>
          <w:bCs/>
          <w:sz w:val="44"/>
          <w:szCs w:val="44"/>
        </w:rPr>
        <w:t>)</w:t>
      </w:r>
    </w:p>
    <w:p w14:paraId="226A10D0" w14:textId="46B5CBBF" w:rsidR="004F42D7" w:rsidRPr="00B2211C" w:rsidRDefault="004F42D7" w:rsidP="00461A87">
      <w:pPr>
        <w:jc w:val="center"/>
        <w:rPr>
          <w:rFonts w:eastAsia="Times New Roman" w:cs="Times New Roman"/>
          <w:b/>
          <w:sz w:val="44"/>
          <w:szCs w:val="44"/>
        </w:rPr>
      </w:pPr>
      <w:r>
        <w:rPr>
          <w:rFonts w:eastAsia="Times New Roman" w:cs="Times New Roman"/>
          <w:b/>
          <w:sz w:val="44"/>
          <w:szCs w:val="44"/>
        </w:rPr>
        <w:t>BMIH6005</w:t>
      </w:r>
      <w:r>
        <w:rPr>
          <w:rFonts w:eastAsia="Times New Roman" w:cs="Times New Roman"/>
          <w:b/>
          <w:sz w:val="44"/>
          <w:szCs w:val="44"/>
        </w:rPr>
        <w:br/>
      </w:r>
    </w:p>
    <w:p w14:paraId="00D15377" w14:textId="77777777" w:rsidR="00DB5D28" w:rsidRPr="00B2211C" w:rsidRDefault="00DB5D28" w:rsidP="00461A87">
      <w:pPr>
        <w:rPr>
          <w:rFonts w:eastAsia="Times New Roman" w:cs="Times New Roman"/>
          <w:b/>
          <w:sz w:val="32"/>
          <w:szCs w:val="32"/>
        </w:rPr>
      </w:pPr>
      <w:r w:rsidRPr="00B2211C">
        <w:rPr>
          <w:rFonts w:eastAsia="Times New Roman" w:cs="Times New Roman"/>
          <w:b/>
          <w:sz w:val="32"/>
          <w:szCs w:val="32"/>
        </w:rPr>
        <w:br w:type="page"/>
      </w:r>
    </w:p>
    <w:p w14:paraId="50BB6418" w14:textId="0CB6C00D" w:rsidR="007745E9" w:rsidRPr="00B2211C" w:rsidRDefault="00DD163F" w:rsidP="00B24902">
      <w:pPr>
        <w:jc w:val="center"/>
        <w:rPr>
          <w:b/>
          <w:bCs/>
        </w:rPr>
      </w:pPr>
      <w:bookmarkStart w:id="0" w:name="_ankovdt3cn0x" w:colFirst="0" w:colLast="0"/>
      <w:bookmarkStart w:id="1" w:name="_Toc198647424"/>
      <w:bookmarkEnd w:id="0"/>
      <w:r w:rsidRPr="00B2211C">
        <w:rPr>
          <w:b/>
          <w:bCs/>
        </w:rPr>
        <w:lastRenderedPageBreak/>
        <w:t>Executive Summary</w:t>
      </w:r>
      <w:bookmarkEnd w:id="1"/>
    </w:p>
    <w:p w14:paraId="3FFBC5E2"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This consultancy report has been commissioned by </w:t>
      </w:r>
      <w:r w:rsidRPr="00B2211C">
        <w:rPr>
          <w:rFonts w:eastAsia="Times New Roman" w:cs="Times New Roman"/>
          <w:i/>
          <w:szCs w:val="24"/>
        </w:rPr>
        <w:t>Marriott London County Hall</w:t>
      </w:r>
      <w:r w:rsidRPr="00B2211C">
        <w:rPr>
          <w:rFonts w:eastAsia="Times New Roman" w:cs="Times New Roman"/>
          <w:szCs w:val="24"/>
        </w:rPr>
        <w:t xml:space="preserve"> to identify the growing operational challenge of rising energy costs, as well as inefficiencies based on energy usage. It is observed that located on the iconic South Bank of the River Thames, the hotel boasts a prestigious reputation as well as historic architecture, by heritage status poses limitations based on the modern infrastructure upgrades. The report addressing the energy costs has been steadily increasing cause to outdated systems as well as poor sustainability practices, with the impact of impact operational profitability by the hotel’s environmental credibility based on the consumer awareness of sustainability at an all-time high.</w:t>
      </w:r>
    </w:p>
    <w:p w14:paraId="38E34EC9"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After that, it is observed that detailed environmental scanning using STEEPLED analysis revealed that external factors like increasing utility prices, stricter environmental regulations, as well as shifting customer expectations with sustainability. Therefore, it is significantly affecting the hotel’s performance by understanding a SWOT analysis, addressing the hotel’s key strengths, including its premium brand image, strategic location, as well as its loyal customer base. On the other hand, Weaknesses include inefficient energy infrastructure, with the limitations of staff awareness of sustainability practices, due to an outdated visual identity, which affects brand perception. The TOWS matrix was generated by strategic recommendations by matching internal strengths as well as weaknesses based on the external threats and opportunities, and by developing practical solutions by targeting.</w:t>
      </w:r>
    </w:p>
    <w:p w14:paraId="03524D24"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It is stated that the key findings show that the hotel’s energy bills could be reduced by up to 25% annually by the adoption of modern, energy-efficient technologies as well as processes. Therefore, the current external signage and branding were found to be outdated, leading to reduced customer engagement as well as missed revenue opportunities. It is observed that feedback from guests </w:t>
      </w:r>
      <w:r w:rsidRPr="00B2211C">
        <w:rPr>
          <w:rFonts w:eastAsia="Times New Roman" w:cs="Times New Roman"/>
          <w:szCs w:val="24"/>
        </w:rPr>
        <w:lastRenderedPageBreak/>
        <w:t>indicates a desire for clearer sustainability efforts as well as updating the brand image by reflecting modern values. Moreover, it discovered that both staff as well as guests lacked engagement with existing green initiatives, as demonstrated by the need for comprehensive training as well as communication strategies.</w:t>
      </w:r>
    </w:p>
    <w:p w14:paraId="07660292"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On the other hand, by identifying these challenges, various recommendations have been made. It stated that the installation of smart thermostats, LED lighting, as well as partial solar panels is advised to effectively </w:t>
      </w:r>
      <w:r w:rsidR="00DB5D28" w:rsidRPr="00B2211C">
        <w:rPr>
          <w:rFonts w:eastAsia="Times New Roman" w:cs="Times New Roman"/>
          <w:szCs w:val="24"/>
        </w:rPr>
        <w:t>decreasing</w:t>
      </w:r>
      <w:r w:rsidRPr="00B2211C">
        <w:rPr>
          <w:rFonts w:eastAsia="Times New Roman" w:cs="Times New Roman"/>
          <w:szCs w:val="24"/>
        </w:rPr>
        <w:t xml:space="preserve"> energy consumption. This solution is both cost-effective as well as sensitive to the building’s listed status. After that, it is recommended that the hotel launch a staff training programme with sustainable practices to develop internal energy behaviours. Therefore, guest engagement can be developed by the introduction of sustainability incentives, like eco-point reward systems for towel reuse, to decreasing housekeeping services. Therefore, it is updating the hotel’s external signage as well as branding is advised, balancing modern visual appeal based on the current brand loyalty to develop customer perception with footfall.</w:t>
      </w:r>
    </w:p>
    <w:p w14:paraId="6F7D601F"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After that, it is stated that an actionable implementation plan is presented in the report, outlining specific tasks, timelines, budgets, as well as outcomes. Therefore, the signage as well as branding revision is expected to take place in three months with a budget of £20,000 based on the aim to develop customer conversion rates by a refreshed with recognisable image. Therefore, it was observed that energy-efficiency upgrades, by budget allocation of £100,000, by planning during six months, and targeting a 20–25% decrease in annual energy costs. Thus, it is stated that staff engagement initiatives with sustainability training, budgeted at £10,000, will be rolled out over two months, followed by guest eco-incentive programmes shortly thereafter at a budget of £5,000. The total estimated investment of up to £135,000 is considered based on the strategic expenditure as a five-star property of this scale.</w:t>
      </w:r>
    </w:p>
    <w:p w14:paraId="37DD883A"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lastRenderedPageBreak/>
        <w:t>Moreover, it is stated that to ensure successful implementation, three change management theories are applied, like Lewin’s Change Model, Kotter’s 8-Step Change Model, as well as the ADKAR model. It is observed that Lewin’s model is supported by the process of unfreezing current practices, adapting new systems, for refreezing them for organisational culture. After that, Kotter’s model provides a roadmap by building urgency, generating quick wins, as well as anchoring change based on the corporate values. ADKAR identifies change at an individual level by focusing on awareness, desire, knowledge, ability, as well as reinforcement, to promote behavioural collaboration among staff. These frameworks are effective for managing resistance, maintaining morale, to ensuring long-term sustainability.</w:t>
      </w:r>
    </w:p>
    <w:p w14:paraId="48BFF741"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On the other hand, the benefits of adapting the report's recommendations are </w:t>
      </w:r>
      <w:r w:rsidR="00DB5D28" w:rsidRPr="00B2211C">
        <w:rPr>
          <w:rFonts w:eastAsia="Times New Roman" w:cs="Times New Roman"/>
          <w:szCs w:val="24"/>
        </w:rPr>
        <w:t>multirole</w:t>
      </w:r>
      <w:r w:rsidRPr="00B2211C">
        <w:rPr>
          <w:rFonts w:eastAsia="Times New Roman" w:cs="Times New Roman"/>
          <w:szCs w:val="24"/>
        </w:rPr>
        <w:t>. Operationally, the hotel is building significant cost savings on energy, thereby developing its profit margins. It is stated that branding perspective, the improved visual identity as well as sustainability messaging, will appeal to the growing segment of eco-conscious travellers. Therefore, the staff will become engaged by collaborating with organisational goals, developing service quality with workplace satisfaction. Strategically, the hotel will future-proof based on the evolving environmental regulations as well as position based as the market leader in sustainable luxury hospitality.</w:t>
      </w:r>
    </w:p>
    <w:p w14:paraId="077D5ED2"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It summarises that this report provides </w:t>
      </w:r>
      <w:r w:rsidRPr="00B2211C">
        <w:rPr>
          <w:rFonts w:eastAsia="Times New Roman" w:cs="Times New Roman"/>
          <w:i/>
          <w:szCs w:val="24"/>
        </w:rPr>
        <w:t>Marriott London County Hall</w:t>
      </w:r>
      <w:r w:rsidRPr="00B2211C">
        <w:rPr>
          <w:rFonts w:eastAsia="Times New Roman" w:cs="Times New Roman"/>
          <w:szCs w:val="24"/>
        </w:rPr>
        <w:t xml:space="preserve"> based on a well-rounded, evidence-based roadmap for tackling its energy for branding challenges sustainably with strategically. It is collaborating on operational improvements with stakeholder expectations as industry trends, to ensure the hotel maintains its prestigious standing by transitioning into an energy-efficient as well as environmentally friendly business model. Thus, it is anticipated that the proposed changes, </w:t>
      </w:r>
      <w:r w:rsidRPr="00B2211C">
        <w:rPr>
          <w:rFonts w:eastAsia="Times New Roman" w:cs="Times New Roman"/>
          <w:i/>
          <w:szCs w:val="24"/>
        </w:rPr>
        <w:t>Marriott London County Hall</w:t>
      </w:r>
      <w:r w:rsidRPr="00B2211C">
        <w:rPr>
          <w:rFonts w:eastAsia="Times New Roman" w:cs="Times New Roman"/>
          <w:szCs w:val="24"/>
        </w:rPr>
        <w:t xml:space="preserve">, will be developed by financial performance, </w:t>
      </w:r>
      <w:r w:rsidRPr="00B2211C">
        <w:rPr>
          <w:rFonts w:eastAsia="Times New Roman" w:cs="Times New Roman"/>
          <w:szCs w:val="24"/>
        </w:rPr>
        <w:lastRenderedPageBreak/>
        <w:t>guest expectations for modern and sustainable hospitality, as well as strengthening market competitiveness based on the long term.</w:t>
      </w:r>
    </w:p>
    <w:p w14:paraId="1A0E52E9" w14:textId="2B2434E8" w:rsidR="00B24902" w:rsidRPr="00B2211C" w:rsidRDefault="00B24902">
      <w:pPr>
        <w:spacing w:line="276" w:lineRule="auto"/>
        <w:rPr>
          <w:rFonts w:eastAsia="Times New Roman" w:cs="Times New Roman"/>
          <w:szCs w:val="24"/>
        </w:rPr>
      </w:pPr>
      <w:r w:rsidRPr="00B2211C">
        <w:rPr>
          <w:rFonts w:eastAsia="Times New Roman" w:cs="Times New Roman"/>
          <w:szCs w:val="24"/>
        </w:rPr>
        <w:br w:type="page"/>
      </w:r>
    </w:p>
    <w:sdt>
      <w:sdtPr>
        <w:rPr>
          <w:rFonts w:ascii="Times New Roman" w:eastAsia="Arial" w:hAnsi="Times New Roman" w:cs="Times New Roman"/>
          <w:b w:val="0"/>
          <w:bCs w:val="0"/>
          <w:color w:val="auto"/>
          <w:sz w:val="24"/>
          <w:szCs w:val="22"/>
          <w:lang w:val="en-GB"/>
        </w:rPr>
        <w:id w:val="-31572870"/>
        <w:docPartObj>
          <w:docPartGallery w:val="Table of Contents"/>
          <w:docPartUnique/>
        </w:docPartObj>
      </w:sdtPr>
      <w:sdtEndPr>
        <w:rPr>
          <w:rFonts w:cs="Arial"/>
        </w:rPr>
      </w:sdtEndPr>
      <w:sdtContent>
        <w:p w14:paraId="666BF96F" w14:textId="1BD615D2" w:rsidR="00B24902" w:rsidRPr="00B2211C" w:rsidRDefault="00B24902" w:rsidP="00B24902">
          <w:pPr>
            <w:pStyle w:val="TOCHeading"/>
            <w:spacing w:line="480" w:lineRule="auto"/>
            <w:rPr>
              <w:rFonts w:ascii="Times New Roman" w:hAnsi="Times New Roman" w:cs="Times New Roman"/>
              <w:color w:val="auto"/>
              <w:lang w:val="en-GB"/>
            </w:rPr>
          </w:pPr>
          <w:r w:rsidRPr="00B2211C">
            <w:rPr>
              <w:rFonts w:ascii="Times New Roman" w:hAnsi="Times New Roman" w:cs="Times New Roman"/>
              <w:color w:val="auto"/>
              <w:lang w:val="en-GB"/>
            </w:rPr>
            <w:t>Table of Contents</w:t>
          </w:r>
        </w:p>
        <w:p w14:paraId="1F1FD911" w14:textId="27DF2AC4" w:rsidR="00B24902" w:rsidRPr="00B2211C" w:rsidRDefault="00B24902">
          <w:pPr>
            <w:pStyle w:val="TOC1"/>
            <w:tabs>
              <w:tab w:val="right" w:leader="dot" w:pos="9350"/>
            </w:tabs>
            <w:rPr>
              <w:rFonts w:asciiTheme="minorHAnsi" w:eastAsiaTheme="minorEastAsia" w:hAnsiTheme="minorHAnsi" w:cstheme="minorBidi"/>
              <w:kern w:val="2"/>
              <w:szCs w:val="24"/>
              <w:lang w:eastAsia="en-GB"/>
            </w:rPr>
          </w:pPr>
          <w:r w:rsidRPr="00B2211C">
            <w:fldChar w:fldCharType="begin"/>
          </w:r>
          <w:r w:rsidRPr="00B2211C">
            <w:instrText xml:space="preserve"> TOC \o "1-3" \h \z \u </w:instrText>
          </w:r>
          <w:r w:rsidRPr="00B2211C">
            <w:fldChar w:fldCharType="separate"/>
          </w:r>
          <w:hyperlink w:anchor="_Toc198671566" w:history="1">
            <w:r w:rsidRPr="00B2211C">
              <w:rPr>
                <w:rStyle w:val="Hyperlink"/>
              </w:rPr>
              <w:t>Introduction</w:t>
            </w:r>
            <w:r w:rsidRPr="00B2211C">
              <w:rPr>
                <w:webHidden/>
              </w:rPr>
              <w:tab/>
            </w:r>
            <w:r w:rsidRPr="00B2211C">
              <w:rPr>
                <w:webHidden/>
              </w:rPr>
              <w:fldChar w:fldCharType="begin"/>
            </w:r>
            <w:r w:rsidRPr="00B2211C">
              <w:rPr>
                <w:webHidden/>
              </w:rPr>
              <w:instrText xml:space="preserve"> PAGEREF _Toc198671566 \h </w:instrText>
            </w:r>
            <w:r w:rsidRPr="00B2211C">
              <w:rPr>
                <w:webHidden/>
              </w:rPr>
            </w:r>
            <w:r w:rsidRPr="00B2211C">
              <w:rPr>
                <w:webHidden/>
              </w:rPr>
              <w:fldChar w:fldCharType="separate"/>
            </w:r>
            <w:r w:rsidRPr="00B2211C">
              <w:rPr>
                <w:webHidden/>
              </w:rPr>
              <w:t>7</w:t>
            </w:r>
            <w:r w:rsidRPr="00B2211C">
              <w:rPr>
                <w:webHidden/>
              </w:rPr>
              <w:fldChar w:fldCharType="end"/>
            </w:r>
          </w:hyperlink>
        </w:p>
        <w:p w14:paraId="23D72CEE" w14:textId="4F4E2957" w:rsidR="00B24902" w:rsidRPr="00B2211C" w:rsidRDefault="00B24902">
          <w:pPr>
            <w:pStyle w:val="TOC1"/>
            <w:tabs>
              <w:tab w:val="right" w:leader="dot" w:pos="9350"/>
            </w:tabs>
            <w:rPr>
              <w:rFonts w:asciiTheme="minorHAnsi" w:eastAsiaTheme="minorEastAsia" w:hAnsiTheme="minorHAnsi" w:cstheme="minorBidi"/>
              <w:kern w:val="2"/>
              <w:szCs w:val="24"/>
              <w:lang w:eastAsia="en-GB"/>
            </w:rPr>
          </w:pPr>
          <w:hyperlink w:anchor="_Toc198671567" w:history="1">
            <w:r w:rsidRPr="00B2211C">
              <w:rPr>
                <w:rStyle w:val="Hyperlink"/>
              </w:rPr>
              <w:t>Analysis</w:t>
            </w:r>
            <w:r w:rsidRPr="00B2211C">
              <w:rPr>
                <w:webHidden/>
              </w:rPr>
              <w:tab/>
            </w:r>
            <w:r w:rsidRPr="00B2211C">
              <w:rPr>
                <w:webHidden/>
              </w:rPr>
              <w:fldChar w:fldCharType="begin"/>
            </w:r>
            <w:r w:rsidRPr="00B2211C">
              <w:rPr>
                <w:webHidden/>
              </w:rPr>
              <w:instrText xml:space="preserve"> PAGEREF _Toc198671567 \h </w:instrText>
            </w:r>
            <w:r w:rsidRPr="00B2211C">
              <w:rPr>
                <w:webHidden/>
              </w:rPr>
            </w:r>
            <w:r w:rsidRPr="00B2211C">
              <w:rPr>
                <w:webHidden/>
              </w:rPr>
              <w:fldChar w:fldCharType="separate"/>
            </w:r>
            <w:r w:rsidRPr="00B2211C">
              <w:rPr>
                <w:webHidden/>
              </w:rPr>
              <w:t>10</w:t>
            </w:r>
            <w:r w:rsidRPr="00B2211C">
              <w:rPr>
                <w:webHidden/>
              </w:rPr>
              <w:fldChar w:fldCharType="end"/>
            </w:r>
          </w:hyperlink>
        </w:p>
        <w:p w14:paraId="10E37271" w14:textId="4485848F" w:rsidR="00B24902" w:rsidRPr="00B2211C" w:rsidRDefault="00B24902">
          <w:pPr>
            <w:pStyle w:val="TOC2"/>
            <w:tabs>
              <w:tab w:val="right" w:leader="dot" w:pos="9350"/>
            </w:tabs>
            <w:rPr>
              <w:rFonts w:asciiTheme="minorHAnsi" w:eastAsiaTheme="minorEastAsia" w:hAnsiTheme="minorHAnsi" w:cstheme="minorBidi"/>
              <w:kern w:val="2"/>
              <w:szCs w:val="24"/>
              <w:lang w:eastAsia="en-GB"/>
            </w:rPr>
          </w:pPr>
          <w:hyperlink w:anchor="_Toc198671568" w:history="1">
            <w:r w:rsidRPr="00B2211C">
              <w:rPr>
                <w:rStyle w:val="Hyperlink"/>
              </w:rPr>
              <w:t>Description of the Issue and Impact on Marriott London County Hall</w:t>
            </w:r>
            <w:r w:rsidRPr="00B2211C">
              <w:rPr>
                <w:webHidden/>
              </w:rPr>
              <w:tab/>
            </w:r>
            <w:r w:rsidRPr="00B2211C">
              <w:rPr>
                <w:webHidden/>
              </w:rPr>
              <w:fldChar w:fldCharType="begin"/>
            </w:r>
            <w:r w:rsidRPr="00B2211C">
              <w:rPr>
                <w:webHidden/>
              </w:rPr>
              <w:instrText xml:space="preserve"> PAGEREF _Toc198671568 \h </w:instrText>
            </w:r>
            <w:r w:rsidRPr="00B2211C">
              <w:rPr>
                <w:webHidden/>
              </w:rPr>
            </w:r>
            <w:r w:rsidRPr="00B2211C">
              <w:rPr>
                <w:webHidden/>
              </w:rPr>
              <w:fldChar w:fldCharType="separate"/>
            </w:r>
            <w:r w:rsidRPr="00B2211C">
              <w:rPr>
                <w:webHidden/>
              </w:rPr>
              <w:t>10</w:t>
            </w:r>
            <w:r w:rsidRPr="00B2211C">
              <w:rPr>
                <w:webHidden/>
              </w:rPr>
              <w:fldChar w:fldCharType="end"/>
            </w:r>
          </w:hyperlink>
        </w:p>
        <w:p w14:paraId="00AA1393" w14:textId="26E5D84C" w:rsidR="00B24902" w:rsidRPr="00B2211C" w:rsidRDefault="00B24902">
          <w:pPr>
            <w:pStyle w:val="TOC2"/>
            <w:tabs>
              <w:tab w:val="right" w:leader="dot" w:pos="9350"/>
            </w:tabs>
            <w:rPr>
              <w:rFonts w:asciiTheme="minorHAnsi" w:eastAsiaTheme="minorEastAsia" w:hAnsiTheme="minorHAnsi" w:cstheme="minorBidi"/>
              <w:kern w:val="2"/>
              <w:szCs w:val="24"/>
              <w:lang w:eastAsia="en-GB"/>
            </w:rPr>
          </w:pPr>
          <w:hyperlink w:anchor="_Toc198671569" w:history="1">
            <w:r w:rsidRPr="00B2211C">
              <w:rPr>
                <w:rStyle w:val="Hyperlink"/>
              </w:rPr>
              <w:t>Causes of the Energy Cost Issue</w:t>
            </w:r>
            <w:r w:rsidRPr="00B2211C">
              <w:rPr>
                <w:webHidden/>
              </w:rPr>
              <w:tab/>
            </w:r>
            <w:r w:rsidRPr="00B2211C">
              <w:rPr>
                <w:webHidden/>
              </w:rPr>
              <w:fldChar w:fldCharType="begin"/>
            </w:r>
            <w:r w:rsidRPr="00B2211C">
              <w:rPr>
                <w:webHidden/>
              </w:rPr>
              <w:instrText xml:space="preserve"> PAGEREF _Toc198671569 \h </w:instrText>
            </w:r>
            <w:r w:rsidRPr="00B2211C">
              <w:rPr>
                <w:webHidden/>
              </w:rPr>
            </w:r>
            <w:r w:rsidRPr="00B2211C">
              <w:rPr>
                <w:webHidden/>
              </w:rPr>
              <w:fldChar w:fldCharType="separate"/>
            </w:r>
            <w:r w:rsidRPr="00B2211C">
              <w:rPr>
                <w:webHidden/>
              </w:rPr>
              <w:t>11</w:t>
            </w:r>
            <w:r w:rsidRPr="00B2211C">
              <w:rPr>
                <w:webHidden/>
              </w:rPr>
              <w:fldChar w:fldCharType="end"/>
            </w:r>
          </w:hyperlink>
        </w:p>
        <w:p w14:paraId="17BD9C90" w14:textId="5985552A" w:rsidR="00B24902" w:rsidRPr="00B2211C" w:rsidRDefault="00B24902">
          <w:pPr>
            <w:pStyle w:val="TOC2"/>
            <w:tabs>
              <w:tab w:val="right" w:leader="dot" w:pos="9350"/>
            </w:tabs>
            <w:rPr>
              <w:rFonts w:asciiTheme="minorHAnsi" w:eastAsiaTheme="minorEastAsia" w:hAnsiTheme="minorHAnsi" w:cstheme="minorBidi"/>
              <w:kern w:val="2"/>
              <w:szCs w:val="24"/>
              <w:lang w:eastAsia="en-GB"/>
            </w:rPr>
          </w:pPr>
          <w:hyperlink w:anchor="_Toc198671570" w:history="1">
            <w:r w:rsidRPr="00B2211C">
              <w:rPr>
                <w:rStyle w:val="Hyperlink"/>
              </w:rPr>
              <w:t>Feedback, Reputation, Income, and Scope Analysis</w:t>
            </w:r>
            <w:r w:rsidRPr="00B2211C">
              <w:rPr>
                <w:webHidden/>
              </w:rPr>
              <w:tab/>
            </w:r>
            <w:r w:rsidRPr="00B2211C">
              <w:rPr>
                <w:webHidden/>
              </w:rPr>
              <w:fldChar w:fldCharType="begin"/>
            </w:r>
            <w:r w:rsidRPr="00B2211C">
              <w:rPr>
                <w:webHidden/>
              </w:rPr>
              <w:instrText xml:space="preserve"> PAGEREF _Toc198671570 \h </w:instrText>
            </w:r>
            <w:r w:rsidRPr="00B2211C">
              <w:rPr>
                <w:webHidden/>
              </w:rPr>
            </w:r>
            <w:r w:rsidRPr="00B2211C">
              <w:rPr>
                <w:webHidden/>
              </w:rPr>
              <w:fldChar w:fldCharType="separate"/>
            </w:r>
            <w:r w:rsidRPr="00B2211C">
              <w:rPr>
                <w:webHidden/>
              </w:rPr>
              <w:t>12</w:t>
            </w:r>
            <w:r w:rsidRPr="00B2211C">
              <w:rPr>
                <w:webHidden/>
              </w:rPr>
              <w:fldChar w:fldCharType="end"/>
            </w:r>
          </w:hyperlink>
        </w:p>
        <w:p w14:paraId="602BEF97" w14:textId="53ACA88B" w:rsidR="00B24902" w:rsidRPr="00B2211C" w:rsidRDefault="00B24902">
          <w:pPr>
            <w:pStyle w:val="TOC2"/>
            <w:tabs>
              <w:tab w:val="right" w:leader="dot" w:pos="9350"/>
            </w:tabs>
            <w:rPr>
              <w:rFonts w:asciiTheme="minorHAnsi" w:eastAsiaTheme="minorEastAsia" w:hAnsiTheme="minorHAnsi" w:cstheme="minorBidi"/>
              <w:kern w:val="2"/>
              <w:szCs w:val="24"/>
              <w:lang w:eastAsia="en-GB"/>
            </w:rPr>
          </w:pPr>
          <w:hyperlink w:anchor="_Toc198671571" w:history="1">
            <w:r w:rsidRPr="00B2211C">
              <w:rPr>
                <w:rStyle w:val="Hyperlink"/>
              </w:rPr>
              <w:t>Research Methodology and Sources</w:t>
            </w:r>
            <w:r w:rsidRPr="00B2211C">
              <w:rPr>
                <w:webHidden/>
              </w:rPr>
              <w:tab/>
            </w:r>
            <w:r w:rsidRPr="00B2211C">
              <w:rPr>
                <w:webHidden/>
              </w:rPr>
              <w:fldChar w:fldCharType="begin"/>
            </w:r>
            <w:r w:rsidRPr="00B2211C">
              <w:rPr>
                <w:webHidden/>
              </w:rPr>
              <w:instrText xml:space="preserve"> PAGEREF _Toc198671571 \h </w:instrText>
            </w:r>
            <w:r w:rsidRPr="00B2211C">
              <w:rPr>
                <w:webHidden/>
              </w:rPr>
            </w:r>
            <w:r w:rsidRPr="00B2211C">
              <w:rPr>
                <w:webHidden/>
              </w:rPr>
              <w:fldChar w:fldCharType="separate"/>
            </w:r>
            <w:r w:rsidRPr="00B2211C">
              <w:rPr>
                <w:webHidden/>
              </w:rPr>
              <w:t>13</w:t>
            </w:r>
            <w:r w:rsidRPr="00B2211C">
              <w:rPr>
                <w:webHidden/>
              </w:rPr>
              <w:fldChar w:fldCharType="end"/>
            </w:r>
          </w:hyperlink>
        </w:p>
        <w:p w14:paraId="109370CD" w14:textId="1B904265" w:rsidR="00B24902" w:rsidRPr="00B2211C" w:rsidRDefault="00B24902">
          <w:pPr>
            <w:pStyle w:val="TOC2"/>
            <w:tabs>
              <w:tab w:val="right" w:leader="dot" w:pos="9350"/>
            </w:tabs>
            <w:rPr>
              <w:rFonts w:asciiTheme="minorHAnsi" w:eastAsiaTheme="minorEastAsia" w:hAnsiTheme="minorHAnsi" w:cstheme="minorBidi"/>
              <w:kern w:val="2"/>
              <w:szCs w:val="24"/>
              <w:lang w:eastAsia="en-GB"/>
            </w:rPr>
          </w:pPr>
          <w:hyperlink w:anchor="_Toc198671572" w:history="1">
            <w:r w:rsidRPr="00B2211C">
              <w:rPr>
                <w:rStyle w:val="Hyperlink"/>
              </w:rPr>
              <w:t>STEEPLED Analysis</w:t>
            </w:r>
            <w:r w:rsidRPr="00B2211C">
              <w:rPr>
                <w:webHidden/>
              </w:rPr>
              <w:tab/>
            </w:r>
            <w:r w:rsidRPr="00B2211C">
              <w:rPr>
                <w:webHidden/>
              </w:rPr>
              <w:fldChar w:fldCharType="begin"/>
            </w:r>
            <w:r w:rsidRPr="00B2211C">
              <w:rPr>
                <w:webHidden/>
              </w:rPr>
              <w:instrText xml:space="preserve"> PAGEREF _Toc198671572 \h </w:instrText>
            </w:r>
            <w:r w:rsidRPr="00B2211C">
              <w:rPr>
                <w:webHidden/>
              </w:rPr>
            </w:r>
            <w:r w:rsidRPr="00B2211C">
              <w:rPr>
                <w:webHidden/>
              </w:rPr>
              <w:fldChar w:fldCharType="separate"/>
            </w:r>
            <w:r w:rsidRPr="00B2211C">
              <w:rPr>
                <w:webHidden/>
              </w:rPr>
              <w:t>14</w:t>
            </w:r>
            <w:r w:rsidRPr="00B2211C">
              <w:rPr>
                <w:webHidden/>
              </w:rPr>
              <w:fldChar w:fldCharType="end"/>
            </w:r>
          </w:hyperlink>
        </w:p>
        <w:p w14:paraId="035B2AB7" w14:textId="0386E07E" w:rsidR="00B24902" w:rsidRPr="00B2211C" w:rsidRDefault="00B24902">
          <w:pPr>
            <w:pStyle w:val="TOC2"/>
            <w:tabs>
              <w:tab w:val="right" w:leader="dot" w:pos="9350"/>
            </w:tabs>
            <w:rPr>
              <w:rFonts w:asciiTheme="minorHAnsi" w:eastAsiaTheme="minorEastAsia" w:hAnsiTheme="minorHAnsi" w:cstheme="minorBidi"/>
              <w:kern w:val="2"/>
              <w:szCs w:val="24"/>
              <w:lang w:eastAsia="en-GB"/>
            </w:rPr>
          </w:pPr>
          <w:hyperlink w:anchor="_Toc198671573" w:history="1">
            <w:r w:rsidRPr="00B2211C">
              <w:rPr>
                <w:rStyle w:val="Hyperlink"/>
              </w:rPr>
              <w:t>SWOT Analysis</w:t>
            </w:r>
            <w:r w:rsidRPr="00B2211C">
              <w:rPr>
                <w:webHidden/>
              </w:rPr>
              <w:tab/>
            </w:r>
            <w:r w:rsidRPr="00B2211C">
              <w:rPr>
                <w:webHidden/>
              </w:rPr>
              <w:fldChar w:fldCharType="begin"/>
            </w:r>
            <w:r w:rsidRPr="00B2211C">
              <w:rPr>
                <w:webHidden/>
              </w:rPr>
              <w:instrText xml:space="preserve"> PAGEREF _Toc198671573 \h </w:instrText>
            </w:r>
            <w:r w:rsidRPr="00B2211C">
              <w:rPr>
                <w:webHidden/>
              </w:rPr>
            </w:r>
            <w:r w:rsidRPr="00B2211C">
              <w:rPr>
                <w:webHidden/>
              </w:rPr>
              <w:fldChar w:fldCharType="separate"/>
            </w:r>
            <w:r w:rsidRPr="00B2211C">
              <w:rPr>
                <w:webHidden/>
              </w:rPr>
              <w:t>15</w:t>
            </w:r>
            <w:r w:rsidRPr="00B2211C">
              <w:rPr>
                <w:webHidden/>
              </w:rPr>
              <w:fldChar w:fldCharType="end"/>
            </w:r>
          </w:hyperlink>
        </w:p>
        <w:p w14:paraId="5B825178" w14:textId="0E7FC730" w:rsidR="00B24902" w:rsidRPr="00B2211C" w:rsidRDefault="00B24902">
          <w:pPr>
            <w:pStyle w:val="TOC2"/>
            <w:tabs>
              <w:tab w:val="right" w:leader="dot" w:pos="9350"/>
            </w:tabs>
            <w:rPr>
              <w:rFonts w:asciiTheme="minorHAnsi" w:eastAsiaTheme="minorEastAsia" w:hAnsiTheme="minorHAnsi" w:cstheme="minorBidi"/>
              <w:kern w:val="2"/>
              <w:szCs w:val="24"/>
              <w:lang w:eastAsia="en-GB"/>
            </w:rPr>
          </w:pPr>
          <w:hyperlink w:anchor="_Toc198671574" w:history="1">
            <w:r w:rsidRPr="00B2211C">
              <w:rPr>
                <w:rStyle w:val="Hyperlink"/>
              </w:rPr>
              <w:t>TOWS Analysis</w:t>
            </w:r>
            <w:r w:rsidRPr="00B2211C">
              <w:rPr>
                <w:webHidden/>
              </w:rPr>
              <w:tab/>
            </w:r>
            <w:r w:rsidRPr="00B2211C">
              <w:rPr>
                <w:webHidden/>
              </w:rPr>
              <w:fldChar w:fldCharType="begin"/>
            </w:r>
            <w:r w:rsidRPr="00B2211C">
              <w:rPr>
                <w:webHidden/>
              </w:rPr>
              <w:instrText xml:space="preserve"> PAGEREF _Toc198671574 \h </w:instrText>
            </w:r>
            <w:r w:rsidRPr="00B2211C">
              <w:rPr>
                <w:webHidden/>
              </w:rPr>
            </w:r>
            <w:r w:rsidRPr="00B2211C">
              <w:rPr>
                <w:webHidden/>
              </w:rPr>
              <w:fldChar w:fldCharType="separate"/>
            </w:r>
            <w:r w:rsidRPr="00B2211C">
              <w:rPr>
                <w:webHidden/>
              </w:rPr>
              <w:t>17</w:t>
            </w:r>
            <w:r w:rsidRPr="00B2211C">
              <w:rPr>
                <w:webHidden/>
              </w:rPr>
              <w:fldChar w:fldCharType="end"/>
            </w:r>
          </w:hyperlink>
        </w:p>
        <w:p w14:paraId="317C6221" w14:textId="3FB0AFE0" w:rsidR="00B24902" w:rsidRPr="00B2211C" w:rsidRDefault="00B24902">
          <w:pPr>
            <w:pStyle w:val="TOC1"/>
            <w:tabs>
              <w:tab w:val="right" w:leader="dot" w:pos="9350"/>
            </w:tabs>
            <w:rPr>
              <w:rFonts w:asciiTheme="minorHAnsi" w:eastAsiaTheme="minorEastAsia" w:hAnsiTheme="minorHAnsi" w:cstheme="minorBidi"/>
              <w:kern w:val="2"/>
              <w:szCs w:val="24"/>
              <w:lang w:eastAsia="en-GB"/>
            </w:rPr>
          </w:pPr>
          <w:hyperlink w:anchor="_Toc198671575" w:history="1">
            <w:r w:rsidRPr="00B2211C">
              <w:rPr>
                <w:rStyle w:val="Hyperlink"/>
              </w:rPr>
              <w:t>Recommendations and Change Management</w:t>
            </w:r>
            <w:r w:rsidRPr="00B2211C">
              <w:rPr>
                <w:webHidden/>
              </w:rPr>
              <w:tab/>
            </w:r>
            <w:r w:rsidRPr="00B2211C">
              <w:rPr>
                <w:webHidden/>
              </w:rPr>
              <w:fldChar w:fldCharType="begin"/>
            </w:r>
            <w:r w:rsidRPr="00B2211C">
              <w:rPr>
                <w:webHidden/>
              </w:rPr>
              <w:instrText xml:space="preserve"> PAGEREF _Toc198671575 \h </w:instrText>
            </w:r>
            <w:r w:rsidRPr="00B2211C">
              <w:rPr>
                <w:webHidden/>
              </w:rPr>
            </w:r>
            <w:r w:rsidRPr="00B2211C">
              <w:rPr>
                <w:webHidden/>
              </w:rPr>
              <w:fldChar w:fldCharType="separate"/>
            </w:r>
            <w:r w:rsidRPr="00B2211C">
              <w:rPr>
                <w:webHidden/>
              </w:rPr>
              <w:t>21</w:t>
            </w:r>
            <w:r w:rsidRPr="00B2211C">
              <w:rPr>
                <w:webHidden/>
              </w:rPr>
              <w:fldChar w:fldCharType="end"/>
            </w:r>
          </w:hyperlink>
        </w:p>
        <w:p w14:paraId="0BCD574B" w14:textId="09C7DF57" w:rsidR="00B24902" w:rsidRPr="00B2211C" w:rsidRDefault="00B24902">
          <w:pPr>
            <w:pStyle w:val="TOC1"/>
            <w:tabs>
              <w:tab w:val="right" w:leader="dot" w:pos="9350"/>
            </w:tabs>
            <w:rPr>
              <w:rFonts w:asciiTheme="minorHAnsi" w:eastAsiaTheme="minorEastAsia" w:hAnsiTheme="minorHAnsi" w:cstheme="minorBidi"/>
              <w:kern w:val="2"/>
              <w:szCs w:val="24"/>
              <w:lang w:eastAsia="en-GB"/>
            </w:rPr>
          </w:pPr>
          <w:hyperlink w:anchor="_Toc198671576" w:history="1">
            <w:r w:rsidRPr="00B2211C">
              <w:rPr>
                <w:rStyle w:val="Hyperlink"/>
              </w:rPr>
              <w:t>Action Plan</w:t>
            </w:r>
            <w:r w:rsidRPr="00B2211C">
              <w:rPr>
                <w:webHidden/>
              </w:rPr>
              <w:tab/>
            </w:r>
            <w:r w:rsidRPr="00B2211C">
              <w:rPr>
                <w:webHidden/>
              </w:rPr>
              <w:fldChar w:fldCharType="begin"/>
            </w:r>
            <w:r w:rsidRPr="00B2211C">
              <w:rPr>
                <w:webHidden/>
              </w:rPr>
              <w:instrText xml:space="preserve"> PAGEREF _Toc198671576 \h </w:instrText>
            </w:r>
            <w:r w:rsidRPr="00B2211C">
              <w:rPr>
                <w:webHidden/>
              </w:rPr>
            </w:r>
            <w:r w:rsidRPr="00B2211C">
              <w:rPr>
                <w:webHidden/>
              </w:rPr>
              <w:fldChar w:fldCharType="separate"/>
            </w:r>
            <w:r w:rsidRPr="00B2211C">
              <w:rPr>
                <w:webHidden/>
              </w:rPr>
              <w:t>33</w:t>
            </w:r>
            <w:r w:rsidRPr="00B2211C">
              <w:rPr>
                <w:webHidden/>
              </w:rPr>
              <w:fldChar w:fldCharType="end"/>
            </w:r>
          </w:hyperlink>
        </w:p>
        <w:p w14:paraId="5F9AA0C6" w14:textId="105820B8" w:rsidR="00B24902" w:rsidRPr="00B2211C" w:rsidRDefault="00B24902">
          <w:pPr>
            <w:pStyle w:val="TOC1"/>
            <w:tabs>
              <w:tab w:val="right" w:leader="dot" w:pos="9350"/>
            </w:tabs>
            <w:rPr>
              <w:rFonts w:asciiTheme="minorHAnsi" w:eastAsiaTheme="minorEastAsia" w:hAnsiTheme="minorHAnsi" w:cstheme="minorBidi"/>
              <w:kern w:val="2"/>
              <w:szCs w:val="24"/>
              <w:lang w:eastAsia="en-GB"/>
            </w:rPr>
          </w:pPr>
          <w:hyperlink w:anchor="_Toc198671577" w:history="1">
            <w:r w:rsidRPr="00B2211C">
              <w:rPr>
                <w:rStyle w:val="Hyperlink"/>
              </w:rPr>
              <w:t>Conclusion</w:t>
            </w:r>
            <w:r w:rsidRPr="00B2211C">
              <w:rPr>
                <w:webHidden/>
              </w:rPr>
              <w:tab/>
            </w:r>
            <w:r w:rsidRPr="00B2211C">
              <w:rPr>
                <w:webHidden/>
              </w:rPr>
              <w:fldChar w:fldCharType="begin"/>
            </w:r>
            <w:r w:rsidRPr="00B2211C">
              <w:rPr>
                <w:webHidden/>
              </w:rPr>
              <w:instrText xml:space="preserve"> PAGEREF _Toc198671577 \h </w:instrText>
            </w:r>
            <w:r w:rsidRPr="00B2211C">
              <w:rPr>
                <w:webHidden/>
              </w:rPr>
            </w:r>
            <w:r w:rsidRPr="00B2211C">
              <w:rPr>
                <w:webHidden/>
              </w:rPr>
              <w:fldChar w:fldCharType="separate"/>
            </w:r>
            <w:r w:rsidRPr="00B2211C">
              <w:rPr>
                <w:webHidden/>
              </w:rPr>
              <w:t>37</w:t>
            </w:r>
            <w:r w:rsidRPr="00B2211C">
              <w:rPr>
                <w:webHidden/>
              </w:rPr>
              <w:fldChar w:fldCharType="end"/>
            </w:r>
          </w:hyperlink>
        </w:p>
        <w:p w14:paraId="4A16C58A" w14:textId="73E2AC04" w:rsidR="00B24902" w:rsidRPr="00B2211C" w:rsidRDefault="00B24902">
          <w:pPr>
            <w:pStyle w:val="TOC1"/>
            <w:tabs>
              <w:tab w:val="right" w:leader="dot" w:pos="9350"/>
            </w:tabs>
            <w:rPr>
              <w:rFonts w:asciiTheme="minorHAnsi" w:eastAsiaTheme="minorEastAsia" w:hAnsiTheme="minorHAnsi" w:cstheme="minorBidi"/>
              <w:kern w:val="2"/>
              <w:szCs w:val="24"/>
              <w:lang w:eastAsia="en-GB"/>
            </w:rPr>
          </w:pPr>
          <w:hyperlink w:anchor="_Toc198671578" w:history="1">
            <w:r w:rsidRPr="00B2211C">
              <w:rPr>
                <w:rStyle w:val="Hyperlink"/>
              </w:rPr>
              <w:t>References</w:t>
            </w:r>
            <w:r w:rsidRPr="00B2211C">
              <w:rPr>
                <w:webHidden/>
              </w:rPr>
              <w:tab/>
            </w:r>
            <w:r w:rsidRPr="00B2211C">
              <w:rPr>
                <w:webHidden/>
              </w:rPr>
              <w:fldChar w:fldCharType="begin"/>
            </w:r>
            <w:r w:rsidRPr="00B2211C">
              <w:rPr>
                <w:webHidden/>
              </w:rPr>
              <w:instrText xml:space="preserve"> PAGEREF _Toc198671578 \h </w:instrText>
            </w:r>
            <w:r w:rsidRPr="00B2211C">
              <w:rPr>
                <w:webHidden/>
              </w:rPr>
            </w:r>
            <w:r w:rsidRPr="00B2211C">
              <w:rPr>
                <w:webHidden/>
              </w:rPr>
              <w:fldChar w:fldCharType="separate"/>
            </w:r>
            <w:r w:rsidRPr="00B2211C">
              <w:rPr>
                <w:webHidden/>
              </w:rPr>
              <w:t>39</w:t>
            </w:r>
            <w:r w:rsidRPr="00B2211C">
              <w:rPr>
                <w:webHidden/>
              </w:rPr>
              <w:fldChar w:fldCharType="end"/>
            </w:r>
          </w:hyperlink>
        </w:p>
        <w:p w14:paraId="574D053E" w14:textId="59EE08D7" w:rsidR="00B24902" w:rsidRPr="00B2211C" w:rsidRDefault="00B24902">
          <w:r w:rsidRPr="00B2211C">
            <w:rPr>
              <w:b/>
              <w:bCs/>
            </w:rPr>
            <w:fldChar w:fldCharType="end"/>
          </w:r>
        </w:p>
      </w:sdtContent>
    </w:sdt>
    <w:p w14:paraId="270E7FB9" w14:textId="77777777" w:rsidR="00B24902" w:rsidRPr="00B2211C" w:rsidRDefault="00B24902" w:rsidP="00461A87">
      <w:pPr>
        <w:jc w:val="both"/>
        <w:rPr>
          <w:rFonts w:eastAsia="Times New Roman" w:cs="Times New Roman"/>
          <w:szCs w:val="24"/>
        </w:rPr>
      </w:pPr>
    </w:p>
    <w:p w14:paraId="2CF4BBBE" w14:textId="77777777" w:rsidR="00B24902" w:rsidRPr="00B2211C" w:rsidRDefault="00B24902">
      <w:pPr>
        <w:spacing w:line="276" w:lineRule="auto"/>
        <w:rPr>
          <w:rFonts w:eastAsia="Times New Roman" w:cs="Times New Roman"/>
          <w:b/>
          <w:sz w:val="28"/>
          <w:szCs w:val="28"/>
        </w:rPr>
      </w:pPr>
      <w:bookmarkStart w:id="2" w:name="_tn9nxri4vlsz" w:colFirst="0" w:colLast="0"/>
      <w:bookmarkStart w:id="3" w:name="_Toc198647425"/>
      <w:bookmarkEnd w:id="2"/>
      <w:r w:rsidRPr="00B2211C">
        <w:rPr>
          <w:szCs w:val="28"/>
        </w:rPr>
        <w:br w:type="page"/>
      </w:r>
    </w:p>
    <w:p w14:paraId="6FAB4879" w14:textId="6948E7E2" w:rsidR="007745E9" w:rsidRPr="00B2211C" w:rsidRDefault="00DD163F" w:rsidP="00461A87">
      <w:pPr>
        <w:pStyle w:val="Heading1"/>
        <w:spacing w:line="480" w:lineRule="auto"/>
        <w:rPr>
          <w:b w:val="0"/>
          <w:szCs w:val="28"/>
        </w:rPr>
      </w:pPr>
      <w:bookmarkStart w:id="4" w:name="_Toc198671566"/>
      <w:r w:rsidRPr="00B2211C">
        <w:rPr>
          <w:szCs w:val="28"/>
        </w:rPr>
        <w:lastRenderedPageBreak/>
        <w:t>Introduction</w:t>
      </w:r>
      <w:bookmarkEnd w:id="3"/>
      <w:bookmarkEnd w:id="4"/>
      <w:r w:rsidRPr="00B2211C">
        <w:rPr>
          <w:szCs w:val="28"/>
        </w:rPr>
        <w:t xml:space="preserve"> </w:t>
      </w:r>
    </w:p>
    <w:p w14:paraId="19082DEA"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This report has focused on identifying the issue at </w:t>
      </w:r>
      <w:r w:rsidRPr="00B2211C">
        <w:rPr>
          <w:rFonts w:eastAsia="Times New Roman" w:cs="Times New Roman"/>
          <w:i/>
          <w:szCs w:val="24"/>
        </w:rPr>
        <w:t>Marriott London County Hall</w:t>
      </w:r>
      <w:r w:rsidRPr="00B2211C">
        <w:rPr>
          <w:rFonts w:eastAsia="Times New Roman" w:cs="Times New Roman"/>
          <w:szCs w:val="24"/>
        </w:rPr>
        <w:t xml:space="preserve">, by distinguished hotel located on the South Bank of the River Thames in London, UK. The hotel has been operating in a historic </w:t>
      </w:r>
      <w:r w:rsidRPr="00B2211C">
        <w:rPr>
          <w:rFonts w:eastAsia="Times New Roman" w:cs="Times New Roman"/>
          <w:i/>
          <w:szCs w:val="24"/>
        </w:rPr>
        <w:t>Grade II-listed</w:t>
      </w:r>
      <w:r w:rsidRPr="00B2211C">
        <w:rPr>
          <w:rFonts w:eastAsia="Times New Roman" w:cs="Times New Roman"/>
          <w:szCs w:val="24"/>
        </w:rPr>
        <w:t xml:space="preserve"> building originally constructed in 1917. Thus, it is observed that features 206 guest rooms, including suites as well as event spaces, attract both leisure as well as business </w:t>
      </w:r>
      <w:r w:rsidR="00DB5D28" w:rsidRPr="00B2211C">
        <w:rPr>
          <w:rFonts w:eastAsia="Times New Roman" w:cs="Times New Roman"/>
          <w:szCs w:val="24"/>
        </w:rPr>
        <w:t>travellers</w:t>
      </w:r>
      <w:r w:rsidRPr="00B2211C">
        <w:rPr>
          <w:rFonts w:eastAsia="Times New Roman" w:cs="Times New Roman"/>
          <w:szCs w:val="24"/>
        </w:rPr>
        <w:t xml:space="preserve"> cause to its prime proximity to key landmarks like the London Eye as well as Houses of Parliament. Therefore, it is stated that despite its prestigious status with a strong brand presence, Marriott London County Hall is facing a critical operational challenge due to a sharp rise in energy costs.</w:t>
      </w:r>
    </w:p>
    <w:p w14:paraId="69D62978"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On the other hand, the building’s </w:t>
      </w:r>
      <w:r w:rsidR="00DB5D28" w:rsidRPr="00B2211C">
        <w:rPr>
          <w:rFonts w:eastAsia="Times New Roman" w:cs="Times New Roman"/>
          <w:szCs w:val="24"/>
        </w:rPr>
        <w:t>age as well as older infrastructure contributes</w:t>
      </w:r>
      <w:r w:rsidRPr="00B2211C">
        <w:rPr>
          <w:rFonts w:eastAsia="Times New Roman" w:cs="Times New Roman"/>
          <w:szCs w:val="24"/>
        </w:rPr>
        <w:t xml:space="preserve"> to inefficiencies in energy use, resulting in disproportionately high energy bills. Moreover, it is observed that aftermath of the UK’s 2022–2023 energy crisis, commercial energy prices remain elevated as well as volatile, as the issue is </w:t>
      </w:r>
      <w:r w:rsidRPr="00B2211C">
        <w:rPr>
          <w:rFonts w:eastAsia="Times New Roman" w:cs="Times New Roman"/>
          <w:i/>
          <w:szCs w:val="24"/>
        </w:rPr>
        <w:t>“a sharp Rise in Energy Costs Impacting Operational Budgets”</w:t>
      </w:r>
      <w:r w:rsidRPr="00B2211C">
        <w:rPr>
          <w:rFonts w:eastAsia="Times New Roman" w:cs="Times New Roman"/>
          <w:szCs w:val="24"/>
        </w:rPr>
        <w:t>. This situation has been considered that pressure on the hotel’s operational budget, complicating efforts to maintain guest comfort as well as meet sustainability goals. Thus, it is identified that this issue is effective in preserving profitability as well as competitive positioning. As a Consultant, it is focused on the hospitality sector. It is stated that providing help to hotels improves operational efficiency, manages costs, and implements sustainable practices. After that, the experience with heritage properties as well as large-scale commercial operations equips us to advise Marriott London County Hall effectively.</w:t>
      </w:r>
    </w:p>
    <w:p w14:paraId="5801DB07"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Analytical Frameworks and Theories</w:t>
      </w:r>
    </w:p>
    <w:p w14:paraId="5A3C6DBD"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lastRenderedPageBreak/>
        <w:t>It thoroughly analyses the energy cost challenge at Marriott London County Hall to develop actionable solutions, this report will apply several strategic frameworks such as STEEPLED, SWOT, as well as TOWS.</w:t>
      </w:r>
    </w:p>
    <w:p w14:paraId="5B4ACF77"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STEEPLED Analysis</w:t>
      </w:r>
    </w:p>
    <w:p w14:paraId="6005DFF8" w14:textId="674D8E2D" w:rsidR="007745E9" w:rsidRPr="00B2211C" w:rsidRDefault="00DD163F" w:rsidP="00461A87">
      <w:pPr>
        <w:jc w:val="both"/>
        <w:rPr>
          <w:rFonts w:eastAsia="Times New Roman" w:cs="Times New Roman"/>
          <w:szCs w:val="24"/>
        </w:rPr>
      </w:pPr>
      <w:r w:rsidRPr="00B2211C">
        <w:rPr>
          <w:rFonts w:eastAsia="Times New Roman" w:cs="Times New Roman"/>
          <w:szCs w:val="24"/>
        </w:rPr>
        <w:t>The STEEPLED framework has been addressing external macro-environmental factors by the effects of the hotel, covering Social, Technological, Economic, Environmental, Political, Legal, Ethical, as well as Demographic dimensions. This holistic approach has been focused on by understanding how rising energy prices intersect with broader trends like developing environmental regulations, technological advancements in energy management, shifting consumer expectations towards sustainability, as well as economic pressures based on the hospitality industry (</w:t>
      </w:r>
      <w:r w:rsidR="00EA7B1A" w:rsidRPr="00B2211C">
        <w:rPr>
          <w:rFonts w:eastAsia="Times New Roman" w:cs="Times New Roman"/>
          <w:szCs w:val="24"/>
        </w:rPr>
        <w:t>Menegaki, 2025</w:t>
      </w:r>
      <w:r w:rsidRPr="00B2211C">
        <w:rPr>
          <w:rFonts w:eastAsia="Times New Roman" w:cs="Times New Roman"/>
          <w:szCs w:val="24"/>
        </w:rPr>
        <w:t>). Moreover, it is stated that changes in government energy policy, as well as energy market volatility, political and economic factors, directly influence operational costs. Technological factors have been highlighting innovations in energy efficiency and alternative energy sources.</w:t>
      </w:r>
    </w:p>
    <w:p w14:paraId="5C6E21D5"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SWOT Analysis</w:t>
      </w:r>
    </w:p>
    <w:p w14:paraId="0814C212"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SWOT analysis will provide an internal as well as external snapshot of </w:t>
      </w:r>
      <w:r w:rsidRPr="00B2211C">
        <w:rPr>
          <w:rFonts w:eastAsia="Times New Roman" w:cs="Times New Roman"/>
          <w:i/>
          <w:szCs w:val="24"/>
        </w:rPr>
        <w:t xml:space="preserve">Marriott London County Hall’s </w:t>
      </w:r>
      <w:r w:rsidRPr="00B2211C">
        <w:rPr>
          <w:rFonts w:eastAsia="Times New Roman" w:cs="Times New Roman"/>
          <w:szCs w:val="24"/>
        </w:rPr>
        <w:t>current situation. It is observed that strengths like its strong brand, prime location, as well as loyal customer base will be weighed against weaknesses such as outdated infrastructure and high fixed energy costs. After that, it is observed that opportunities include implementing green technologies, potential partnerships for energy efficiency upgrades, to evolving customer preferences based on the sustainable accommodation (George, 2025). Thus, it is considered that threats encompass ongoing energy price volatility, tightening regulatory requirements, as well as potential reputational risks with sustainability targets that are unmet.</w:t>
      </w:r>
    </w:p>
    <w:p w14:paraId="1F65F047"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lastRenderedPageBreak/>
        <w:t>TOWS Matrix</w:t>
      </w:r>
    </w:p>
    <w:p w14:paraId="24BF8F10"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The TOWS matrix builds on SWOT by collaborating with internal strengths as well as weaknesses, by external opportunities and threats, and by guiding strategic decision-making. It is focused on the formulation of proactive strategies, like leveraging the hotel's brand as well as location, by justifying investment in energy-saving technologies by identifying infrastructure weaknesses for decreasing vulnerability to rising energy costs, like WT strategies (García and López, 2025). This structured approach has ensured that recommendations by collaboration with the hotel's capabilities by the external environment.</w:t>
      </w:r>
    </w:p>
    <w:p w14:paraId="42CB43E0" w14:textId="77777777" w:rsidR="00B24902" w:rsidRPr="00B2211C" w:rsidRDefault="00B24902">
      <w:pPr>
        <w:spacing w:line="276" w:lineRule="auto"/>
        <w:rPr>
          <w:rFonts w:eastAsia="Times New Roman" w:cs="Times New Roman"/>
          <w:b/>
          <w:sz w:val="28"/>
          <w:szCs w:val="28"/>
        </w:rPr>
      </w:pPr>
      <w:bookmarkStart w:id="5" w:name="_ba9mapymygeh" w:colFirst="0" w:colLast="0"/>
      <w:bookmarkStart w:id="6" w:name="_Toc198647426"/>
      <w:bookmarkEnd w:id="5"/>
      <w:r w:rsidRPr="00B2211C">
        <w:rPr>
          <w:szCs w:val="28"/>
        </w:rPr>
        <w:br w:type="page"/>
      </w:r>
    </w:p>
    <w:p w14:paraId="63E02649" w14:textId="34E1501D" w:rsidR="007745E9" w:rsidRPr="00B2211C" w:rsidRDefault="00DD163F" w:rsidP="00461A87">
      <w:pPr>
        <w:pStyle w:val="Heading1"/>
        <w:spacing w:line="480" w:lineRule="auto"/>
        <w:rPr>
          <w:b w:val="0"/>
          <w:szCs w:val="28"/>
        </w:rPr>
      </w:pPr>
      <w:bookmarkStart w:id="7" w:name="_Toc198671567"/>
      <w:r w:rsidRPr="00B2211C">
        <w:rPr>
          <w:szCs w:val="28"/>
        </w:rPr>
        <w:lastRenderedPageBreak/>
        <w:t>Analysis</w:t>
      </w:r>
      <w:bookmarkEnd w:id="6"/>
      <w:bookmarkEnd w:id="7"/>
      <w:r w:rsidRPr="00B2211C">
        <w:rPr>
          <w:szCs w:val="28"/>
        </w:rPr>
        <w:t xml:space="preserve"> </w:t>
      </w:r>
    </w:p>
    <w:p w14:paraId="2929B7AE" w14:textId="48CBF75B" w:rsidR="007745E9" w:rsidRPr="00B2211C" w:rsidRDefault="00DD163F" w:rsidP="00461A87">
      <w:pPr>
        <w:pStyle w:val="Heading2"/>
        <w:spacing w:line="480" w:lineRule="auto"/>
        <w:jc w:val="both"/>
        <w:rPr>
          <w:b/>
          <w:sz w:val="26"/>
          <w:szCs w:val="26"/>
        </w:rPr>
      </w:pPr>
      <w:bookmarkStart w:id="8" w:name="_e1wef3p1o4jy" w:colFirst="0" w:colLast="0"/>
      <w:bookmarkStart w:id="9" w:name="_Toc198647427"/>
      <w:bookmarkStart w:id="10" w:name="_Toc198671568"/>
      <w:bookmarkEnd w:id="8"/>
      <w:r w:rsidRPr="00B2211C">
        <w:rPr>
          <w:b/>
          <w:sz w:val="26"/>
          <w:szCs w:val="26"/>
        </w:rPr>
        <w:t>Description of the Issue and Impact on Marriott London County Hall</w:t>
      </w:r>
      <w:bookmarkEnd w:id="9"/>
      <w:bookmarkEnd w:id="10"/>
    </w:p>
    <w:p w14:paraId="40785D09"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Marriott London County Hall has recently been grappling based on the effective operational challenge of </w:t>
      </w:r>
      <w:r w:rsidRPr="00B2211C">
        <w:rPr>
          <w:rFonts w:eastAsia="Times New Roman" w:cs="Times New Roman"/>
          <w:i/>
          <w:szCs w:val="24"/>
        </w:rPr>
        <w:t>the sharp and sustained rise in energy costs</w:t>
      </w:r>
      <w:r w:rsidRPr="00B2211C">
        <w:rPr>
          <w:rFonts w:eastAsia="Times New Roman" w:cs="Times New Roman"/>
          <w:szCs w:val="24"/>
        </w:rPr>
        <w:t xml:space="preserve"> by placing strain on its financial performance. This issue has arisen from the UK’s broader energy market volatility following the 2022–2023 energy </w:t>
      </w:r>
      <w:r w:rsidR="00DB5D28" w:rsidRPr="00B2211C">
        <w:rPr>
          <w:rFonts w:eastAsia="Times New Roman" w:cs="Times New Roman"/>
          <w:szCs w:val="24"/>
        </w:rPr>
        <w:t>crises</w:t>
      </w:r>
      <w:r w:rsidRPr="00B2211C">
        <w:rPr>
          <w:rFonts w:eastAsia="Times New Roman" w:cs="Times New Roman"/>
          <w:szCs w:val="24"/>
        </w:rPr>
        <w:t xml:space="preserve">, based on wholesale gas prices surged dramatically due to geopolitical tensions, supply chain disruptions, as well as increased global demand (Zhang </w:t>
      </w:r>
      <w:r w:rsidRPr="00B2211C">
        <w:rPr>
          <w:rFonts w:eastAsia="Times New Roman" w:cs="Times New Roman"/>
          <w:i/>
          <w:szCs w:val="24"/>
        </w:rPr>
        <w:t xml:space="preserve">et al. </w:t>
      </w:r>
      <w:r w:rsidRPr="00B2211C">
        <w:rPr>
          <w:rFonts w:eastAsia="Times New Roman" w:cs="Times New Roman"/>
          <w:szCs w:val="24"/>
        </w:rPr>
        <w:t xml:space="preserve">2025). It is stated that price stabilization occurred in </w:t>
      </w:r>
      <w:r w:rsidR="00DB5D28" w:rsidRPr="00B2211C">
        <w:rPr>
          <w:rFonts w:eastAsia="Times New Roman" w:cs="Times New Roman"/>
          <w:szCs w:val="24"/>
        </w:rPr>
        <w:t>2024;</w:t>
      </w:r>
      <w:r w:rsidRPr="00B2211C">
        <w:rPr>
          <w:rFonts w:eastAsia="Times New Roman" w:cs="Times New Roman"/>
          <w:szCs w:val="24"/>
        </w:rPr>
        <w:t xml:space="preserve"> commercial energy prices remained above pre-crisis levels, specifically impacting energy-intensive operations like large hotels.</w:t>
      </w:r>
    </w:p>
    <w:p w14:paraId="6495FF67"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The impact on Marriott London County Hall is multifaceted:</w:t>
      </w:r>
    </w:p>
    <w:p w14:paraId="69740A27" w14:textId="77777777" w:rsidR="007745E9" w:rsidRPr="00B2211C" w:rsidRDefault="00DD163F" w:rsidP="00461A87">
      <w:pPr>
        <w:numPr>
          <w:ilvl w:val="0"/>
          <w:numId w:val="38"/>
        </w:numPr>
        <w:jc w:val="both"/>
        <w:rPr>
          <w:rFonts w:eastAsia="Times New Roman" w:cs="Times New Roman"/>
          <w:szCs w:val="24"/>
        </w:rPr>
      </w:pPr>
      <w:r w:rsidRPr="00B2211C">
        <w:rPr>
          <w:rFonts w:eastAsia="Times New Roman" w:cs="Times New Roman"/>
          <w:b/>
          <w:i/>
          <w:szCs w:val="24"/>
        </w:rPr>
        <w:t>Financial Strain:</w:t>
      </w:r>
      <w:r w:rsidRPr="00B2211C">
        <w:rPr>
          <w:rFonts w:eastAsia="Times New Roman" w:cs="Times New Roman"/>
          <w:szCs w:val="24"/>
        </w:rPr>
        <w:t xml:space="preserve"> It is observed that energy costs are escalating, by estimating suggesting a 30-50% developed in the annual energy expenditure compared to 2022. It is stated that a hotel of this scale (206 rooms) translates into hundreds of thousands based on additional pounds annually spent solely on electricity as well as heating (Hudson, 2025). Therefore, it is considered that by sharp rise diminishes profit margins as well as restricts the hotels’ ability to invest in other critical areas such as guest services for marketing.</w:t>
      </w:r>
    </w:p>
    <w:p w14:paraId="23B65E0D" w14:textId="77777777" w:rsidR="007745E9" w:rsidRPr="00B2211C" w:rsidRDefault="00DD163F" w:rsidP="00461A87">
      <w:pPr>
        <w:numPr>
          <w:ilvl w:val="0"/>
          <w:numId w:val="38"/>
        </w:numPr>
        <w:jc w:val="both"/>
        <w:rPr>
          <w:rFonts w:eastAsia="Times New Roman" w:cs="Times New Roman"/>
          <w:szCs w:val="24"/>
        </w:rPr>
      </w:pPr>
      <w:r w:rsidRPr="00B2211C">
        <w:rPr>
          <w:rFonts w:eastAsia="Times New Roman" w:cs="Times New Roman"/>
          <w:b/>
          <w:i/>
          <w:szCs w:val="24"/>
        </w:rPr>
        <w:t>Operational Challenges:</w:t>
      </w:r>
      <w:r w:rsidRPr="00B2211C">
        <w:rPr>
          <w:rFonts w:eastAsia="Times New Roman" w:cs="Times New Roman"/>
          <w:szCs w:val="24"/>
        </w:rPr>
        <w:t xml:space="preserve"> It is considered that the hotel’s historic building, constructed in 1917, is without optimized for energy efficiency. It is observed that older </w:t>
      </w:r>
      <w:r w:rsidRPr="00B2211C">
        <w:rPr>
          <w:rFonts w:eastAsia="Times New Roman" w:cs="Times New Roman"/>
          <w:i/>
          <w:szCs w:val="24"/>
        </w:rPr>
        <w:t xml:space="preserve">heating, ventilation, and air conditioning </w:t>
      </w:r>
      <w:r w:rsidRPr="00B2211C">
        <w:rPr>
          <w:rFonts w:eastAsia="Times New Roman" w:cs="Times New Roman"/>
          <w:szCs w:val="24"/>
        </w:rPr>
        <w:t>(HVAC) systems, collaborating with inadequate insulation as well as single-glazed windows, contribute to energy waste (Hudson and Hudson, 2025). Thus, it is considered that maintaining guest comfort, specifically heating during London’s colder months, is energy-intensive with costly.</w:t>
      </w:r>
    </w:p>
    <w:p w14:paraId="2642D112" w14:textId="77777777" w:rsidR="007745E9" w:rsidRPr="00B2211C" w:rsidRDefault="00DD163F" w:rsidP="00461A87">
      <w:pPr>
        <w:numPr>
          <w:ilvl w:val="0"/>
          <w:numId w:val="38"/>
        </w:numPr>
        <w:jc w:val="both"/>
        <w:rPr>
          <w:rFonts w:eastAsia="Times New Roman" w:cs="Times New Roman"/>
          <w:szCs w:val="24"/>
        </w:rPr>
      </w:pPr>
      <w:r w:rsidRPr="00B2211C">
        <w:rPr>
          <w:rFonts w:eastAsia="Times New Roman" w:cs="Times New Roman"/>
          <w:b/>
          <w:i/>
          <w:szCs w:val="24"/>
        </w:rPr>
        <w:lastRenderedPageBreak/>
        <w:t>Sustainability Concerns</w:t>
      </w:r>
      <w:r w:rsidRPr="00B2211C">
        <w:rPr>
          <w:rFonts w:eastAsia="Times New Roman" w:cs="Times New Roman"/>
          <w:szCs w:val="24"/>
        </w:rPr>
        <w:t xml:space="preserve">: It stated that Marriott London County Hall is committed to sustainability standards, collaborating with Marriott International’s global goals, by decreasing carbon emissions by developing energy efficiency (Santa </w:t>
      </w:r>
      <w:r w:rsidRPr="00B2211C">
        <w:rPr>
          <w:rFonts w:eastAsia="Times New Roman" w:cs="Times New Roman"/>
          <w:i/>
          <w:szCs w:val="24"/>
        </w:rPr>
        <w:t xml:space="preserve">et al. </w:t>
      </w:r>
      <w:r w:rsidRPr="00B2211C">
        <w:rPr>
          <w:rFonts w:eastAsia="Times New Roman" w:cs="Times New Roman"/>
          <w:szCs w:val="24"/>
        </w:rPr>
        <w:t>2025). Therefore, it is observed that rising energy costs make investments in green technologies difficult, potentially impacting based on the repetitions of hotel’s environmental performance.</w:t>
      </w:r>
    </w:p>
    <w:p w14:paraId="6C5B69CA" w14:textId="77777777" w:rsidR="007745E9" w:rsidRPr="00B2211C" w:rsidRDefault="00DD163F" w:rsidP="00461A87">
      <w:pPr>
        <w:numPr>
          <w:ilvl w:val="0"/>
          <w:numId w:val="38"/>
        </w:numPr>
        <w:jc w:val="both"/>
        <w:rPr>
          <w:rFonts w:eastAsia="Times New Roman" w:cs="Times New Roman"/>
          <w:szCs w:val="24"/>
        </w:rPr>
      </w:pPr>
      <w:r w:rsidRPr="00B2211C">
        <w:rPr>
          <w:rFonts w:eastAsia="Times New Roman" w:cs="Times New Roman"/>
          <w:b/>
          <w:i/>
          <w:szCs w:val="24"/>
        </w:rPr>
        <w:t>Reputation and Guest Experience:</w:t>
      </w:r>
      <w:r w:rsidRPr="00B2211C">
        <w:rPr>
          <w:rFonts w:eastAsia="Times New Roman" w:cs="Times New Roman"/>
          <w:szCs w:val="24"/>
        </w:rPr>
        <w:t xml:space="preserve"> There is developing consumer awareness as well as demand for sustainable hospitality. It is observed that failure to manage energy usage effectively damages the hotel's reputation with the environmentally conscious guests (Hudson and Hudson, 2025). Therefore, it is observed that cost-cutting measures the compromise guest comfort risk negative reviews as well as loss of repeat customers.</w:t>
      </w:r>
    </w:p>
    <w:p w14:paraId="09F66AD0" w14:textId="77777777" w:rsidR="007745E9" w:rsidRPr="00B2211C" w:rsidRDefault="00DD163F" w:rsidP="00461A87">
      <w:pPr>
        <w:numPr>
          <w:ilvl w:val="0"/>
          <w:numId w:val="38"/>
        </w:numPr>
        <w:jc w:val="both"/>
        <w:rPr>
          <w:rFonts w:eastAsia="Times New Roman" w:cs="Times New Roman"/>
          <w:szCs w:val="24"/>
        </w:rPr>
      </w:pPr>
      <w:r w:rsidRPr="00B2211C">
        <w:rPr>
          <w:rFonts w:eastAsia="Times New Roman" w:cs="Times New Roman"/>
          <w:b/>
          <w:i/>
          <w:szCs w:val="24"/>
        </w:rPr>
        <w:t>Scope and Scale:</w:t>
      </w:r>
      <w:r w:rsidRPr="00B2211C">
        <w:rPr>
          <w:rFonts w:eastAsia="Times New Roman" w:cs="Times New Roman"/>
          <w:szCs w:val="24"/>
        </w:rPr>
        <w:t xml:space="preserve"> The issue has been focused on heating as well as electricity by ancillary services like laundry, kitchens, lighting, with conference facilities (Hudson, 2025). The scale of energy has been using across these operations is substantial, as well as inefficient systems exacerbate the problem.</w:t>
      </w:r>
    </w:p>
    <w:p w14:paraId="4D6C6DED" w14:textId="67A766C2" w:rsidR="007745E9" w:rsidRPr="00B2211C" w:rsidRDefault="00DD163F" w:rsidP="00461A87">
      <w:pPr>
        <w:pStyle w:val="Heading2"/>
        <w:spacing w:line="480" w:lineRule="auto"/>
        <w:jc w:val="both"/>
        <w:rPr>
          <w:b/>
          <w:sz w:val="26"/>
          <w:szCs w:val="26"/>
        </w:rPr>
      </w:pPr>
      <w:bookmarkStart w:id="11" w:name="_tftf4sy3xo76" w:colFirst="0" w:colLast="0"/>
      <w:bookmarkStart w:id="12" w:name="_Toc198647428"/>
      <w:bookmarkStart w:id="13" w:name="_Toc198671569"/>
      <w:bookmarkEnd w:id="11"/>
      <w:r w:rsidRPr="00B2211C">
        <w:rPr>
          <w:b/>
          <w:sz w:val="26"/>
          <w:szCs w:val="26"/>
        </w:rPr>
        <w:t>Causes of the Energy Cost Issue</w:t>
      </w:r>
      <w:bookmarkEnd w:id="12"/>
      <w:bookmarkEnd w:id="13"/>
    </w:p>
    <w:p w14:paraId="53C1F80F" w14:textId="77777777" w:rsidR="007745E9" w:rsidRPr="00B2211C" w:rsidRDefault="00DD163F" w:rsidP="00461A87">
      <w:pPr>
        <w:numPr>
          <w:ilvl w:val="0"/>
          <w:numId w:val="40"/>
        </w:numPr>
        <w:jc w:val="both"/>
        <w:rPr>
          <w:rFonts w:eastAsia="Times New Roman" w:cs="Times New Roman"/>
          <w:szCs w:val="24"/>
        </w:rPr>
      </w:pPr>
      <w:r w:rsidRPr="00B2211C">
        <w:rPr>
          <w:rFonts w:eastAsia="Times New Roman" w:cs="Times New Roman"/>
          <w:b/>
          <w:i/>
          <w:szCs w:val="24"/>
        </w:rPr>
        <w:t>Energy Market Volatility:</w:t>
      </w:r>
      <w:r w:rsidRPr="00B2211C">
        <w:rPr>
          <w:rFonts w:eastAsia="Times New Roman" w:cs="Times New Roman"/>
          <w:szCs w:val="24"/>
        </w:rPr>
        <w:t xml:space="preserve"> The primary external cause is the UK energy market’s volatility post-2022 crisis. It is observed that factors like the war in Ukraine, global supply constraints, as well as fluctuating gas prices, by leading to sustained high commercial tariffs.</w:t>
      </w:r>
    </w:p>
    <w:p w14:paraId="535644EB" w14:textId="77777777" w:rsidR="007745E9" w:rsidRPr="00B2211C" w:rsidRDefault="00DD163F" w:rsidP="00461A87">
      <w:pPr>
        <w:numPr>
          <w:ilvl w:val="0"/>
          <w:numId w:val="40"/>
        </w:numPr>
        <w:jc w:val="both"/>
        <w:rPr>
          <w:rFonts w:eastAsia="Times New Roman" w:cs="Times New Roman"/>
          <w:szCs w:val="24"/>
        </w:rPr>
      </w:pPr>
      <w:r w:rsidRPr="00B2211C">
        <w:rPr>
          <w:rFonts w:eastAsia="Times New Roman" w:cs="Times New Roman"/>
          <w:b/>
          <w:i/>
          <w:szCs w:val="24"/>
        </w:rPr>
        <w:t>Building Infrastructure</w:t>
      </w:r>
      <w:r w:rsidRPr="00B2211C">
        <w:rPr>
          <w:rFonts w:eastAsia="Times New Roman" w:cs="Times New Roman"/>
          <w:szCs w:val="24"/>
        </w:rPr>
        <w:t xml:space="preserve">: The hotel’s century-old infrastructure includes outdated HVAC systems as well as poor thermal insulation, by inherently results in higher energy consumption compared to modern buildings (Raturi, 2025). It is considered that retrofitting </w:t>
      </w:r>
      <w:r w:rsidR="00DB5D28" w:rsidRPr="00B2211C">
        <w:rPr>
          <w:rFonts w:eastAsia="Times New Roman" w:cs="Times New Roman"/>
          <w:szCs w:val="24"/>
        </w:rPr>
        <w:lastRenderedPageBreak/>
        <w:t>historic buildings are</w:t>
      </w:r>
      <w:r w:rsidRPr="00B2211C">
        <w:rPr>
          <w:rFonts w:eastAsia="Times New Roman" w:cs="Times New Roman"/>
          <w:szCs w:val="24"/>
        </w:rPr>
        <w:t xml:space="preserve"> complex with costly, due the limitations on the hotel’s ability to quickly </w:t>
      </w:r>
      <w:r w:rsidR="00DB5D28" w:rsidRPr="00B2211C">
        <w:rPr>
          <w:rFonts w:eastAsia="Times New Roman" w:cs="Times New Roman"/>
          <w:szCs w:val="24"/>
        </w:rPr>
        <w:t>adapt</w:t>
      </w:r>
      <w:r w:rsidRPr="00B2211C">
        <w:rPr>
          <w:rFonts w:eastAsia="Times New Roman" w:cs="Times New Roman"/>
          <w:szCs w:val="24"/>
        </w:rPr>
        <w:t xml:space="preserve"> to efficiency improvements.</w:t>
      </w:r>
    </w:p>
    <w:p w14:paraId="2F9ED3AC" w14:textId="77777777" w:rsidR="007745E9" w:rsidRPr="00B2211C" w:rsidRDefault="00DD163F" w:rsidP="00461A87">
      <w:pPr>
        <w:numPr>
          <w:ilvl w:val="0"/>
          <w:numId w:val="40"/>
        </w:numPr>
        <w:jc w:val="both"/>
        <w:rPr>
          <w:rFonts w:eastAsia="Times New Roman" w:cs="Times New Roman"/>
          <w:szCs w:val="24"/>
        </w:rPr>
      </w:pPr>
      <w:r w:rsidRPr="00B2211C">
        <w:rPr>
          <w:rFonts w:eastAsia="Times New Roman" w:cs="Times New Roman"/>
          <w:b/>
          <w:i/>
          <w:szCs w:val="24"/>
        </w:rPr>
        <w:t>Regulatory Pressures</w:t>
      </w:r>
      <w:r w:rsidRPr="00B2211C">
        <w:rPr>
          <w:rFonts w:eastAsia="Times New Roman" w:cs="Times New Roman"/>
          <w:szCs w:val="24"/>
        </w:rPr>
        <w:t>: It is observed that adapting government regulations on carbon emissions as well as energy use in buildings both increase compliance costs as well as urgency to develop efficiency, as the required capital investment competes based on operational budget constraints.</w:t>
      </w:r>
    </w:p>
    <w:p w14:paraId="7B2B4153" w14:textId="77777777" w:rsidR="007745E9" w:rsidRPr="00B2211C" w:rsidRDefault="00DD163F" w:rsidP="00461A87">
      <w:pPr>
        <w:numPr>
          <w:ilvl w:val="0"/>
          <w:numId w:val="40"/>
        </w:numPr>
        <w:jc w:val="both"/>
        <w:rPr>
          <w:rFonts w:eastAsia="Times New Roman" w:cs="Times New Roman"/>
          <w:szCs w:val="24"/>
        </w:rPr>
      </w:pPr>
      <w:r w:rsidRPr="00B2211C">
        <w:rPr>
          <w:rFonts w:eastAsia="Times New Roman" w:cs="Times New Roman"/>
          <w:b/>
          <w:i/>
          <w:szCs w:val="24"/>
        </w:rPr>
        <w:t>Consumer Expectations:</w:t>
      </w:r>
      <w:r w:rsidRPr="00B2211C">
        <w:rPr>
          <w:rFonts w:eastAsia="Times New Roman" w:cs="Times New Roman"/>
          <w:szCs w:val="24"/>
        </w:rPr>
        <w:t xml:space="preserve"> It is developing that the growing demand for sustainable accommodation pressures the hotel to balance cost control based on the green initiatives, by leading to conflicting priorities (George, 2025).</w:t>
      </w:r>
    </w:p>
    <w:p w14:paraId="4576172C" w14:textId="3C929304" w:rsidR="007745E9" w:rsidRPr="00B2211C" w:rsidRDefault="00DD163F" w:rsidP="00461A87">
      <w:pPr>
        <w:pStyle w:val="Heading2"/>
        <w:spacing w:line="480" w:lineRule="auto"/>
        <w:jc w:val="both"/>
        <w:rPr>
          <w:b/>
          <w:sz w:val="26"/>
          <w:szCs w:val="26"/>
        </w:rPr>
      </w:pPr>
      <w:bookmarkStart w:id="14" w:name="_bn7hp5riohod" w:colFirst="0" w:colLast="0"/>
      <w:bookmarkStart w:id="15" w:name="_Toc198647429"/>
      <w:bookmarkStart w:id="16" w:name="_Toc198671570"/>
      <w:bookmarkEnd w:id="14"/>
      <w:r w:rsidRPr="00B2211C">
        <w:rPr>
          <w:b/>
          <w:sz w:val="26"/>
          <w:szCs w:val="26"/>
        </w:rPr>
        <w:t>Feedback, Reputation, Income, and Scope Analysis</w:t>
      </w:r>
      <w:bookmarkEnd w:id="15"/>
      <w:bookmarkEnd w:id="16"/>
    </w:p>
    <w:p w14:paraId="5E63BCF0" w14:textId="77777777" w:rsidR="007745E9" w:rsidRPr="00B2211C" w:rsidRDefault="00DD163F" w:rsidP="00461A87">
      <w:pPr>
        <w:numPr>
          <w:ilvl w:val="0"/>
          <w:numId w:val="7"/>
        </w:numPr>
        <w:jc w:val="both"/>
        <w:rPr>
          <w:rFonts w:eastAsia="Times New Roman" w:cs="Times New Roman"/>
          <w:szCs w:val="24"/>
        </w:rPr>
      </w:pPr>
      <w:r w:rsidRPr="00B2211C">
        <w:rPr>
          <w:rFonts w:eastAsia="Times New Roman" w:cs="Times New Roman"/>
          <w:b/>
          <w:i/>
          <w:szCs w:val="24"/>
        </w:rPr>
        <w:t>Feedback</w:t>
      </w:r>
      <w:r w:rsidRPr="00B2211C">
        <w:rPr>
          <w:rFonts w:eastAsia="Times New Roman" w:cs="Times New Roman"/>
          <w:szCs w:val="24"/>
        </w:rPr>
        <w:t>: It is observed that Guest feedback indicates appreciation based on the hotel’s historic charm as well as location, by shows concern about inconsistent heating or cooling among the rooms during peak seasons (Ziliani and Ieva, 2025). Thus, it is considered that online reviews reflect dissatisfaction by collaborating with room temperature control, based on the indirect energy cost pressures by the limitations of system upgrades.</w:t>
      </w:r>
    </w:p>
    <w:p w14:paraId="335427BE" w14:textId="77777777" w:rsidR="007745E9" w:rsidRPr="00B2211C" w:rsidRDefault="00DD163F" w:rsidP="00461A87">
      <w:pPr>
        <w:numPr>
          <w:ilvl w:val="0"/>
          <w:numId w:val="7"/>
        </w:numPr>
        <w:jc w:val="both"/>
        <w:rPr>
          <w:rFonts w:eastAsia="Times New Roman" w:cs="Times New Roman"/>
          <w:szCs w:val="24"/>
        </w:rPr>
      </w:pPr>
      <w:r w:rsidRPr="00B2211C">
        <w:rPr>
          <w:rFonts w:eastAsia="Times New Roman" w:cs="Times New Roman"/>
          <w:b/>
          <w:i/>
          <w:szCs w:val="24"/>
        </w:rPr>
        <w:t>Reputation</w:t>
      </w:r>
      <w:r w:rsidRPr="00B2211C">
        <w:rPr>
          <w:rFonts w:eastAsia="Times New Roman" w:cs="Times New Roman"/>
          <w:szCs w:val="24"/>
        </w:rPr>
        <w:t>: The hotel has maintained by strong reputation based on its luxury historic venue. Therefore, it is observed that sustainability ratings as well as green certifications are increasingly influencing customer choices (Carron and Lioubimtseva, 2025). Moreover, it is stated that Marriott’s global brand image with sustainability raises internal pressure to decrease energy consumption, avoiding compromising service quality.</w:t>
      </w:r>
    </w:p>
    <w:p w14:paraId="3E8574B9" w14:textId="77777777" w:rsidR="007745E9" w:rsidRPr="00B2211C" w:rsidRDefault="00DD163F" w:rsidP="00461A87">
      <w:pPr>
        <w:numPr>
          <w:ilvl w:val="0"/>
          <w:numId w:val="7"/>
        </w:numPr>
        <w:jc w:val="both"/>
        <w:rPr>
          <w:rFonts w:eastAsia="Times New Roman" w:cs="Times New Roman"/>
          <w:szCs w:val="24"/>
        </w:rPr>
      </w:pPr>
      <w:r w:rsidRPr="00B2211C">
        <w:rPr>
          <w:rFonts w:eastAsia="Times New Roman" w:cs="Times New Roman"/>
          <w:b/>
          <w:i/>
          <w:szCs w:val="24"/>
        </w:rPr>
        <w:t>Income</w:t>
      </w:r>
      <w:r w:rsidRPr="00B2211C">
        <w:rPr>
          <w:rFonts w:eastAsia="Times New Roman" w:cs="Times New Roman"/>
          <w:szCs w:val="24"/>
        </w:rPr>
        <w:t xml:space="preserve">: It is observed that rising energy costs decrease net operating income. According to industry reports, energy typically accounts for 4-6% of hotel operating costs; by </w:t>
      </w:r>
      <w:r w:rsidRPr="00B2211C">
        <w:rPr>
          <w:rFonts w:eastAsia="Times New Roman" w:cs="Times New Roman"/>
          <w:szCs w:val="24"/>
        </w:rPr>
        <w:lastRenderedPageBreak/>
        <w:t xml:space="preserve">developing 30-50% as energy prices develop raise for sharing to </w:t>
      </w:r>
      <w:r w:rsidR="00DB5D28" w:rsidRPr="00B2211C">
        <w:rPr>
          <w:rFonts w:eastAsia="Times New Roman" w:cs="Times New Roman"/>
          <w:szCs w:val="24"/>
        </w:rPr>
        <w:t>up to</w:t>
      </w:r>
      <w:r w:rsidRPr="00B2211C">
        <w:rPr>
          <w:rFonts w:eastAsia="Times New Roman" w:cs="Times New Roman"/>
          <w:szCs w:val="24"/>
        </w:rPr>
        <w:t xml:space="preserve"> 8%, effectively affecting profitability (Aldy, 2025).</w:t>
      </w:r>
    </w:p>
    <w:p w14:paraId="20DBA8BD" w14:textId="77777777" w:rsidR="007745E9" w:rsidRPr="00B2211C" w:rsidRDefault="00DD163F" w:rsidP="00461A87">
      <w:pPr>
        <w:numPr>
          <w:ilvl w:val="0"/>
          <w:numId w:val="7"/>
        </w:numPr>
        <w:jc w:val="both"/>
        <w:rPr>
          <w:rFonts w:eastAsia="Times New Roman" w:cs="Times New Roman"/>
          <w:szCs w:val="24"/>
        </w:rPr>
      </w:pPr>
      <w:r w:rsidRPr="00B2211C">
        <w:rPr>
          <w:rFonts w:eastAsia="Times New Roman" w:cs="Times New Roman"/>
          <w:b/>
          <w:i/>
          <w:szCs w:val="24"/>
        </w:rPr>
        <w:t>Scope</w:t>
      </w:r>
      <w:r w:rsidRPr="00B2211C">
        <w:rPr>
          <w:rFonts w:eastAsia="Times New Roman" w:cs="Times New Roman"/>
          <w:szCs w:val="24"/>
        </w:rPr>
        <w:t>: The issue is systemic, affecting all major hotel operations such as guest rooms, common areas, kitchens, laundry, as well as event spaces. Therefore, it is considered that energy inefficiencies by one area have ripple effects based on overall operating budgets.</w:t>
      </w:r>
    </w:p>
    <w:p w14:paraId="25E511BC" w14:textId="39A3F6B2" w:rsidR="007745E9" w:rsidRPr="00B2211C" w:rsidRDefault="00DD163F" w:rsidP="00461A87">
      <w:pPr>
        <w:pStyle w:val="Heading2"/>
        <w:spacing w:line="480" w:lineRule="auto"/>
        <w:jc w:val="both"/>
        <w:rPr>
          <w:b/>
          <w:sz w:val="26"/>
          <w:szCs w:val="26"/>
        </w:rPr>
      </w:pPr>
      <w:bookmarkStart w:id="17" w:name="_x8yn7tvpx8jn" w:colFirst="0" w:colLast="0"/>
      <w:bookmarkStart w:id="18" w:name="_Toc198647430"/>
      <w:bookmarkStart w:id="19" w:name="_Toc198671571"/>
      <w:bookmarkEnd w:id="17"/>
      <w:r w:rsidRPr="00B2211C">
        <w:rPr>
          <w:b/>
          <w:sz w:val="26"/>
          <w:szCs w:val="26"/>
        </w:rPr>
        <w:t>Research Methodology and Sources</w:t>
      </w:r>
      <w:bookmarkEnd w:id="18"/>
      <w:bookmarkEnd w:id="19"/>
    </w:p>
    <w:p w14:paraId="5FE6202D"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The analysis in this report is focused on the credible sources by avoiding bias to provide by comprehensive understanding:</w:t>
      </w:r>
    </w:p>
    <w:p w14:paraId="1A6D581C" w14:textId="77777777" w:rsidR="007745E9" w:rsidRPr="00B2211C" w:rsidRDefault="00DD163F" w:rsidP="00461A87">
      <w:pPr>
        <w:numPr>
          <w:ilvl w:val="0"/>
          <w:numId w:val="2"/>
        </w:numPr>
        <w:jc w:val="both"/>
        <w:rPr>
          <w:rFonts w:eastAsia="Times New Roman" w:cs="Times New Roman"/>
          <w:szCs w:val="24"/>
        </w:rPr>
      </w:pPr>
      <w:r w:rsidRPr="00B2211C">
        <w:rPr>
          <w:rFonts w:eastAsia="Times New Roman" w:cs="Times New Roman"/>
          <w:b/>
          <w:i/>
          <w:szCs w:val="24"/>
        </w:rPr>
        <w:t>Industry Reports:</w:t>
      </w:r>
      <w:r w:rsidRPr="00B2211C">
        <w:rPr>
          <w:rFonts w:eastAsia="Times New Roman" w:cs="Times New Roman"/>
          <w:szCs w:val="24"/>
        </w:rPr>
        <w:t xml:space="preserve"> It is observed that Data on UK energy prices as well as hospitality sector costs from government energy statistics, based on the UK Department for </w:t>
      </w:r>
      <w:r w:rsidRPr="00B2211C">
        <w:rPr>
          <w:rFonts w:eastAsia="Times New Roman" w:cs="Times New Roman"/>
          <w:i/>
          <w:szCs w:val="24"/>
        </w:rPr>
        <w:t>Business, Energy &amp; Industrial Strategy</w:t>
      </w:r>
      <w:r w:rsidRPr="00B2211C">
        <w:rPr>
          <w:rFonts w:eastAsia="Times New Roman" w:cs="Times New Roman"/>
          <w:szCs w:val="24"/>
        </w:rPr>
        <w:t xml:space="preserve"> (BEIS), as well as industry-focused publications like Hospitality Net for STR Global (Li and Liu, 2025).</w:t>
      </w:r>
    </w:p>
    <w:p w14:paraId="6FD9E404" w14:textId="77777777" w:rsidR="007745E9" w:rsidRPr="00B2211C" w:rsidRDefault="00DD163F" w:rsidP="00461A87">
      <w:pPr>
        <w:numPr>
          <w:ilvl w:val="0"/>
          <w:numId w:val="2"/>
        </w:numPr>
        <w:jc w:val="both"/>
        <w:rPr>
          <w:rFonts w:eastAsia="Times New Roman" w:cs="Times New Roman"/>
          <w:szCs w:val="24"/>
        </w:rPr>
      </w:pPr>
      <w:r w:rsidRPr="00B2211C">
        <w:rPr>
          <w:rFonts w:eastAsia="Times New Roman" w:cs="Times New Roman"/>
          <w:b/>
          <w:i/>
          <w:szCs w:val="24"/>
        </w:rPr>
        <w:t>Academic Research:</w:t>
      </w:r>
      <w:r w:rsidRPr="00B2211C">
        <w:rPr>
          <w:rFonts w:eastAsia="Times New Roman" w:cs="Times New Roman"/>
          <w:szCs w:val="24"/>
        </w:rPr>
        <w:t xml:space="preserve"> It is stated that studies on energy efficiency by historic buildings as well as sustainable hotel operations, by taking into account structural challenges as well as best practices.</w:t>
      </w:r>
    </w:p>
    <w:p w14:paraId="150D4FFD" w14:textId="77777777" w:rsidR="007745E9" w:rsidRPr="00B2211C" w:rsidRDefault="00DD163F" w:rsidP="00461A87">
      <w:pPr>
        <w:numPr>
          <w:ilvl w:val="0"/>
          <w:numId w:val="2"/>
        </w:numPr>
        <w:jc w:val="both"/>
        <w:rPr>
          <w:rFonts w:eastAsia="Times New Roman" w:cs="Times New Roman"/>
          <w:szCs w:val="24"/>
        </w:rPr>
      </w:pPr>
      <w:r w:rsidRPr="00B2211C">
        <w:rPr>
          <w:rFonts w:eastAsia="Times New Roman" w:cs="Times New Roman"/>
          <w:b/>
          <w:i/>
          <w:szCs w:val="24"/>
        </w:rPr>
        <w:t xml:space="preserve">Consumer Reviews: </w:t>
      </w:r>
      <w:r w:rsidRPr="00B2211C">
        <w:rPr>
          <w:rFonts w:eastAsia="Times New Roman" w:cs="Times New Roman"/>
          <w:szCs w:val="24"/>
        </w:rPr>
        <w:t xml:space="preserve">It noted that platforms such as </w:t>
      </w:r>
      <w:r w:rsidRPr="00B2211C">
        <w:rPr>
          <w:rFonts w:eastAsia="Times New Roman" w:cs="Times New Roman"/>
          <w:i/>
          <w:szCs w:val="24"/>
        </w:rPr>
        <w:t xml:space="preserve">TripAdvisor </w:t>
      </w:r>
      <w:r w:rsidRPr="00B2211C">
        <w:rPr>
          <w:rFonts w:eastAsia="Times New Roman" w:cs="Times New Roman"/>
          <w:szCs w:val="24"/>
        </w:rPr>
        <w:t xml:space="preserve">as well as </w:t>
      </w:r>
      <w:r w:rsidRPr="00B2211C">
        <w:rPr>
          <w:rFonts w:eastAsia="Times New Roman" w:cs="Times New Roman"/>
          <w:i/>
          <w:szCs w:val="24"/>
        </w:rPr>
        <w:t>Booking.com</w:t>
      </w:r>
      <w:r w:rsidRPr="00B2211C">
        <w:rPr>
          <w:rFonts w:eastAsia="Times New Roman" w:cs="Times New Roman"/>
          <w:szCs w:val="24"/>
        </w:rPr>
        <w:t xml:space="preserve"> were reviewed for gauge guest sentiment regarding comfort with the sustainability perceptions.</w:t>
      </w:r>
    </w:p>
    <w:p w14:paraId="3AC24AFE" w14:textId="77777777" w:rsidR="007745E9" w:rsidRPr="00B2211C" w:rsidRDefault="00DD163F" w:rsidP="00461A87">
      <w:pPr>
        <w:numPr>
          <w:ilvl w:val="0"/>
          <w:numId w:val="2"/>
        </w:numPr>
        <w:jc w:val="both"/>
        <w:rPr>
          <w:rFonts w:eastAsia="Times New Roman" w:cs="Times New Roman"/>
          <w:szCs w:val="24"/>
        </w:rPr>
      </w:pPr>
      <w:r w:rsidRPr="00B2211C">
        <w:rPr>
          <w:rFonts w:eastAsia="Times New Roman" w:cs="Times New Roman"/>
          <w:b/>
          <w:i/>
          <w:szCs w:val="24"/>
        </w:rPr>
        <w:t>Consultant feedback:</w:t>
      </w:r>
      <w:r w:rsidRPr="00B2211C">
        <w:rPr>
          <w:rFonts w:eastAsia="Times New Roman" w:cs="Times New Roman"/>
          <w:szCs w:val="24"/>
        </w:rPr>
        <w:t xml:space="preserve"> It is stated that insights by hospitality energy management consultants, as well as retrofit specialists, by providing the help for informing recommendations (Algül, 2025).</w:t>
      </w:r>
    </w:p>
    <w:p w14:paraId="4AC3C0F3" w14:textId="77777777" w:rsidR="007745E9" w:rsidRPr="00B2211C" w:rsidRDefault="00DD163F" w:rsidP="00461A87">
      <w:pPr>
        <w:numPr>
          <w:ilvl w:val="0"/>
          <w:numId w:val="2"/>
        </w:numPr>
        <w:jc w:val="both"/>
        <w:rPr>
          <w:rFonts w:eastAsia="Times New Roman" w:cs="Times New Roman"/>
          <w:szCs w:val="24"/>
        </w:rPr>
      </w:pPr>
      <w:r w:rsidRPr="00B2211C">
        <w:rPr>
          <w:rFonts w:eastAsia="Times New Roman" w:cs="Times New Roman"/>
          <w:b/>
          <w:i/>
          <w:szCs w:val="24"/>
        </w:rPr>
        <w:t>Hotel Internal Data</w:t>
      </w:r>
      <w:r w:rsidRPr="00B2211C">
        <w:rPr>
          <w:rFonts w:eastAsia="Times New Roman" w:cs="Times New Roman"/>
          <w:szCs w:val="24"/>
        </w:rPr>
        <w:t>: It is provided by Marriott London County Hall management, by including energy bills as well as maintenance reports.</w:t>
      </w:r>
    </w:p>
    <w:p w14:paraId="52CDF97A" w14:textId="7DE29A8F" w:rsidR="007745E9" w:rsidRPr="00B2211C" w:rsidRDefault="00DD163F" w:rsidP="00461A87">
      <w:pPr>
        <w:pStyle w:val="Heading2"/>
        <w:spacing w:line="480" w:lineRule="auto"/>
        <w:jc w:val="both"/>
        <w:rPr>
          <w:b/>
          <w:sz w:val="26"/>
          <w:szCs w:val="26"/>
        </w:rPr>
      </w:pPr>
      <w:bookmarkStart w:id="20" w:name="_h8kz3t4jafe6" w:colFirst="0" w:colLast="0"/>
      <w:bookmarkStart w:id="21" w:name="_Toc198647431"/>
      <w:bookmarkStart w:id="22" w:name="_Toc198671572"/>
      <w:bookmarkEnd w:id="20"/>
      <w:r w:rsidRPr="00B2211C">
        <w:rPr>
          <w:b/>
          <w:sz w:val="26"/>
          <w:szCs w:val="26"/>
        </w:rPr>
        <w:lastRenderedPageBreak/>
        <w:t>STEEPLED Analysis</w:t>
      </w:r>
      <w:bookmarkEnd w:id="21"/>
      <w:bookmarkEnd w:id="22"/>
    </w:p>
    <w:p w14:paraId="6FF331F4" w14:textId="25542FE9" w:rsidR="007745E9" w:rsidRPr="00B2211C" w:rsidRDefault="00DD163F" w:rsidP="00461A87">
      <w:pPr>
        <w:jc w:val="both"/>
        <w:rPr>
          <w:rFonts w:eastAsia="Times New Roman" w:cs="Times New Roman"/>
          <w:szCs w:val="24"/>
        </w:rPr>
      </w:pPr>
      <w:r w:rsidRPr="00B2211C">
        <w:rPr>
          <w:rFonts w:eastAsia="Times New Roman" w:cs="Times New Roman"/>
          <w:szCs w:val="24"/>
        </w:rPr>
        <w:t>The following table presents the STEEPLED factors effectively affecting Marriott London County Hall’s energy cost issues:</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575"/>
      </w:tblGrid>
      <w:tr w:rsidR="007745E9" w:rsidRPr="00B2211C" w14:paraId="12CC6FCF" w14:textId="77777777">
        <w:trPr>
          <w:cantSplit/>
          <w:tblHeader/>
        </w:trPr>
        <w:tc>
          <w:tcPr>
            <w:tcW w:w="1785" w:type="dxa"/>
            <w:shd w:val="clear" w:color="auto" w:fill="auto"/>
            <w:tcMar>
              <w:top w:w="100" w:type="dxa"/>
              <w:left w:w="100" w:type="dxa"/>
              <w:bottom w:w="100" w:type="dxa"/>
              <w:right w:w="100" w:type="dxa"/>
            </w:tcMar>
          </w:tcPr>
          <w:p w14:paraId="5FD04364"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lastRenderedPageBreak/>
              <w:t>Factor</w:t>
            </w:r>
          </w:p>
        </w:tc>
        <w:tc>
          <w:tcPr>
            <w:tcW w:w="7575" w:type="dxa"/>
            <w:shd w:val="clear" w:color="auto" w:fill="auto"/>
            <w:tcMar>
              <w:top w:w="100" w:type="dxa"/>
              <w:left w:w="100" w:type="dxa"/>
              <w:bottom w:w="100" w:type="dxa"/>
              <w:right w:w="100" w:type="dxa"/>
            </w:tcMar>
          </w:tcPr>
          <w:p w14:paraId="53B646F1"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Description and Impact on Marriott London County Hall</w:t>
            </w:r>
          </w:p>
        </w:tc>
      </w:tr>
      <w:tr w:rsidR="007745E9" w:rsidRPr="00B2211C" w14:paraId="6F3CE2BC" w14:textId="77777777">
        <w:trPr>
          <w:cantSplit/>
          <w:tblHeader/>
        </w:trPr>
        <w:tc>
          <w:tcPr>
            <w:tcW w:w="1785" w:type="dxa"/>
            <w:shd w:val="clear" w:color="auto" w:fill="auto"/>
            <w:tcMar>
              <w:top w:w="100" w:type="dxa"/>
              <w:left w:w="100" w:type="dxa"/>
              <w:bottom w:w="100" w:type="dxa"/>
              <w:right w:w="100" w:type="dxa"/>
            </w:tcMar>
          </w:tcPr>
          <w:p w14:paraId="47EA0D06"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 xml:space="preserve">Social </w:t>
            </w:r>
          </w:p>
        </w:tc>
        <w:tc>
          <w:tcPr>
            <w:tcW w:w="7575" w:type="dxa"/>
            <w:shd w:val="clear" w:color="auto" w:fill="auto"/>
            <w:tcMar>
              <w:top w:w="100" w:type="dxa"/>
              <w:left w:w="100" w:type="dxa"/>
              <w:bottom w:w="100" w:type="dxa"/>
              <w:right w:w="100" w:type="dxa"/>
            </w:tcMar>
          </w:tcPr>
          <w:p w14:paraId="79027B30"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It is observed that rising consumer awareness based on maintaining sustainability creates demand for green hotels, developed pressure for decreasing energy consumption by avoid to compromising comfort (Leuratti </w:t>
            </w:r>
            <w:r w:rsidRPr="00B2211C">
              <w:rPr>
                <w:rFonts w:eastAsia="Times New Roman" w:cs="Times New Roman"/>
                <w:i/>
                <w:szCs w:val="24"/>
              </w:rPr>
              <w:t>et al.</w:t>
            </w:r>
            <w:r w:rsidRPr="00B2211C">
              <w:rPr>
                <w:rFonts w:eastAsia="Times New Roman" w:cs="Times New Roman"/>
                <w:szCs w:val="24"/>
              </w:rPr>
              <w:t xml:space="preserve"> 2025).</w:t>
            </w:r>
          </w:p>
        </w:tc>
      </w:tr>
      <w:tr w:rsidR="007745E9" w:rsidRPr="00B2211C" w14:paraId="33ABCE3E" w14:textId="77777777">
        <w:trPr>
          <w:cantSplit/>
          <w:tblHeader/>
        </w:trPr>
        <w:tc>
          <w:tcPr>
            <w:tcW w:w="1785" w:type="dxa"/>
            <w:shd w:val="clear" w:color="auto" w:fill="auto"/>
            <w:tcMar>
              <w:top w:w="100" w:type="dxa"/>
              <w:left w:w="100" w:type="dxa"/>
              <w:bottom w:w="100" w:type="dxa"/>
              <w:right w:w="100" w:type="dxa"/>
            </w:tcMar>
          </w:tcPr>
          <w:p w14:paraId="0DD341B5"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 xml:space="preserve">Technology </w:t>
            </w:r>
          </w:p>
        </w:tc>
        <w:tc>
          <w:tcPr>
            <w:tcW w:w="7575" w:type="dxa"/>
            <w:shd w:val="clear" w:color="auto" w:fill="auto"/>
            <w:tcMar>
              <w:top w:w="100" w:type="dxa"/>
              <w:left w:w="100" w:type="dxa"/>
              <w:bottom w:w="100" w:type="dxa"/>
              <w:right w:w="100" w:type="dxa"/>
            </w:tcMar>
          </w:tcPr>
          <w:p w14:paraId="7C8C7685"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It is considered that advances by </w:t>
            </w:r>
            <w:r w:rsidRPr="00B2211C">
              <w:rPr>
                <w:rFonts w:eastAsia="Times New Roman" w:cs="Times New Roman"/>
                <w:i/>
                <w:szCs w:val="24"/>
              </w:rPr>
              <w:t>energy-efficient HVAC systems</w:t>
            </w:r>
            <w:r w:rsidRPr="00B2211C">
              <w:rPr>
                <w:rFonts w:eastAsia="Times New Roman" w:cs="Times New Roman"/>
                <w:szCs w:val="24"/>
              </w:rPr>
              <w:t>, smart energy management, as well as renewable energy options based on existing be costly and complex to retrofit for historic buildings.</w:t>
            </w:r>
          </w:p>
        </w:tc>
      </w:tr>
      <w:tr w:rsidR="007745E9" w:rsidRPr="00B2211C" w14:paraId="06572AA6" w14:textId="77777777">
        <w:trPr>
          <w:cantSplit/>
          <w:tblHeader/>
        </w:trPr>
        <w:tc>
          <w:tcPr>
            <w:tcW w:w="1785" w:type="dxa"/>
            <w:shd w:val="clear" w:color="auto" w:fill="auto"/>
            <w:tcMar>
              <w:top w:w="100" w:type="dxa"/>
              <w:left w:w="100" w:type="dxa"/>
              <w:bottom w:w="100" w:type="dxa"/>
              <w:right w:w="100" w:type="dxa"/>
            </w:tcMar>
          </w:tcPr>
          <w:p w14:paraId="6113F929"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Economic</w:t>
            </w:r>
          </w:p>
        </w:tc>
        <w:tc>
          <w:tcPr>
            <w:tcW w:w="7575" w:type="dxa"/>
            <w:shd w:val="clear" w:color="auto" w:fill="auto"/>
            <w:tcMar>
              <w:top w:w="100" w:type="dxa"/>
              <w:left w:w="100" w:type="dxa"/>
              <w:bottom w:w="100" w:type="dxa"/>
              <w:right w:w="100" w:type="dxa"/>
            </w:tcMar>
          </w:tcPr>
          <w:p w14:paraId="564A9586"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It is observed that elevated as well as volatile energy prices by developing operational costs, decreasing profitability. Thus, it is considered that inflationary pressures squeeze budgets (Karasu</w:t>
            </w:r>
            <w:r w:rsidRPr="00B2211C">
              <w:rPr>
                <w:rFonts w:eastAsia="Times New Roman" w:cs="Times New Roman"/>
                <w:i/>
                <w:szCs w:val="24"/>
              </w:rPr>
              <w:t xml:space="preserve"> et al.</w:t>
            </w:r>
            <w:r w:rsidRPr="00B2211C">
              <w:rPr>
                <w:rFonts w:eastAsia="Times New Roman" w:cs="Times New Roman"/>
                <w:szCs w:val="24"/>
              </w:rPr>
              <w:t xml:space="preserve"> 2025).</w:t>
            </w:r>
          </w:p>
        </w:tc>
      </w:tr>
      <w:tr w:rsidR="007745E9" w:rsidRPr="00B2211C" w14:paraId="2A88DA9A" w14:textId="77777777">
        <w:trPr>
          <w:cantSplit/>
          <w:tblHeader/>
        </w:trPr>
        <w:tc>
          <w:tcPr>
            <w:tcW w:w="1785" w:type="dxa"/>
            <w:shd w:val="clear" w:color="auto" w:fill="auto"/>
            <w:tcMar>
              <w:top w:w="100" w:type="dxa"/>
              <w:left w:w="100" w:type="dxa"/>
              <w:bottom w:w="100" w:type="dxa"/>
              <w:right w:w="100" w:type="dxa"/>
            </w:tcMar>
          </w:tcPr>
          <w:p w14:paraId="590BC42C"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Environment</w:t>
            </w:r>
          </w:p>
        </w:tc>
        <w:tc>
          <w:tcPr>
            <w:tcW w:w="7575" w:type="dxa"/>
            <w:shd w:val="clear" w:color="auto" w:fill="auto"/>
            <w:tcMar>
              <w:top w:w="100" w:type="dxa"/>
              <w:left w:w="100" w:type="dxa"/>
              <w:bottom w:w="100" w:type="dxa"/>
              <w:right w:w="100" w:type="dxa"/>
            </w:tcMar>
          </w:tcPr>
          <w:p w14:paraId="3371A9B9"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It is stated that Climate change concerns prompt regulations for decreasing carbon footprint; historic buildings facing challenges implementing to avoid altering their character.</w:t>
            </w:r>
          </w:p>
        </w:tc>
      </w:tr>
      <w:tr w:rsidR="007745E9" w:rsidRPr="00B2211C" w14:paraId="1E605426" w14:textId="77777777">
        <w:trPr>
          <w:cantSplit/>
          <w:tblHeader/>
        </w:trPr>
        <w:tc>
          <w:tcPr>
            <w:tcW w:w="1785" w:type="dxa"/>
            <w:shd w:val="clear" w:color="auto" w:fill="auto"/>
            <w:tcMar>
              <w:top w:w="100" w:type="dxa"/>
              <w:left w:w="100" w:type="dxa"/>
              <w:bottom w:w="100" w:type="dxa"/>
              <w:right w:w="100" w:type="dxa"/>
            </w:tcMar>
          </w:tcPr>
          <w:p w14:paraId="5F3708DB"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Political</w:t>
            </w:r>
          </w:p>
        </w:tc>
        <w:tc>
          <w:tcPr>
            <w:tcW w:w="7575" w:type="dxa"/>
            <w:shd w:val="clear" w:color="auto" w:fill="auto"/>
            <w:tcMar>
              <w:top w:w="100" w:type="dxa"/>
              <w:left w:w="100" w:type="dxa"/>
              <w:bottom w:w="100" w:type="dxa"/>
              <w:right w:w="100" w:type="dxa"/>
            </w:tcMar>
          </w:tcPr>
          <w:p w14:paraId="5D5B9B43"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It was noted that UK government policies incentivize energy efficiency by imposing penalties based on excessive consumption and carbon emissions.</w:t>
            </w:r>
          </w:p>
        </w:tc>
      </w:tr>
      <w:tr w:rsidR="007745E9" w:rsidRPr="00B2211C" w14:paraId="181E04CB" w14:textId="77777777">
        <w:trPr>
          <w:cantSplit/>
          <w:tblHeader/>
        </w:trPr>
        <w:tc>
          <w:tcPr>
            <w:tcW w:w="1785" w:type="dxa"/>
            <w:shd w:val="clear" w:color="auto" w:fill="auto"/>
            <w:tcMar>
              <w:top w:w="100" w:type="dxa"/>
              <w:left w:w="100" w:type="dxa"/>
              <w:bottom w:w="100" w:type="dxa"/>
              <w:right w:w="100" w:type="dxa"/>
            </w:tcMar>
          </w:tcPr>
          <w:p w14:paraId="7089047A"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Legal</w:t>
            </w:r>
          </w:p>
        </w:tc>
        <w:tc>
          <w:tcPr>
            <w:tcW w:w="7575" w:type="dxa"/>
            <w:shd w:val="clear" w:color="auto" w:fill="auto"/>
            <w:tcMar>
              <w:top w:w="100" w:type="dxa"/>
              <w:left w:w="100" w:type="dxa"/>
              <w:bottom w:w="100" w:type="dxa"/>
              <w:right w:w="100" w:type="dxa"/>
            </w:tcMar>
          </w:tcPr>
          <w:p w14:paraId="537DB1E2"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It is stated that compliance with building regulations as well as sustainability laws requires investment, with possible reputational damage for non-compliance (Murtaza and Luqman, 2025).</w:t>
            </w:r>
          </w:p>
        </w:tc>
      </w:tr>
      <w:tr w:rsidR="007745E9" w:rsidRPr="00B2211C" w14:paraId="1AA9FBE7" w14:textId="77777777">
        <w:trPr>
          <w:cantSplit/>
          <w:tblHeader/>
        </w:trPr>
        <w:tc>
          <w:tcPr>
            <w:tcW w:w="1785" w:type="dxa"/>
            <w:shd w:val="clear" w:color="auto" w:fill="auto"/>
            <w:tcMar>
              <w:top w:w="100" w:type="dxa"/>
              <w:left w:w="100" w:type="dxa"/>
              <w:bottom w:w="100" w:type="dxa"/>
              <w:right w:w="100" w:type="dxa"/>
            </w:tcMar>
          </w:tcPr>
          <w:p w14:paraId="52AAA37B"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lastRenderedPageBreak/>
              <w:t>Ethical</w:t>
            </w:r>
          </w:p>
        </w:tc>
        <w:tc>
          <w:tcPr>
            <w:tcW w:w="7575" w:type="dxa"/>
            <w:shd w:val="clear" w:color="auto" w:fill="auto"/>
            <w:tcMar>
              <w:top w:w="100" w:type="dxa"/>
              <w:left w:w="100" w:type="dxa"/>
              <w:bottom w:w="100" w:type="dxa"/>
              <w:right w:w="100" w:type="dxa"/>
            </w:tcMar>
          </w:tcPr>
          <w:p w14:paraId="774E8750"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Ethical considerations are focused on the sustainable operations that affect brand image by stakeholder trust, demanding transparency with energy use as well as environmental impact.</w:t>
            </w:r>
          </w:p>
        </w:tc>
      </w:tr>
      <w:tr w:rsidR="007745E9" w:rsidRPr="00B2211C" w14:paraId="6E5DA740" w14:textId="77777777">
        <w:trPr>
          <w:cantSplit/>
          <w:trHeight w:val="1574"/>
          <w:tblHeader/>
        </w:trPr>
        <w:tc>
          <w:tcPr>
            <w:tcW w:w="1785" w:type="dxa"/>
            <w:shd w:val="clear" w:color="auto" w:fill="auto"/>
            <w:tcMar>
              <w:top w:w="100" w:type="dxa"/>
              <w:left w:w="100" w:type="dxa"/>
              <w:bottom w:w="100" w:type="dxa"/>
              <w:right w:w="100" w:type="dxa"/>
            </w:tcMar>
          </w:tcPr>
          <w:p w14:paraId="06319FDE"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Demographic</w:t>
            </w:r>
          </w:p>
        </w:tc>
        <w:tc>
          <w:tcPr>
            <w:tcW w:w="7575" w:type="dxa"/>
            <w:shd w:val="clear" w:color="auto" w:fill="auto"/>
            <w:tcMar>
              <w:top w:w="100" w:type="dxa"/>
              <w:left w:w="100" w:type="dxa"/>
              <w:bottom w:w="100" w:type="dxa"/>
              <w:right w:w="100" w:type="dxa"/>
            </w:tcMar>
          </w:tcPr>
          <w:p w14:paraId="38CEBE0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The hotel attracts diverse international guests, by demographics, prioritising sustainability as well as eco-friendly stays, and influencing marketing based on the operational decisions (Karasu</w:t>
            </w:r>
            <w:r w:rsidRPr="00B2211C">
              <w:rPr>
                <w:rFonts w:eastAsia="Times New Roman" w:cs="Times New Roman"/>
                <w:i/>
                <w:szCs w:val="24"/>
              </w:rPr>
              <w:t xml:space="preserve"> et al.</w:t>
            </w:r>
            <w:r w:rsidRPr="00B2211C">
              <w:rPr>
                <w:rFonts w:eastAsia="Times New Roman" w:cs="Times New Roman"/>
                <w:szCs w:val="24"/>
              </w:rPr>
              <w:t xml:space="preserve"> 2025).</w:t>
            </w:r>
          </w:p>
        </w:tc>
      </w:tr>
    </w:tbl>
    <w:p w14:paraId="19E63ABD"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Table 1: STEEPLED analysis</w:t>
      </w:r>
    </w:p>
    <w:p w14:paraId="30681B22"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(Source: Self-developed)</w:t>
      </w:r>
    </w:p>
    <w:p w14:paraId="24E5C337" w14:textId="25F31873" w:rsidR="007745E9" w:rsidRPr="00B2211C" w:rsidRDefault="00DD163F" w:rsidP="00461A87">
      <w:pPr>
        <w:pStyle w:val="Heading2"/>
        <w:spacing w:line="480" w:lineRule="auto"/>
        <w:rPr>
          <w:b/>
          <w:sz w:val="26"/>
          <w:szCs w:val="26"/>
        </w:rPr>
      </w:pPr>
      <w:bookmarkStart w:id="23" w:name="_bixwl0219mzz" w:colFirst="0" w:colLast="0"/>
      <w:bookmarkStart w:id="24" w:name="_Toc198647432"/>
      <w:bookmarkStart w:id="25" w:name="_Toc198671573"/>
      <w:bookmarkEnd w:id="23"/>
      <w:r w:rsidRPr="00B2211C">
        <w:rPr>
          <w:b/>
          <w:sz w:val="26"/>
          <w:szCs w:val="26"/>
        </w:rPr>
        <w:t>SWOT Analysis</w:t>
      </w:r>
      <w:bookmarkEnd w:id="24"/>
      <w:bookmarkEnd w:id="25"/>
    </w:p>
    <w:p w14:paraId="1D7EE2FC" w14:textId="77777777" w:rsidR="007745E9" w:rsidRPr="00B2211C" w:rsidRDefault="007745E9" w:rsidP="00461A87">
      <w:pPr>
        <w:rPr>
          <w:rFonts w:eastAsia="Times New Roman" w:cs="Times New Roman"/>
          <w:szCs w:val="24"/>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745E9" w:rsidRPr="00B2211C" w14:paraId="73D2E26D" w14:textId="77777777">
        <w:trPr>
          <w:cantSplit/>
          <w:tblHeader/>
        </w:trPr>
        <w:tc>
          <w:tcPr>
            <w:tcW w:w="4680" w:type="dxa"/>
            <w:shd w:val="clear" w:color="auto" w:fill="auto"/>
            <w:tcMar>
              <w:top w:w="100" w:type="dxa"/>
              <w:left w:w="100" w:type="dxa"/>
              <w:bottom w:w="100" w:type="dxa"/>
              <w:right w:w="100" w:type="dxa"/>
            </w:tcMar>
          </w:tcPr>
          <w:p w14:paraId="27D69465"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lastRenderedPageBreak/>
              <w:t>Strength</w:t>
            </w:r>
          </w:p>
          <w:p w14:paraId="6E07BF08" w14:textId="77777777" w:rsidR="007745E9" w:rsidRPr="00B2211C" w:rsidRDefault="00DD163F" w:rsidP="00461A87">
            <w:pPr>
              <w:widowControl w:val="0"/>
              <w:numPr>
                <w:ilvl w:val="0"/>
                <w:numId w:val="23"/>
              </w:numPr>
              <w:pBdr>
                <w:top w:val="nil"/>
                <w:left w:val="nil"/>
                <w:bottom w:val="nil"/>
                <w:right w:val="nil"/>
                <w:between w:val="nil"/>
              </w:pBdr>
              <w:jc w:val="both"/>
              <w:rPr>
                <w:rFonts w:eastAsia="Times New Roman" w:cs="Times New Roman"/>
                <w:b/>
                <w:szCs w:val="24"/>
              </w:rPr>
            </w:pPr>
            <w:r w:rsidRPr="00B2211C">
              <w:rPr>
                <w:rFonts w:eastAsia="Times New Roman" w:cs="Times New Roman"/>
                <w:szCs w:val="24"/>
              </w:rPr>
              <w:t>It is stated that iconic historic locations by major London landmarks.</w:t>
            </w:r>
          </w:p>
          <w:p w14:paraId="3A3875AA" w14:textId="77777777" w:rsidR="007745E9" w:rsidRPr="00B2211C" w:rsidRDefault="00DD163F" w:rsidP="00461A87">
            <w:pPr>
              <w:widowControl w:val="0"/>
              <w:numPr>
                <w:ilvl w:val="0"/>
                <w:numId w:val="23"/>
              </w:numPr>
              <w:pBdr>
                <w:top w:val="nil"/>
                <w:left w:val="nil"/>
                <w:bottom w:val="nil"/>
                <w:right w:val="nil"/>
                <w:between w:val="nil"/>
              </w:pBdr>
              <w:jc w:val="both"/>
              <w:rPr>
                <w:rFonts w:eastAsia="Times New Roman" w:cs="Times New Roman"/>
                <w:b/>
                <w:szCs w:val="24"/>
              </w:rPr>
            </w:pPr>
            <w:r w:rsidRPr="00B2211C">
              <w:rPr>
                <w:rFonts w:eastAsia="Times New Roman" w:cs="Times New Roman"/>
                <w:szCs w:val="24"/>
              </w:rPr>
              <w:t>Strong Marriott global brand, as well as customer loyalty</w:t>
            </w:r>
          </w:p>
          <w:p w14:paraId="2306D9FE" w14:textId="77777777" w:rsidR="007745E9" w:rsidRPr="00B2211C" w:rsidRDefault="00DD163F" w:rsidP="00461A87">
            <w:pPr>
              <w:widowControl w:val="0"/>
              <w:numPr>
                <w:ilvl w:val="0"/>
                <w:numId w:val="23"/>
              </w:numPr>
              <w:pBdr>
                <w:top w:val="nil"/>
                <w:left w:val="nil"/>
                <w:bottom w:val="nil"/>
                <w:right w:val="nil"/>
                <w:between w:val="nil"/>
              </w:pBdr>
              <w:jc w:val="both"/>
              <w:rPr>
                <w:rFonts w:eastAsia="Times New Roman" w:cs="Times New Roman"/>
                <w:b/>
                <w:szCs w:val="24"/>
              </w:rPr>
            </w:pPr>
            <w:r w:rsidRPr="00B2211C">
              <w:rPr>
                <w:rFonts w:eastAsia="Times New Roman" w:cs="Times New Roman"/>
                <w:szCs w:val="24"/>
              </w:rPr>
              <w:t>Building sustainability commitments at the brand level (Ziaei, 2025)</w:t>
            </w:r>
          </w:p>
          <w:p w14:paraId="58E5B9F1" w14:textId="77777777" w:rsidR="007745E9" w:rsidRPr="00B2211C" w:rsidRDefault="00DD163F" w:rsidP="00461A87">
            <w:pPr>
              <w:widowControl w:val="0"/>
              <w:numPr>
                <w:ilvl w:val="0"/>
                <w:numId w:val="23"/>
              </w:numPr>
              <w:pBdr>
                <w:top w:val="nil"/>
                <w:left w:val="nil"/>
                <w:bottom w:val="nil"/>
                <w:right w:val="nil"/>
                <w:between w:val="nil"/>
              </w:pBdr>
              <w:jc w:val="both"/>
              <w:rPr>
                <w:rFonts w:eastAsia="Times New Roman" w:cs="Times New Roman"/>
                <w:b/>
                <w:szCs w:val="24"/>
              </w:rPr>
            </w:pPr>
            <w:r w:rsidRPr="00B2211C">
              <w:rPr>
                <w:rFonts w:eastAsia="Times New Roman" w:cs="Times New Roman"/>
                <w:szCs w:val="24"/>
              </w:rPr>
              <w:t>Diverse revenue streams: rooms, events, banquets</w:t>
            </w:r>
          </w:p>
        </w:tc>
        <w:tc>
          <w:tcPr>
            <w:tcW w:w="4680" w:type="dxa"/>
            <w:shd w:val="clear" w:color="auto" w:fill="auto"/>
            <w:tcMar>
              <w:top w:w="100" w:type="dxa"/>
              <w:left w:w="100" w:type="dxa"/>
              <w:bottom w:w="100" w:type="dxa"/>
              <w:right w:w="100" w:type="dxa"/>
            </w:tcMar>
          </w:tcPr>
          <w:p w14:paraId="001B3622"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Weakness</w:t>
            </w:r>
          </w:p>
          <w:p w14:paraId="2EF87930" w14:textId="77777777" w:rsidR="007745E9" w:rsidRPr="00B2211C" w:rsidRDefault="00DD163F" w:rsidP="00461A87">
            <w:pPr>
              <w:widowControl w:val="0"/>
              <w:numPr>
                <w:ilvl w:val="0"/>
                <w:numId w:val="26"/>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Aging building infrastructure is based on poor energy efficiency</w:t>
            </w:r>
          </w:p>
          <w:p w14:paraId="0D4E012E" w14:textId="77777777" w:rsidR="007745E9" w:rsidRPr="00B2211C" w:rsidRDefault="00DD163F" w:rsidP="00461A87">
            <w:pPr>
              <w:widowControl w:val="0"/>
              <w:numPr>
                <w:ilvl w:val="0"/>
                <w:numId w:val="26"/>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High fixed energy costs as well as inefficient HVAC systems</w:t>
            </w:r>
          </w:p>
          <w:p w14:paraId="0490024E" w14:textId="77777777" w:rsidR="007745E9" w:rsidRPr="00B2211C" w:rsidRDefault="00DD163F" w:rsidP="00461A87">
            <w:pPr>
              <w:widowControl w:val="0"/>
              <w:numPr>
                <w:ilvl w:val="0"/>
                <w:numId w:val="26"/>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Limitations of flexibility for quick energy system upgrades are caused by building preservation restrictions (Erdogan and Pata, 2025)</w:t>
            </w:r>
          </w:p>
          <w:p w14:paraId="23B50D7B" w14:textId="77777777" w:rsidR="007745E9" w:rsidRPr="00B2211C" w:rsidRDefault="00DD163F" w:rsidP="00461A87">
            <w:pPr>
              <w:widowControl w:val="0"/>
              <w:numPr>
                <w:ilvl w:val="0"/>
                <w:numId w:val="26"/>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Inconsistent guest room temperatures are controlling risk of guest dissatisfaction.</w:t>
            </w:r>
          </w:p>
        </w:tc>
      </w:tr>
      <w:tr w:rsidR="007745E9" w:rsidRPr="00B2211C" w14:paraId="18A5B9C3" w14:textId="77777777">
        <w:trPr>
          <w:cantSplit/>
          <w:tblHeader/>
        </w:trPr>
        <w:tc>
          <w:tcPr>
            <w:tcW w:w="4680" w:type="dxa"/>
            <w:shd w:val="clear" w:color="auto" w:fill="auto"/>
            <w:tcMar>
              <w:top w:w="100" w:type="dxa"/>
              <w:left w:w="100" w:type="dxa"/>
              <w:bottom w:w="100" w:type="dxa"/>
              <w:right w:w="100" w:type="dxa"/>
            </w:tcMar>
          </w:tcPr>
          <w:p w14:paraId="7C455905"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lastRenderedPageBreak/>
              <w:t xml:space="preserve">Opportunity </w:t>
            </w:r>
          </w:p>
          <w:p w14:paraId="0B75048A" w14:textId="77777777" w:rsidR="007745E9" w:rsidRPr="00B2211C" w:rsidRDefault="00DD163F" w:rsidP="00461A87">
            <w:pPr>
              <w:widowControl w:val="0"/>
              <w:numPr>
                <w:ilvl w:val="0"/>
                <w:numId w:val="15"/>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Potential to invest in advanced energy-saving technologies as well as retrofitting.</w:t>
            </w:r>
          </w:p>
          <w:p w14:paraId="233BCF04" w14:textId="77777777" w:rsidR="007745E9" w:rsidRPr="00B2211C" w:rsidRDefault="00DD163F" w:rsidP="00461A87">
            <w:pPr>
              <w:widowControl w:val="0"/>
              <w:numPr>
                <w:ilvl w:val="0"/>
                <w:numId w:val="15"/>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Access to government grants/subsidies for energy efficiency development.</w:t>
            </w:r>
          </w:p>
          <w:p w14:paraId="48819EB9" w14:textId="77777777" w:rsidR="007745E9" w:rsidRPr="00B2211C" w:rsidRDefault="00DD163F" w:rsidP="00461A87">
            <w:pPr>
              <w:widowControl w:val="0"/>
              <w:numPr>
                <w:ilvl w:val="0"/>
                <w:numId w:val="15"/>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Developing market demand for sustainable accommodation (Pang </w:t>
            </w:r>
            <w:r w:rsidRPr="00B2211C">
              <w:rPr>
                <w:rFonts w:eastAsia="Times New Roman" w:cs="Times New Roman"/>
                <w:i/>
                <w:szCs w:val="24"/>
              </w:rPr>
              <w:t>et al.</w:t>
            </w:r>
            <w:r w:rsidRPr="00B2211C">
              <w:rPr>
                <w:rFonts w:eastAsia="Times New Roman" w:cs="Times New Roman"/>
                <w:szCs w:val="24"/>
              </w:rPr>
              <w:t xml:space="preserve"> 2025).</w:t>
            </w:r>
          </w:p>
          <w:p w14:paraId="2FB309FB" w14:textId="77777777" w:rsidR="007745E9" w:rsidRPr="00B2211C" w:rsidRDefault="00DD163F" w:rsidP="00461A87">
            <w:pPr>
              <w:widowControl w:val="0"/>
              <w:numPr>
                <w:ilvl w:val="0"/>
                <w:numId w:val="15"/>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Partnerships with energy management firms for innovative solutions.</w:t>
            </w:r>
          </w:p>
        </w:tc>
        <w:tc>
          <w:tcPr>
            <w:tcW w:w="4680" w:type="dxa"/>
            <w:shd w:val="clear" w:color="auto" w:fill="auto"/>
            <w:tcMar>
              <w:top w:w="100" w:type="dxa"/>
              <w:left w:w="100" w:type="dxa"/>
              <w:bottom w:w="100" w:type="dxa"/>
              <w:right w:w="100" w:type="dxa"/>
            </w:tcMar>
          </w:tcPr>
          <w:p w14:paraId="0292B5CF" w14:textId="77777777" w:rsidR="007745E9" w:rsidRPr="00B2211C" w:rsidRDefault="00DD163F" w:rsidP="00461A87">
            <w:pPr>
              <w:widowControl w:val="0"/>
              <w:pBdr>
                <w:top w:val="nil"/>
                <w:left w:val="nil"/>
                <w:bottom w:val="nil"/>
                <w:right w:val="nil"/>
                <w:between w:val="nil"/>
              </w:pBdr>
              <w:jc w:val="both"/>
              <w:rPr>
                <w:rFonts w:eastAsia="Times New Roman" w:cs="Times New Roman"/>
                <w:b/>
                <w:szCs w:val="24"/>
              </w:rPr>
            </w:pPr>
            <w:r w:rsidRPr="00B2211C">
              <w:rPr>
                <w:rFonts w:eastAsia="Times New Roman" w:cs="Times New Roman"/>
                <w:b/>
                <w:szCs w:val="24"/>
              </w:rPr>
              <w:t>Threats</w:t>
            </w:r>
          </w:p>
          <w:p w14:paraId="51556E96" w14:textId="77777777" w:rsidR="007745E9" w:rsidRPr="00B2211C" w:rsidRDefault="00DD163F" w:rsidP="00461A87">
            <w:pPr>
              <w:widowControl w:val="0"/>
              <w:numPr>
                <w:ilvl w:val="0"/>
                <w:numId w:val="30"/>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Continued volatility to a rise in energy prices is increasing operational expenses.</w:t>
            </w:r>
          </w:p>
          <w:p w14:paraId="558046A9" w14:textId="77777777" w:rsidR="007745E9" w:rsidRPr="00B2211C" w:rsidRDefault="00DD163F" w:rsidP="00461A87">
            <w:pPr>
              <w:widowControl w:val="0"/>
              <w:numPr>
                <w:ilvl w:val="0"/>
                <w:numId w:val="30"/>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Tightening environmental regulations are increasing compliance costs.</w:t>
            </w:r>
          </w:p>
          <w:p w14:paraId="3523ADE4" w14:textId="77777777" w:rsidR="007745E9" w:rsidRPr="00B2211C" w:rsidRDefault="00DD163F" w:rsidP="00461A87">
            <w:pPr>
              <w:widowControl w:val="0"/>
              <w:numPr>
                <w:ilvl w:val="0"/>
                <w:numId w:val="30"/>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Negative guest reviews as well as reputation damage due to energy efficiency with comfort declines (Liu </w:t>
            </w:r>
            <w:r w:rsidRPr="00B2211C">
              <w:rPr>
                <w:rFonts w:eastAsia="Times New Roman" w:cs="Times New Roman"/>
                <w:i/>
                <w:szCs w:val="24"/>
              </w:rPr>
              <w:t>et al.</w:t>
            </w:r>
            <w:r w:rsidRPr="00B2211C">
              <w:rPr>
                <w:rFonts w:eastAsia="Times New Roman" w:cs="Times New Roman"/>
                <w:szCs w:val="24"/>
              </w:rPr>
              <w:t xml:space="preserve"> 2025).</w:t>
            </w:r>
          </w:p>
          <w:p w14:paraId="34D2DE45" w14:textId="77777777" w:rsidR="007745E9" w:rsidRPr="00B2211C" w:rsidRDefault="00DD163F" w:rsidP="00461A87">
            <w:pPr>
              <w:widowControl w:val="0"/>
              <w:numPr>
                <w:ilvl w:val="0"/>
                <w:numId w:val="30"/>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Competitive pressure is focused on the energy-efficient hotels in London</w:t>
            </w:r>
          </w:p>
        </w:tc>
      </w:tr>
    </w:tbl>
    <w:p w14:paraId="28D42643"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Table 2: SWOT analysis</w:t>
      </w:r>
    </w:p>
    <w:p w14:paraId="6DCCA98F"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(Source: Self-developed)</w:t>
      </w:r>
    </w:p>
    <w:p w14:paraId="77C8D7A3" w14:textId="08C3A535" w:rsidR="007745E9" w:rsidRPr="00B2211C" w:rsidRDefault="00B24902" w:rsidP="00EA7B1A">
      <w:pPr>
        <w:pStyle w:val="Heading2"/>
        <w:spacing w:line="480" w:lineRule="auto"/>
        <w:rPr>
          <w:b/>
          <w:sz w:val="26"/>
          <w:szCs w:val="26"/>
        </w:rPr>
      </w:pPr>
      <w:bookmarkStart w:id="26" w:name="_v6qwcb2tdaq6" w:colFirst="0" w:colLast="0"/>
      <w:bookmarkStart w:id="27" w:name="_Toc198647433"/>
      <w:bookmarkStart w:id="28" w:name="_Toc198671574"/>
      <w:bookmarkEnd w:id="26"/>
      <w:r w:rsidRPr="00B2211C">
        <w:rPr>
          <w:b/>
          <w:sz w:val="26"/>
          <w:szCs w:val="26"/>
        </w:rPr>
        <w:lastRenderedPageBreak/>
        <w:t>T</w:t>
      </w:r>
      <w:r w:rsidR="00DD163F" w:rsidRPr="00B2211C">
        <w:rPr>
          <w:b/>
          <w:sz w:val="26"/>
          <w:szCs w:val="26"/>
        </w:rPr>
        <w:t>OWS Analysis</w:t>
      </w:r>
      <w:bookmarkEnd w:id="27"/>
      <w:bookmarkEnd w:id="28"/>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4155"/>
        <w:gridCol w:w="3120"/>
      </w:tblGrid>
      <w:tr w:rsidR="007745E9" w:rsidRPr="00B2211C" w14:paraId="00F19C3B" w14:textId="77777777">
        <w:trPr>
          <w:cantSplit/>
          <w:tblHeader/>
        </w:trPr>
        <w:tc>
          <w:tcPr>
            <w:tcW w:w="2085" w:type="dxa"/>
            <w:shd w:val="clear" w:color="auto" w:fill="auto"/>
            <w:tcMar>
              <w:top w:w="100" w:type="dxa"/>
              <w:left w:w="100" w:type="dxa"/>
              <w:bottom w:w="100" w:type="dxa"/>
              <w:right w:w="100" w:type="dxa"/>
            </w:tcMar>
          </w:tcPr>
          <w:p w14:paraId="6F057F0C"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lastRenderedPageBreak/>
              <w:t>Strategies</w:t>
            </w:r>
          </w:p>
        </w:tc>
        <w:tc>
          <w:tcPr>
            <w:tcW w:w="4155" w:type="dxa"/>
            <w:shd w:val="clear" w:color="auto" w:fill="auto"/>
            <w:tcMar>
              <w:top w:w="100" w:type="dxa"/>
              <w:left w:w="100" w:type="dxa"/>
              <w:bottom w:w="100" w:type="dxa"/>
              <w:right w:w="100" w:type="dxa"/>
            </w:tcMar>
          </w:tcPr>
          <w:p w14:paraId="40E7F2DC"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Internal Strengths (S)</w:t>
            </w:r>
            <w:r w:rsidRPr="00B2211C">
              <w:rPr>
                <w:rFonts w:eastAsia="Times New Roman" w:cs="Times New Roman"/>
                <w:b/>
                <w:szCs w:val="24"/>
              </w:rPr>
              <w:tab/>
            </w:r>
          </w:p>
        </w:tc>
        <w:tc>
          <w:tcPr>
            <w:tcW w:w="3120" w:type="dxa"/>
            <w:shd w:val="clear" w:color="auto" w:fill="auto"/>
            <w:tcMar>
              <w:top w:w="100" w:type="dxa"/>
              <w:left w:w="100" w:type="dxa"/>
              <w:bottom w:w="100" w:type="dxa"/>
              <w:right w:w="100" w:type="dxa"/>
            </w:tcMar>
          </w:tcPr>
          <w:p w14:paraId="1D5CB35F"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Internal Weaknesses (W)</w:t>
            </w:r>
          </w:p>
          <w:p w14:paraId="085A0800" w14:textId="77777777" w:rsidR="007745E9" w:rsidRPr="00B2211C" w:rsidRDefault="007745E9" w:rsidP="00461A87">
            <w:pPr>
              <w:widowControl w:val="0"/>
              <w:pBdr>
                <w:top w:val="nil"/>
                <w:left w:val="nil"/>
                <w:bottom w:val="nil"/>
                <w:right w:val="nil"/>
                <w:between w:val="nil"/>
              </w:pBdr>
              <w:jc w:val="center"/>
              <w:rPr>
                <w:rFonts w:eastAsia="Times New Roman" w:cs="Times New Roman"/>
                <w:b/>
                <w:szCs w:val="24"/>
              </w:rPr>
            </w:pPr>
          </w:p>
        </w:tc>
      </w:tr>
      <w:tr w:rsidR="007745E9" w:rsidRPr="00B2211C" w14:paraId="5B9BDCB4" w14:textId="77777777">
        <w:trPr>
          <w:cantSplit/>
          <w:tblHeader/>
        </w:trPr>
        <w:tc>
          <w:tcPr>
            <w:tcW w:w="2085" w:type="dxa"/>
            <w:shd w:val="clear" w:color="auto" w:fill="auto"/>
            <w:tcMar>
              <w:top w:w="100" w:type="dxa"/>
              <w:left w:w="100" w:type="dxa"/>
              <w:bottom w:w="100" w:type="dxa"/>
              <w:right w:w="100" w:type="dxa"/>
            </w:tcMar>
          </w:tcPr>
          <w:p w14:paraId="500327B3"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External Opportunities (O)</w:t>
            </w:r>
          </w:p>
        </w:tc>
        <w:tc>
          <w:tcPr>
            <w:tcW w:w="4155" w:type="dxa"/>
            <w:shd w:val="clear" w:color="auto" w:fill="auto"/>
            <w:tcMar>
              <w:top w:w="100" w:type="dxa"/>
              <w:left w:w="100" w:type="dxa"/>
              <w:bottom w:w="100" w:type="dxa"/>
              <w:right w:w="100" w:type="dxa"/>
            </w:tcMar>
          </w:tcPr>
          <w:p w14:paraId="2416D493" w14:textId="77777777" w:rsidR="007745E9" w:rsidRPr="00B2211C" w:rsidRDefault="00DD163F" w:rsidP="00461A87">
            <w:pPr>
              <w:widowControl w:val="0"/>
              <w:pBdr>
                <w:top w:val="nil"/>
                <w:left w:val="nil"/>
                <w:bottom w:val="nil"/>
                <w:right w:val="nil"/>
                <w:between w:val="nil"/>
              </w:pBdr>
              <w:jc w:val="both"/>
              <w:rPr>
                <w:rFonts w:eastAsia="Times New Roman" w:cs="Times New Roman"/>
                <w:b/>
                <w:i/>
                <w:szCs w:val="24"/>
              </w:rPr>
            </w:pPr>
            <w:r w:rsidRPr="00B2211C">
              <w:rPr>
                <w:rFonts w:eastAsia="Times New Roman" w:cs="Times New Roman"/>
                <w:b/>
                <w:i/>
                <w:szCs w:val="24"/>
              </w:rPr>
              <w:t>SO Strategies</w:t>
            </w:r>
          </w:p>
          <w:p w14:paraId="1AE5C27A" w14:textId="77777777" w:rsidR="007745E9" w:rsidRPr="00B2211C" w:rsidRDefault="00DD163F" w:rsidP="00461A87">
            <w:pPr>
              <w:widowControl w:val="0"/>
              <w:numPr>
                <w:ilvl w:val="0"/>
                <w:numId w:val="5"/>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Leverage Marriott's strong brand has been focused on market sustainability initiatives by attracting eco-conscious guests.</w:t>
            </w:r>
          </w:p>
          <w:p w14:paraId="7B628933" w14:textId="77777777" w:rsidR="007745E9" w:rsidRPr="00B2211C" w:rsidRDefault="00DD163F" w:rsidP="00461A87">
            <w:pPr>
              <w:widowControl w:val="0"/>
              <w:numPr>
                <w:ilvl w:val="0"/>
                <w:numId w:val="5"/>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Using the brand with location strengths by justifying investment in energy-efficient retrofits funded by subsidies (Ildiri </w:t>
            </w:r>
            <w:r w:rsidRPr="00B2211C">
              <w:rPr>
                <w:rFonts w:eastAsia="Times New Roman" w:cs="Times New Roman"/>
                <w:i/>
                <w:szCs w:val="24"/>
              </w:rPr>
              <w:t>et al.</w:t>
            </w:r>
            <w:r w:rsidRPr="00B2211C">
              <w:rPr>
                <w:rFonts w:eastAsia="Times New Roman" w:cs="Times New Roman"/>
                <w:szCs w:val="24"/>
              </w:rPr>
              <w:t xml:space="preserve"> 2025).</w:t>
            </w:r>
          </w:p>
        </w:tc>
        <w:tc>
          <w:tcPr>
            <w:tcW w:w="3120" w:type="dxa"/>
            <w:shd w:val="clear" w:color="auto" w:fill="auto"/>
            <w:tcMar>
              <w:top w:w="100" w:type="dxa"/>
              <w:left w:w="100" w:type="dxa"/>
              <w:bottom w:w="100" w:type="dxa"/>
              <w:right w:w="100" w:type="dxa"/>
            </w:tcMar>
          </w:tcPr>
          <w:p w14:paraId="0E36634A" w14:textId="77777777" w:rsidR="007745E9" w:rsidRPr="00B2211C" w:rsidRDefault="00DD163F" w:rsidP="00461A87">
            <w:pPr>
              <w:widowControl w:val="0"/>
              <w:pBdr>
                <w:top w:val="nil"/>
                <w:left w:val="nil"/>
                <w:bottom w:val="nil"/>
                <w:right w:val="nil"/>
                <w:between w:val="nil"/>
              </w:pBdr>
              <w:jc w:val="both"/>
              <w:rPr>
                <w:rFonts w:eastAsia="Times New Roman" w:cs="Times New Roman"/>
                <w:b/>
                <w:i/>
                <w:szCs w:val="24"/>
              </w:rPr>
            </w:pPr>
            <w:r w:rsidRPr="00B2211C">
              <w:rPr>
                <w:rFonts w:eastAsia="Times New Roman" w:cs="Times New Roman"/>
                <w:b/>
                <w:i/>
                <w:szCs w:val="24"/>
              </w:rPr>
              <w:t>WO Strategies</w:t>
            </w:r>
          </w:p>
          <w:p w14:paraId="578BC7CD" w14:textId="77777777" w:rsidR="007745E9" w:rsidRPr="00B2211C" w:rsidRDefault="00DD163F" w:rsidP="00461A87">
            <w:pPr>
              <w:widowControl w:val="0"/>
              <w:numPr>
                <w:ilvl w:val="0"/>
                <w:numId w:val="39"/>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Identifying aging infrastructure weaknesses based on forming partnerships as energy retrofit specialists (Vilaplana </w:t>
            </w:r>
            <w:r w:rsidRPr="00B2211C">
              <w:rPr>
                <w:rFonts w:eastAsia="Times New Roman" w:cs="Times New Roman"/>
                <w:i/>
                <w:szCs w:val="24"/>
              </w:rPr>
              <w:t xml:space="preserve">et al. </w:t>
            </w:r>
            <w:r w:rsidRPr="00B2211C">
              <w:rPr>
                <w:rFonts w:eastAsia="Times New Roman" w:cs="Times New Roman"/>
                <w:szCs w:val="24"/>
              </w:rPr>
              <w:t>2025).</w:t>
            </w:r>
          </w:p>
          <w:p w14:paraId="287CECF9" w14:textId="77777777" w:rsidR="007745E9" w:rsidRPr="00B2211C" w:rsidRDefault="00DD163F" w:rsidP="00461A87">
            <w:pPr>
              <w:widowControl w:val="0"/>
              <w:numPr>
                <w:ilvl w:val="0"/>
                <w:numId w:val="39"/>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Applying for government grants to fund necessary energy efficiency upgrades.</w:t>
            </w:r>
          </w:p>
        </w:tc>
      </w:tr>
      <w:tr w:rsidR="007745E9" w:rsidRPr="00B2211C" w14:paraId="1658AAEF" w14:textId="77777777">
        <w:trPr>
          <w:cantSplit/>
          <w:tblHeader/>
        </w:trPr>
        <w:tc>
          <w:tcPr>
            <w:tcW w:w="2085" w:type="dxa"/>
            <w:shd w:val="clear" w:color="auto" w:fill="auto"/>
            <w:tcMar>
              <w:top w:w="100" w:type="dxa"/>
              <w:left w:w="100" w:type="dxa"/>
              <w:bottom w:w="100" w:type="dxa"/>
              <w:right w:w="100" w:type="dxa"/>
            </w:tcMar>
          </w:tcPr>
          <w:p w14:paraId="056ED3D7"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lastRenderedPageBreak/>
              <w:t>External Threats (T)</w:t>
            </w:r>
          </w:p>
        </w:tc>
        <w:tc>
          <w:tcPr>
            <w:tcW w:w="4155" w:type="dxa"/>
            <w:shd w:val="clear" w:color="auto" w:fill="auto"/>
            <w:tcMar>
              <w:top w:w="100" w:type="dxa"/>
              <w:left w:w="100" w:type="dxa"/>
              <w:bottom w:w="100" w:type="dxa"/>
              <w:right w:w="100" w:type="dxa"/>
            </w:tcMar>
          </w:tcPr>
          <w:p w14:paraId="07C1888B" w14:textId="77777777" w:rsidR="007745E9" w:rsidRPr="00B2211C" w:rsidRDefault="00DD163F" w:rsidP="00461A87">
            <w:pPr>
              <w:widowControl w:val="0"/>
              <w:pBdr>
                <w:top w:val="nil"/>
                <w:left w:val="nil"/>
                <w:bottom w:val="nil"/>
                <w:right w:val="nil"/>
                <w:between w:val="nil"/>
              </w:pBdr>
              <w:jc w:val="both"/>
              <w:rPr>
                <w:rFonts w:eastAsia="Times New Roman" w:cs="Times New Roman"/>
                <w:b/>
                <w:i/>
                <w:szCs w:val="24"/>
              </w:rPr>
            </w:pPr>
            <w:r w:rsidRPr="00B2211C">
              <w:rPr>
                <w:rFonts w:eastAsia="Times New Roman" w:cs="Times New Roman"/>
                <w:b/>
                <w:i/>
                <w:szCs w:val="24"/>
              </w:rPr>
              <w:t>ST Strategies</w:t>
            </w:r>
          </w:p>
          <w:p w14:paraId="26A00122" w14:textId="77777777" w:rsidR="007745E9" w:rsidRPr="00B2211C" w:rsidRDefault="00DD163F" w:rsidP="00461A87">
            <w:pPr>
              <w:widowControl w:val="0"/>
              <w:numPr>
                <w:ilvl w:val="0"/>
                <w:numId w:val="13"/>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Using strong customer loyalty as well as reputation by maintaining occupancy despite price development.</w:t>
            </w:r>
          </w:p>
          <w:p w14:paraId="63583783" w14:textId="77777777" w:rsidR="007745E9" w:rsidRPr="00B2211C" w:rsidRDefault="00DD163F" w:rsidP="00461A87">
            <w:pPr>
              <w:widowControl w:val="0"/>
              <w:numPr>
                <w:ilvl w:val="0"/>
                <w:numId w:val="13"/>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Adapting phased energy-saving measures by balancing the impact of rising costs with maintaining service quality (Guo </w:t>
            </w:r>
            <w:r w:rsidRPr="00B2211C">
              <w:rPr>
                <w:rFonts w:eastAsia="Times New Roman" w:cs="Times New Roman"/>
                <w:i/>
                <w:szCs w:val="24"/>
              </w:rPr>
              <w:t xml:space="preserve">et al. </w:t>
            </w:r>
            <w:r w:rsidRPr="00B2211C">
              <w:rPr>
                <w:rFonts w:eastAsia="Times New Roman" w:cs="Times New Roman"/>
                <w:szCs w:val="24"/>
              </w:rPr>
              <w:t>2025).</w:t>
            </w:r>
          </w:p>
        </w:tc>
        <w:tc>
          <w:tcPr>
            <w:tcW w:w="3120" w:type="dxa"/>
            <w:shd w:val="clear" w:color="auto" w:fill="auto"/>
            <w:tcMar>
              <w:top w:w="100" w:type="dxa"/>
              <w:left w:w="100" w:type="dxa"/>
              <w:bottom w:w="100" w:type="dxa"/>
              <w:right w:w="100" w:type="dxa"/>
            </w:tcMar>
          </w:tcPr>
          <w:p w14:paraId="4A568557" w14:textId="77777777" w:rsidR="007745E9" w:rsidRPr="00B2211C" w:rsidRDefault="00DD163F" w:rsidP="00461A87">
            <w:pPr>
              <w:widowControl w:val="0"/>
              <w:pBdr>
                <w:top w:val="nil"/>
                <w:left w:val="nil"/>
                <w:bottom w:val="nil"/>
                <w:right w:val="nil"/>
                <w:between w:val="nil"/>
              </w:pBdr>
              <w:jc w:val="both"/>
              <w:rPr>
                <w:rFonts w:eastAsia="Times New Roman" w:cs="Times New Roman"/>
                <w:b/>
                <w:i/>
                <w:szCs w:val="24"/>
              </w:rPr>
            </w:pPr>
            <w:r w:rsidRPr="00B2211C">
              <w:rPr>
                <w:rFonts w:eastAsia="Times New Roman" w:cs="Times New Roman"/>
                <w:b/>
                <w:i/>
                <w:szCs w:val="24"/>
              </w:rPr>
              <w:t>WT Strategies</w:t>
            </w:r>
          </w:p>
          <w:p w14:paraId="744631E5" w14:textId="77777777" w:rsidR="007745E9" w:rsidRPr="00B2211C" w:rsidRDefault="00DD163F" w:rsidP="00461A87">
            <w:pPr>
              <w:widowControl w:val="0"/>
              <w:numPr>
                <w:ilvl w:val="0"/>
                <w:numId w:val="29"/>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Prioritize critical infrastructure upgrades by decreasing energy inefficiencies (Desroches </w:t>
            </w:r>
            <w:r w:rsidRPr="00B2211C">
              <w:rPr>
                <w:rFonts w:eastAsia="Times New Roman" w:cs="Times New Roman"/>
                <w:i/>
                <w:szCs w:val="24"/>
              </w:rPr>
              <w:t>et al.</w:t>
            </w:r>
            <w:r w:rsidRPr="00B2211C">
              <w:rPr>
                <w:rFonts w:eastAsia="Times New Roman" w:cs="Times New Roman"/>
                <w:szCs w:val="24"/>
              </w:rPr>
              <w:t xml:space="preserve"> 2025).</w:t>
            </w:r>
          </w:p>
          <w:p w14:paraId="43F50F7C" w14:textId="77777777" w:rsidR="007745E9" w:rsidRPr="00B2211C" w:rsidRDefault="00DD163F" w:rsidP="00461A87">
            <w:pPr>
              <w:widowControl w:val="0"/>
              <w:numPr>
                <w:ilvl w:val="0"/>
                <w:numId w:val="29"/>
              </w:numPr>
              <w:pBdr>
                <w:top w:val="nil"/>
                <w:left w:val="nil"/>
                <w:bottom w:val="nil"/>
                <w:right w:val="nil"/>
                <w:between w:val="nil"/>
              </w:pBdr>
              <w:jc w:val="both"/>
              <w:rPr>
                <w:rFonts w:eastAsia="Times New Roman" w:cs="Times New Roman"/>
                <w:szCs w:val="24"/>
              </w:rPr>
            </w:pPr>
            <w:r w:rsidRPr="00B2211C">
              <w:rPr>
                <w:rFonts w:eastAsia="Times New Roman" w:cs="Times New Roman"/>
                <w:szCs w:val="24"/>
              </w:rPr>
              <w:t>Improving contingency plans by managing rising costs as well as guest satisfaction risks by dynamic pricing for maintaining operational adjustments.</w:t>
            </w:r>
          </w:p>
          <w:p w14:paraId="2B5FD41A"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bl>
    <w:p w14:paraId="62A26338"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Table 3: TOWS analysis</w:t>
      </w:r>
    </w:p>
    <w:p w14:paraId="0AC557BA" w14:textId="77777777" w:rsidR="007745E9" w:rsidRPr="00B2211C" w:rsidRDefault="00DD163F" w:rsidP="00461A87">
      <w:pPr>
        <w:jc w:val="center"/>
      </w:pPr>
      <w:r w:rsidRPr="00B2211C">
        <w:rPr>
          <w:rFonts w:eastAsia="Times New Roman" w:cs="Times New Roman"/>
          <w:szCs w:val="24"/>
        </w:rPr>
        <w:t>(Source: Self-developed)</w:t>
      </w:r>
    </w:p>
    <w:p w14:paraId="4FC34220"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Marriott London County Hall’s energy cost issue has been focused on by external market factors as well as internal infrastructural limitations. Moreover, it is observed that the hotel enjoys significant strengths, including its brand, location, and loyal customer base; by faces substantial </w:t>
      </w:r>
      <w:r w:rsidRPr="00B2211C">
        <w:rPr>
          <w:rFonts w:eastAsia="Times New Roman" w:cs="Times New Roman"/>
          <w:szCs w:val="24"/>
        </w:rPr>
        <w:lastRenderedPageBreak/>
        <w:t xml:space="preserve">challenges stemming from for aging building as well as volatile energy markets. The STEEPLED analysis has highlighted the wide range of external pressures, from economic volatility to evolving consumer expectations (Vilaplana </w:t>
      </w:r>
      <w:r w:rsidRPr="00B2211C">
        <w:rPr>
          <w:rFonts w:eastAsia="Times New Roman" w:cs="Times New Roman"/>
          <w:i/>
          <w:szCs w:val="24"/>
        </w:rPr>
        <w:t>et al.</w:t>
      </w:r>
      <w:r w:rsidRPr="00B2211C">
        <w:rPr>
          <w:rFonts w:eastAsia="Times New Roman" w:cs="Times New Roman"/>
          <w:szCs w:val="24"/>
        </w:rPr>
        <w:t xml:space="preserve"> 2025). The SWOT as well as TOWS analyses </w:t>
      </w:r>
      <w:r w:rsidR="00DB5D28" w:rsidRPr="00B2211C">
        <w:rPr>
          <w:rFonts w:eastAsia="Times New Roman" w:cs="Times New Roman"/>
          <w:szCs w:val="24"/>
        </w:rPr>
        <w:t>provides</w:t>
      </w:r>
      <w:r w:rsidRPr="00B2211C">
        <w:rPr>
          <w:rFonts w:eastAsia="Times New Roman" w:cs="Times New Roman"/>
          <w:szCs w:val="24"/>
        </w:rPr>
        <w:t xml:space="preserve"> a structured pathway for translating these challenges into strategic opportunities by targeted investments, partnerships, as well as leveraging brand strengths to develop both sustainability as well as profitability. On the other hand, Marriott London County Hall’s energy cost issue is effectively influenced by external market factors as well as internal infrastructural limitations. Based on the hotel enjoys significant strengths by including its prestigious location near London’s iconic landmarks, its affiliation with the globally recognised Marriott brand, as well as a strong base of repeat guests, but faces substantial challenges (Guo </w:t>
      </w:r>
      <w:r w:rsidRPr="00B2211C">
        <w:rPr>
          <w:rFonts w:eastAsia="Times New Roman" w:cs="Times New Roman"/>
          <w:i/>
          <w:szCs w:val="24"/>
        </w:rPr>
        <w:t>et al.</w:t>
      </w:r>
      <w:r w:rsidRPr="00B2211C">
        <w:rPr>
          <w:rFonts w:eastAsia="Times New Roman" w:cs="Times New Roman"/>
          <w:szCs w:val="24"/>
        </w:rPr>
        <w:t xml:space="preserve"> 2025). These include an inherently energy-inefficient aging building, growing energy market volatility, as well as rising expectations from both regulators by guests concerning sustainability.</w:t>
      </w:r>
    </w:p>
    <w:p w14:paraId="6F70D879" w14:textId="77777777" w:rsidR="00B24902" w:rsidRPr="00B2211C" w:rsidRDefault="00B24902">
      <w:pPr>
        <w:spacing w:line="276" w:lineRule="auto"/>
        <w:rPr>
          <w:rFonts w:eastAsia="Times New Roman" w:cs="Times New Roman"/>
          <w:b/>
          <w:sz w:val="28"/>
          <w:szCs w:val="28"/>
        </w:rPr>
      </w:pPr>
      <w:bookmarkStart w:id="29" w:name="_bpmpqz8vgy0k" w:colFirst="0" w:colLast="0"/>
      <w:bookmarkStart w:id="30" w:name="_Toc198647434"/>
      <w:bookmarkEnd w:id="29"/>
      <w:r w:rsidRPr="00B2211C">
        <w:rPr>
          <w:szCs w:val="28"/>
        </w:rPr>
        <w:br w:type="page"/>
      </w:r>
    </w:p>
    <w:p w14:paraId="10CCB160" w14:textId="7E486079" w:rsidR="007745E9" w:rsidRPr="00B2211C" w:rsidRDefault="00DD163F" w:rsidP="00461A87">
      <w:pPr>
        <w:pStyle w:val="Heading1"/>
        <w:spacing w:line="480" w:lineRule="auto"/>
        <w:rPr>
          <w:b w:val="0"/>
          <w:szCs w:val="28"/>
        </w:rPr>
      </w:pPr>
      <w:bookmarkStart w:id="31" w:name="_Toc198671575"/>
      <w:r w:rsidRPr="00B2211C">
        <w:rPr>
          <w:szCs w:val="28"/>
        </w:rPr>
        <w:lastRenderedPageBreak/>
        <w:t>Recommendations and Change Management</w:t>
      </w:r>
      <w:bookmarkEnd w:id="30"/>
      <w:bookmarkEnd w:id="31"/>
      <w:r w:rsidRPr="00B2211C">
        <w:rPr>
          <w:szCs w:val="28"/>
        </w:rPr>
        <w:t xml:space="preserve"> </w:t>
      </w:r>
    </w:p>
    <w:p w14:paraId="17BD6AFF"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It is recommended that, based on the in-depth analysis of the challenges facing </w:t>
      </w:r>
      <w:r w:rsidRPr="00B2211C">
        <w:rPr>
          <w:rFonts w:eastAsia="Times New Roman" w:cs="Times New Roman"/>
          <w:i/>
          <w:szCs w:val="24"/>
        </w:rPr>
        <w:t>Marriott London County Hall</w:t>
      </w:r>
      <w:r w:rsidRPr="00B2211C">
        <w:rPr>
          <w:rFonts w:eastAsia="Times New Roman" w:cs="Times New Roman"/>
          <w:szCs w:val="24"/>
        </w:rPr>
        <w:t>, by outlining strategic as well as operational recommendations be outlined for mitigating the financial with operational impact of escalating energy costs. The aim is focused on the balance of guest satisfaction, sustainability objectives, as well as financial performance. The proposed recommendations are focused on the feasibility, cost-effectiveness, with long-term benefit.</w:t>
      </w:r>
    </w:p>
    <w:p w14:paraId="58BE782D"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1. Energy Efficiency Retrofit of Building Infrastructure</w:t>
      </w:r>
    </w:p>
    <w:p w14:paraId="1E153163"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Description</w:t>
      </w:r>
    </w:p>
    <w:p w14:paraId="2E14710B"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Due to its historical structure as well as age by the hotel suffers from energy inefficiency stemming based on poor insulation, outdated HVAC systems, to maintaining traditional lighting. It is observed that a comprehensive energy retrofit programme is recommended (Rodriguez-Matas </w:t>
      </w:r>
      <w:r w:rsidRPr="00B2211C">
        <w:rPr>
          <w:rFonts w:eastAsia="Times New Roman" w:cs="Times New Roman"/>
          <w:i/>
          <w:szCs w:val="24"/>
        </w:rPr>
        <w:t>et al.</w:t>
      </w:r>
      <w:r w:rsidRPr="00B2211C">
        <w:rPr>
          <w:rFonts w:eastAsia="Times New Roman" w:cs="Times New Roman"/>
          <w:szCs w:val="24"/>
        </w:rPr>
        <w:t xml:space="preserve"> 2025).</w:t>
      </w:r>
    </w:p>
    <w:p w14:paraId="614170CF"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Implementation Steps</w:t>
      </w:r>
    </w:p>
    <w:p w14:paraId="2691AFC9" w14:textId="77777777" w:rsidR="007745E9" w:rsidRPr="00B2211C" w:rsidRDefault="00DD163F" w:rsidP="00461A87">
      <w:pPr>
        <w:numPr>
          <w:ilvl w:val="0"/>
          <w:numId w:val="28"/>
        </w:numPr>
        <w:jc w:val="both"/>
        <w:rPr>
          <w:rFonts w:eastAsia="Times New Roman" w:cs="Times New Roman"/>
          <w:szCs w:val="24"/>
        </w:rPr>
      </w:pPr>
      <w:r w:rsidRPr="00B2211C">
        <w:rPr>
          <w:rFonts w:eastAsia="Times New Roman" w:cs="Times New Roman"/>
          <w:i/>
          <w:szCs w:val="24"/>
        </w:rPr>
        <w:t>Phase 1 (Months 1–6)</w:t>
      </w:r>
      <w:r w:rsidRPr="00B2211C">
        <w:rPr>
          <w:rFonts w:eastAsia="Times New Roman" w:cs="Times New Roman"/>
          <w:szCs w:val="24"/>
        </w:rPr>
        <w:t>: Energy Audit by a certified consultancy like the Carbon Trust to address inefficiencies as well as prioritise upgrades.</w:t>
      </w:r>
    </w:p>
    <w:p w14:paraId="3E116BCA" w14:textId="77777777" w:rsidR="007745E9" w:rsidRPr="00B2211C" w:rsidRDefault="00DD163F" w:rsidP="00461A87">
      <w:pPr>
        <w:numPr>
          <w:ilvl w:val="0"/>
          <w:numId w:val="28"/>
        </w:numPr>
        <w:jc w:val="both"/>
        <w:rPr>
          <w:rFonts w:eastAsia="Times New Roman" w:cs="Times New Roman"/>
          <w:szCs w:val="24"/>
        </w:rPr>
      </w:pPr>
      <w:r w:rsidRPr="00B2211C">
        <w:rPr>
          <w:rFonts w:eastAsia="Times New Roman" w:cs="Times New Roman"/>
          <w:i/>
          <w:szCs w:val="24"/>
        </w:rPr>
        <w:t>Phase 2 (Months 7–18):</w:t>
      </w:r>
      <w:r w:rsidRPr="00B2211C">
        <w:rPr>
          <w:rFonts w:eastAsia="Times New Roman" w:cs="Times New Roman"/>
          <w:szCs w:val="24"/>
        </w:rPr>
        <w:t xml:space="preserve"> Installation by double-glazed windows, insulation based on the walls/roofs, for replacement of HVAC systems based on energy-efficient alternatives.</w:t>
      </w:r>
    </w:p>
    <w:p w14:paraId="3D60FFF2" w14:textId="77777777" w:rsidR="007745E9" w:rsidRPr="00B2211C" w:rsidRDefault="00DD163F" w:rsidP="00461A87">
      <w:pPr>
        <w:numPr>
          <w:ilvl w:val="0"/>
          <w:numId w:val="28"/>
        </w:numPr>
        <w:jc w:val="both"/>
        <w:rPr>
          <w:rFonts w:eastAsia="Times New Roman" w:cs="Times New Roman"/>
          <w:szCs w:val="24"/>
        </w:rPr>
      </w:pPr>
      <w:r w:rsidRPr="00B2211C">
        <w:rPr>
          <w:rFonts w:eastAsia="Times New Roman" w:cs="Times New Roman"/>
          <w:i/>
          <w:szCs w:val="24"/>
        </w:rPr>
        <w:t>Phase 3 (Months 19–24):</w:t>
      </w:r>
      <w:r w:rsidRPr="00B2211C">
        <w:rPr>
          <w:rFonts w:eastAsia="Times New Roman" w:cs="Times New Roman"/>
          <w:szCs w:val="24"/>
        </w:rPr>
        <w:t xml:space="preserve"> Transition to LED lighting by all guest rooms as well as common areas.</w:t>
      </w:r>
    </w:p>
    <w:p w14:paraId="4D47BF67" w14:textId="77777777" w:rsidR="007745E9" w:rsidRPr="00B2211C" w:rsidRDefault="00DD163F" w:rsidP="00461A87">
      <w:pPr>
        <w:numPr>
          <w:ilvl w:val="0"/>
          <w:numId w:val="28"/>
        </w:numPr>
        <w:jc w:val="both"/>
        <w:rPr>
          <w:rFonts w:eastAsia="Times New Roman" w:cs="Times New Roman"/>
          <w:szCs w:val="24"/>
        </w:rPr>
      </w:pPr>
      <w:r w:rsidRPr="00B2211C">
        <w:rPr>
          <w:rFonts w:eastAsia="Times New Roman" w:cs="Times New Roman"/>
          <w:i/>
          <w:szCs w:val="24"/>
        </w:rPr>
        <w:t>Phase 4 (Ongoing):</w:t>
      </w:r>
      <w:r w:rsidRPr="00B2211C">
        <w:rPr>
          <w:rFonts w:eastAsia="Times New Roman" w:cs="Times New Roman"/>
          <w:szCs w:val="24"/>
        </w:rPr>
        <w:t xml:space="preserve"> Introducing smart thermostats as well as occupancy sensors to decrease unnecessary energy usage.</w:t>
      </w:r>
    </w:p>
    <w:p w14:paraId="5486C01D"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Change Management Strategy</w:t>
      </w:r>
    </w:p>
    <w:p w14:paraId="5084EF60" w14:textId="77777777" w:rsidR="007745E9" w:rsidRPr="00B2211C" w:rsidRDefault="00DD163F" w:rsidP="00461A87">
      <w:pPr>
        <w:numPr>
          <w:ilvl w:val="0"/>
          <w:numId w:val="18"/>
        </w:numPr>
        <w:jc w:val="both"/>
        <w:rPr>
          <w:rFonts w:eastAsia="Times New Roman" w:cs="Times New Roman"/>
          <w:szCs w:val="24"/>
        </w:rPr>
      </w:pPr>
      <w:r w:rsidRPr="00B2211C">
        <w:rPr>
          <w:rFonts w:eastAsia="Times New Roman" w:cs="Times New Roman"/>
          <w:i/>
          <w:szCs w:val="24"/>
        </w:rPr>
        <w:lastRenderedPageBreak/>
        <w:t>Stakeholder Engagement Meetings:</w:t>
      </w:r>
      <w:r w:rsidRPr="00B2211C">
        <w:rPr>
          <w:rFonts w:eastAsia="Times New Roman" w:cs="Times New Roman"/>
          <w:szCs w:val="24"/>
        </w:rPr>
        <w:t xml:space="preserve"> Early discussions are focused on the hotel management by maintenance staff to secure buy-in.</w:t>
      </w:r>
    </w:p>
    <w:p w14:paraId="16E023B9" w14:textId="77777777" w:rsidR="007745E9" w:rsidRPr="00B2211C" w:rsidRDefault="00DD163F" w:rsidP="00461A87">
      <w:pPr>
        <w:numPr>
          <w:ilvl w:val="0"/>
          <w:numId w:val="18"/>
        </w:numPr>
        <w:jc w:val="both"/>
        <w:rPr>
          <w:rFonts w:eastAsia="Times New Roman" w:cs="Times New Roman"/>
          <w:szCs w:val="24"/>
        </w:rPr>
      </w:pPr>
      <w:r w:rsidRPr="00B2211C">
        <w:rPr>
          <w:rFonts w:eastAsia="Times New Roman" w:cs="Times New Roman"/>
          <w:i/>
          <w:szCs w:val="24"/>
        </w:rPr>
        <w:t>Staff Training Sessions</w:t>
      </w:r>
      <w:r w:rsidRPr="00B2211C">
        <w:rPr>
          <w:rFonts w:eastAsia="Times New Roman" w:cs="Times New Roman"/>
          <w:szCs w:val="24"/>
        </w:rPr>
        <w:t>: It provides workshops on managing new systems to addressing energy-saving behaviours.</w:t>
      </w:r>
    </w:p>
    <w:p w14:paraId="2FC72EA0" w14:textId="77777777" w:rsidR="007745E9" w:rsidRPr="00B2211C" w:rsidRDefault="00DD163F" w:rsidP="00461A87">
      <w:pPr>
        <w:numPr>
          <w:ilvl w:val="0"/>
          <w:numId w:val="18"/>
        </w:numPr>
        <w:jc w:val="both"/>
        <w:rPr>
          <w:rFonts w:eastAsia="Times New Roman" w:cs="Times New Roman"/>
          <w:szCs w:val="24"/>
        </w:rPr>
      </w:pPr>
      <w:r w:rsidRPr="00B2211C">
        <w:rPr>
          <w:rFonts w:eastAsia="Times New Roman" w:cs="Times New Roman"/>
          <w:i/>
          <w:szCs w:val="24"/>
        </w:rPr>
        <w:t xml:space="preserve">Communication Strategy: </w:t>
      </w:r>
      <w:r w:rsidRPr="00B2211C">
        <w:rPr>
          <w:rFonts w:eastAsia="Times New Roman" w:cs="Times New Roman"/>
          <w:szCs w:val="24"/>
        </w:rPr>
        <w:t>Display progress updates in the staff rooms and public spaces to highlight sustainability developments by foster internal pride.</w:t>
      </w:r>
    </w:p>
    <w:p w14:paraId="07546F5E"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Measurement &amp; Review</w:t>
      </w:r>
    </w:p>
    <w:p w14:paraId="4D412850" w14:textId="77777777" w:rsidR="007745E9" w:rsidRPr="00B2211C" w:rsidRDefault="00DD163F" w:rsidP="00461A87">
      <w:pPr>
        <w:numPr>
          <w:ilvl w:val="0"/>
          <w:numId w:val="32"/>
        </w:numPr>
        <w:jc w:val="both"/>
        <w:rPr>
          <w:rFonts w:eastAsia="Times New Roman" w:cs="Times New Roman"/>
          <w:szCs w:val="24"/>
        </w:rPr>
      </w:pPr>
      <w:r w:rsidRPr="00B2211C">
        <w:rPr>
          <w:rFonts w:eastAsia="Times New Roman" w:cs="Times New Roman"/>
          <w:szCs w:val="24"/>
        </w:rPr>
        <w:t>Monthly comparisons based on the energy bills pre- as well as post-retrofit.</w:t>
      </w:r>
    </w:p>
    <w:p w14:paraId="57B4639F" w14:textId="77777777" w:rsidR="007745E9" w:rsidRPr="00B2211C" w:rsidRDefault="00DD163F" w:rsidP="00461A87">
      <w:pPr>
        <w:numPr>
          <w:ilvl w:val="0"/>
          <w:numId w:val="32"/>
        </w:numPr>
        <w:jc w:val="both"/>
        <w:rPr>
          <w:rFonts w:eastAsia="Times New Roman" w:cs="Times New Roman"/>
          <w:szCs w:val="24"/>
        </w:rPr>
      </w:pPr>
      <w:r w:rsidRPr="00B2211C">
        <w:rPr>
          <w:rFonts w:eastAsia="Times New Roman" w:cs="Times New Roman"/>
          <w:szCs w:val="24"/>
        </w:rPr>
        <w:t>Internal KPI tracking by carbon footprint reduction, collaborating with Marriott’s global sustainability goals (Marriott London County Hall, 2025).</w:t>
      </w:r>
    </w:p>
    <w:p w14:paraId="3E5EAD71" w14:textId="77777777" w:rsidR="007745E9" w:rsidRPr="00B2211C" w:rsidRDefault="00DD163F" w:rsidP="00461A87">
      <w:pPr>
        <w:numPr>
          <w:ilvl w:val="0"/>
          <w:numId w:val="32"/>
        </w:numPr>
        <w:jc w:val="both"/>
        <w:rPr>
          <w:rFonts w:eastAsia="Times New Roman" w:cs="Times New Roman"/>
          <w:szCs w:val="24"/>
        </w:rPr>
      </w:pPr>
      <w:r w:rsidRPr="00B2211C">
        <w:rPr>
          <w:rFonts w:eastAsia="Times New Roman" w:cs="Times New Roman"/>
          <w:szCs w:val="24"/>
        </w:rPr>
        <w:t>It is stated that the annual sustainability report is published by internal as well as external stakeholders.</w:t>
      </w:r>
    </w:p>
    <w:p w14:paraId="5130AA5B"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Estimated Cost</w:t>
      </w:r>
      <w:r w:rsidRPr="00B2211C">
        <w:rPr>
          <w:rFonts w:eastAsia="Times New Roman" w:cs="Times New Roman"/>
          <w:szCs w:val="24"/>
        </w:rPr>
        <w:t>: £1.5 million (phased over 2 years)</w:t>
      </w:r>
    </w:p>
    <w:p w14:paraId="53044AE3"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Potential ROI</w:t>
      </w:r>
      <w:r w:rsidRPr="00B2211C">
        <w:rPr>
          <w:rFonts w:eastAsia="Times New Roman" w:cs="Times New Roman"/>
          <w:szCs w:val="24"/>
        </w:rPr>
        <w:t>: Estimated energy savings of £300,000–£400,000 annually, by investment within 4–5 years.</w:t>
      </w:r>
    </w:p>
    <w:p w14:paraId="66B9BA88"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2. Renewable Energy Integration</w:t>
      </w:r>
    </w:p>
    <w:p w14:paraId="7E35EBF6"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Description</w:t>
      </w:r>
    </w:p>
    <w:p w14:paraId="75AA4688"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It is focused on decreasing dependency on the volatile energy market. Marriott London County Hall should specifically transition based on the on-site renewable energy (Timur and Üstünel</w:t>
      </w:r>
      <w:r w:rsidR="00DB5D28" w:rsidRPr="00B2211C">
        <w:rPr>
          <w:rFonts w:eastAsia="Times New Roman" w:cs="Times New Roman"/>
          <w:szCs w:val="24"/>
        </w:rPr>
        <w:t>, 2025</w:t>
      </w:r>
      <w:r w:rsidRPr="00B2211C">
        <w:rPr>
          <w:rFonts w:eastAsia="Times New Roman" w:cs="Times New Roman"/>
          <w:szCs w:val="24"/>
        </w:rPr>
        <w:t>).</w:t>
      </w:r>
    </w:p>
    <w:p w14:paraId="2060CD83"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Implementation Steps</w:t>
      </w:r>
    </w:p>
    <w:p w14:paraId="3CB8E90A" w14:textId="77777777" w:rsidR="007745E9" w:rsidRPr="00B2211C" w:rsidRDefault="00DD163F" w:rsidP="00461A87">
      <w:pPr>
        <w:numPr>
          <w:ilvl w:val="0"/>
          <w:numId w:val="41"/>
        </w:numPr>
        <w:jc w:val="both"/>
        <w:rPr>
          <w:rFonts w:eastAsia="Times New Roman" w:cs="Times New Roman"/>
          <w:szCs w:val="24"/>
        </w:rPr>
      </w:pPr>
      <w:r w:rsidRPr="00B2211C">
        <w:rPr>
          <w:rFonts w:eastAsia="Times New Roman" w:cs="Times New Roman"/>
          <w:i/>
          <w:szCs w:val="24"/>
        </w:rPr>
        <w:t>Roof Solar Panels</w:t>
      </w:r>
      <w:r w:rsidRPr="00B2211C">
        <w:rPr>
          <w:rFonts w:eastAsia="Times New Roman" w:cs="Times New Roman"/>
          <w:szCs w:val="24"/>
        </w:rPr>
        <w:t>: It is observed that installing photovoltaic (PV) panels on suitable flat rooftops for generate electricity.</w:t>
      </w:r>
    </w:p>
    <w:p w14:paraId="1CD1054B" w14:textId="77777777" w:rsidR="007745E9" w:rsidRPr="00B2211C" w:rsidRDefault="00DD163F" w:rsidP="00461A87">
      <w:pPr>
        <w:numPr>
          <w:ilvl w:val="0"/>
          <w:numId w:val="41"/>
        </w:numPr>
        <w:jc w:val="both"/>
        <w:rPr>
          <w:rFonts w:eastAsia="Times New Roman" w:cs="Times New Roman"/>
          <w:szCs w:val="24"/>
        </w:rPr>
      </w:pPr>
      <w:r w:rsidRPr="00B2211C">
        <w:rPr>
          <w:rFonts w:eastAsia="Times New Roman" w:cs="Times New Roman"/>
          <w:i/>
          <w:szCs w:val="24"/>
        </w:rPr>
        <w:lastRenderedPageBreak/>
        <w:t>Power Purchase Agreements (PPAs):</w:t>
      </w:r>
      <w:r w:rsidRPr="00B2211C">
        <w:rPr>
          <w:rFonts w:eastAsia="Times New Roman" w:cs="Times New Roman"/>
          <w:szCs w:val="24"/>
        </w:rPr>
        <w:t xml:space="preserve"> Enter into agreements based on green energy suppliers to maintain a guaranteed price over 10–15 years.</w:t>
      </w:r>
    </w:p>
    <w:p w14:paraId="19C4CDDD"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Change Management Strategy</w:t>
      </w:r>
    </w:p>
    <w:p w14:paraId="2E1A52EE" w14:textId="77777777" w:rsidR="007745E9" w:rsidRPr="00B2211C" w:rsidRDefault="00DD163F" w:rsidP="00461A87">
      <w:pPr>
        <w:numPr>
          <w:ilvl w:val="0"/>
          <w:numId w:val="6"/>
        </w:numPr>
        <w:jc w:val="both"/>
        <w:rPr>
          <w:rFonts w:eastAsia="Times New Roman" w:cs="Times New Roman"/>
          <w:szCs w:val="24"/>
        </w:rPr>
      </w:pPr>
      <w:r w:rsidRPr="00B2211C">
        <w:rPr>
          <w:rFonts w:eastAsia="Times New Roman" w:cs="Times New Roman"/>
          <w:szCs w:val="24"/>
        </w:rPr>
        <w:t>Collaboration with Marriott International's sustainability teams based on the brand collaborations (Marriott London County Hall, 2025).</w:t>
      </w:r>
    </w:p>
    <w:p w14:paraId="42EC3E6A" w14:textId="77777777" w:rsidR="007745E9" w:rsidRPr="00B2211C" w:rsidRDefault="00DD163F" w:rsidP="00461A87">
      <w:pPr>
        <w:numPr>
          <w:ilvl w:val="0"/>
          <w:numId w:val="6"/>
        </w:numPr>
        <w:jc w:val="both"/>
        <w:rPr>
          <w:rFonts w:eastAsia="Times New Roman" w:cs="Times New Roman"/>
          <w:szCs w:val="24"/>
        </w:rPr>
      </w:pPr>
      <w:r w:rsidRPr="00B2211C">
        <w:rPr>
          <w:rFonts w:eastAsia="Times New Roman" w:cs="Times New Roman"/>
          <w:szCs w:val="24"/>
        </w:rPr>
        <w:t>Training engineering teams to monitor as well as maintain solar PV systems.</w:t>
      </w:r>
    </w:p>
    <w:p w14:paraId="7C234D0F"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Measurement &amp; Review</w:t>
      </w:r>
    </w:p>
    <w:p w14:paraId="71502F82" w14:textId="77777777" w:rsidR="007745E9" w:rsidRPr="00B2211C" w:rsidRDefault="00DD163F" w:rsidP="00461A87">
      <w:pPr>
        <w:numPr>
          <w:ilvl w:val="0"/>
          <w:numId w:val="34"/>
        </w:numPr>
        <w:jc w:val="both"/>
        <w:rPr>
          <w:rFonts w:eastAsia="Times New Roman" w:cs="Times New Roman"/>
          <w:szCs w:val="24"/>
        </w:rPr>
      </w:pPr>
      <w:r w:rsidRPr="00B2211C">
        <w:rPr>
          <w:rFonts w:eastAsia="Times New Roman" w:cs="Times New Roman"/>
          <w:szCs w:val="24"/>
        </w:rPr>
        <w:t xml:space="preserve">Software monitoring tools such as </w:t>
      </w:r>
      <w:r w:rsidRPr="00B2211C">
        <w:rPr>
          <w:rFonts w:eastAsia="Times New Roman" w:cs="Times New Roman"/>
          <w:i/>
          <w:szCs w:val="24"/>
        </w:rPr>
        <w:t>SolarEdge</w:t>
      </w:r>
      <w:r w:rsidRPr="00B2211C">
        <w:rPr>
          <w:rFonts w:eastAsia="Times New Roman" w:cs="Times New Roman"/>
          <w:szCs w:val="24"/>
        </w:rPr>
        <w:t xml:space="preserve"> are </w:t>
      </w:r>
      <w:r w:rsidR="00DB5D28" w:rsidRPr="00B2211C">
        <w:rPr>
          <w:rFonts w:eastAsia="Times New Roman" w:cs="Times New Roman"/>
          <w:szCs w:val="24"/>
        </w:rPr>
        <w:t>used to</w:t>
      </w:r>
      <w:r w:rsidRPr="00B2211C">
        <w:rPr>
          <w:rFonts w:eastAsia="Times New Roman" w:cs="Times New Roman"/>
          <w:szCs w:val="24"/>
        </w:rPr>
        <w:t xml:space="preserve"> measure daily output.</w:t>
      </w:r>
    </w:p>
    <w:p w14:paraId="2C3B8032" w14:textId="77777777" w:rsidR="007745E9" w:rsidRPr="00B2211C" w:rsidRDefault="00DD163F" w:rsidP="00461A87">
      <w:pPr>
        <w:numPr>
          <w:ilvl w:val="0"/>
          <w:numId w:val="34"/>
        </w:numPr>
        <w:jc w:val="both"/>
        <w:rPr>
          <w:rFonts w:eastAsia="Times New Roman" w:cs="Times New Roman"/>
          <w:szCs w:val="24"/>
        </w:rPr>
      </w:pPr>
      <w:r w:rsidRPr="00B2211C">
        <w:rPr>
          <w:rFonts w:eastAsia="Times New Roman" w:cs="Times New Roman"/>
          <w:szCs w:val="24"/>
        </w:rPr>
        <w:t>Annual review to compare solar generation with baseline energy usage.</w:t>
      </w:r>
    </w:p>
    <w:p w14:paraId="01B1BC49"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Estimated Cost:</w:t>
      </w:r>
      <w:r w:rsidRPr="00B2211C">
        <w:rPr>
          <w:rFonts w:eastAsia="Times New Roman" w:cs="Times New Roman"/>
          <w:szCs w:val="24"/>
        </w:rPr>
        <w:t xml:space="preserve"> £350,000 (for 300–400 solar panels)</w:t>
      </w:r>
    </w:p>
    <w:p w14:paraId="1A90DFE3"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Potential ROI:</w:t>
      </w:r>
      <w:r w:rsidRPr="00B2211C">
        <w:rPr>
          <w:rFonts w:eastAsia="Times New Roman" w:cs="Times New Roman"/>
          <w:szCs w:val="24"/>
        </w:rPr>
        <w:t xml:space="preserve"> Energy cost savings of £50,000–£70,000/year as well as eligibility for government subsidies.</w:t>
      </w:r>
    </w:p>
    <w:p w14:paraId="42E9D71E"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3. Guest Engagement &amp; Behavioural Change Programmes</w:t>
      </w:r>
    </w:p>
    <w:p w14:paraId="1FEE679A"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Description</w:t>
      </w:r>
    </w:p>
    <w:p w14:paraId="18094049"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Guests are contributing significantly to energy usage by engaging in maintaining sustainability practices by providing the help for decreasing costs.</w:t>
      </w:r>
    </w:p>
    <w:p w14:paraId="35F3F2FB"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Implementation Steps</w:t>
      </w:r>
    </w:p>
    <w:p w14:paraId="6ABD6571" w14:textId="77777777" w:rsidR="007745E9" w:rsidRPr="00B2211C" w:rsidRDefault="00DD163F" w:rsidP="00461A87">
      <w:pPr>
        <w:numPr>
          <w:ilvl w:val="0"/>
          <w:numId w:val="3"/>
        </w:numPr>
        <w:jc w:val="both"/>
        <w:rPr>
          <w:rFonts w:eastAsia="Times New Roman" w:cs="Times New Roman"/>
          <w:szCs w:val="24"/>
        </w:rPr>
      </w:pPr>
      <w:r w:rsidRPr="00B2211C">
        <w:rPr>
          <w:rFonts w:eastAsia="Times New Roman" w:cs="Times New Roman"/>
          <w:i/>
          <w:szCs w:val="24"/>
        </w:rPr>
        <w:t>Green Stay Initiative:</w:t>
      </w:r>
      <w:r w:rsidRPr="00B2211C">
        <w:rPr>
          <w:rFonts w:eastAsia="Times New Roman" w:cs="Times New Roman"/>
          <w:szCs w:val="24"/>
        </w:rPr>
        <w:t xml:space="preserve"> It is offering incentives such as loyalty points, complimentary drinks for guests who opt out of daily linen changes, and minimising electricity use (Li </w:t>
      </w:r>
      <w:r w:rsidRPr="00B2211C">
        <w:rPr>
          <w:rFonts w:eastAsia="Times New Roman" w:cs="Times New Roman"/>
          <w:i/>
          <w:szCs w:val="24"/>
        </w:rPr>
        <w:t xml:space="preserve">et al. </w:t>
      </w:r>
      <w:r w:rsidRPr="00B2211C">
        <w:rPr>
          <w:rFonts w:eastAsia="Times New Roman" w:cs="Times New Roman"/>
          <w:szCs w:val="24"/>
        </w:rPr>
        <w:t>2025).</w:t>
      </w:r>
    </w:p>
    <w:p w14:paraId="7EE98D38" w14:textId="77777777" w:rsidR="007745E9" w:rsidRPr="00B2211C" w:rsidRDefault="00DD163F" w:rsidP="00461A87">
      <w:pPr>
        <w:numPr>
          <w:ilvl w:val="0"/>
          <w:numId w:val="3"/>
        </w:numPr>
        <w:jc w:val="both"/>
        <w:rPr>
          <w:rFonts w:eastAsia="Times New Roman" w:cs="Times New Roman"/>
          <w:szCs w:val="24"/>
        </w:rPr>
      </w:pPr>
      <w:r w:rsidRPr="00B2211C">
        <w:rPr>
          <w:rFonts w:eastAsia="Times New Roman" w:cs="Times New Roman"/>
          <w:i/>
          <w:szCs w:val="24"/>
        </w:rPr>
        <w:t>Digital Messaging</w:t>
      </w:r>
      <w:r w:rsidRPr="00B2211C">
        <w:rPr>
          <w:rFonts w:eastAsia="Times New Roman" w:cs="Times New Roman"/>
          <w:szCs w:val="24"/>
        </w:rPr>
        <w:t>: Using in-room tablets or QR codes to inform guests based on their energy consumption, to promote eco-friendly actions.</w:t>
      </w:r>
    </w:p>
    <w:p w14:paraId="60DB9022"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Change Management Strategy</w:t>
      </w:r>
    </w:p>
    <w:p w14:paraId="62354CAE" w14:textId="77777777" w:rsidR="007745E9" w:rsidRPr="00B2211C" w:rsidRDefault="00DD163F" w:rsidP="00461A87">
      <w:pPr>
        <w:numPr>
          <w:ilvl w:val="0"/>
          <w:numId w:val="20"/>
        </w:numPr>
        <w:jc w:val="both"/>
        <w:rPr>
          <w:rFonts w:eastAsia="Times New Roman" w:cs="Times New Roman"/>
          <w:szCs w:val="24"/>
        </w:rPr>
      </w:pPr>
      <w:r w:rsidRPr="00B2211C">
        <w:rPr>
          <w:rFonts w:eastAsia="Times New Roman" w:cs="Times New Roman"/>
          <w:szCs w:val="24"/>
        </w:rPr>
        <w:lastRenderedPageBreak/>
        <w:t>Concierge staff training by promoted as an initiative at check-in.</w:t>
      </w:r>
    </w:p>
    <w:p w14:paraId="31CB915E" w14:textId="77777777" w:rsidR="007745E9" w:rsidRPr="00B2211C" w:rsidRDefault="00DD163F" w:rsidP="00461A87">
      <w:pPr>
        <w:numPr>
          <w:ilvl w:val="0"/>
          <w:numId w:val="20"/>
        </w:numPr>
        <w:jc w:val="both"/>
        <w:rPr>
          <w:rFonts w:eastAsia="Times New Roman" w:cs="Times New Roman"/>
          <w:szCs w:val="24"/>
        </w:rPr>
      </w:pPr>
      <w:r w:rsidRPr="00B2211C">
        <w:rPr>
          <w:rFonts w:eastAsia="Times New Roman" w:cs="Times New Roman"/>
          <w:szCs w:val="24"/>
        </w:rPr>
        <w:t>Internal competition among departments for the highest guest engagement rates.</w:t>
      </w:r>
    </w:p>
    <w:p w14:paraId="69949B0A"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Measurement &amp; Review</w:t>
      </w:r>
    </w:p>
    <w:p w14:paraId="050CAAF3" w14:textId="77777777" w:rsidR="007745E9" w:rsidRPr="00B2211C" w:rsidRDefault="00DD163F" w:rsidP="00461A87">
      <w:pPr>
        <w:numPr>
          <w:ilvl w:val="0"/>
          <w:numId w:val="17"/>
        </w:numPr>
        <w:jc w:val="both"/>
        <w:rPr>
          <w:rFonts w:eastAsia="Times New Roman" w:cs="Times New Roman"/>
          <w:szCs w:val="24"/>
        </w:rPr>
      </w:pPr>
      <w:r w:rsidRPr="00B2211C">
        <w:rPr>
          <w:rFonts w:eastAsia="Times New Roman" w:cs="Times New Roman"/>
          <w:szCs w:val="24"/>
        </w:rPr>
        <w:t>Participation rate tracking by using the PMS system.</w:t>
      </w:r>
    </w:p>
    <w:p w14:paraId="5206D75C" w14:textId="77777777" w:rsidR="007745E9" w:rsidRPr="00B2211C" w:rsidRDefault="00DD163F" w:rsidP="00461A87">
      <w:pPr>
        <w:numPr>
          <w:ilvl w:val="0"/>
          <w:numId w:val="17"/>
        </w:numPr>
        <w:jc w:val="both"/>
        <w:rPr>
          <w:rFonts w:eastAsia="Times New Roman" w:cs="Times New Roman"/>
          <w:szCs w:val="24"/>
        </w:rPr>
      </w:pPr>
      <w:r w:rsidRPr="00B2211C">
        <w:rPr>
          <w:rFonts w:eastAsia="Times New Roman" w:cs="Times New Roman"/>
          <w:szCs w:val="24"/>
        </w:rPr>
        <w:t>Feedback collection by guest satisfaction surveys.</w:t>
      </w:r>
    </w:p>
    <w:p w14:paraId="6B80CF44"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Estimated Cost:</w:t>
      </w:r>
      <w:r w:rsidRPr="00B2211C">
        <w:rPr>
          <w:rFonts w:eastAsia="Times New Roman" w:cs="Times New Roman"/>
          <w:szCs w:val="24"/>
        </w:rPr>
        <w:t xml:space="preserve"> £50,000 for initial marketing, digital integration, and training</w:t>
      </w:r>
    </w:p>
    <w:p w14:paraId="479C64A8"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Potential ROI:</w:t>
      </w:r>
      <w:r w:rsidRPr="00B2211C">
        <w:rPr>
          <w:rFonts w:eastAsia="Times New Roman" w:cs="Times New Roman"/>
          <w:szCs w:val="24"/>
        </w:rPr>
        <w:t xml:space="preserve"> Savings of £30,000–£60,000 annually in water, detergent, as well as electricity.</w:t>
      </w:r>
    </w:p>
    <w:p w14:paraId="55CE4BBC"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4. Smart Technology Integration</w:t>
      </w:r>
    </w:p>
    <w:p w14:paraId="663C48CE"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Description</w:t>
      </w:r>
    </w:p>
    <w:p w14:paraId="31C1FB0D"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Automation, as well as data-driven management, is focused on the energy, effectively reducing energy wastage.</w:t>
      </w:r>
    </w:p>
    <w:p w14:paraId="79C8F0FE"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Implementation Steps</w:t>
      </w:r>
    </w:p>
    <w:p w14:paraId="2CD24739" w14:textId="77777777" w:rsidR="007745E9" w:rsidRPr="00B2211C" w:rsidRDefault="00DD163F" w:rsidP="00461A87">
      <w:pPr>
        <w:numPr>
          <w:ilvl w:val="0"/>
          <w:numId w:val="14"/>
        </w:numPr>
        <w:jc w:val="both"/>
        <w:rPr>
          <w:rFonts w:eastAsia="Times New Roman" w:cs="Times New Roman"/>
          <w:szCs w:val="24"/>
        </w:rPr>
      </w:pPr>
      <w:r w:rsidRPr="00B2211C">
        <w:rPr>
          <w:rFonts w:eastAsia="Times New Roman" w:cs="Times New Roman"/>
          <w:szCs w:val="24"/>
        </w:rPr>
        <w:t>Install occupancy-based lighting as well as heating systems.</w:t>
      </w:r>
    </w:p>
    <w:p w14:paraId="1A030E6E" w14:textId="77777777" w:rsidR="007745E9" w:rsidRPr="00B2211C" w:rsidRDefault="00DD163F" w:rsidP="00461A87">
      <w:pPr>
        <w:numPr>
          <w:ilvl w:val="0"/>
          <w:numId w:val="14"/>
        </w:numPr>
        <w:jc w:val="both"/>
        <w:rPr>
          <w:rFonts w:eastAsia="Times New Roman" w:cs="Times New Roman"/>
          <w:szCs w:val="24"/>
        </w:rPr>
      </w:pPr>
      <w:r w:rsidRPr="00B2211C">
        <w:rPr>
          <w:rFonts w:eastAsia="Times New Roman" w:cs="Times New Roman"/>
          <w:szCs w:val="24"/>
        </w:rPr>
        <w:t xml:space="preserve">By using </w:t>
      </w:r>
      <w:r w:rsidRPr="00B2211C">
        <w:rPr>
          <w:rFonts w:eastAsia="Times New Roman" w:cs="Times New Roman"/>
          <w:i/>
          <w:szCs w:val="24"/>
        </w:rPr>
        <w:t>Building Management Systems</w:t>
      </w:r>
      <w:r w:rsidRPr="00B2211C">
        <w:rPr>
          <w:rFonts w:eastAsia="Times New Roman" w:cs="Times New Roman"/>
          <w:szCs w:val="24"/>
        </w:rPr>
        <w:t xml:space="preserve"> (BMS) for tracking to optimise usage based on real-time data (Marriott London County Hall, 2025).</w:t>
      </w:r>
    </w:p>
    <w:p w14:paraId="024D58B3"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Change Management Strategy</w:t>
      </w:r>
    </w:p>
    <w:p w14:paraId="6C506A1F" w14:textId="77777777" w:rsidR="007745E9" w:rsidRPr="00B2211C" w:rsidRDefault="00DD163F" w:rsidP="00461A87">
      <w:pPr>
        <w:numPr>
          <w:ilvl w:val="0"/>
          <w:numId w:val="4"/>
        </w:numPr>
        <w:jc w:val="both"/>
        <w:rPr>
          <w:rFonts w:eastAsia="Times New Roman" w:cs="Times New Roman"/>
          <w:szCs w:val="24"/>
        </w:rPr>
      </w:pPr>
      <w:r w:rsidRPr="00B2211C">
        <w:rPr>
          <w:rFonts w:eastAsia="Times New Roman" w:cs="Times New Roman"/>
          <w:szCs w:val="24"/>
        </w:rPr>
        <w:t>Training of engineering as well as IT staff.</w:t>
      </w:r>
    </w:p>
    <w:p w14:paraId="64040FB6" w14:textId="77777777" w:rsidR="007745E9" w:rsidRPr="00B2211C" w:rsidRDefault="00DD163F" w:rsidP="00461A87">
      <w:pPr>
        <w:numPr>
          <w:ilvl w:val="0"/>
          <w:numId w:val="4"/>
        </w:numPr>
        <w:jc w:val="both"/>
        <w:rPr>
          <w:rFonts w:eastAsia="Times New Roman" w:cs="Times New Roman"/>
          <w:szCs w:val="24"/>
        </w:rPr>
      </w:pPr>
      <w:r w:rsidRPr="00B2211C">
        <w:rPr>
          <w:rFonts w:eastAsia="Times New Roman" w:cs="Times New Roman"/>
          <w:szCs w:val="24"/>
        </w:rPr>
        <w:t>Gradual rollout across guest floors for adjustment periods.</w:t>
      </w:r>
    </w:p>
    <w:p w14:paraId="0ADBB1FB"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Measurement &amp; Review</w:t>
      </w:r>
    </w:p>
    <w:p w14:paraId="29479D23" w14:textId="77777777" w:rsidR="007745E9" w:rsidRPr="00B2211C" w:rsidRDefault="00DD163F" w:rsidP="00461A87">
      <w:pPr>
        <w:numPr>
          <w:ilvl w:val="0"/>
          <w:numId w:val="35"/>
        </w:numPr>
        <w:jc w:val="both"/>
        <w:rPr>
          <w:rFonts w:eastAsia="Times New Roman" w:cs="Times New Roman"/>
          <w:szCs w:val="24"/>
        </w:rPr>
      </w:pPr>
      <w:r w:rsidRPr="00B2211C">
        <w:rPr>
          <w:rFonts w:eastAsia="Times New Roman" w:cs="Times New Roman"/>
          <w:szCs w:val="24"/>
        </w:rPr>
        <w:t>System dashboards as well as alerts for energy anomalies.</w:t>
      </w:r>
    </w:p>
    <w:p w14:paraId="3B640EF9" w14:textId="77777777" w:rsidR="007745E9" w:rsidRPr="00B2211C" w:rsidRDefault="00DD163F" w:rsidP="00461A87">
      <w:pPr>
        <w:numPr>
          <w:ilvl w:val="0"/>
          <w:numId w:val="35"/>
        </w:numPr>
        <w:jc w:val="both"/>
        <w:rPr>
          <w:rFonts w:eastAsia="Times New Roman" w:cs="Times New Roman"/>
          <w:szCs w:val="24"/>
        </w:rPr>
      </w:pPr>
      <w:r w:rsidRPr="00B2211C">
        <w:rPr>
          <w:rFonts w:eastAsia="Times New Roman" w:cs="Times New Roman"/>
          <w:szCs w:val="24"/>
        </w:rPr>
        <w:t>Quarterly review meetings with IT as well as operations.</w:t>
      </w:r>
    </w:p>
    <w:p w14:paraId="089F3656"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Estimated Cost:</w:t>
      </w:r>
      <w:r w:rsidRPr="00B2211C">
        <w:rPr>
          <w:rFonts w:eastAsia="Times New Roman" w:cs="Times New Roman"/>
          <w:szCs w:val="24"/>
        </w:rPr>
        <w:t xml:space="preserve"> £200,000</w:t>
      </w:r>
    </w:p>
    <w:p w14:paraId="5EF4267B"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Potential ROI</w:t>
      </w:r>
      <w:r w:rsidRPr="00B2211C">
        <w:rPr>
          <w:rFonts w:eastAsia="Times New Roman" w:cs="Times New Roman"/>
          <w:szCs w:val="24"/>
        </w:rPr>
        <w:t>: Annual savings of £60,000–£100,000 cause to efficiency.</w:t>
      </w:r>
    </w:p>
    <w:p w14:paraId="57752116"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lastRenderedPageBreak/>
        <w:t>5. Strategic Supplier Partnerships and Bulk Energy Purchasing</w:t>
      </w:r>
    </w:p>
    <w:p w14:paraId="4383321E"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Description</w:t>
      </w:r>
    </w:p>
    <w:p w14:paraId="1B267CAC"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It is stated that negotiate fixed-rate contracts through strategic partnerships for purchasing cooperatives (Erdogan and Pata, 2025).</w:t>
      </w:r>
    </w:p>
    <w:p w14:paraId="2E8988CF"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Implementation Steps</w:t>
      </w:r>
    </w:p>
    <w:p w14:paraId="6D523B1F" w14:textId="77777777" w:rsidR="007745E9" w:rsidRPr="00B2211C" w:rsidRDefault="00DD163F" w:rsidP="00461A87">
      <w:pPr>
        <w:numPr>
          <w:ilvl w:val="0"/>
          <w:numId w:val="10"/>
        </w:numPr>
        <w:jc w:val="both"/>
        <w:rPr>
          <w:rFonts w:eastAsia="Times New Roman" w:cs="Times New Roman"/>
          <w:szCs w:val="24"/>
        </w:rPr>
      </w:pPr>
      <w:r w:rsidRPr="00B2211C">
        <w:rPr>
          <w:rFonts w:eastAsia="Times New Roman" w:cs="Times New Roman"/>
          <w:szCs w:val="24"/>
        </w:rPr>
        <w:t>It is engaging energy consultants to negotiate 2–3 year fixed contracts.</w:t>
      </w:r>
    </w:p>
    <w:p w14:paraId="06B310DF" w14:textId="77777777" w:rsidR="007745E9" w:rsidRPr="00B2211C" w:rsidRDefault="00DD163F" w:rsidP="00461A87">
      <w:pPr>
        <w:numPr>
          <w:ilvl w:val="0"/>
          <w:numId w:val="10"/>
        </w:numPr>
        <w:jc w:val="both"/>
        <w:rPr>
          <w:rFonts w:eastAsia="Times New Roman" w:cs="Times New Roman"/>
          <w:szCs w:val="24"/>
        </w:rPr>
      </w:pPr>
      <w:r w:rsidRPr="00B2211C">
        <w:rPr>
          <w:rFonts w:eastAsia="Times New Roman" w:cs="Times New Roman"/>
          <w:szCs w:val="24"/>
        </w:rPr>
        <w:t>Joining hospitality energy cooperatives based on better rates.</w:t>
      </w:r>
    </w:p>
    <w:p w14:paraId="1E9AF130"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Change Management Strategy</w:t>
      </w:r>
    </w:p>
    <w:p w14:paraId="39237E6D" w14:textId="77777777" w:rsidR="007745E9" w:rsidRPr="00B2211C" w:rsidRDefault="00DD163F" w:rsidP="00461A87">
      <w:pPr>
        <w:numPr>
          <w:ilvl w:val="0"/>
          <w:numId w:val="36"/>
        </w:numPr>
        <w:jc w:val="both"/>
        <w:rPr>
          <w:rFonts w:eastAsia="Times New Roman" w:cs="Times New Roman"/>
          <w:szCs w:val="24"/>
        </w:rPr>
      </w:pPr>
      <w:r w:rsidRPr="00B2211C">
        <w:rPr>
          <w:rFonts w:eastAsia="Times New Roman" w:cs="Times New Roman"/>
          <w:szCs w:val="24"/>
        </w:rPr>
        <w:t>Legal as well as finance teams for reviewing terms.</w:t>
      </w:r>
    </w:p>
    <w:p w14:paraId="21B5FA16" w14:textId="77777777" w:rsidR="007745E9" w:rsidRPr="00B2211C" w:rsidRDefault="00DD163F" w:rsidP="00461A87">
      <w:pPr>
        <w:numPr>
          <w:ilvl w:val="0"/>
          <w:numId w:val="36"/>
        </w:numPr>
        <w:jc w:val="both"/>
        <w:rPr>
          <w:rFonts w:eastAsia="Times New Roman" w:cs="Times New Roman"/>
          <w:szCs w:val="24"/>
        </w:rPr>
      </w:pPr>
      <w:r w:rsidRPr="00B2211C">
        <w:rPr>
          <w:rFonts w:eastAsia="Times New Roman" w:cs="Times New Roman"/>
          <w:szCs w:val="24"/>
        </w:rPr>
        <w:t>Including periodic evaluation clauses.</w:t>
      </w:r>
    </w:p>
    <w:p w14:paraId="5D47D357"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Measurement &amp; Review</w:t>
      </w:r>
    </w:p>
    <w:p w14:paraId="27839709" w14:textId="77777777" w:rsidR="007745E9" w:rsidRPr="00B2211C" w:rsidRDefault="00DD163F" w:rsidP="00461A87">
      <w:pPr>
        <w:numPr>
          <w:ilvl w:val="0"/>
          <w:numId w:val="31"/>
        </w:numPr>
        <w:jc w:val="both"/>
        <w:rPr>
          <w:rFonts w:eastAsia="Times New Roman" w:cs="Times New Roman"/>
          <w:szCs w:val="24"/>
        </w:rPr>
      </w:pPr>
      <w:r w:rsidRPr="00B2211C">
        <w:rPr>
          <w:rFonts w:eastAsia="Times New Roman" w:cs="Times New Roman"/>
          <w:szCs w:val="24"/>
        </w:rPr>
        <w:t>Regular benchmarking based on the market rates.</w:t>
      </w:r>
    </w:p>
    <w:p w14:paraId="7E45F35B" w14:textId="77777777" w:rsidR="007745E9" w:rsidRPr="00B2211C" w:rsidRDefault="00DD163F" w:rsidP="00461A87">
      <w:pPr>
        <w:numPr>
          <w:ilvl w:val="0"/>
          <w:numId w:val="31"/>
        </w:numPr>
        <w:jc w:val="both"/>
        <w:rPr>
          <w:rFonts w:eastAsia="Times New Roman" w:cs="Times New Roman"/>
          <w:szCs w:val="24"/>
        </w:rPr>
      </w:pPr>
      <w:r w:rsidRPr="00B2211C">
        <w:rPr>
          <w:rFonts w:eastAsia="Times New Roman" w:cs="Times New Roman"/>
          <w:szCs w:val="24"/>
        </w:rPr>
        <w:t>Annual reviews for reassessing supplier terms.</w:t>
      </w:r>
    </w:p>
    <w:p w14:paraId="5C95E803"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Estimated Cost:</w:t>
      </w:r>
      <w:r w:rsidRPr="00B2211C">
        <w:rPr>
          <w:rFonts w:eastAsia="Times New Roman" w:cs="Times New Roman"/>
          <w:szCs w:val="24"/>
        </w:rPr>
        <w:t xml:space="preserve"> Minimal consultancy fees (£10,000–£15,000)</w:t>
      </w:r>
    </w:p>
    <w:p w14:paraId="7DF2A1F7"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Potential ROI:</w:t>
      </w:r>
      <w:r w:rsidRPr="00B2211C">
        <w:rPr>
          <w:rFonts w:eastAsia="Times New Roman" w:cs="Times New Roman"/>
          <w:szCs w:val="24"/>
        </w:rPr>
        <w:t xml:space="preserve"> Fixed rate contracts could avoid unexpected spikes, with a specific saving of £100,000 annually.</w:t>
      </w:r>
    </w:p>
    <w:p w14:paraId="603C69A1"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 xml:space="preserve">6. Internal Cultural Shift </w:t>
      </w:r>
      <w:r w:rsidR="00DB5D28" w:rsidRPr="00B2211C">
        <w:rPr>
          <w:rFonts w:eastAsia="Times New Roman" w:cs="Times New Roman"/>
          <w:b/>
          <w:szCs w:val="24"/>
        </w:rPr>
        <w:t>towards</w:t>
      </w:r>
      <w:r w:rsidRPr="00B2211C">
        <w:rPr>
          <w:rFonts w:eastAsia="Times New Roman" w:cs="Times New Roman"/>
          <w:b/>
          <w:szCs w:val="24"/>
        </w:rPr>
        <w:t xml:space="preserve"> Sustainability</w:t>
      </w:r>
    </w:p>
    <w:p w14:paraId="08AD2AB8"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Description</w:t>
      </w:r>
    </w:p>
    <w:p w14:paraId="764C9787"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It is stated that long-term savings depend on building a culture by following the values of sustainability at all levels (Murtaza and Luqman, 2025).</w:t>
      </w:r>
    </w:p>
    <w:p w14:paraId="735E0934"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Implementation Steps</w:t>
      </w:r>
    </w:p>
    <w:p w14:paraId="79941722" w14:textId="77777777" w:rsidR="007745E9" w:rsidRPr="00B2211C" w:rsidRDefault="00DD163F" w:rsidP="00461A87">
      <w:pPr>
        <w:numPr>
          <w:ilvl w:val="0"/>
          <w:numId w:val="37"/>
        </w:numPr>
        <w:jc w:val="both"/>
        <w:rPr>
          <w:rFonts w:eastAsia="Times New Roman" w:cs="Times New Roman"/>
          <w:szCs w:val="24"/>
        </w:rPr>
      </w:pPr>
      <w:r w:rsidRPr="00B2211C">
        <w:rPr>
          <w:rFonts w:eastAsia="Times New Roman" w:cs="Times New Roman"/>
          <w:szCs w:val="24"/>
        </w:rPr>
        <w:t xml:space="preserve">Introducing a </w:t>
      </w:r>
      <w:r w:rsidRPr="00B2211C">
        <w:rPr>
          <w:rFonts w:eastAsia="Times New Roman" w:cs="Times New Roman"/>
          <w:i/>
          <w:szCs w:val="24"/>
        </w:rPr>
        <w:t xml:space="preserve">Sustainability Ambassador programme </w:t>
      </w:r>
      <w:r w:rsidRPr="00B2211C">
        <w:rPr>
          <w:rFonts w:eastAsia="Times New Roman" w:cs="Times New Roman"/>
          <w:szCs w:val="24"/>
        </w:rPr>
        <w:t>based on the departments.</w:t>
      </w:r>
    </w:p>
    <w:p w14:paraId="41486E4F" w14:textId="77777777" w:rsidR="007745E9" w:rsidRPr="00B2211C" w:rsidRDefault="00DD163F" w:rsidP="00461A87">
      <w:pPr>
        <w:numPr>
          <w:ilvl w:val="0"/>
          <w:numId w:val="37"/>
        </w:numPr>
        <w:jc w:val="both"/>
        <w:rPr>
          <w:rFonts w:eastAsia="Times New Roman" w:cs="Times New Roman"/>
          <w:szCs w:val="24"/>
        </w:rPr>
      </w:pPr>
      <w:r w:rsidRPr="00B2211C">
        <w:rPr>
          <w:rFonts w:eastAsia="Times New Roman" w:cs="Times New Roman"/>
          <w:szCs w:val="24"/>
        </w:rPr>
        <w:t>Incorporate sustainability KPIs based on the management appraisals.</w:t>
      </w:r>
    </w:p>
    <w:p w14:paraId="12BCA963"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lastRenderedPageBreak/>
        <w:t>Change Management Strategy</w:t>
      </w:r>
    </w:p>
    <w:p w14:paraId="6ABB08E3" w14:textId="77777777" w:rsidR="007745E9" w:rsidRPr="00B2211C" w:rsidRDefault="00DD163F" w:rsidP="00461A87">
      <w:pPr>
        <w:numPr>
          <w:ilvl w:val="0"/>
          <w:numId w:val="27"/>
        </w:numPr>
        <w:jc w:val="both"/>
        <w:rPr>
          <w:rFonts w:eastAsia="Times New Roman" w:cs="Times New Roman"/>
          <w:szCs w:val="24"/>
        </w:rPr>
      </w:pPr>
      <w:r w:rsidRPr="00B2211C">
        <w:rPr>
          <w:rFonts w:eastAsia="Times New Roman" w:cs="Times New Roman"/>
          <w:szCs w:val="24"/>
        </w:rPr>
        <w:t>Leadership-led workshops.</w:t>
      </w:r>
    </w:p>
    <w:p w14:paraId="2450E913" w14:textId="77777777" w:rsidR="007745E9" w:rsidRPr="00B2211C" w:rsidRDefault="00DD163F" w:rsidP="00461A87">
      <w:pPr>
        <w:numPr>
          <w:ilvl w:val="0"/>
          <w:numId w:val="27"/>
        </w:numPr>
        <w:jc w:val="both"/>
        <w:rPr>
          <w:rFonts w:eastAsia="Times New Roman" w:cs="Times New Roman"/>
          <w:szCs w:val="24"/>
        </w:rPr>
      </w:pPr>
      <w:r w:rsidRPr="00B2211C">
        <w:rPr>
          <w:rFonts w:eastAsia="Times New Roman" w:cs="Times New Roman"/>
          <w:szCs w:val="24"/>
        </w:rPr>
        <w:t>Rewards as well as a recognition programme based on green behaviour.</w:t>
      </w:r>
    </w:p>
    <w:p w14:paraId="4F0A3400"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Measurement &amp; Review</w:t>
      </w:r>
    </w:p>
    <w:p w14:paraId="5579C362" w14:textId="77777777" w:rsidR="007745E9" w:rsidRPr="00B2211C" w:rsidRDefault="00DD163F" w:rsidP="00461A87">
      <w:pPr>
        <w:numPr>
          <w:ilvl w:val="0"/>
          <w:numId w:val="19"/>
        </w:numPr>
        <w:jc w:val="both"/>
        <w:rPr>
          <w:rFonts w:eastAsia="Times New Roman" w:cs="Times New Roman"/>
          <w:szCs w:val="24"/>
        </w:rPr>
      </w:pPr>
      <w:r w:rsidRPr="00B2211C">
        <w:rPr>
          <w:rFonts w:eastAsia="Times New Roman" w:cs="Times New Roman"/>
          <w:szCs w:val="24"/>
        </w:rPr>
        <w:t>Monthly sustainability scorecards.</w:t>
      </w:r>
    </w:p>
    <w:p w14:paraId="3B496935" w14:textId="77777777" w:rsidR="007745E9" w:rsidRPr="00B2211C" w:rsidRDefault="00DD163F" w:rsidP="00461A87">
      <w:pPr>
        <w:numPr>
          <w:ilvl w:val="0"/>
          <w:numId w:val="19"/>
        </w:numPr>
        <w:jc w:val="both"/>
        <w:rPr>
          <w:rFonts w:eastAsia="Times New Roman" w:cs="Times New Roman"/>
          <w:szCs w:val="24"/>
        </w:rPr>
      </w:pPr>
      <w:r w:rsidRPr="00B2211C">
        <w:rPr>
          <w:rFonts w:eastAsia="Times New Roman" w:cs="Times New Roman"/>
          <w:szCs w:val="24"/>
        </w:rPr>
        <w:t>Internal staff surveys to assess engagement.</w:t>
      </w:r>
    </w:p>
    <w:p w14:paraId="0A55F198"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Estimated Cost:</w:t>
      </w:r>
      <w:r w:rsidRPr="00B2211C">
        <w:rPr>
          <w:rFonts w:eastAsia="Times New Roman" w:cs="Times New Roman"/>
          <w:szCs w:val="24"/>
        </w:rPr>
        <w:t xml:space="preserve"> £25,000 (annual training, branding, as well as incentives)</w:t>
      </w:r>
    </w:p>
    <w:p w14:paraId="1E2217CE"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Benefit</w:t>
      </w:r>
      <w:r w:rsidRPr="00B2211C">
        <w:rPr>
          <w:rFonts w:eastAsia="Times New Roman" w:cs="Times New Roman"/>
          <w:szCs w:val="24"/>
        </w:rPr>
        <w:t>: Indirect financial savings; direct benefits, including developed staff morale with guest satisfaction (Algül, 2025).</w:t>
      </w:r>
    </w:p>
    <w:p w14:paraId="1CF80D89"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7. Government and Local Grants/Funding Utilisation</w:t>
      </w:r>
    </w:p>
    <w:p w14:paraId="732BF01F"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Description</w:t>
      </w:r>
    </w:p>
    <w:p w14:paraId="77A7CDAB"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It is stated that leverage government incentives with sustainability as well as heritage building renovations (Aldy, 2025).</w:t>
      </w:r>
    </w:p>
    <w:p w14:paraId="7B8A156C"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Implementation Steps</w:t>
      </w:r>
    </w:p>
    <w:p w14:paraId="7B64DD9F" w14:textId="77777777" w:rsidR="007745E9" w:rsidRPr="00B2211C" w:rsidRDefault="00DD163F" w:rsidP="00461A87">
      <w:pPr>
        <w:numPr>
          <w:ilvl w:val="0"/>
          <w:numId w:val="9"/>
        </w:numPr>
        <w:jc w:val="both"/>
        <w:rPr>
          <w:rFonts w:eastAsia="Times New Roman" w:cs="Times New Roman"/>
          <w:szCs w:val="24"/>
        </w:rPr>
      </w:pPr>
      <w:r w:rsidRPr="00B2211C">
        <w:rPr>
          <w:rFonts w:eastAsia="Times New Roman" w:cs="Times New Roman"/>
          <w:szCs w:val="24"/>
        </w:rPr>
        <w:t xml:space="preserve">By applying for the BEIS based on the </w:t>
      </w:r>
      <w:r w:rsidRPr="00B2211C">
        <w:rPr>
          <w:rFonts w:eastAsia="Times New Roman" w:cs="Times New Roman"/>
          <w:i/>
          <w:szCs w:val="24"/>
        </w:rPr>
        <w:t xml:space="preserve">Department for Business, Energy &amp; Industrial </w:t>
      </w:r>
      <w:r w:rsidR="00DB5D28" w:rsidRPr="00B2211C">
        <w:rPr>
          <w:rFonts w:eastAsia="Times New Roman" w:cs="Times New Roman"/>
          <w:i/>
          <w:szCs w:val="24"/>
        </w:rPr>
        <w:t>Strategy</w:t>
      </w:r>
      <w:r w:rsidR="00DB5D28" w:rsidRPr="00B2211C">
        <w:rPr>
          <w:rFonts w:eastAsia="Times New Roman" w:cs="Times New Roman"/>
          <w:szCs w:val="24"/>
        </w:rPr>
        <w:t xml:space="preserve"> schemes</w:t>
      </w:r>
      <w:r w:rsidRPr="00B2211C">
        <w:rPr>
          <w:rFonts w:eastAsia="Times New Roman" w:cs="Times New Roman"/>
          <w:szCs w:val="24"/>
        </w:rPr>
        <w:t>.</w:t>
      </w:r>
    </w:p>
    <w:p w14:paraId="679713AC" w14:textId="77777777" w:rsidR="007745E9" w:rsidRPr="00B2211C" w:rsidRDefault="00DD163F" w:rsidP="00461A87">
      <w:pPr>
        <w:numPr>
          <w:ilvl w:val="0"/>
          <w:numId w:val="9"/>
        </w:numPr>
        <w:jc w:val="both"/>
        <w:rPr>
          <w:rFonts w:eastAsia="Times New Roman" w:cs="Times New Roman"/>
          <w:szCs w:val="24"/>
        </w:rPr>
      </w:pPr>
      <w:r w:rsidRPr="00B2211C">
        <w:rPr>
          <w:rFonts w:eastAsia="Times New Roman" w:cs="Times New Roman"/>
          <w:szCs w:val="24"/>
        </w:rPr>
        <w:t xml:space="preserve">Seek funding based on the </w:t>
      </w:r>
      <w:r w:rsidRPr="00B2211C">
        <w:rPr>
          <w:rFonts w:eastAsia="Times New Roman" w:cs="Times New Roman"/>
          <w:i/>
          <w:szCs w:val="24"/>
        </w:rPr>
        <w:t>Public Sector Decarbonisation Scheme</w:t>
      </w:r>
      <w:r w:rsidRPr="00B2211C">
        <w:rPr>
          <w:rFonts w:eastAsia="Times New Roman" w:cs="Times New Roman"/>
          <w:szCs w:val="24"/>
        </w:rPr>
        <w:t xml:space="preserve"> and London </w:t>
      </w:r>
      <w:r w:rsidRPr="00B2211C">
        <w:rPr>
          <w:rFonts w:eastAsia="Times New Roman" w:cs="Times New Roman"/>
          <w:i/>
          <w:szCs w:val="24"/>
        </w:rPr>
        <w:t>Climate Action Week initiatives</w:t>
      </w:r>
      <w:r w:rsidRPr="00B2211C">
        <w:rPr>
          <w:rFonts w:eastAsia="Times New Roman" w:cs="Times New Roman"/>
          <w:szCs w:val="24"/>
        </w:rPr>
        <w:t>.</w:t>
      </w:r>
    </w:p>
    <w:p w14:paraId="29DA9184"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Change Management Strategy</w:t>
      </w:r>
    </w:p>
    <w:p w14:paraId="410D3B3C" w14:textId="77777777" w:rsidR="007745E9" w:rsidRPr="00B2211C" w:rsidRDefault="00DD163F" w:rsidP="00461A87">
      <w:pPr>
        <w:numPr>
          <w:ilvl w:val="0"/>
          <w:numId w:val="24"/>
        </w:numPr>
        <w:jc w:val="both"/>
        <w:rPr>
          <w:rFonts w:eastAsia="Times New Roman" w:cs="Times New Roman"/>
          <w:szCs w:val="24"/>
        </w:rPr>
      </w:pPr>
      <w:r w:rsidRPr="00B2211C">
        <w:rPr>
          <w:rFonts w:eastAsia="Times New Roman" w:cs="Times New Roman"/>
          <w:szCs w:val="24"/>
        </w:rPr>
        <w:t>Appoint a grant application team and outsource to a consultancy.</w:t>
      </w:r>
    </w:p>
    <w:p w14:paraId="33A6552C" w14:textId="77777777" w:rsidR="007745E9" w:rsidRPr="00B2211C" w:rsidRDefault="00DD163F" w:rsidP="00461A87">
      <w:pPr>
        <w:numPr>
          <w:ilvl w:val="0"/>
          <w:numId w:val="24"/>
        </w:numPr>
        <w:jc w:val="both"/>
        <w:rPr>
          <w:rFonts w:eastAsia="Times New Roman" w:cs="Times New Roman"/>
          <w:szCs w:val="24"/>
        </w:rPr>
      </w:pPr>
      <w:r w:rsidRPr="00B2211C">
        <w:rPr>
          <w:rFonts w:eastAsia="Times New Roman" w:cs="Times New Roman"/>
          <w:szCs w:val="24"/>
        </w:rPr>
        <w:t>Collaborating with documentation based on the audit requirements.</w:t>
      </w:r>
    </w:p>
    <w:p w14:paraId="0F1E53CD"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Measurement &amp; Review</w:t>
      </w:r>
    </w:p>
    <w:p w14:paraId="198198A5"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Quarterly reviews </w:t>
      </w:r>
      <w:r w:rsidR="00DB5D28" w:rsidRPr="00B2211C">
        <w:rPr>
          <w:rFonts w:eastAsia="Times New Roman" w:cs="Times New Roman"/>
          <w:szCs w:val="24"/>
        </w:rPr>
        <w:t>are focused on the</w:t>
      </w:r>
      <w:r w:rsidRPr="00B2211C">
        <w:rPr>
          <w:rFonts w:eastAsia="Times New Roman" w:cs="Times New Roman"/>
          <w:szCs w:val="24"/>
        </w:rPr>
        <w:t xml:space="preserve"> application statuses, as well as fund disbursement.</w:t>
      </w:r>
    </w:p>
    <w:p w14:paraId="1BC9BC1F"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lastRenderedPageBreak/>
        <w:t>Estimated Potential Funding:</w:t>
      </w:r>
      <w:r w:rsidRPr="00B2211C">
        <w:rPr>
          <w:rFonts w:eastAsia="Times New Roman" w:cs="Times New Roman"/>
          <w:szCs w:val="24"/>
        </w:rPr>
        <w:t xml:space="preserve"> Up to £500,000 in grants</w:t>
      </w:r>
    </w:p>
    <w:p w14:paraId="2542C45C" w14:textId="77777777" w:rsidR="007745E9" w:rsidRPr="00B2211C" w:rsidRDefault="00DD163F" w:rsidP="00461A87">
      <w:pPr>
        <w:jc w:val="both"/>
        <w:rPr>
          <w:rFonts w:eastAsia="Times New Roman" w:cs="Times New Roman"/>
          <w:szCs w:val="24"/>
        </w:rPr>
      </w:pPr>
      <w:r w:rsidRPr="00B2211C">
        <w:rPr>
          <w:rFonts w:eastAsia="Times New Roman" w:cs="Times New Roman"/>
          <w:b/>
          <w:szCs w:val="24"/>
        </w:rPr>
        <w:t>Cost of Application &amp; Admin:</w:t>
      </w:r>
      <w:r w:rsidRPr="00B2211C">
        <w:rPr>
          <w:rFonts w:eastAsia="Times New Roman" w:cs="Times New Roman"/>
          <w:szCs w:val="24"/>
        </w:rPr>
        <w:t xml:space="preserve"> £20,000</w:t>
      </w:r>
    </w:p>
    <w:p w14:paraId="0D73C1C3"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Summary of Estimated Costs and Returns</w:t>
      </w:r>
    </w:p>
    <w:p w14:paraId="2CDCFC21" w14:textId="77777777" w:rsidR="007745E9" w:rsidRPr="00B2211C" w:rsidRDefault="007745E9" w:rsidP="00461A87">
      <w:pPr>
        <w:jc w:val="both"/>
        <w:rPr>
          <w:rFonts w:eastAsia="Times New Roman" w:cs="Times New Roman"/>
          <w:szCs w:val="24"/>
        </w:rPr>
      </w:pP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1860"/>
        <w:gridCol w:w="2775"/>
        <w:gridCol w:w="2160"/>
      </w:tblGrid>
      <w:tr w:rsidR="007745E9" w:rsidRPr="00B2211C" w14:paraId="69CBA5F8" w14:textId="77777777">
        <w:trPr>
          <w:cantSplit/>
          <w:tblHeader/>
        </w:trPr>
        <w:tc>
          <w:tcPr>
            <w:tcW w:w="2565" w:type="dxa"/>
            <w:shd w:val="clear" w:color="auto" w:fill="auto"/>
            <w:tcMar>
              <w:top w:w="100" w:type="dxa"/>
              <w:left w:w="100" w:type="dxa"/>
              <w:bottom w:w="100" w:type="dxa"/>
              <w:right w:w="100" w:type="dxa"/>
            </w:tcMar>
          </w:tcPr>
          <w:p w14:paraId="34C150DC"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Initiative</w:t>
            </w:r>
          </w:p>
        </w:tc>
        <w:tc>
          <w:tcPr>
            <w:tcW w:w="1860" w:type="dxa"/>
            <w:shd w:val="clear" w:color="auto" w:fill="auto"/>
            <w:tcMar>
              <w:top w:w="100" w:type="dxa"/>
              <w:left w:w="100" w:type="dxa"/>
              <w:bottom w:w="100" w:type="dxa"/>
              <w:right w:w="100" w:type="dxa"/>
            </w:tcMar>
          </w:tcPr>
          <w:p w14:paraId="7747DDB6"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Estimated Cost</w:t>
            </w:r>
            <w:r w:rsidRPr="00B2211C">
              <w:rPr>
                <w:rFonts w:eastAsia="Times New Roman" w:cs="Times New Roman"/>
                <w:b/>
                <w:szCs w:val="24"/>
              </w:rPr>
              <w:tab/>
            </w:r>
          </w:p>
        </w:tc>
        <w:tc>
          <w:tcPr>
            <w:tcW w:w="2775" w:type="dxa"/>
            <w:shd w:val="clear" w:color="auto" w:fill="auto"/>
            <w:tcMar>
              <w:top w:w="100" w:type="dxa"/>
              <w:left w:w="100" w:type="dxa"/>
              <w:bottom w:w="100" w:type="dxa"/>
              <w:right w:w="100" w:type="dxa"/>
            </w:tcMar>
          </w:tcPr>
          <w:p w14:paraId="1B118E7F"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Estimated Annual Savings</w:t>
            </w:r>
            <w:r w:rsidRPr="00B2211C">
              <w:rPr>
                <w:rFonts w:eastAsia="Times New Roman" w:cs="Times New Roman"/>
                <w:b/>
                <w:szCs w:val="24"/>
              </w:rPr>
              <w:tab/>
            </w:r>
          </w:p>
        </w:tc>
        <w:tc>
          <w:tcPr>
            <w:tcW w:w="2160" w:type="dxa"/>
            <w:shd w:val="clear" w:color="auto" w:fill="auto"/>
            <w:tcMar>
              <w:top w:w="100" w:type="dxa"/>
              <w:left w:w="100" w:type="dxa"/>
              <w:bottom w:w="100" w:type="dxa"/>
              <w:right w:w="100" w:type="dxa"/>
            </w:tcMar>
          </w:tcPr>
          <w:p w14:paraId="0B946FE3"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ROI Timeline</w:t>
            </w:r>
          </w:p>
          <w:p w14:paraId="58951175" w14:textId="77777777" w:rsidR="007745E9" w:rsidRPr="00B2211C" w:rsidRDefault="007745E9" w:rsidP="00461A87">
            <w:pPr>
              <w:widowControl w:val="0"/>
              <w:pBdr>
                <w:top w:val="nil"/>
                <w:left w:val="nil"/>
                <w:bottom w:val="nil"/>
                <w:right w:val="nil"/>
                <w:between w:val="nil"/>
              </w:pBdr>
              <w:jc w:val="center"/>
              <w:rPr>
                <w:rFonts w:eastAsia="Times New Roman" w:cs="Times New Roman"/>
                <w:b/>
                <w:szCs w:val="24"/>
              </w:rPr>
            </w:pPr>
          </w:p>
        </w:tc>
      </w:tr>
      <w:tr w:rsidR="007745E9" w:rsidRPr="00B2211C" w14:paraId="0CEB0A45" w14:textId="77777777">
        <w:trPr>
          <w:cantSplit/>
          <w:tblHeader/>
        </w:trPr>
        <w:tc>
          <w:tcPr>
            <w:tcW w:w="2565" w:type="dxa"/>
            <w:shd w:val="clear" w:color="auto" w:fill="auto"/>
            <w:tcMar>
              <w:top w:w="100" w:type="dxa"/>
              <w:left w:w="100" w:type="dxa"/>
              <w:bottom w:w="100" w:type="dxa"/>
              <w:right w:w="100" w:type="dxa"/>
            </w:tcMar>
          </w:tcPr>
          <w:p w14:paraId="44AB0D96"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Infrastructure Retrofit</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7134FBF2"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£1.5 million</w:t>
            </w:r>
            <w:r w:rsidRPr="00B2211C">
              <w:rPr>
                <w:rFonts w:eastAsia="Times New Roman" w:cs="Times New Roman"/>
                <w:szCs w:val="24"/>
              </w:rPr>
              <w:tab/>
            </w:r>
          </w:p>
        </w:tc>
        <w:tc>
          <w:tcPr>
            <w:tcW w:w="2775" w:type="dxa"/>
            <w:shd w:val="clear" w:color="auto" w:fill="auto"/>
            <w:tcMar>
              <w:top w:w="100" w:type="dxa"/>
              <w:left w:w="100" w:type="dxa"/>
              <w:bottom w:w="100" w:type="dxa"/>
              <w:right w:w="100" w:type="dxa"/>
            </w:tcMar>
          </w:tcPr>
          <w:p w14:paraId="18B2658F"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£300k–£400k</w:t>
            </w:r>
            <w:r w:rsidRPr="00B2211C">
              <w:rPr>
                <w:rFonts w:eastAsia="Times New Roman" w:cs="Times New Roman"/>
                <w:szCs w:val="24"/>
              </w:rPr>
              <w:tab/>
            </w:r>
          </w:p>
        </w:tc>
        <w:tc>
          <w:tcPr>
            <w:tcW w:w="2160" w:type="dxa"/>
            <w:shd w:val="clear" w:color="auto" w:fill="auto"/>
            <w:tcMar>
              <w:top w:w="100" w:type="dxa"/>
              <w:left w:w="100" w:type="dxa"/>
              <w:bottom w:w="100" w:type="dxa"/>
              <w:right w:w="100" w:type="dxa"/>
            </w:tcMar>
          </w:tcPr>
          <w:p w14:paraId="0EEECF22"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4–5 years</w:t>
            </w:r>
          </w:p>
          <w:p w14:paraId="7A8CF6F5"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r w:rsidR="007745E9" w:rsidRPr="00B2211C" w14:paraId="48D4A2FD" w14:textId="77777777">
        <w:trPr>
          <w:cantSplit/>
          <w:tblHeader/>
        </w:trPr>
        <w:tc>
          <w:tcPr>
            <w:tcW w:w="2565" w:type="dxa"/>
            <w:shd w:val="clear" w:color="auto" w:fill="auto"/>
            <w:tcMar>
              <w:top w:w="100" w:type="dxa"/>
              <w:left w:w="100" w:type="dxa"/>
              <w:bottom w:w="100" w:type="dxa"/>
              <w:right w:w="100" w:type="dxa"/>
            </w:tcMar>
          </w:tcPr>
          <w:p w14:paraId="2FF5B6E2"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Solar PV Panels</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0075D053"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£350,000</w:t>
            </w:r>
            <w:r w:rsidRPr="00B2211C">
              <w:rPr>
                <w:rFonts w:eastAsia="Times New Roman" w:cs="Times New Roman"/>
                <w:szCs w:val="24"/>
              </w:rPr>
              <w:tab/>
            </w:r>
          </w:p>
        </w:tc>
        <w:tc>
          <w:tcPr>
            <w:tcW w:w="2775" w:type="dxa"/>
            <w:shd w:val="clear" w:color="auto" w:fill="auto"/>
            <w:tcMar>
              <w:top w:w="100" w:type="dxa"/>
              <w:left w:w="100" w:type="dxa"/>
              <w:bottom w:w="100" w:type="dxa"/>
              <w:right w:w="100" w:type="dxa"/>
            </w:tcMar>
          </w:tcPr>
          <w:p w14:paraId="42C5B9E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£50k–£70k</w:t>
            </w:r>
            <w:r w:rsidRPr="00B2211C">
              <w:rPr>
                <w:rFonts w:eastAsia="Times New Roman" w:cs="Times New Roman"/>
                <w:szCs w:val="24"/>
              </w:rPr>
              <w:tab/>
            </w:r>
          </w:p>
        </w:tc>
        <w:tc>
          <w:tcPr>
            <w:tcW w:w="2160" w:type="dxa"/>
            <w:shd w:val="clear" w:color="auto" w:fill="auto"/>
            <w:tcMar>
              <w:top w:w="100" w:type="dxa"/>
              <w:left w:w="100" w:type="dxa"/>
              <w:bottom w:w="100" w:type="dxa"/>
              <w:right w:w="100" w:type="dxa"/>
            </w:tcMar>
          </w:tcPr>
          <w:p w14:paraId="367A6E4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5–7 years</w:t>
            </w:r>
          </w:p>
          <w:p w14:paraId="11E63D91"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r w:rsidR="007745E9" w:rsidRPr="00B2211C" w14:paraId="15771376" w14:textId="77777777">
        <w:trPr>
          <w:cantSplit/>
          <w:tblHeader/>
        </w:trPr>
        <w:tc>
          <w:tcPr>
            <w:tcW w:w="2565" w:type="dxa"/>
            <w:shd w:val="clear" w:color="auto" w:fill="auto"/>
            <w:tcMar>
              <w:top w:w="100" w:type="dxa"/>
              <w:left w:w="100" w:type="dxa"/>
              <w:bottom w:w="100" w:type="dxa"/>
              <w:right w:w="100" w:type="dxa"/>
            </w:tcMar>
          </w:tcPr>
          <w:p w14:paraId="207DB069"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Guest Engagement</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10E56039"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£50,000</w:t>
            </w:r>
            <w:r w:rsidRPr="00B2211C">
              <w:rPr>
                <w:rFonts w:eastAsia="Times New Roman" w:cs="Times New Roman"/>
                <w:szCs w:val="24"/>
              </w:rPr>
              <w:tab/>
            </w:r>
          </w:p>
        </w:tc>
        <w:tc>
          <w:tcPr>
            <w:tcW w:w="2775" w:type="dxa"/>
            <w:shd w:val="clear" w:color="auto" w:fill="auto"/>
            <w:tcMar>
              <w:top w:w="100" w:type="dxa"/>
              <w:left w:w="100" w:type="dxa"/>
              <w:bottom w:w="100" w:type="dxa"/>
              <w:right w:w="100" w:type="dxa"/>
            </w:tcMar>
          </w:tcPr>
          <w:p w14:paraId="4AA92766"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£30k–£60k</w:t>
            </w:r>
            <w:r w:rsidRPr="00B2211C">
              <w:rPr>
                <w:rFonts w:eastAsia="Times New Roman" w:cs="Times New Roman"/>
                <w:szCs w:val="24"/>
              </w:rPr>
              <w:tab/>
            </w:r>
          </w:p>
        </w:tc>
        <w:tc>
          <w:tcPr>
            <w:tcW w:w="2160" w:type="dxa"/>
            <w:shd w:val="clear" w:color="auto" w:fill="auto"/>
            <w:tcMar>
              <w:top w:w="100" w:type="dxa"/>
              <w:left w:w="100" w:type="dxa"/>
              <w:bottom w:w="100" w:type="dxa"/>
              <w:right w:w="100" w:type="dxa"/>
            </w:tcMar>
          </w:tcPr>
          <w:p w14:paraId="565952D7"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1–2 years</w:t>
            </w:r>
          </w:p>
          <w:p w14:paraId="3BCBD354"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r w:rsidR="007745E9" w:rsidRPr="00B2211C" w14:paraId="2D7E381A" w14:textId="77777777">
        <w:trPr>
          <w:cantSplit/>
          <w:tblHeader/>
        </w:trPr>
        <w:tc>
          <w:tcPr>
            <w:tcW w:w="2565" w:type="dxa"/>
            <w:shd w:val="clear" w:color="auto" w:fill="auto"/>
            <w:tcMar>
              <w:top w:w="100" w:type="dxa"/>
              <w:left w:w="100" w:type="dxa"/>
              <w:bottom w:w="100" w:type="dxa"/>
              <w:right w:w="100" w:type="dxa"/>
            </w:tcMar>
          </w:tcPr>
          <w:p w14:paraId="14325675"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Smart Tech Integration</w:t>
            </w:r>
          </w:p>
        </w:tc>
        <w:tc>
          <w:tcPr>
            <w:tcW w:w="1860" w:type="dxa"/>
            <w:shd w:val="clear" w:color="auto" w:fill="auto"/>
            <w:tcMar>
              <w:top w:w="100" w:type="dxa"/>
              <w:left w:w="100" w:type="dxa"/>
              <w:bottom w:w="100" w:type="dxa"/>
              <w:right w:w="100" w:type="dxa"/>
            </w:tcMar>
          </w:tcPr>
          <w:p w14:paraId="6A2B9002"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£200,000</w:t>
            </w:r>
            <w:r w:rsidRPr="00B2211C">
              <w:rPr>
                <w:rFonts w:eastAsia="Times New Roman" w:cs="Times New Roman"/>
                <w:szCs w:val="24"/>
              </w:rPr>
              <w:tab/>
            </w:r>
          </w:p>
        </w:tc>
        <w:tc>
          <w:tcPr>
            <w:tcW w:w="2775" w:type="dxa"/>
            <w:shd w:val="clear" w:color="auto" w:fill="auto"/>
            <w:tcMar>
              <w:top w:w="100" w:type="dxa"/>
              <w:left w:w="100" w:type="dxa"/>
              <w:bottom w:w="100" w:type="dxa"/>
              <w:right w:w="100" w:type="dxa"/>
            </w:tcMar>
          </w:tcPr>
          <w:p w14:paraId="24407DD6"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£60k–£100k</w:t>
            </w:r>
            <w:r w:rsidRPr="00B2211C">
              <w:rPr>
                <w:rFonts w:eastAsia="Times New Roman" w:cs="Times New Roman"/>
                <w:szCs w:val="24"/>
              </w:rPr>
              <w:tab/>
            </w:r>
          </w:p>
        </w:tc>
        <w:tc>
          <w:tcPr>
            <w:tcW w:w="2160" w:type="dxa"/>
            <w:shd w:val="clear" w:color="auto" w:fill="auto"/>
            <w:tcMar>
              <w:top w:w="100" w:type="dxa"/>
              <w:left w:w="100" w:type="dxa"/>
              <w:bottom w:w="100" w:type="dxa"/>
              <w:right w:w="100" w:type="dxa"/>
            </w:tcMar>
          </w:tcPr>
          <w:p w14:paraId="59283DCD"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3–4 years</w:t>
            </w:r>
          </w:p>
          <w:p w14:paraId="77D7D11D"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r w:rsidR="007745E9" w:rsidRPr="00B2211C" w14:paraId="27DC9760" w14:textId="77777777">
        <w:trPr>
          <w:cantSplit/>
          <w:tblHeader/>
        </w:trPr>
        <w:tc>
          <w:tcPr>
            <w:tcW w:w="2565" w:type="dxa"/>
            <w:shd w:val="clear" w:color="auto" w:fill="auto"/>
            <w:tcMar>
              <w:top w:w="100" w:type="dxa"/>
              <w:left w:w="100" w:type="dxa"/>
              <w:bottom w:w="100" w:type="dxa"/>
              <w:right w:w="100" w:type="dxa"/>
            </w:tcMar>
          </w:tcPr>
          <w:p w14:paraId="5E3B0CF1"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Supplier Strategy</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1A6C6F0A"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£15,000</w:t>
            </w:r>
            <w:r w:rsidRPr="00B2211C">
              <w:rPr>
                <w:rFonts w:eastAsia="Times New Roman" w:cs="Times New Roman"/>
                <w:szCs w:val="24"/>
              </w:rPr>
              <w:tab/>
            </w:r>
          </w:p>
        </w:tc>
        <w:tc>
          <w:tcPr>
            <w:tcW w:w="2775" w:type="dxa"/>
            <w:shd w:val="clear" w:color="auto" w:fill="auto"/>
            <w:tcMar>
              <w:top w:w="100" w:type="dxa"/>
              <w:left w:w="100" w:type="dxa"/>
              <w:bottom w:w="100" w:type="dxa"/>
              <w:right w:w="100" w:type="dxa"/>
            </w:tcMar>
          </w:tcPr>
          <w:p w14:paraId="4CECA547"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£100k</w:t>
            </w:r>
            <w:r w:rsidRPr="00B2211C">
              <w:rPr>
                <w:rFonts w:eastAsia="Times New Roman" w:cs="Times New Roman"/>
                <w:szCs w:val="24"/>
              </w:rPr>
              <w:tab/>
            </w:r>
          </w:p>
        </w:tc>
        <w:tc>
          <w:tcPr>
            <w:tcW w:w="2160" w:type="dxa"/>
            <w:shd w:val="clear" w:color="auto" w:fill="auto"/>
            <w:tcMar>
              <w:top w:w="100" w:type="dxa"/>
              <w:left w:w="100" w:type="dxa"/>
              <w:bottom w:w="100" w:type="dxa"/>
              <w:right w:w="100" w:type="dxa"/>
            </w:tcMar>
          </w:tcPr>
          <w:p w14:paraId="2D8D7C0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&lt;1 year</w:t>
            </w:r>
          </w:p>
        </w:tc>
      </w:tr>
      <w:tr w:rsidR="007745E9" w:rsidRPr="00B2211C" w14:paraId="2A32D1B7" w14:textId="77777777">
        <w:trPr>
          <w:cantSplit/>
          <w:tblHeader/>
        </w:trPr>
        <w:tc>
          <w:tcPr>
            <w:tcW w:w="2565" w:type="dxa"/>
            <w:shd w:val="clear" w:color="auto" w:fill="auto"/>
            <w:tcMar>
              <w:top w:w="100" w:type="dxa"/>
              <w:left w:w="100" w:type="dxa"/>
              <w:bottom w:w="100" w:type="dxa"/>
              <w:right w:w="100" w:type="dxa"/>
            </w:tcMar>
          </w:tcPr>
          <w:p w14:paraId="54A80E7F"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Sustainability Culture</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4E41090F"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£25,000</w:t>
            </w:r>
            <w:r w:rsidRPr="00B2211C">
              <w:rPr>
                <w:rFonts w:eastAsia="Times New Roman" w:cs="Times New Roman"/>
                <w:szCs w:val="24"/>
              </w:rPr>
              <w:tab/>
            </w:r>
          </w:p>
        </w:tc>
        <w:tc>
          <w:tcPr>
            <w:tcW w:w="2775" w:type="dxa"/>
            <w:shd w:val="clear" w:color="auto" w:fill="auto"/>
            <w:tcMar>
              <w:top w:w="100" w:type="dxa"/>
              <w:left w:w="100" w:type="dxa"/>
              <w:bottom w:w="100" w:type="dxa"/>
              <w:right w:w="100" w:type="dxa"/>
            </w:tcMar>
          </w:tcPr>
          <w:p w14:paraId="30056602"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Indirect</w:t>
            </w:r>
            <w:r w:rsidRPr="00B2211C">
              <w:rPr>
                <w:rFonts w:eastAsia="Times New Roman" w:cs="Times New Roman"/>
                <w:szCs w:val="24"/>
              </w:rPr>
              <w:tab/>
            </w:r>
          </w:p>
        </w:tc>
        <w:tc>
          <w:tcPr>
            <w:tcW w:w="2160" w:type="dxa"/>
            <w:shd w:val="clear" w:color="auto" w:fill="auto"/>
            <w:tcMar>
              <w:top w:w="100" w:type="dxa"/>
              <w:left w:w="100" w:type="dxa"/>
              <w:bottom w:w="100" w:type="dxa"/>
              <w:right w:w="100" w:type="dxa"/>
            </w:tcMar>
          </w:tcPr>
          <w:p w14:paraId="5A27213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Ongoing</w:t>
            </w:r>
          </w:p>
        </w:tc>
      </w:tr>
      <w:tr w:rsidR="007745E9" w:rsidRPr="00B2211C" w14:paraId="01552657" w14:textId="77777777">
        <w:trPr>
          <w:cantSplit/>
          <w:tblHeader/>
        </w:trPr>
        <w:tc>
          <w:tcPr>
            <w:tcW w:w="2565" w:type="dxa"/>
            <w:shd w:val="clear" w:color="auto" w:fill="auto"/>
            <w:tcMar>
              <w:top w:w="100" w:type="dxa"/>
              <w:left w:w="100" w:type="dxa"/>
              <w:bottom w:w="100" w:type="dxa"/>
              <w:right w:w="100" w:type="dxa"/>
            </w:tcMar>
          </w:tcPr>
          <w:p w14:paraId="7AA427ED"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Grant Utilisation</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069CB61F"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£20,000 </w:t>
            </w:r>
          </w:p>
        </w:tc>
        <w:tc>
          <w:tcPr>
            <w:tcW w:w="2775" w:type="dxa"/>
            <w:shd w:val="clear" w:color="auto" w:fill="auto"/>
            <w:tcMar>
              <w:top w:w="100" w:type="dxa"/>
              <w:left w:w="100" w:type="dxa"/>
              <w:bottom w:w="100" w:type="dxa"/>
              <w:right w:w="100" w:type="dxa"/>
            </w:tcMar>
          </w:tcPr>
          <w:p w14:paraId="45038307"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£500k </w:t>
            </w:r>
          </w:p>
        </w:tc>
        <w:tc>
          <w:tcPr>
            <w:tcW w:w="2160" w:type="dxa"/>
            <w:shd w:val="clear" w:color="auto" w:fill="auto"/>
            <w:tcMar>
              <w:top w:w="100" w:type="dxa"/>
              <w:left w:w="100" w:type="dxa"/>
              <w:bottom w:w="100" w:type="dxa"/>
              <w:right w:w="100" w:type="dxa"/>
            </w:tcMar>
          </w:tcPr>
          <w:p w14:paraId="32C66D20"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N/A</w:t>
            </w:r>
          </w:p>
        </w:tc>
      </w:tr>
    </w:tbl>
    <w:p w14:paraId="3AAC968C"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Table 4: Estimated Costs and Returns</w:t>
      </w:r>
    </w:p>
    <w:p w14:paraId="0A184285"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(Source: Self-developed)</w:t>
      </w:r>
    </w:p>
    <w:p w14:paraId="5FBC9619" w14:textId="77777777" w:rsidR="007745E9" w:rsidRPr="00B2211C" w:rsidRDefault="00DD163F" w:rsidP="00461A87">
      <w:pPr>
        <w:rPr>
          <w:rFonts w:eastAsia="Times New Roman" w:cs="Times New Roman"/>
          <w:szCs w:val="24"/>
        </w:rPr>
      </w:pPr>
      <w:r w:rsidRPr="00B2211C">
        <w:rPr>
          <w:rFonts w:eastAsia="Times New Roman" w:cs="Times New Roman"/>
          <w:b/>
          <w:szCs w:val="24"/>
        </w:rPr>
        <w:t>Total Investment:</w:t>
      </w:r>
      <w:r w:rsidRPr="00B2211C">
        <w:rPr>
          <w:rFonts w:eastAsia="Times New Roman" w:cs="Times New Roman"/>
          <w:szCs w:val="24"/>
        </w:rPr>
        <w:t xml:space="preserve"> ~£2.16 million (spread over 2–3 years)</w:t>
      </w:r>
    </w:p>
    <w:p w14:paraId="60D7163F" w14:textId="77777777" w:rsidR="007745E9" w:rsidRPr="00B2211C" w:rsidRDefault="00DD163F" w:rsidP="00461A87">
      <w:pPr>
        <w:rPr>
          <w:rFonts w:eastAsia="Times New Roman" w:cs="Times New Roman"/>
          <w:szCs w:val="24"/>
        </w:rPr>
      </w:pPr>
      <w:r w:rsidRPr="00B2211C">
        <w:rPr>
          <w:rFonts w:eastAsia="Times New Roman" w:cs="Times New Roman"/>
          <w:b/>
          <w:szCs w:val="24"/>
        </w:rPr>
        <w:lastRenderedPageBreak/>
        <w:t xml:space="preserve">Total Potential Annual Savings: </w:t>
      </w:r>
      <w:r w:rsidRPr="00B2211C">
        <w:rPr>
          <w:rFonts w:eastAsia="Times New Roman" w:cs="Times New Roman"/>
          <w:szCs w:val="24"/>
        </w:rPr>
        <w:t>~£600,000–£730,000</w:t>
      </w:r>
    </w:p>
    <w:p w14:paraId="367D4E92"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Potential Benefits</w:t>
      </w:r>
    </w:p>
    <w:p w14:paraId="003C0F29"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Operational Benefits</w:t>
      </w:r>
    </w:p>
    <w:p w14:paraId="1B1E3C63" w14:textId="77777777" w:rsidR="007745E9" w:rsidRPr="00B2211C" w:rsidRDefault="00DD163F" w:rsidP="00461A87">
      <w:pPr>
        <w:numPr>
          <w:ilvl w:val="0"/>
          <w:numId w:val="16"/>
        </w:numPr>
        <w:jc w:val="both"/>
        <w:rPr>
          <w:rFonts w:eastAsia="Times New Roman" w:cs="Times New Roman"/>
          <w:szCs w:val="24"/>
        </w:rPr>
      </w:pPr>
      <w:r w:rsidRPr="00B2211C">
        <w:rPr>
          <w:rFonts w:eastAsia="Times New Roman" w:cs="Times New Roman"/>
          <w:szCs w:val="24"/>
        </w:rPr>
        <w:t>It is decreasing dependency based on the volatile energy markets.</w:t>
      </w:r>
    </w:p>
    <w:p w14:paraId="71FF670C" w14:textId="77777777" w:rsidR="007745E9" w:rsidRPr="00B2211C" w:rsidRDefault="00DD163F" w:rsidP="00461A87">
      <w:pPr>
        <w:numPr>
          <w:ilvl w:val="0"/>
          <w:numId w:val="16"/>
        </w:numPr>
        <w:jc w:val="both"/>
        <w:rPr>
          <w:rFonts w:eastAsia="Times New Roman" w:cs="Times New Roman"/>
          <w:szCs w:val="24"/>
        </w:rPr>
      </w:pPr>
      <w:r w:rsidRPr="00B2211C">
        <w:rPr>
          <w:rFonts w:eastAsia="Times New Roman" w:cs="Times New Roman"/>
          <w:szCs w:val="24"/>
        </w:rPr>
        <w:t>Predictable budgeting is focused on the fixed contracts as well as lower usage (Ziliani and Ieva, 2025).</w:t>
      </w:r>
    </w:p>
    <w:p w14:paraId="6E2131B7" w14:textId="77777777" w:rsidR="007745E9" w:rsidRPr="00B2211C" w:rsidRDefault="00DD163F" w:rsidP="00461A87">
      <w:pPr>
        <w:numPr>
          <w:ilvl w:val="0"/>
          <w:numId w:val="16"/>
        </w:numPr>
        <w:jc w:val="both"/>
        <w:rPr>
          <w:rFonts w:eastAsia="Times New Roman" w:cs="Times New Roman"/>
          <w:szCs w:val="24"/>
        </w:rPr>
      </w:pPr>
      <w:r w:rsidRPr="00B2211C">
        <w:rPr>
          <w:rFonts w:eastAsia="Times New Roman" w:cs="Times New Roman"/>
          <w:szCs w:val="24"/>
        </w:rPr>
        <w:t>It is reducing maintenance costs based on the modernised systems.</w:t>
      </w:r>
    </w:p>
    <w:p w14:paraId="0A7D2B26"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Environmental Benefits</w:t>
      </w:r>
    </w:p>
    <w:p w14:paraId="7EED1968" w14:textId="77777777" w:rsidR="007745E9" w:rsidRPr="00B2211C" w:rsidRDefault="00DD163F" w:rsidP="00461A87">
      <w:pPr>
        <w:numPr>
          <w:ilvl w:val="0"/>
          <w:numId w:val="11"/>
        </w:numPr>
        <w:jc w:val="both"/>
        <w:rPr>
          <w:rFonts w:eastAsia="Times New Roman" w:cs="Times New Roman"/>
          <w:szCs w:val="24"/>
        </w:rPr>
      </w:pPr>
      <w:r w:rsidRPr="00B2211C">
        <w:rPr>
          <w:rFonts w:eastAsia="Times New Roman" w:cs="Times New Roman"/>
          <w:szCs w:val="24"/>
        </w:rPr>
        <w:t xml:space="preserve">Lower carbon footprint is collaborating with </w:t>
      </w:r>
      <w:r w:rsidRPr="00B2211C">
        <w:rPr>
          <w:rFonts w:eastAsia="Times New Roman" w:cs="Times New Roman"/>
          <w:i/>
          <w:szCs w:val="24"/>
        </w:rPr>
        <w:t>Marriott’s Serve 360 Plan</w:t>
      </w:r>
      <w:r w:rsidRPr="00B2211C">
        <w:rPr>
          <w:rFonts w:eastAsia="Times New Roman" w:cs="Times New Roman"/>
          <w:szCs w:val="24"/>
        </w:rPr>
        <w:t>.</w:t>
      </w:r>
    </w:p>
    <w:p w14:paraId="68F4AB5B" w14:textId="77777777" w:rsidR="007745E9" w:rsidRPr="00B2211C" w:rsidRDefault="00DD163F" w:rsidP="00461A87">
      <w:pPr>
        <w:numPr>
          <w:ilvl w:val="0"/>
          <w:numId w:val="11"/>
        </w:numPr>
        <w:jc w:val="both"/>
        <w:rPr>
          <w:rFonts w:eastAsia="Times New Roman" w:cs="Times New Roman"/>
          <w:szCs w:val="24"/>
        </w:rPr>
      </w:pPr>
      <w:r w:rsidRPr="00B2211C">
        <w:rPr>
          <w:rFonts w:eastAsia="Times New Roman" w:cs="Times New Roman"/>
          <w:szCs w:val="24"/>
        </w:rPr>
        <w:t>It is developing green credentials, appealing to eco-conscious travellers.</w:t>
      </w:r>
    </w:p>
    <w:p w14:paraId="0D5EB693"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Reputational Benefits</w:t>
      </w:r>
    </w:p>
    <w:p w14:paraId="058EEA31" w14:textId="77777777" w:rsidR="007745E9" w:rsidRPr="00B2211C" w:rsidRDefault="00DD163F" w:rsidP="00461A87">
      <w:pPr>
        <w:numPr>
          <w:ilvl w:val="0"/>
          <w:numId w:val="21"/>
        </w:numPr>
        <w:jc w:val="both"/>
        <w:rPr>
          <w:rFonts w:eastAsia="Times New Roman" w:cs="Times New Roman"/>
          <w:szCs w:val="24"/>
        </w:rPr>
      </w:pPr>
      <w:r w:rsidRPr="00B2211C">
        <w:rPr>
          <w:rFonts w:eastAsia="Times New Roman" w:cs="Times New Roman"/>
          <w:szCs w:val="24"/>
        </w:rPr>
        <w:t>Strengthened public perception as a sustainable heritage property.</w:t>
      </w:r>
    </w:p>
    <w:p w14:paraId="56BB0389" w14:textId="77777777" w:rsidR="007745E9" w:rsidRPr="00B2211C" w:rsidRDefault="00DD163F" w:rsidP="00461A87">
      <w:pPr>
        <w:numPr>
          <w:ilvl w:val="0"/>
          <w:numId w:val="21"/>
        </w:numPr>
        <w:jc w:val="both"/>
        <w:rPr>
          <w:rFonts w:eastAsia="Times New Roman" w:cs="Times New Roman"/>
          <w:szCs w:val="24"/>
        </w:rPr>
      </w:pPr>
      <w:r w:rsidRPr="00B2211C">
        <w:rPr>
          <w:rFonts w:eastAsia="Times New Roman" w:cs="Times New Roman"/>
          <w:szCs w:val="24"/>
        </w:rPr>
        <w:t xml:space="preserve">Positive press coverage as well as awards eligibility, such as </w:t>
      </w:r>
      <w:r w:rsidRPr="00B2211C">
        <w:rPr>
          <w:rFonts w:eastAsia="Times New Roman" w:cs="Times New Roman"/>
          <w:i/>
          <w:szCs w:val="24"/>
        </w:rPr>
        <w:t>Green Tourism Gold</w:t>
      </w:r>
      <w:r w:rsidRPr="00B2211C">
        <w:rPr>
          <w:rFonts w:eastAsia="Times New Roman" w:cs="Times New Roman"/>
          <w:szCs w:val="24"/>
        </w:rPr>
        <w:t xml:space="preserve"> (Raturi, 2025).</w:t>
      </w:r>
    </w:p>
    <w:p w14:paraId="5F837F47"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Staff Benefits</w:t>
      </w:r>
    </w:p>
    <w:p w14:paraId="52B69ED5" w14:textId="77777777" w:rsidR="007745E9" w:rsidRPr="00B2211C" w:rsidRDefault="00DD163F" w:rsidP="00461A87">
      <w:pPr>
        <w:numPr>
          <w:ilvl w:val="0"/>
          <w:numId w:val="33"/>
        </w:numPr>
        <w:jc w:val="both"/>
        <w:rPr>
          <w:rFonts w:eastAsia="Times New Roman" w:cs="Times New Roman"/>
          <w:szCs w:val="24"/>
        </w:rPr>
      </w:pPr>
      <w:r w:rsidRPr="00B2211C">
        <w:rPr>
          <w:rFonts w:eastAsia="Times New Roman" w:cs="Times New Roman"/>
          <w:szCs w:val="24"/>
        </w:rPr>
        <w:t>It is developed that engagement and morale are focused on recognition to training.</w:t>
      </w:r>
    </w:p>
    <w:p w14:paraId="42F83BA1" w14:textId="77777777" w:rsidR="007745E9" w:rsidRPr="00B2211C" w:rsidRDefault="00DD163F" w:rsidP="00461A87">
      <w:pPr>
        <w:numPr>
          <w:ilvl w:val="0"/>
          <w:numId w:val="33"/>
        </w:numPr>
        <w:jc w:val="both"/>
        <w:rPr>
          <w:rFonts w:eastAsia="Times New Roman" w:cs="Times New Roman"/>
          <w:szCs w:val="24"/>
        </w:rPr>
      </w:pPr>
      <w:r w:rsidRPr="00B2211C">
        <w:rPr>
          <w:rFonts w:eastAsia="Times New Roman" w:cs="Times New Roman"/>
          <w:szCs w:val="24"/>
        </w:rPr>
        <w:t>The development of green skills is improving employee retention.</w:t>
      </w:r>
    </w:p>
    <w:p w14:paraId="481458B1"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Customer Benefits</w:t>
      </w:r>
    </w:p>
    <w:p w14:paraId="4F9B69E6" w14:textId="77777777" w:rsidR="007745E9" w:rsidRPr="00B2211C" w:rsidRDefault="00DD163F" w:rsidP="00461A87">
      <w:pPr>
        <w:numPr>
          <w:ilvl w:val="0"/>
          <w:numId w:val="1"/>
        </w:numPr>
        <w:jc w:val="both"/>
        <w:rPr>
          <w:rFonts w:eastAsia="Times New Roman" w:cs="Times New Roman"/>
          <w:szCs w:val="24"/>
        </w:rPr>
      </w:pPr>
      <w:r w:rsidRPr="00B2211C">
        <w:rPr>
          <w:rFonts w:eastAsia="Times New Roman" w:cs="Times New Roman"/>
          <w:szCs w:val="24"/>
        </w:rPr>
        <w:t>It is a developed guest experience with smart controls as well as green recognition.</w:t>
      </w:r>
    </w:p>
    <w:p w14:paraId="183A701A" w14:textId="77777777" w:rsidR="007745E9" w:rsidRPr="00B2211C" w:rsidRDefault="00DD163F" w:rsidP="00461A87">
      <w:pPr>
        <w:numPr>
          <w:ilvl w:val="0"/>
          <w:numId w:val="1"/>
        </w:numPr>
        <w:jc w:val="both"/>
        <w:rPr>
          <w:rFonts w:eastAsia="Times New Roman" w:cs="Times New Roman"/>
          <w:szCs w:val="24"/>
        </w:rPr>
      </w:pPr>
      <w:r w:rsidRPr="00B2211C">
        <w:rPr>
          <w:rFonts w:eastAsia="Times New Roman" w:cs="Times New Roman"/>
          <w:szCs w:val="24"/>
        </w:rPr>
        <w:t>Loyalty programmes are focused on sustainability and encourage repeat business (Hudson, 2025).</w:t>
      </w:r>
    </w:p>
    <w:p w14:paraId="14EB5D3B"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Monitoring and Evaluation Framework</w:t>
      </w:r>
    </w:p>
    <w:p w14:paraId="2464545C" w14:textId="77777777" w:rsidR="007745E9" w:rsidRPr="00B2211C" w:rsidRDefault="007745E9" w:rsidP="00461A87">
      <w:pPr>
        <w:jc w:val="both"/>
        <w:rPr>
          <w:rFonts w:eastAsia="Times New Roman" w:cs="Times New Roman"/>
          <w:b/>
          <w:szCs w:val="24"/>
        </w:rPr>
      </w:pPr>
    </w:p>
    <w:tbl>
      <w:tblPr>
        <w:tblStyle w:val="Table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745E9" w:rsidRPr="00B2211C" w14:paraId="25649B23" w14:textId="77777777">
        <w:trPr>
          <w:cantSplit/>
          <w:tblHeader/>
        </w:trPr>
        <w:tc>
          <w:tcPr>
            <w:tcW w:w="3120" w:type="dxa"/>
            <w:shd w:val="clear" w:color="auto" w:fill="auto"/>
            <w:tcMar>
              <w:top w:w="100" w:type="dxa"/>
              <w:left w:w="100" w:type="dxa"/>
              <w:bottom w:w="100" w:type="dxa"/>
              <w:right w:w="100" w:type="dxa"/>
            </w:tcMar>
          </w:tcPr>
          <w:p w14:paraId="3805228B"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lastRenderedPageBreak/>
              <w:t>Metric</w:t>
            </w:r>
          </w:p>
        </w:tc>
        <w:tc>
          <w:tcPr>
            <w:tcW w:w="3120" w:type="dxa"/>
            <w:shd w:val="clear" w:color="auto" w:fill="auto"/>
            <w:tcMar>
              <w:top w:w="100" w:type="dxa"/>
              <w:left w:w="100" w:type="dxa"/>
              <w:bottom w:w="100" w:type="dxa"/>
              <w:right w:w="100" w:type="dxa"/>
            </w:tcMar>
          </w:tcPr>
          <w:p w14:paraId="380AEF29"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Measurement Tool</w:t>
            </w:r>
            <w:r w:rsidRPr="00B2211C">
              <w:rPr>
                <w:rFonts w:eastAsia="Times New Roman" w:cs="Times New Roman"/>
                <w:b/>
                <w:szCs w:val="24"/>
              </w:rPr>
              <w:tab/>
            </w:r>
          </w:p>
        </w:tc>
        <w:tc>
          <w:tcPr>
            <w:tcW w:w="3120" w:type="dxa"/>
            <w:shd w:val="clear" w:color="auto" w:fill="auto"/>
            <w:tcMar>
              <w:top w:w="100" w:type="dxa"/>
              <w:left w:w="100" w:type="dxa"/>
              <w:bottom w:w="100" w:type="dxa"/>
              <w:right w:w="100" w:type="dxa"/>
            </w:tcMar>
          </w:tcPr>
          <w:p w14:paraId="1685C85F"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Frequency</w:t>
            </w:r>
          </w:p>
        </w:tc>
      </w:tr>
      <w:tr w:rsidR="007745E9" w:rsidRPr="00B2211C" w14:paraId="6D1E84BE" w14:textId="77777777">
        <w:trPr>
          <w:cantSplit/>
          <w:tblHeader/>
        </w:trPr>
        <w:tc>
          <w:tcPr>
            <w:tcW w:w="3120" w:type="dxa"/>
            <w:shd w:val="clear" w:color="auto" w:fill="auto"/>
            <w:tcMar>
              <w:top w:w="100" w:type="dxa"/>
              <w:left w:w="100" w:type="dxa"/>
              <w:bottom w:w="100" w:type="dxa"/>
              <w:right w:w="100" w:type="dxa"/>
            </w:tcMar>
          </w:tcPr>
          <w:p w14:paraId="1FA05127"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Energy Use Reduction</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64560AED"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Utility bills, BMS</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53EE040F"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Monthly</w:t>
            </w:r>
          </w:p>
        </w:tc>
      </w:tr>
      <w:tr w:rsidR="007745E9" w:rsidRPr="00B2211C" w14:paraId="4BBE860C" w14:textId="77777777">
        <w:trPr>
          <w:cantSplit/>
          <w:tblHeader/>
        </w:trPr>
        <w:tc>
          <w:tcPr>
            <w:tcW w:w="3120" w:type="dxa"/>
            <w:shd w:val="clear" w:color="auto" w:fill="auto"/>
            <w:tcMar>
              <w:top w:w="100" w:type="dxa"/>
              <w:left w:w="100" w:type="dxa"/>
              <w:bottom w:w="100" w:type="dxa"/>
              <w:right w:w="100" w:type="dxa"/>
            </w:tcMar>
          </w:tcPr>
          <w:p w14:paraId="46D7704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Guest Participation</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51FBF670"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PMS Data</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4A2A16EE"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Monthly</w:t>
            </w:r>
          </w:p>
        </w:tc>
      </w:tr>
      <w:tr w:rsidR="007745E9" w:rsidRPr="00B2211C" w14:paraId="10D3BB04" w14:textId="77777777">
        <w:trPr>
          <w:cantSplit/>
          <w:tblHeader/>
        </w:trPr>
        <w:tc>
          <w:tcPr>
            <w:tcW w:w="3120" w:type="dxa"/>
            <w:shd w:val="clear" w:color="auto" w:fill="auto"/>
            <w:tcMar>
              <w:top w:w="100" w:type="dxa"/>
              <w:left w:w="100" w:type="dxa"/>
              <w:bottom w:w="100" w:type="dxa"/>
              <w:right w:w="100" w:type="dxa"/>
            </w:tcMar>
          </w:tcPr>
          <w:p w14:paraId="67294F2D"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Staff Engagement</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36CF62DD"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Feedbacks</w:t>
            </w:r>
          </w:p>
        </w:tc>
        <w:tc>
          <w:tcPr>
            <w:tcW w:w="3120" w:type="dxa"/>
            <w:shd w:val="clear" w:color="auto" w:fill="auto"/>
            <w:tcMar>
              <w:top w:w="100" w:type="dxa"/>
              <w:left w:w="100" w:type="dxa"/>
              <w:bottom w:w="100" w:type="dxa"/>
              <w:right w:w="100" w:type="dxa"/>
            </w:tcMar>
          </w:tcPr>
          <w:p w14:paraId="4D10993E"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Quarterly</w:t>
            </w:r>
          </w:p>
        </w:tc>
      </w:tr>
      <w:tr w:rsidR="007745E9" w:rsidRPr="00B2211C" w14:paraId="30B590E5" w14:textId="77777777">
        <w:trPr>
          <w:cantSplit/>
          <w:tblHeader/>
        </w:trPr>
        <w:tc>
          <w:tcPr>
            <w:tcW w:w="3120" w:type="dxa"/>
            <w:shd w:val="clear" w:color="auto" w:fill="auto"/>
            <w:tcMar>
              <w:top w:w="100" w:type="dxa"/>
              <w:left w:w="100" w:type="dxa"/>
              <w:bottom w:w="100" w:type="dxa"/>
              <w:right w:w="100" w:type="dxa"/>
            </w:tcMar>
          </w:tcPr>
          <w:p w14:paraId="25BA339D"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Financial Savings</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735AD97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Budget Reports</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7F5666E0"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Quarterly</w:t>
            </w:r>
          </w:p>
        </w:tc>
      </w:tr>
      <w:tr w:rsidR="007745E9" w:rsidRPr="00B2211C" w14:paraId="04778E69" w14:textId="77777777">
        <w:trPr>
          <w:cantSplit/>
          <w:tblHeader/>
        </w:trPr>
        <w:tc>
          <w:tcPr>
            <w:tcW w:w="3120" w:type="dxa"/>
            <w:shd w:val="clear" w:color="auto" w:fill="auto"/>
            <w:tcMar>
              <w:top w:w="100" w:type="dxa"/>
              <w:left w:w="100" w:type="dxa"/>
              <w:bottom w:w="100" w:type="dxa"/>
              <w:right w:w="100" w:type="dxa"/>
            </w:tcMar>
          </w:tcPr>
          <w:p w14:paraId="40845BD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Carbon Emissions</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30C4E961"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Carbon Calculator</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0D39FBA5"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Annually</w:t>
            </w:r>
          </w:p>
        </w:tc>
      </w:tr>
      <w:tr w:rsidR="007745E9" w:rsidRPr="00B2211C" w14:paraId="59527CCB" w14:textId="77777777">
        <w:trPr>
          <w:cantSplit/>
          <w:tblHeader/>
        </w:trPr>
        <w:tc>
          <w:tcPr>
            <w:tcW w:w="3120" w:type="dxa"/>
            <w:shd w:val="clear" w:color="auto" w:fill="auto"/>
            <w:tcMar>
              <w:top w:w="100" w:type="dxa"/>
              <w:left w:w="100" w:type="dxa"/>
              <w:bottom w:w="100" w:type="dxa"/>
              <w:right w:w="100" w:type="dxa"/>
            </w:tcMar>
          </w:tcPr>
          <w:p w14:paraId="799EFEB9"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ROI Progress</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639F0254"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Investment Appraisal</w:t>
            </w:r>
            <w:r w:rsidRPr="00B2211C">
              <w:rPr>
                <w:rFonts w:eastAsia="Times New Roman" w:cs="Times New Roman"/>
                <w:szCs w:val="24"/>
              </w:rPr>
              <w:tab/>
            </w:r>
          </w:p>
        </w:tc>
        <w:tc>
          <w:tcPr>
            <w:tcW w:w="3120" w:type="dxa"/>
            <w:shd w:val="clear" w:color="auto" w:fill="auto"/>
            <w:tcMar>
              <w:top w:w="100" w:type="dxa"/>
              <w:left w:w="100" w:type="dxa"/>
              <w:bottom w:w="100" w:type="dxa"/>
              <w:right w:w="100" w:type="dxa"/>
            </w:tcMar>
          </w:tcPr>
          <w:p w14:paraId="66294BE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Annually</w:t>
            </w:r>
          </w:p>
        </w:tc>
      </w:tr>
    </w:tbl>
    <w:p w14:paraId="4C8A4C57"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Table 5: Monitoring and Evaluation Framework</w:t>
      </w:r>
    </w:p>
    <w:p w14:paraId="709F8237"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(Source: Self-developed)</w:t>
      </w:r>
    </w:p>
    <w:p w14:paraId="3253654D"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Change Management Practices and Procedures</w:t>
      </w:r>
    </w:p>
    <w:p w14:paraId="44621569"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It was observed that ensuring the successful implementation of energy efficiency initiatives for </w:t>
      </w:r>
      <w:r w:rsidRPr="00B2211C">
        <w:rPr>
          <w:rFonts w:eastAsia="Times New Roman" w:cs="Times New Roman"/>
          <w:i/>
          <w:szCs w:val="24"/>
        </w:rPr>
        <w:t>Marriott London County Hall,</w:t>
      </w:r>
      <w:r w:rsidRPr="00B2211C">
        <w:rPr>
          <w:rFonts w:eastAsia="Times New Roman" w:cs="Times New Roman"/>
          <w:szCs w:val="24"/>
        </w:rPr>
        <w:t xml:space="preserve"> based on a structured change management approach, is required (Li and Liu, 2025). The proposed recommendations will affect infrastructure, staff behaviour, as well as guest engagement; applying recognised theories will help decrease resistance, build commitment, to ensure long-term success.</w:t>
      </w:r>
    </w:p>
    <w:p w14:paraId="01DC4034"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1. Lewin’s Change Management Model (Unfreeze – Change – Refreeze)</w:t>
      </w:r>
    </w:p>
    <w:p w14:paraId="7997C34F"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This model has been providing a foundational framework for managing organisational transitions.</w:t>
      </w:r>
    </w:p>
    <w:p w14:paraId="4E2CA549" w14:textId="77777777" w:rsidR="007745E9" w:rsidRPr="00B2211C" w:rsidRDefault="00DD163F" w:rsidP="00461A87">
      <w:pPr>
        <w:numPr>
          <w:ilvl w:val="0"/>
          <w:numId w:val="25"/>
        </w:numPr>
        <w:jc w:val="both"/>
        <w:rPr>
          <w:rFonts w:eastAsia="Times New Roman" w:cs="Times New Roman"/>
          <w:szCs w:val="24"/>
        </w:rPr>
      </w:pPr>
      <w:r w:rsidRPr="00B2211C">
        <w:rPr>
          <w:rFonts w:eastAsia="Times New Roman" w:cs="Times New Roman"/>
          <w:b/>
          <w:szCs w:val="24"/>
        </w:rPr>
        <w:t>Unfreeze</w:t>
      </w:r>
      <w:r w:rsidRPr="00B2211C">
        <w:rPr>
          <w:rFonts w:eastAsia="Times New Roman" w:cs="Times New Roman"/>
          <w:szCs w:val="24"/>
        </w:rPr>
        <w:t xml:space="preserve">: Marriott first addressed by the needs for change by communicating the financial as well as environmental costs based on high energy consumption. It is stated that hosting awareness sessions by sharing baseline data for staff will help </w:t>
      </w:r>
      <w:r w:rsidR="00502093" w:rsidRPr="00B2211C">
        <w:rPr>
          <w:rFonts w:eastAsia="Times New Roman" w:cs="Times New Roman"/>
          <w:szCs w:val="24"/>
        </w:rPr>
        <w:t>building sense</w:t>
      </w:r>
      <w:r w:rsidRPr="00B2211C">
        <w:rPr>
          <w:rFonts w:eastAsia="Times New Roman" w:cs="Times New Roman"/>
          <w:szCs w:val="24"/>
        </w:rPr>
        <w:t xml:space="preserve"> of urgency (Bauer, 2025).</w:t>
      </w:r>
    </w:p>
    <w:p w14:paraId="21CDCE8B" w14:textId="77777777" w:rsidR="007745E9" w:rsidRPr="00B2211C" w:rsidRDefault="00DD163F" w:rsidP="00461A87">
      <w:pPr>
        <w:numPr>
          <w:ilvl w:val="0"/>
          <w:numId w:val="25"/>
        </w:numPr>
        <w:jc w:val="both"/>
        <w:rPr>
          <w:rFonts w:eastAsia="Times New Roman" w:cs="Times New Roman"/>
          <w:szCs w:val="24"/>
        </w:rPr>
      </w:pPr>
      <w:r w:rsidRPr="00B2211C">
        <w:rPr>
          <w:rFonts w:eastAsia="Times New Roman" w:cs="Times New Roman"/>
          <w:b/>
          <w:szCs w:val="24"/>
        </w:rPr>
        <w:lastRenderedPageBreak/>
        <w:t>Change</w:t>
      </w:r>
      <w:r w:rsidRPr="00B2211C">
        <w:rPr>
          <w:rFonts w:eastAsia="Times New Roman" w:cs="Times New Roman"/>
          <w:szCs w:val="24"/>
        </w:rPr>
        <w:t>: During this phase, retrofitting infrastructure, installing smart systems, as well as launching green guest programmes, should be rolled out. It is considered that Staff training, pilot testing, by stakeholder involvement with effective buy-in.</w:t>
      </w:r>
    </w:p>
    <w:p w14:paraId="6F7968FC" w14:textId="77777777" w:rsidR="007745E9" w:rsidRPr="00B2211C" w:rsidRDefault="00DD163F" w:rsidP="00461A87">
      <w:pPr>
        <w:numPr>
          <w:ilvl w:val="0"/>
          <w:numId w:val="25"/>
        </w:numPr>
        <w:jc w:val="both"/>
        <w:rPr>
          <w:rFonts w:eastAsia="Times New Roman" w:cs="Times New Roman"/>
          <w:szCs w:val="24"/>
        </w:rPr>
      </w:pPr>
      <w:r w:rsidRPr="00B2211C">
        <w:rPr>
          <w:rFonts w:eastAsia="Times New Roman" w:cs="Times New Roman"/>
          <w:b/>
          <w:szCs w:val="24"/>
        </w:rPr>
        <w:t>Refreeze</w:t>
      </w:r>
      <w:r w:rsidRPr="00B2211C">
        <w:rPr>
          <w:rFonts w:eastAsia="Times New Roman" w:cs="Times New Roman"/>
          <w:szCs w:val="24"/>
        </w:rPr>
        <w:t>: After changes are adapted, new practices should be standardised. This involves updating operational manuals, maintaining systems, by celebrating early successes to embed based on the new culture (Othman, 2025).</w:t>
      </w:r>
    </w:p>
    <w:p w14:paraId="1FBD781F" w14:textId="77777777" w:rsidR="007745E9" w:rsidRPr="00B2211C" w:rsidRDefault="00DD163F" w:rsidP="00461A87">
      <w:pPr>
        <w:jc w:val="center"/>
        <w:rPr>
          <w:rFonts w:eastAsia="Times New Roman" w:cs="Times New Roman"/>
          <w:szCs w:val="24"/>
        </w:rPr>
      </w:pPr>
      <w:r w:rsidRPr="00B2211C">
        <w:rPr>
          <w:rFonts w:eastAsia="Times New Roman" w:cs="Times New Roman"/>
          <w:noProof/>
          <w:szCs w:val="24"/>
          <w:lang w:bidi="bn-BD"/>
        </w:rPr>
        <w:drawing>
          <wp:inline distT="114300" distB="114300" distL="114300" distR="114300" wp14:anchorId="7B93C054" wp14:editId="6E46572A">
            <wp:extent cx="3188322" cy="3090863"/>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rcRect l="14102" t="24608" r="12500" b="12233"/>
                    <a:stretch>
                      <a:fillRect/>
                    </a:stretch>
                  </pic:blipFill>
                  <pic:spPr>
                    <a:xfrm>
                      <a:off x="0" y="0"/>
                      <a:ext cx="3188322" cy="3090863"/>
                    </a:xfrm>
                    <a:prstGeom prst="rect">
                      <a:avLst/>
                    </a:prstGeom>
                    <a:ln w="25400">
                      <a:solidFill>
                        <a:srgbClr val="000000"/>
                      </a:solidFill>
                      <a:prstDash val="solid"/>
                    </a:ln>
                  </pic:spPr>
                </pic:pic>
              </a:graphicData>
            </a:graphic>
          </wp:inline>
        </w:drawing>
      </w:r>
    </w:p>
    <w:p w14:paraId="42B5F861"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Figure 1: Lewin’s Change Management Model</w:t>
      </w:r>
    </w:p>
    <w:p w14:paraId="5A068724"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 xml:space="preserve">(Source: Bauer,  2025) </w:t>
      </w:r>
    </w:p>
    <w:p w14:paraId="477B4B1E" w14:textId="77777777" w:rsidR="007745E9" w:rsidRPr="00B2211C" w:rsidRDefault="00DD163F" w:rsidP="00461A87">
      <w:pPr>
        <w:jc w:val="both"/>
        <w:rPr>
          <w:rFonts w:eastAsia="Times New Roman" w:cs="Times New Roman"/>
          <w:b/>
          <w:i/>
          <w:szCs w:val="24"/>
        </w:rPr>
      </w:pPr>
      <w:r w:rsidRPr="00B2211C">
        <w:rPr>
          <w:rFonts w:eastAsia="Times New Roman" w:cs="Times New Roman"/>
          <w:b/>
          <w:i/>
          <w:szCs w:val="24"/>
        </w:rPr>
        <w:t>2. Kotter’s 8-Step Change Model</w:t>
      </w:r>
    </w:p>
    <w:p w14:paraId="5FFD8BF9"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It is stated that using </w:t>
      </w:r>
      <w:r w:rsidRPr="00B2211C">
        <w:rPr>
          <w:rFonts w:eastAsia="Times New Roman" w:cs="Times New Roman"/>
          <w:i/>
          <w:szCs w:val="24"/>
        </w:rPr>
        <w:t xml:space="preserve">Kotter’s model </w:t>
      </w:r>
      <w:r w:rsidRPr="00B2211C">
        <w:rPr>
          <w:rFonts w:eastAsia="Times New Roman" w:cs="Times New Roman"/>
          <w:szCs w:val="24"/>
        </w:rPr>
        <w:t>offers a detailed, step-by-step roadmap based on transformational change.</w:t>
      </w:r>
    </w:p>
    <w:p w14:paraId="1CEFB3A3" w14:textId="77777777" w:rsidR="007745E9" w:rsidRPr="00B2211C" w:rsidRDefault="00DD163F" w:rsidP="00461A87">
      <w:pPr>
        <w:numPr>
          <w:ilvl w:val="0"/>
          <w:numId w:val="12"/>
        </w:numPr>
        <w:jc w:val="both"/>
        <w:rPr>
          <w:rFonts w:eastAsia="Times New Roman" w:cs="Times New Roman"/>
          <w:szCs w:val="24"/>
        </w:rPr>
      </w:pPr>
      <w:r w:rsidRPr="00B2211C">
        <w:rPr>
          <w:rFonts w:eastAsia="Times New Roman" w:cs="Times New Roman"/>
          <w:b/>
          <w:szCs w:val="24"/>
        </w:rPr>
        <w:t>Create urgency</w:t>
      </w:r>
      <w:r w:rsidRPr="00B2211C">
        <w:rPr>
          <w:rFonts w:eastAsia="Times New Roman" w:cs="Times New Roman"/>
          <w:szCs w:val="24"/>
        </w:rPr>
        <w:t xml:space="preserve"> – It is stated that using rising energy costs as well as sustainability KPIs by rally stakeholders.</w:t>
      </w:r>
    </w:p>
    <w:p w14:paraId="32CB486F" w14:textId="77777777" w:rsidR="007745E9" w:rsidRPr="00B2211C" w:rsidRDefault="00502093" w:rsidP="00461A87">
      <w:pPr>
        <w:numPr>
          <w:ilvl w:val="0"/>
          <w:numId w:val="12"/>
        </w:numPr>
        <w:jc w:val="both"/>
        <w:rPr>
          <w:rFonts w:eastAsia="Times New Roman" w:cs="Times New Roman"/>
          <w:szCs w:val="24"/>
        </w:rPr>
      </w:pPr>
      <w:r w:rsidRPr="00B2211C">
        <w:rPr>
          <w:rFonts w:eastAsia="Times New Roman" w:cs="Times New Roman"/>
          <w:b/>
          <w:szCs w:val="24"/>
        </w:rPr>
        <w:lastRenderedPageBreak/>
        <w:t>Forms a powerful coalition</w:t>
      </w:r>
      <w:r w:rsidR="00DD163F" w:rsidRPr="00B2211C">
        <w:rPr>
          <w:rFonts w:eastAsia="Times New Roman" w:cs="Times New Roman"/>
          <w:szCs w:val="24"/>
        </w:rPr>
        <w:t xml:space="preserve"> – It is observed that building a cross-functional team including engineers, operations, as well as sustainability </w:t>
      </w:r>
      <w:r w:rsidRPr="00B2211C">
        <w:rPr>
          <w:rFonts w:eastAsia="Times New Roman" w:cs="Times New Roman"/>
          <w:szCs w:val="24"/>
        </w:rPr>
        <w:t>leads (</w:t>
      </w:r>
      <w:r w:rsidR="00DD163F" w:rsidRPr="00B2211C">
        <w:rPr>
          <w:rFonts w:eastAsia="Times New Roman" w:cs="Times New Roman"/>
          <w:szCs w:val="24"/>
        </w:rPr>
        <w:t>Oktavia, 2024).</w:t>
      </w:r>
    </w:p>
    <w:p w14:paraId="3BA6AA75" w14:textId="77777777" w:rsidR="007745E9" w:rsidRPr="00B2211C" w:rsidRDefault="00DD163F" w:rsidP="00461A87">
      <w:pPr>
        <w:numPr>
          <w:ilvl w:val="0"/>
          <w:numId w:val="12"/>
        </w:numPr>
        <w:jc w:val="both"/>
        <w:rPr>
          <w:rFonts w:eastAsia="Times New Roman" w:cs="Times New Roman"/>
          <w:szCs w:val="24"/>
        </w:rPr>
      </w:pPr>
      <w:r w:rsidRPr="00B2211C">
        <w:rPr>
          <w:rFonts w:eastAsia="Times New Roman" w:cs="Times New Roman"/>
          <w:b/>
          <w:szCs w:val="24"/>
        </w:rPr>
        <w:t>Create a vision for change</w:t>
      </w:r>
      <w:r w:rsidRPr="00B2211C">
        <w:rPr>
          <w:rFonts w:eastAsia="Times New Roman" w:cs="Times New Roman"/>
          <w:szCs w:val="24"/>
        </w:rPr>
        <w:t xml:space="preserve"> – It is collaborating with the energy strategy, as </w:t>
      </w:r>
      <w:r w:rsidRPr="00B2211C">
        <w:rPr>
          <w:rFonts w:eastAsia="Times New Roman" w:cs="Times New Roman"/>
          <w:i/>
          <w:szCs w:val="24"/>
        </w:rPr>
        <w:t>Marriott’s Serve 360 Plan</w:t>
      </w:r>
      <w:r w:rsidRPr="00B2211C">
        <w:rPr>
          <w:rFonts w:eastAsia="Times New Roman" w:cs="Times New Roman"/>
          <w:szCs w:val="24"/>
        </w:rPr>
        <w:t>.</w:t>
      </w:r>
    </w:p>
    <w:p w14:paraId="03E62612" w14:textId="77777777" w:rsidR="007745E9" w:rsidRPr="00B2211C" w:rsidRDefault="00DD163F" w:rsidP="00461A87">
      <w:pPr>
        <w:numPr>
          <w:ilvl w:val="0"/>
          <w:numId w:val="12"/>
        </w:numPr>
        <w:jc w:val="both"/>
        <w:rPr>
          <w:rFonts w:eastAsia="Times New Roman" w:cs="Times New Roman"/>
          <w:szCs w:val="24"/>
        </w:rPr>
      </w:pPr>
      <w:r w:rsidRPr="00B2211C">
        <w:rPr>
          <w:rFonts w:eastAsia="Times New Roman" w:cs="Times New Roman"/>
          <w:b/>
          <w:szCs w:val="24"/>
        </w:rPr>
        <w:t>Communicate the vision</w:t>
      </w:r>
      <w:r w:rsidRPr="00B2211C">
        <w:rPr>
          <w:rFonts w:eastAsia="Times New Roman" w:cs="Times New Roman"/>
          <w:szCs w:val="24"/>
        </w:rPr>
        <w:t xml:space="preserve"> – It is observed that by using staff meetings, newsletters, as well as in-room digital systems.</w:t>
      </w:r>
    </w:p>
    <w:p w14:paraId="2F4F32AB" w14:textId="77777777" w:rsidR="007745E9" w:rsidRPr="00B2211C" w:rsidRDefault="00DD163F" w:rsidP="00461A87">
      <w:pPr>
        <w:numPr>
          <w:ilvl w:val="0"/>
          <w:numId w:val="12"/>
        </w:numPr>
        <w:jc w:val="both"/>
        <w:rPr>
          <w:rFonts w:eastAsia="Times New Roman" w:cs="Times New Roman"/>
          <w:szCs w:val="24"/>
        </w:rPr>
      </w:pPr>
      <w:r w:rsidRPr="00B2211C">
        <w:rPr>
          <w:rFonts w:eastAsia="Times New Roman" w:cs="Times New Roman"/>
          <w:b/>
          <w:szCs w:val="24"/>
        </w:rPr>
        <w:t xml:space="preserve">Remove obstacles </w:t>
      </w:r>
      <w:r w:rsidRPr="00B2211C">
        <w:rPr>
          <w:rFonts w:eastAsia="Times New Roman" w:cs="Times New Roman"/>
          <w:szCs w:val="24"/>
        </w:rPr>
        <w:t xml:space="preserve">– It is observed that providing training by allocating budgets decreases resistance (Engmann </w:t>
      </w:r>
      <w:r w:rsidRPr="00B2211C">
        <w:rPr>
          <w:rFonts w:eastAsia="Times New Roman" w:cs="Times New Roman"/>
          <w:i/>
          <w:szCs w:val="24"/>
        </w:rPr>
        <w:t>et al.</w:t>
      </w:r>
      <w:r w:rsidRPr="00B2211C">
        <w:rPr>
          <w:rFonts w:eastAsia="Times New Roman" w:cs="Times New Roman"/>
          <w:szCs w:val="24"/>
        </w:rPr>
        <w:t xml:space="preserve"> 2024).</w:t>
      </w:r>
    </w:p>
    <w:p w14:paraId="0C579175" w14:textId="77777777" w:rsidR="007745E9" w:rsidRPr="00B2211C" w:rsidRDefault="00DD163F" w:rsidP="00461A87">
      <w:pPr>
        <w:numPr>
          <w:ilvl w:val="0"/>
          <w:numId w:val="12"/>
        </w:numPr>
        <w:jc w:val="both"/>
        <w:rPr>
          <w:rFonts w:eastAsia="Times New Roman" w:cs="Times New Roman"/>
          <w:szCs w:val="24"/>
        </w:rPr>
      </w:pPr>
      <w:r w:rsidRPr="00B2211C">
        <w:rPr>
          <w:rFonts w:eastAsia="Times New Roman" w:cs="Times New Roman"/>
          <w:b/>
          <w:szCs w:val="24"/>
        </w:rPr>
        <w:t xml:space="preserve">Create short-term wins </w:t>
      </w:r>
      <w:r w:rsidRPr="00B2211C">
        <w:rPr>
          <w:rFonts w:eastAsia="Times New Roman" w:cs="Times New Roman"/>
          <w:szCs w:val="24"/>
        </w:rPr>
        <w:t>– It is noted that Publicise early energy savings and grant approvals.</w:t>
      </w:r>
    </w:p>
    <w:p w14:paraId="1673E5FC" w14:textId="77777777" w:rsidR="007745E9" w:rsidRPr="00B2211C" w:rsidRDefault="00DD163F" w:rsidP="00461A87">
      <w:pPr>
        <w:numPr>
          <w:ilvl w:val="0"/>
          <w:numId w:val="12"/>
        </w:numPr>
        <w:jc w:val="both"/>
        <w:rPr>
          <w:rFonts w:eastAsia="Times New Roman" w:cs="Times New Roman"/>
          <w:szCs w:val="24"/>
        </w:rPr>
      </w:pPr>
      <w:r w:rsidRPr="00B2211C">
        <w:rPr>
          <w:rFonts w:eastAsia="Times New Roman" w:cs="Times New Roman"/>
          <w:b/>
          <w:szCs w:val="24"/>
        </w:rPr>
        <w:t>Build on the change –</w:t>
      </w:r>
      <w:r w:rsidRPr="00B2211C">
        <w:rPr>
          <w:rFonts w:eastAsia="Times New Roman" w:cs="Times New Roman"/>
          <w:szCs w:val="24"/>
        </w:rPr>
        <w:t xml:space="preserve"> It is using the initial success by justifying further investments.</w:t>
      </w:r>
    </w:p>
    <w:p w14:paraId="774ABC07" w14:textId="77777777" w:rsidR="007745E9" w:rsidRPr="00B2211C" w:rsidRDefault="00DD163F" w:rsidP="00461A87">
      <w:pPr>
        <w:numPr>
          <w:ilvl w:val="0"/>
          <w:numId w:val="12"/>
        </w:numPr>
        <w:jc w:val="both"/>
        <w:rPr>
          <w:rFonts w:eastAsia="Times New Roman" w:cs="Times New Roman"/>
          <w:szCs w:val="24"/>
        </w:rPr>
      </w:pPr>
      <w:r w:rsidRPr="00B2211C">
        <w:rPr>
          <w:rFonts w:eastAsia="Times New Roman" w:cs="Times New Roman"/>
          <w:b/>
          <w:szCs w:val="24"/>
        </w:rPr>
        <w:t>Anchor the changes in culture</w:t>
      </w:r>
      <w:r w:rsidRPr="00B2211C">
        <w:rPr>
          <w:rFonts w:eastAsia="Times New Roman" w:cs="Times New Roman"/>
          <w:szCs w:val="24"/>
        </w:rPr>
        <w:t xml:space="preserve"> –It is observed that integrating energy goals by staff KPIs and appraisals (Carreño, 2024).</w:t>
      </w:r>
    </w:p>
    <w:p w14:paraId="091C3D53" w14:textId="77777777" w:rsidR="007745E9" w:rsidRPr="00B2211C" w:rsidRDefault="00DD163F" w:rsidP="00461A87">
      <w:pPr>
        <w:jc w:val="center"/>
        <w:rPr>
          <w:rFonts w:eastAsia="Times New Roman" w:cs="Times New Roman"/>
          <w:szCs w:val="24"/>
        </w:rPr>
      </w:pPr>
      <w:r w:rsidRPr="00B2211C">
        <w:rPr>
          <w:rFonts w:eastAsia="Times New Roman" w:cs="Times New Roman"/>
          <w:noProof/>
          <w:szCs w:val="24"/>
          <w:lang w:bidi="bn-BD"/>
        </w:rPr>
        <w:drawing>
          <wp:inline distT="114300" distB="114300" distL="114300" distR="114300" wp14:anchorId="1B8AE1D1" wp14:editId="3A05D6A2">
            <wp:extent cx="5943600" cy="3502335"/>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rcRect t="12542" b="8831"/>
                    <a:stretch>
                      <a:fillRect/>
                    </a:stretch>
                  </pic:blipFill>
                  <pic:spPr>
                    <a:xfrm>
                      <a:off x="0" y="0"/>
                      <a:ext cx="5943600" cy="3502335"/>
                    </a:xfrm>
                    <a:prstGeom prst="rect">
                      <a:avLst/>
                    </a:prstGeom>
                    <a:ln w="25400">
                      <a:solidFill>
                        <a:srgbClr val="000000"/>
                      </a:solidFill>
                      <a:prstDash val="solid"/>
                    </a:ln>
                  </pic:spPr>
                </pic:pic>
              </a:graphicData>
            </a:graphic>
          </wp:inline>
        </w:drawing>
      </w:r>
    </w:p>
    <w:p w14:paraId="1B695878"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lastRenderedPageBreak/>
        <w:t>Figure 2: Kotter’s 8-Step Change Model</w:t>
      </w:r>
    </w:p>
    <w:p w14:paraId="3373B9BA"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(Source: Oktavia</w:t>
      </w:r>
      <w:r w:rsidR="00502093" w:rsidRPr="00B2211C">
        <w:rPr>
          <w:rFonts w:eastAsia="Times New Roman" w:cs="Times New Roman"/>
          <w:szCs w:val="24"/>
        </w:rPr>
        <w:t>, 2024</w:t>
      </w:r>
      <w:r w:rsidRPr="00B2211C">
        <w:rPr>
          <w:rFonts w:eastAsia="Times New Roman" w:cs="Times New Roman"/>
          <w:szCs w:val="24"/>
        </w:rPr>
        <w:t>)</w:t>
      </w:r>
    </w:p>
    <w:p w14:paraId="79A8EF01" w14:textId="77777777" w:rsidR="007745E9" w:rsidRPr="00B2211C" w:rsidRDefault="00DD163F" w:rsidP="00461A87">
      <w:pPr>
        <w:jc w:val="both"/>
        <w:rPr>
          <w:rFonts w:eastAsia="Times New Roman" w:cs="Times New Roman"/>
          <w:b/>
          <w:szCs w:val="24"/>
        </w:rPr>
      </w:pPr>
      <w:r w:rsidRPr="00B2211C">
        <w:rPr>
          <w:rFonts w:eastAsia="Times New Roman" w:cs="Times New Roman"/>
          <w:b/>
          <w:szCs w:val="24"/>
        </w:rPr>
        <w:t>3. ADKAR Model (Awareness, Desire, Knowledge, Ability, Reinforcement)</w:t>
      </w:r>
    </w:p>
    <w:p w14:paraId="60E602C8"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This model is effective for managing individual transitions.</w:t>
      </w:r>
    </w:p>
    <w:p w14:paraId="73059196" w14:textId="77777777" w:rsidR="007745E9" w:rsidRPr="00B2211C" w:rsidRDefault="00DD163F" w:rsidP="00461A87">
      <w:pPr>
        <w:numPr>
          <w:ilvl w:val="0"/>
          <w:numId w:val="22"/>
        </w:numPr>
        <w:jc w:val="both"/>
        <w:rPr>
          <w:rFonts w:eastAsia="Times New Roman" w:cs="Times New Roman"/>
          <w:szCs w:val="24"/>
        </w:rPr>
      </w:pPr>
      <w:r w:rsidRPr="00B2211C">
        <w:rPr>
          <w:rFonts w:eastAsia="Times New Roman" w:cs="Times New Roman"/>
          <w:b/>
          <w:szCs w:val="24"/>
        </w:rPr>
        <w:t>Awareness</w:t>
      </w:r>
      <w:r w:rsidRPr="00B2211C">
        <w:rPr>
          <w:rFonts w:eastAsia="Times New Roman" w:cs="Times New Roman"/>
          <w:szCs w:val="24"/>
        </w:rPr>
        <w:t>: It is stated that raising awareness of the impact of energy waste.</w:t>
      </w:r>
    </w:p>
    <w:p w14:paraId="37AF2D04" w14:textId="77777777" w:rsidR="007745E9" w:rsidRPr="00B2211C" w:rsidRDefault="00DD163F" w:rsidP="00461A87">
      <w:pPr>
        <w:numPr>
          <w:ilvl w:val="0"/>
          <w:numId w:val="22"/>
        </w:numPr>
        <w:jc w:val="both"/>
        <w:rPr>
          <w:rFonts w:eastAsia="Times New Roman" w:cs="Times New Roman"/>
          <w:szCs w:val="24"/>
        </w:rPr>
      </w:pPr>
      <w:r w:rsidRPr="00B2211C">
        <w:rPr>
          <w:rFonts w:eastAsia="Times New Roman" w:cs="Times New Roman"/>
          <w:b/>
          <w:szCs w:val="24"/>
        </w:rPr>
        <w:t>Desire</w:t>
      </w:r>
      <w:r w:rsidRPr="00B2211C">
        <w:rPr>
          <w:rFonts w:eastAsia="Times New Roman" w:cs="Times New Roman"/>
          <w:szCs w:val="24"/>
        </w:rPr>
        <w:t>: It is focused on encouraging participation by incentives as well as recognition.</w:t>
      </w:r>
    </w:p>
    <w:p w14:paraId="565EC04D" w14:textId="77777777" w:rsidR="007745E9" w:rsidRPr="00B2211C" w:rsidRDefault="00DD163F" w:rsidP="00461A87">
      <w:pPr>
        <w:numPr>
          <w:ilvl w:val="0"/>
          <w:numId w:val="22"/>
        </w:numPr>
        <w:jc w:val="both"/>
        <w:rPr>
          <w:rFonts w:eastAsia="Times New Roman" w:cs="Times New Roman"/>
          <w:szCs w:val="24"/>
        </w:rPr>
      </w:pPr>
      <w:r w:rsidRPr="00B2211C">
        <w:rPr>
          <w:rFonts w:eastAsia="Times New Roman" w:cs="Times New Roman"/>
          <w:b/>
          <w:szCs w:val="24"/>
        </w:rPr>
        <w:t>Knowledge</w:t>
      </w:r>
      <w:r w:rsidRPr="00B2211C">
        <w:rPr>
          <w:rFonts w:eastAsia="Times New Roman" w:cs="Times New Roman"/>
          <w:szCs w:val="24"/>
        </w:rPr>
        <w:t xml:space="preserve">: It provides comprehensive training on new systems for maintaining sustainability (Voggenreiter </w:t>
      </w:r>
      <w:r w:rsidRPr="00B2211C">
        <w:rPr>
          <w:rFonts w:eastAsia="Times New Roman" w:cs="Times New Roman"/>
          <w:i/>
          <w:szCs w:val="24"/>
        </w:rPr>
        <w:t xml:space="preserve">et al. </w:t>
      </w:r>
      <w:r w:rsidRPr="00B2211C">
        <w:rPr>
          <w:rFonts w:eastAsia="Times New Roman" w:cs="Times New Roman"/>
          <w:szCs w:val="24"/>
        </w:rPr>
        <w:t>2025).</w:t>
      </w:r>
    </w:p>
    <w:p w14:paraId="0C043F9D" w14:textId="77777777" w:rsidR="007745E9" w:rsidRPr="00B2211C" w:rsidRDefault="00DD163F" w:rsidP="00461A87">
      <w:pPr>
        <w:numPr>
          <w:ilvl w:val="0"/>
          <w:numId w:val="22"/>
        </w:numPr>
        <w:jc w:val="both"/>
        <w:rPr>
          <w:rFonts w:eastAsia="Times New Roman" w:cs="Times New Roman"/>
          <w:szCs w:val="24"/>
        </w:rPr>
      </w:pPr>
      <w:r w:rsidRPr="00B2211C">
        <w:rPr>
          <w:rFonts w:eastAsia="Times New Roman" w:cs="Times New Roman"/>
          <w:b/>
          <w:szCs w:val="24"/>
        </w:rPr>
        <w:t>Ability</w:t>
      </w:r>
      <w:r w:rsidRPr="00B2211C">
        <w:rPr>
          <w:rFonts w:eastAsia="Times New Roman" w:cs="Times New Roman"/>
          <w:szCs w:val="24"/>
        </w:rPr>
        <w:t xml:space="preserve">: It is observed that to ensure </w:t>
      </w:r>
      <w:r w:rsidR="00502093" w:rsidRPr="00B2211C">
        <w:rPr>
          <w:rFonts w:eastAsia="Times New Roman" w:cs="Times New Roman"/>
          <w:szCs w:val="24"/>
        </w:rPr>
        <w:t>staffs operates</w:t>
      </w:r>
      <w:r w:rsidRPr="00B2211C">
        <w:rPr>
          <w:rFonts w:eastAsia="Times New Roman" w:cs="Times New Roman"/>
          <w:szCs w:val="24"/>
        </w:rPr>
        <w:t xml:space="preserve"> confidently with new technologies.</w:t>
      </w:r>
    </w:p>
    <w:p w14:paraId="1A092442" w14:textId="77777777" w:rsidR="007745E9" w:rsidRPr="00B2211C" w:rsidRDefault="00DD163F" w:rsidP="00461A87">
      <w:pPr>
        <w:numPr>
          <w:ilvl w:val="0"/>
          <w:numId w:val="22"/>
        </w:numPr>
        <w:jc w:val="both"/>
        <w:rPr>
          <w:rFonts w:eastAsia="Times New Roman" w:cs="Times New Roman"/>
          <w:szCs w:val="24"/>
        </w:rPr>
      </w:pPr>
      <w:r w:rsidRPr="00B2211C">
        <w:rPr>
          <w:rFonts w:eastAsia="Times New Roman" w:cs="Times New Roman"/>
          <w:b/>
          <w:szCs w:val="24"/>
        </w:rPr>
        <w:t>Reinforcement</w:t>
      </w:r>
      <w:r w:rsidRPr="00B2211C">
        <w:rPr>
          <w:rFonts w:eastAsia="Times New Roman" w:cs="Times New Roman"/>
          <w:szCs w:val="24"/>
        </w:rPr>
        <w:t>: It is recognised as well as rewarded energy-efficient behaviour by ambassador programmes as well as internal awards (Nagamalini and Wesley, 2025).</w:t>
      </w:r>
    </w:p>
    <w:p w14:paraId="6BC0B09F" w14:textId="77777777" w:rsidR="007745E9" w:rsidRPr="00B2211C" w:rsidRDefault="00DD163F" w:rsidP="00461A87">
      <w:pPr>
        <w:jc w:val="both"/>
        <w:rPr>
          <w:rFonts w:eastAsia="Times New Roman" w:cs="Times New Roman"/>
          <w:szCs w:val="24"/>
        </w:rPr>
      </w:pPr>
      <w:r w:rsidRPr="00B2211C">
        <w:rPr>
          <w:rFonts w:eastAsia="Times New Roman" w:cs="Times New Roman"/>
          <w:noProof/>
          <w:szCs w:val="24"/>
          <w:lang w:bidi="bn-BD"/>
        </w:rPr>
        <w:drawing>
          <wp:inline distT="114300" distB="114300" distL="114300" distR="114300" wp14:anchorId="0D07D82D" wp14:editId="00FCE93A">
            <wp:extent cx="5943600" cy="271462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rcRect t="17867"/>
                    <a:stretch>
                      <a:fillRect/>
                    </a:stretch>
                  </pic:blipFill>
                  <pic:spPr>
                    <a:xfrm>
                      <a:off x="0" y="0"/>
                      <a:ext cx="5943600" cy="2714625"/>
                    </a:xfrm>
                    <a:prstGeom prst="rect">
                      <a:avLst/>
                    </a:prstGeom>
                    <a:ln w="25400">
                      <a:solidFill>
                        <a:srgbClr val="000000"/>
                      </a:solidFill>
                      <a:prstDash val="solid"/>
                    </a:ln>
                  </pic:spPr>
                </pic:pic>
              </a:graphicData>
            </a:graphic>
          </wp:inline>
        </w:drawing>
      </w:r>
    </w:p>
    <w:p w14:paraId="5A44A9E3"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Figure 3: ADKAR Model</w:t>
      </w:r>
    </w:p>
    <w:p w14:paraId="1736597C"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 xml:space="preserve">(Source: Voggenreiter </w:t>
      </w:r>
      <w:r w:rsidRPr="00B2211C">
        <w:rPr>
          <w:rFonts w:eastAsia="Times New Roman" w:cs="Times New Roman"/>
          <w:i/>
          <w:szCs w:val="24"/>
        </w:rPr>
        <w:t xml:space="preserve">et al. </w:t>
      </w:r>
      <w:r w:rsidRPr="00B2211C">
        <w:rPr>
          <w:rFonts w:eastAsia="Times New Roman" w:cs="Times New Roman"/>
          <w:szCs w:val="24"/>
        </w:rPr>
        <w:t>2025)</w:t>
      </w:r>
    </w:p>
    <w:p w14:paraId="1B13B2BB"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The above analysis has been future-proofing </w:t>
      </w:r>
      <w:r w:rsidRPr="00B2211C">
        <w:rPr>
          <w:rFonts w:eastAsia="Times New Roman" w:cs="Times New Roman"/>
          <w:i/>
          <w:szCs w:val="24"/>
        </w:rPr>
        <w:t xml:space="preserve">Marriott London County Hall </w:t>
      </w:r>
      <w:r w:rsidRPr="00B2211C">
        <w:rPr>
          <w:rFonts w:eastAsia="Times New Roman" w:cs="Times New Roman"/>
          <w:szCs w:val="24"/>
        </w:rPr>
        <w:t xml:space="preserve">against by risks of escalating energy costs; a balancing strategy combining infrastructure developments, smart </w:t>
      </w:r>
      <w:r w:rsidRPr="00B2211C">
        <w:rPr>
          <w:rFonts w:eastAsia="Times New Roman" w:cs="Times New Roman"/>
          <w:szCs w:val="24"/>
        </w:rPr>
        <w:lastRenderedPageBreak/>
        <w:t>technology, behavioural change, as well as renewable integration is effective. It is stated that costs are considerable, including long-term savings, environmental impact, as well as reputational gains, and strong, sustainable returns. Therefore, a clear change management strategy will ensure smooth implementation, with continuous review and adjustment tare focused on the energy-conscious luxury hospitality (García and López, 2025). On the other hand, using these three change management models in tandem will help Marriott navigate the technical, behavioural, with cultural shifts needed for decreasing energy costs sustainably as well as effectively.</w:t>
      </w:r>
    </w:p>
    <w:p w14:paraId="4F7A15F9" w14:textId="77777777" w:rsidR="00B24902" w:rsidRPr="00B2211C" w:rsidRDefault="00B24902">
      <w:pPr>
        <w:spacing w:line="276" w:lineRule="auto"/>
        <w:rPr>
          <w:rFonts w:eastAsia="Times New Roman" w:cs="Times New Roman"/>
          <w:b/>
          <w:sz w:val="28"/>
          <w:szCs w:val="28"/>
        </w:rPr>
      </w:pPr>
      <w:bookmarkStart w:id="32" w:name="_uoghoxqzzfy9" w:colFirst="0" w:colLast="0"/>
      <w:bookmarkStart w:id="33" w:name="_Toc198647435"/>
      <w:bookmarkEnd w:id="32"/>
      <w:r w:rsidRPr="00B2211C">
        <w:rPr>
          <w:szCs w:val="28"/>
        </w:rPr>
        <w:br w:type="page"/>
      </w:r>
    </w:p>
    <w:p w14:paraId="5DBC6AC0" w14:textId="2AF68C88" w:rsidR="007745E9" w:rsidRPr="00B2211C" w:rsidRDefault="00DD163F" w:rsidP="00461A87">
      <w:pPr>
        <w:pStyle w:val="Heading1"/>
        <w:spacing w:line="480" w:lineRule="auto"/>
        <w:rPr>
          <w:b w:val="0"/>
          <w:szCs w:val="28"/>
        </w:rPr>
      </w:pPr>
      <w:bookmarkStart w:id="34" w:name="_Toc198671576"/>
      <w:r w:rsidRPr="00B2211C">
        <w:rPr>
          <w:szCs w:val="28"/>
        </w:rPr>
        <w:lastRenderedPageBreak/>
        <w:t>Action Plan</w:t>
      </w:r>
      <w:bookmarkEnd w:id="33"/>
      <w:bookmarkEnd w:id="34"/>
      <w:r w:rsidRPr="00B2211C">
        <w:rPr>
          <w:szCs w:val="28"/>
        </w:rPr>
        <w:t xml:space="preserve"> </w:t>
      </w:r>
    </w:p>
    <w:p w14:paraId="20583825" w14:textId="77777777" w:rsidR="007745E9" w:rsidRPr="00B2211C" w:rsidRDefault="007745E9" w:rsidP="00461A87">
      <w:pPr>
        <w:jc w:val="both"/>
        <w:rPr>
          <w:rFonts w:eastAsia="Times New Roman" w:cs="Times New Roman"/>
          <w:szCs w:val="24"/>
        </w:rPr>
      </w:pPr>
    </w:p>
    <w:tbl>
      <w:tblPr>
        <w:tblStyle w:val="Table6"/>
        <w:tblW w:w="9780" w:type="dxa"/>
        <w:tblInd w:w="-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1560"/>
        <w:gridCol w:w="1860"/>
        <w:gridCol w:w="1785"/>
        <w:gridCol w:w="945"/>
        <w:gridCol w:w="1425"/>
        <w:gridCol w:w="1125"/>
      </w:tblGrid>
      <w:tr w:rsidR="007745E9" w:rsidRPr="00B2211C" w14:paraId="468894D0" w14:textId="77777777">
        <w:trPr>
          <w:cantSplit/>
          <w:trHeight w:val="1095"/>
          <w:tblHeader/>
        </w:trPr>
        <w:tc>
          <w:tcPr>
            <w:tcW w:w="1080" w:type="dxa"/>
            <w:shd w:val="clear" w:color="auto" w:fill="auto"/>
            <w:tcMar>
              <w:top w:w="100" w:type="dxa"/>
              <w:left w:w="100" w:type="dxa"/>
              <w:bottom w:w="100" w:type="dxa"/>
              <w:right w:w="100" w:type="dxa"/>
            </w:tcMar>
          </w:tcPr>
          <w:p w14:paraId="736EA899"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lastRenderedPageBreak/>
              <w:t>Number</w:t>
            </w:r>
          </w:p>
        </w:tc>
        <w:tc>
          <w:tcPr>
            <w:tcW w:w="1560" w:type="dxa"/>
            <w:shd w:val="clear" w:color="auto" w:fill="auto"/>
            <w:tcMar>
              <w:top w:w="100" w:type="dxa"/>
              <w:left w:w="100" w:type="dxa"/>
              <w:bottom w:w="100" w:type="dxa"/>
              <w:right w:w="100" w:type="dxa"/>
            </w:tcMar>
          </w:tcPr>
          <w:p w14:paraId="7746E885"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 xml:space="preserve">Problem </w:t>
            </w:r>
          </w:p>
        </w:tc>
        <w:tc>
          <w:tcPr>
            <w:tcW w:w="1860" w:type="dxa"/>
            <w:shd w:val="clear" w:color="auto" w:fill="auto"/>
            <w:tcMar>
              <w:top w:w="100" w:type="dxa"/>
              <w:left w:w="100" w:type="dxa"/>
              <w:bottom w:w="100" w:type="dxa"/>
              <w:right w:w="100" w:type="dxa"/>
            </w:tcMar>
          </w:tcPr>
          <w:p w14:paraId="765328BB"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Solution</w:t>
            </w:r>
          </w:p>
        </w:tc>
        <w:tc>
          <w:tcPr>
            <w:tcW w:w="1785" w:type="dxa"/>
            <w:shd w:val="clear" w:color="auto" w:fill="auto"/>
            <w:tcMar>
              <w:top w:w="100" w:type="dxa"/>
              <w:left w:w="100" w:type="dxa"/>
              <w:bottom w:w="100" w:type="dxa"/>
              <w:right w:w="100" w:type="dxa"/>
            </w:tcMar>
          </w:tcPr>
          <w:p w14:paraId="6F4E75DB"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Desire Outcome</w:t>
            </w:r>
          </w:p>
        </w:tc>
        <w:tc>
          <w:tcPr>
            <w:tcW w:w="945" w:type="dxa"/>
            <w:shd w:val="clear" w:color="auto" w:fill="auto"/>
            <w:tcMar>
              <w:top w:w="100" w:type="dxa"/>
              <w:left w:w="100" w:type="dxa"/>
              <w:bottom w:w="100" w:type="dxa"/>
              <w:right w:w="100" w:type="dxa"/>
            </w:tcMar>
          </w:tcPr>
          <w:p w14:paraId="300C505D"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Time Scale</w:t>
            </w:r>
          </w:p>
        </w:tc>
        <w:tc>
          <w:tcPr>
            <w:tcW w:w="1425" w:type="dxa"/>
            <w:shd w:val="clear" w:color="auto" w:fill="auto"/>
            <w:tcMar>
              <w:top w:w="100" w:type="dxa"/>
              <w:left w:w="100" w:type="dxa"/>
              <w:bottom w:w="100" w:type="dxa"/>
              <w:right w:w="100" w:type="dxa"/>
            </w:tcMar>
          </w:tcPr>
          <w:p w14:paraId="6373D8B9"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 xml:space="preserve">Completion date </w:t>
            </w:r>
          </w:p>
        </w:tc>
        <w:tc>
          <w:tcPr>
            <w:tcW w:w="1125" w:type="dxa"/>
            <w:shd w:val="clear" w:color="auto" w:fill="auto"/>
            <w:tcMar>
              <w:top w:w="100" w:type="dxa"/>
              <w:left w:w="100" w:type="dxa"/>
              <w:bottom w:w="100" w:type="dxa"/>
              <w:right w:w="100" w:type="dxa"/>
            </w:tcMar>
          </w:tcPr>
          <w:p w14:paraId="6E4E2259" w14:textId="77777777" w:rsidR="007745E9" w:rsidRPr="00B2211C" w:rsidRDefault="00DD163F" w:rsidP="00461A87">
            <w:pPr>
              <w:widowControl w:val="0"/>
              <w:pBdr>
                <w:top w:val="nil"/>
                <w:left w:val="nil"/>
                <w:bottom w:val="nil"/>
                <w:right w:val="nil"/>
                <w:between w:val="nil"/>
              </w:pBdr>
              <w:jc w:val="center"/>
              <w:rPr>
                <w:rFonts w:eastAsia="Times New Roman" w:cs="Times New Roman"/>
                <w:b/>
                <w:szCs w:val="24"/>
              </w:rPr>
            </w:pPr>
            <w:r w:rsidRPr="00B2211C">
              <w:rPr>
                <w:rFonts w:eastAsia="Times New Roman" w:cs="Times New Roman"/>
                <w:b/>
                <w:szCs w:val="24"/>
              </w:rPr>
              <w:t>Planned Budget</w:t>
            </w:r>
          </w:p>
        </w:tc>
      </w:tr>
      <w:tr w:rsidR="007745E9" w:rsidRPr="00B2211C" w14:paraId="226F2394" w14:textId="77777777">
        <w:trPr>
          <w:cantSplit/>
          <w:tblHeader/>
        </w:trPr>
        <w:tc>
          <w:tcPr>
            <w:tcW w:w="1080" w:type="dxa"/>
            <w:shd w:val="clear" w:color="auto" w:fill="auto"/>
            <w:tcMar>
              <w:top w:w="100" w:type="dxa"/>
              <w:left w:w="100" w:type="dxa"/>
              <w:bottom w:w="100" w:type="dxa"/>
              <w:right w:w="100" w:type="dxa"/>
            </w:tcMar>
          </w:tcPr>
          <w:p w14:paraId="00C1B95F" w14:textId="77777777" w:rsidR="007745E9" w:rsidRPr="00B2211C" w:rsidRDefault="00DD163F" w:rsidP="00461A87">
            <w:pPr>
              <w:widowControl w:val="0"/>
              <w:pBdr>
                <w:top w:val="nil"/>
                <w:left w:val="nil"/>
                <w:bottom w:val="nil"/>
                <w:right w:val="nil"/>
                <w:between w:val="nil"/>
              </w:pBdr>
              <w:rPr>
                <w:rFonts w:eastAsia="Times New Roman" w:cs="Times New Roman"/>
                <w:szCs w:val="24"/>
              </w:rPr>
            </w:pPr>
            <w:r w:rsidRPr="00B2211C">
              <w:rPr>
                <w:rFonts w:eastAsia="Times New Roman" w:cs="Times New Roman"/>
                <w:szCs w:val="24"/>
              </w:rPr>
              <w:t>1.</w:t>
            </w:r>
          </w:p>
        </w:tc>
        <w:tc>
          <w:tcPr>
            <w:tcW w:w="1560" w:type="dxa"/>
            <w:shd w:val="clear" w:color="auto" w:fill="auto"/>
            <w:tcMar>
              <w:top w:w="100" w:type="dxa"/>
              <w:left w:w="100" w:type="dxa"/>
              <w:bottom w:w="100" w:type="dxa"/>
              <w:right w:w="100" w:type="dxa"/>
            </w:tcMar>
          </w:tcPr>
          <w:p w14:paraId="22F121C5"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High energy consumption caused by outdated infrastructure</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17A93526"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Retrofit HVAC systems by installing smart meters, as well as upgrading insulation with LED lighting in common areas and rooms (George, 2025).</w:t>
            </w:r>
            <w:r w:rsidRPr="00B2211C">
              <w:rPr>
                <w:rFonts w:eastAsia="Times New Roman" w:cs="Times New Roman"/>
                <w:szCs w:val="24"/>
              </w:rPr>
              <w:tab/>
            </w:r>
          </w:p>
        </w:tc>
        <w:tc>
          <w:tcPr>
            <w:tcW w:w="1785" w:type="dxa"/>
            <w:shd w:val="clear" w:color="auto" w:fill="auto"/>
            <w:tcMar>
              <w:top w:w="100" w:type="dxa"/>
              <w:left w:w="100" w:type="dxa"/>
              <w:bottom w:w="100" w:type="dxa"/>
              <w:right w:w="100" w:type="dxa"/>
            </w:tcMar>
          </w:tcPr>
          <w:p w14:paraId="5168A2B8"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Lower utility bills by 20%, developed a sustainability reputation, </w:t>
            </w:r>
            <w:r w:rsidR="00807222" w:rsidRPr="00B2211C">
              <w:rPr>
                <w:rFonts w:eastAsia="Times New Roman" w:cs="Times New Roman"/>
                <w:szCs w:val="24"/>
              </w:rPr>
              <w:t>and to</w:t>
            </w:r>
            <w:r w:rsidRPr="00B2211C">
              <w:rPr>
                <w:rFonts w:eastAsia="Times New Roman" w:cs="Times New Roman"/>
                <w:szCs w:val="24"/>
              </w:rPr>
              <w:t xml:space="preserve"> enhanced guest comfort.</w:t>
            </w:r>
            <w:r w:rsidRPr="00B2211C">
              <w:rPr>
                <w:rFonts w:eastAsia="Times New Roman" w:cs="Times New Roman"/>
                <w:szCs w:val="24"/>
              </w:rPr>
              <w:tab/>
            </w:r>
          </w:p>
        </w:tc>
        <w:tc>
          <w:tcPr>
            <w:tcW w:w="945" w:type="dxa"/>
            <w:shd w:val="clear" w:color="auto" w:fill="auto"/>
            <w:tcMar>
              <w:top w:w="100" w:type="dxa"/>
              <w:left w:w="100" w:type="dxa"/>
              <w:bottom w:w="100" w:type="dxa"/>
              <w:right w:w="100" w:type="dxa"/>
            </w:tcMar>
          </w:tcPr>
          <w:p w14:paraId="36375FF9" w14:textId="77777777" w:rsidR="007745E9" w:rsidRPr="00B2211C" w:rsidRDefault="007745E9" w:rsidP="00461A87">
            <w:pPr>
              <w:widowControl w:val="0"/>
              <w:jc w:val="both"/>
              <w:rPr>
                <w:rFonts w:eastAsia="Times New Roman" w:cs="Times New Roman"/>
                <w:szCs w:val="24"/>
              </w:rPr>
            </w:pPr>
          </w:p>
          <w:tbl>
            <w:tblPr>
              <w:tblStyle w:val="Table7"/>
              <w:tblW w:w="10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50"/>
            </w:tblGrid>
            <w:tr w:rsidR="007745E9" w:rsidRPr="00B2211C" w14:paraId="3FD14950" w14:textId="77777777">
              <w:trPr>
                <w:cantSplit/>
                <w:trHeight w:val="500"/>
                <w:tblHeader/>
              </w:trPr>
              <w:tc>
                <w:tcPr>
                  <w:tcW w:w="1050" w:type="dxa"/>
                  <w:tcBorders>
                    <w:top w:val="nil"/>
                    <w:left w:val="nil"/>
                    <w:bottom w:val="nil"/>
                    <w:right w:val="nil"/>
                  </w:tcBorders>
                  <w:tcMar>
                    <w:top w:w="100" w:type="dxa"/>
                    <w:left w:w="100" w:type="dxa"/>
                    <w:bottom w:w="100" w:type="dxa"/>
                    <w:right w:w="100" w:type="dxa"/>
                  </w:tcMar>
                </w:tcPr>
                <w:p w14:paraId="05699DA4" w14:textId="77777777" w:rsidR="007745E9" w:rsidRPr="00B2211C" w:rsidRDefault="00DD163F" w:rsidP="00461A87">
                  <w:pPr>
                    <w:widowControl w:val="0"/>
                    <w:jc w:val="both"/>
                    <w:rPr>
                      <w:rFonts w:eastAsia="Times New Roman" w:cs="Times New Roman"/>
                      <w:szCs w:val="24"/>
                    </w:rPr>
                  </w:pPr>
                  <w:r w:rsidRPr="00B2211C">
                    <w:rPr>
                      <w:rFonts w:eastAsia="Times New Roman" w:cs="Times New Roman"/>
                      <w:szCs w:val="24"/>
                    </w:rPr>
                    <w:t>6 months</w:t>
                  </w:r>
                </w:p>
              </w:tc>
            </w:tr>
          </w:tbl>
          <w:p w14:paraId="5AF64665" w14:textId="77777777" w:rsidR="007745E9" w:rsidRPr="00B2211C" w:rsidRDefault="007745E9" w:rsidP="00461A87">
            <w:pPr>
              <w:widowControl w:val="0"/>
              <w:jc w:val="both"/>
              <w:rPr>
                <w:rFonts w:eastAsia="Times New Roman" w:cs="Times New Roman"/>
                <w:szCs w:val="24"/>
              </w:rPr>
            </w:pPr>
          </w:p>
          <w:tbl>
            <w:tblPr>
              <w:tblStyle w:val="Table8"/>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7745E9" w:rsidRPr="00B2211C" w14:paraId="168489A1" w14:textId="77777777">
              <w:trPr>
                <w:cantSplit/>
                <w:trHeight w:val="230"/>
                <w:tblHeader/>
              </w:trPr>
              <w:tc>
                <w:tcPr>
                  <w:tcW w:w="230" w:type="dxa"/>
                  <w:tcBorders>
                    <w:top w:val="nil"/>
                    <w:left w:val="nil"/>
                    <w:bottom w:val="nil"/>
                    <w:right w:val="nil"/>
                  </w:tcBorders>
                  <w:tcMar>
                    <w:top w:w="100" w:type="dxa"/>
                    <w:left w:w="100" w:type="dxa"/>
                    <w:bottom w:w="100" w:type="dxa"/>
                    <w:right w:w="100" w:type="dxa"/>
                  </w:tcMar>
                </w:tcPr>
                <w:p w14:paraId="34F783B5" w14:textId="77777777" w:rsidR="007745E9" w:rsidRPr="00B2211C" w:rsidRDefault="007745E9" w:rsidP="00461A87">
                  <w:pPr>
                    <w:widowControl w:val="0"/>
                    <w:jc w:val="both"/>
                    <w:rPr>
                      <w:rFonts w:eastAsia="Times New Roman" w:cs="Times New Roman"/>
                      <w:szCs w:val="24"/>
                    </w:rPr>
                  </w:pPr>
                </w:p>
              </w:tc>
            </w:tr>
          </w:tbl>
          <w:p w14:paraId="75A094EA"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c>
          <w:tcPr>
            <w:tcW w:w="1425" w:type="dxa"/>
            <w:shd w:val="clear" w:color="auto" w:fill="auto"/>
            <w:tcMar>
              <w:top w:w="100" w:type="dxa"/>
              <w:left w:w="100" w:type="dxa"/>
              <w:bottom w:w="100" w:type="dxa"/>
              <w:right w:w="100" w:type="dxa"/>
            </w:tcMar>
          </w:tcPr>
          <w:p w14:paraId="2C7DD463"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15/12/2025</w:t>
            </w:r>
            <w:r w:rsidRPr="00B2211C">
              <w:rPr>
                <w:rFonts w:eastAsia="Times New Roman" w:cs="Times New Roman"/>
                <w:szCs w:val="24"/>
              </w:rPr>
              <w:tab/>
            </w:r>
          </w:p>
        </w:tc>
        <w:tc>
          <w:tcPr>
            <w:tcW w:w="1125" w:type="dxa"/>
            <w:shd w:val="clear" w:color="auto" w:fill="auto"/>
            <w:tcMar>
              <w:top w:w="100" w:type="dxa"/>
              <w:left w:w="100" w:type="dxa"/>
              <w:bottom w:w="100" w:type="dxa"/>
              <w:right w:w="100" w:type="dxa"/>
            </w:tcMar>
          </w:tcPr>
          <w:p w14:paraId="7249ABB5"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£150,000</w:t>
            </w:r>
          </w:p>
          <w:p w14:paraId="0F4D457A"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r w:rsidR="007745E9" w:rsidRPr="00B2211C" w14:paraId="14B784D0" w14:textId="77777777">
        <w:trPr>
          <w:cantSplit/>
          <w:tblHeader/>
        </w:trPr>
        <w:tc>
          <w:tcPr>
            <w:tcW w:w="1080" w:type="dxa"/>
            <w:shd w:val="clear" w:color="auto" w:fill="auto"/>
            <w:tcMar>
              <w:top w:w="100" w:type="dxa"/>
              <w:left w:w="100" w:type="dxa"/>
              <w:bottom w:w="100" w:type="dxa"/>
              <w:right w:w="100" w:type="dxa"/>
            </w:tcMar>
          </w:tcPr>
          <w:p w14:paraId="1CB49878" w14:textId="77777777" w:rsidR="007745E9" w:rsidRPr="00B2211C" w:rsidRDefault="00DD163F" w:rsidP="00461A87">
            <w:pPr>
              <w:widowControl w:val="0"/>
              <w:pBdr>
                <w:top w:val="nil"/>
                <w:left w:val="nil"/>
                <w:bottom w:val="nil"/>
                <w:right w:val="nil"/>
                <w:between w:val="nil"/>
              </w:pBdr>
              <w:rPr>
                <w:rFonts w:eastAsia="Times New Roman" w:cs="Times New Roman"/>
                <w:szCs w:val="24"/>
              </w:rPr>
            </w:pPr>
            <w:r w:rsidRPr="00B2211C">
              <w:rPr>
                <w:rFonts w:eastAsia="Times New Roman" w:cs="Times New Roman"/>
                <w:szCs w:val="24"/>
              </w:rPr>
              <w:lastRenderedPageBreak/>
              <w:t>2.</w:t>
            </w:r>
          </w:p>
        </w:tc>
        <w:tc>
          <w:tcPr>
            <w:tcW w:w="1560" w:type="dxa"/>
            <w:shd w:val="clear" w:color="auto" w:fill="auto"/>
            <w:tcMar>
              <w:top w:w="100" w:type="dxa"/>
              <w:left w:w="100" w:type="dxa"/>
              <w:bottom w:w="100" w:type="dxa"/>
              <w:right w:w="100" w:type="dxa"/>
            </w:tcMar>
          </w:tcPr>
          <w:p w14:paraId="5749F3CE"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Lack of staff awareness, as well as inconsistent energy practices</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4B1B193A"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Launching the Green Ambassador training programme, by providing incentives for energy-saving behaviours, as well as introducing regular workshops (Menegaki, 2025).</w:t>
            </w:r>
            <w:r w:rsidRPr="00B2211C">
              <w:rPr>
                <w:rFonts w:eastAsia="Times New Roman" w:cs="Times New Roman"/>
                <w:szCs w:val="24"/>
              </w:rPr>
              <w:tab/>
            </w:r>
          </w:p>
        </w:tc>
        <w:tc>
          <w:tcPr>
            <w:tcW w:w="1785" w:type="dxa"/>
            <w:shd w:val="clear" w:color="auto" w:fill="auto"/>
            <w:tcMar>
              <w:top w:w="100" w:type="dxa"/>
              <w:left w:w="100" w:type="dxa"/>
              <w:bottom w:w="100" w:type="dxa"/>
              <w:right w:w="100" w:type="dxa"/>
            </w:tcMar>
          </w:tcPr>
          <w:p w14:paraId="69A3956B"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 xml:space="preserve">Developed staff engagement, consistent operational energy-saving behaviours, by decreasing unnecessary energy use (Vilaplana </w:t>
            </w:r>
            <w:r w:rsidRPr="00B2211C">
              <w:rPr>
                <w:rFonts w:eastAsia="Times New Roman" w:cs="Times New Roman"/>
                <w:i/>
                <w:szCs w:val="24"/>
              </w:rPr>
              <w:t>et al.</w:t>
            </w:r>
            <w:r w:rsidRPr="00B2211C">
              <w:rPr>
                <w:rFonts w:eastAsia="Times New Roman" w:cs="Times New Roman"/>
                <w:szCs w:val="24"/>
              </w:rPr>
              <w:t xml:space="preserve"> 2025).</w:t>
            </w:r>
            <w:r w:rsidRPr="00B2211C">
              <w:rPr>
                <w:rFonts w:eastAsia="Times New Roman" w:cs="Times New Roman"/>
                <w:szCs w:val="24"/>
              </w:rPr>
              <w:tab/>
            </w:r>
          </w:p>
        </w:tc>
        <w:tc>
          <w:tcPr>
            <w:tcW w:w="945" w:type="dxa"/>
            <w:shd w:val="clear" w:color="auto" w:fill="auto"/>
            <w:tcMar>
              <w:top w:w="100" w:type="dxa"/>
              <w:left w:w="100" w:type="dxa"/>
              <w:bottom w:w="100" w:type="dxa"/>
              <w:right w:w="100" w:type="dxa"/>
            </w:tcMar>
          </w:tcPr>
          <w:p w14:paraId="43A8116C"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3 months</w:t>
            </w:r>
            <w:r w:rsidRPr="00B2211C">
              <w:rPr>
                <w:rFonts w:eastAsia="Times New Roman" w:cs="Times New Roman"/>
                <w:szCs w:val="24"/>
              </w:rPr>
              <w:tab/>
            </w:r>
          </w:p>
        </w:tc>
        <w:tc>
          <w:tcPr>
            <w:tcW w:w="1425" w:type="dxa"/>
            <w:shd w:val="clear" w:color="auto" w:fill="auto"/>
            <w:tcMar>
              <w:top w:w="100" w:type="dxa"/>
              <w:left w:w="100" w:type="dxa"/>
              <w:bottom w:w="100" w:type="dxa"/>
              <w:right w:w="100" w:type="dxa"/>
            </w:tcMar>
          </w:tcPr>
          <w:p w14:paraId="21B13720"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01/10/2025</w:t>
            </w:r>
            <w:r w:rsidRPr="00B2211C">
              <w:rPr>
                <w:rFonts w:eastAsia="Times New Roman" w:cs="Times New Roman"/>
                <w:szCs w:val="24"/>
              </w:rPr>
              <w:tab/>
            </w:r>
          </w:p>
        </w:tc>
        <w:tc>
          <w:tcPr>
            <w:tcW w:w="1125" w:type="dxa"/>
            <w:shd w:val="clear" w:color="auto" w:fill="auto"/>
            <w:tcMar>
              <w:top w:w="100" w:type="dxa"/>
              <w:left w:w="100" w:type="dxa"/>
              <w:bottom w:w="100" w:type="dxa"/>
              <w:right w:w="100" w:type="dxa"/>
            </w:tcMar>
          </w:tcPr>
          <w:p w14:paraId="269C86C4"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£12,000</w:t>
            </w:r>
          </w:p>
          <w:p w14:paraId="5DEAD342"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r w:rsidR="007745E9" w:rsidRPr="00B2211C" w14:paraId="2ACDAE21" w14:textId="77777777">
        <w:trPr>
          <w:cantSplit/>
          <w:tblHeader/>
        </w:trPr>
        <w:tc>
          <w:tcPr>
            <w:tcW w:w="1080" w:type="dxa"/>
            <w:shd w:val="clear" w:color="auto" w:fill="auto"/>
            <w:tcMar>
              <w:top w:w="100" w:type="dxa"/>
              <w:left w:w="100" w:type="dxa"/>
              <w:bottom w:w="100" w:type="dxa"/>
              <w:right w:w="100" w:type="dxa"/>
            </w:tcMar>
          </w:tcPr>
          <w:p w14:paraId="5F6EE060" w14:textId="77777777" w:rsidR="007745E9" w:rsidRPr="00B2211C" w:rsidRDefault="00DD163F" w:rsidP="00461A87">
            <w:pPr>
              <w:widowControl w:val="0"/>
              <w:pBdr>
                <w:top w:val="nil"/>
                <w:left w:val="nil"/>
                <w:bottom w:val="nil"/>
                <w:right w:val="nil"/>
                <w:between w:val="nil"/>
              </w:pBdr>
              <w:rPr>
                <w:rFonts w:eastAsia="Times New Roman" w:cs="Times New Roman"/>
                <w:szCs w:val="24"/>
              </w:rPr>
            </w:pPr>
            <w:r w:rsidRPr="00B2211C">
              <w:rPr>
                <w:rFonts w:eastAsia="Times New Roman" w:cs="Times New Roman"/>
                <w:szCs w:val="24"/>
              </w:rPr>
              <w:lastRenderedPageBreak/>
              <w:t>3.</w:t>
            </w:r>
          </w:p>
        </w:tc>
        <w:tc>
          <w:tcPr>
            <w:tcW w:w="1560" w:type="dxa"/>
            <w:shd w:val="clear" w:color="auto" w:fill="auto"/>
            <w:tcMar>
              <w:top w:w="100" w:type="dxa"/>
              <w:left w:w="100" w:type="dxa"/>
              <w:bottom w:w="100" w:type="dxa"/>
              <w:right w:w="100" w:type="dxa"/>
            </w:tcMar>
          </w:tcPr>
          <w:p w14:paraId="3BA2A149"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Limitations of guest involvement in sustainability initiatives</w:t>
            </w:r>
            <w:r w:rsidRPr="00B2211C">
              <w:rPr>
                <w:rFonts w:eastAsia="Times New Roman" w:cs="Times New Roman"/>
                <w:szCs w:val="24"/>
              </w:rPr>
              <w:tab/>
            </w:r>
          </w:p>
        </w:tc>
        <w:tc>
          <w:tcPr>
            <w:tcW w:w="1860" w:type="dxa"/>
            <w:shd w:val="clear" w:color="auto" w:fill="auto"/>
            <w:tcMar>
              <w:top w:w="100" w:type="dxa"/>
              <w:left w:w="100" w:type="dxa"/>
              <w:bottom w:w="100" w:type="dxa"/>
              <w:right w:w="100" w:type="dxa"/>
            </w:tcMar>
          </w:tcPr>
          <w:p w14:paraId="69124243"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Adapted an in-room digital display system showing real-time energy use by offering optional linen reuse programmes with green rewards (Timur and Üstünel, 2025).</w:t>
            </w:r>
            <w:r w:rsidRPr="00B2211C">
              <w:rPr>
                <w:rFonts w:eastAsia="Times New Roman" w:cs="Times New Roman"/>
                <w:szCs w:val="24"/>
              </w:rPr>
              <w:tab/>
            </w:r>
          </w:p>
        </w:tc>
        <w:tc>
          <w:tcPr>
            <w:tcW w:w="1785" w:type="dxa"/>
            <w:shd w:val="clear" w:color="auto" w:fill="auto"/>
            <w:tcMar>
              <w:top w:w="100" w:type="dxa"/>
              <w:left w:w="100" w:type="dxa"/>
              <w:bottom w:w="100" w:type="dxa"/>
              <w:right w:w="100" w:type="dxa"/>
            </w:tcMar>
          </w:tcPr>
          <w:p w14:paraId="7C84EEE2"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Developed guest participation in eco-initiatives, improved environmental reputation, as well as higher satisfaction ratings.</w:t>
            </w:r>
            <w:r w:rsidRPr="00B2211C">
              <w:rPr>
                <w:rFonts w:eastAsia="Times New Roman" w:cs="Times New Roman"/>
                <w:szCs w:val="24"/>
              </w:rPr>
              <w:tab/>
            </w:r>
          </w:p>
        </w:tc>
        <w:tc>
          <w:tcPr>
            <w:tcW w:w="945" w:type="dxa"/>
            <w:shd w:val="clear" w:color="auto" w:fill="auto"/>
            <w:tcMar>
              <w:top w:w="100" w:type="dxa"/>
              <w:left w:w="100" w:type="dxa"/>
              <w:bottom w:w="100" w:type="dxa"/>
              <w:right w:w="100" w:type="dxa"/>
            </w:tcMar>
          </w:tcPr>
          <w:p w14:paraId="12CD5F8C" w14:textId="77777777" w:rsidR="007745E9" w:rsidRPr="00B2211C" w:rsidRDefault="007745E9" w:rsidP="00461A87">
            <w:pPr>
              <w:widowControl w:val="0"/>
              <w:jc w:val="both"/>
              <w:rPr>
                <w:rFonts w:eastAsia="Times New Roman" w:cs="Times New Roman"/>
                <w:szCs w:val="24"/>
              </w:rPr>
            </w:pPr>
          </w:p>
          <w:tbl>
            <w:tblPr>
              <w:tblStyle w:val="Table9"/>
              <w:tblW w:w="10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50"/>
            </w:tblGrid>
            <w:tr w:rsidR="007745E9" w:rsidRPr="00B2211C" w14:paraId="39C03F96" w14:textId="77777777">
              <w:trPr>
                <w:cantSplit/>
                <w:trHeight w:val="500"/>
                <w:tblHeader/>
              </w:trPr>
              <w:tc>
                <w:tcPr>
                  <w:tcW w:w="1050" w:type="dxa"/>
                  <w:tcBorders>
                    <w:top w:val="nil"/>
                    <w:left w:val="nil"/>
                    <w:bottom w:val="nil"/>
                    <w:right w:val="nil"/>
                  </w:tcBorders>
                  <w:tcMar>
                    <w:top w:w="100" w:type="dxa"/>
                    <w:left w:w="100" w:type="dxa"/>
                    <w:bottom w:w="100" w:type="dxa"/>
                    <w:right w:w="100" w:type="dxa"/>
                  </w:tcMar>
                </w:tcPr>
                <w:p w14:paraId="6BD732AE" w14:textId="77777777" w:rsidR="007745E9" w:rsidRPr="00B2211C" w:rsidRDefault="00DD163F" w:rsidP="00461A87">
                  <w:pPr>
                    <w:widowControl w:val="0"/>
                    <w:jc w:val="both"/>
                    <w:rPr>
                      <w:rFonts w:eastAsia="Times New Roman" w:cs="Times New Roman"/>
                      <w:szCs w:val="24"/>
                    </w:rPr>
                  </w:pPr>
                  <w:r w:rsidRPr="00B2211C">
                    <w:rPr>
                      <w:rFonts w:eastAsia="Times New Roman" w:cs="Times New Roman"/>
                      <w:szCs w:val="24"/>
                    </w:rPr>
                    <w:t>4 months</w:t>
                  </w:r>
                </w:p>
              </w:tc>
            </w:tr>
          </w:tbl>
          <w:p w14:paraId="1F54396E" w14:textId="77777777" w:rsidR="007745E9" w:rsidRPr="00B2211C" w:rsidRDefault="007745E9" w:rsidP="00461A87">
            <w:pPr>
              <w:widowControl w:val="0"/>
              <w:jc w:val="both"/>
              <w:rPr>
                <w:rFonts w:eastAsia="Times New Roman" w:cs="Times New Roman"/>
                <w:szCs w:val="24"/>
              </w:rPr>
            </w:pPr>
          </w:p>
          <w:tbl>
            <w:tblPr>
              <w:tblStyle w:val="Table10"/>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7745E9" w:rsidRPr="00B2211C" w14:paraId="1CEC548E" w14:textId="77777777">
              <w:trPr>
                <w:cantSplit/>
                <w:trHeight w:val="230"/>
                <w:tblHeader/>
              </w:trPr>
              <w:tc>
                <w:tcPr>
                  <w:tcW w:w="230" w:type="dxa"/>
                  <w:tcBorders>
                    <w:top w:val="nil"/>
                    <w:left w:val="nil"/>
                    <w:bottom w:val="nil"/>
                    <w:right w:val="nil"/>
                  </w:tcBorders>
                  <w:tcMar>
                    <w:top w:w="100" w:type="dxa"/>
                    <w:left w:w="100" w:type="dxa"/>
                    <w:bottom w:w="100" w:type="dxa"/>
                    <w:right w:w="100" w:type="dxa"/>
                  </w:tcMar>
                </w:tcPr>
                <w:p w14:paraId="7D2C05ED" w14:textId="77777777" w:rsidR="007745E9" w:rsidRPr="00B2211C" w:rsidRDefault="007745E9" w:rsidP="00461A87">
                  <w:pPr>
                    <w:widowControl w:val="0"/>
                    <w:jc w:val="both"/>
                    <w:rPr>
                      <w:rFonts w:eastAsia="Times New Roman" w:cs="Times New Roman"/>
                      <w:szCs w:val="24"/>
                    </w:rPr>
                  </w:pPr>
                </w:p>
              </w:tc>
            </w:tr>
          </w:tbl>
          <w:p w14:paraId="31747E04"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c>
          <w:tcPr>
            <w:tcW w:w="1425" w:type="dxa"/>
            <w:shd w:val="clear" w:color="auto" w:fill="auto"/>
            <w:tcMar>
              <w:top w:w="100" w:type="dxa"/>
              <w:left w:w="100" w:type="dxa"/>
              <w:bottom w:w="100" w:type="dxa"/>
              <w:right w:w="100" w:type="dxa"/>
            </w:tcMar>
          </w:tcPr>
          <w:p w14:paraId="5D131C4B"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01/11/2025</w:t>
            </w:r>
            <w:r w:rsidRPr="00B2211C">
              <w:rPr>
                <w:rFonts w:eastAsia="Times New Roman" w:cs="Times New Roman"/>
                <w:szCs w:val="24"/>
              </w:rPr>
              <w:tab/>
            </w:r>
          </w:p>
        </w:tc>
        <w:tc>
          <w:tcPr>
            <w:tcW w:w="1125" w:type="dxa"/>
            <w:shd w:val="clear" w:color="auto" w:fill="auto"/>
            <w:tcMar>
              <w:top w:w="100" w:type="dxa"/>
              <w:left w:w="100" w:type="dxa"/>
              <w:bottom w:w="100" w:type="dxa"/>
              <w:right w:w="100" w:type="dxa"/>
            </w:tcMar>
          </w:tcPr>
          <w:p w14:paraId="413155F8" w14:textId="77777777" w:rsidR="007745E9" w:rsidRPr="00B2211C" w:rsidRDefault="00DD163F" w:rsidP="00461A87">
            <w:pPr>
              <w:widowControl w:val="0"/>
              <w:pBdr>
                <w:top w:val="nil"/>
                <w:left w:val="nil"/>
                <w:bottom w:val="nil"/>
                <w:right w:val="nil"/>
                <w:between w:val="nil"/>
              </w:pBdr>
              <w:jc w:val="both"/>
              <w:rPr>
                <w:rFonts w:eastAsia="Times New Roman" w:cs="Times New Roman"/>
                <w:szCs w:val="24"/>
              </w:rPr>
            </w:pPr>
            <w:r w:rsidRPr="00B2211C">
              <w:rPr>
                <w:rFonts w:eastAsia="Times New Roman" w:cs="Times New Roman"/>
                <w:szCs w:val="24"/>
              </w:rPr>
              <w:t>£18,000</w:t>
            </w:r>
          </w:p>
          <w:p w14:paraId="1CBBD414"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p w14:paraId="6CC3B398" w14:textId="77777777" w:rsidR="007745E9" w:rsidRPr="00B2211C" w:rsidRDefault="007745E9" w:rsidP="00461A87">
            <w:pPr>
              <w:widowControl w:val="0"/>
              <w:pBdr>
                <w:top w:val="nil"/>
                <w:left w:val="nil"/>
                <w:bottom w:val="nil"/>
                <w:right w:val="nil"/>
                <w:between w:val="nil"/>
              </w:pBdr>
              <w:jc w:val="both"/>
              <w:rPr>
                <w:rFonts w:eastAsia="Times New Roman" w:cs="Times New Roman"/>
                <w:szCs w:val="24"/>
              </w:rPr>
            </w:pPr>
          </w:p>
        </w:tc>
      </w:tr>
    </w:tbl>
    <w:p w14:paraId="2F9DEEA6" w14:textId="77777777" w:rsidR="007745E9" w:rsidRPr="00B2211C" w:rsidRDefault="00DD163F" w:rsidP="00461A87">
      <w:pPr>
        <w:jc w:val="center"/>
        <w:rPr>
          <w:rFonts w:eastAsia="Times New Roman" w:cs="Times New Roman"/>
          <w:b/>
          <w:szCs w:val="24"/>
        </w:rPr>
      </w:pPr>
      <w:r w:rsidRPr="00B2211C">
        <w:rPr>
          <w:rFonts w:eastAsia="Times New Roman" w:cs="Times New Roman"/>
          <w:b/>
          <w:szCs w:val="24"/>
        </w:rPr>
        <w:t>Table 6: Action Plan</w:t>
      </w:r>
    </w:p>
    <w:p w14:paraId="58D914CB" w14:textId="77777777" w:rsidR="007745E9" w:rsidRPr="00B2211C" w:rsidRDefault="00DD163F" w:rsidP="00461A87">
      <w:pPr>
        <w:jc w:val="center"/>
        <w:rPr>
          <w:rFonts w:eastAsia="Times New Roman" w:cs="Times New Roman"/>
          <w:szCs w:val="24"/>
        </w:rPr>
      </w:pPr>
      <w:r w:rsidRPr="00B2211C">
        <w:rPr>
          <w:rFonts w:eastAsia="Times New Roman" w:cs="Times New Roman"/>
          <w:szCs w:val="24"/>
        </w:rPr>
        <w:t>(Source: Self-developed)</w:t>
      </w:r>
    </w:p>
    <w:p w14:paraId="1AFF9C52" w14:textId="77777777" w:rsidR="007745E9" w:rsidRPr="00B2211C" w:rsidRDefault="00DD163F" w:rsidP="00461A87">
      <w:pPr>
        <w:rPr>
          <w:rFonts w:eastAsia="Times New Roman" w:cs="Times New Roman"/>
          <w:b/>
          <w:szCs w:val="24"/>
        </w:rPr>
      </w:pPr>
      <w:r w:rsidRPr="00B2211C">
        <w:rPr>
          <w:rFonts w:eastAsia="Times New Roman" w:cs="Times New Roman"/>
          <w:b/>
          <w:szCs w:val="24"/>
        </w:rPr>
        <w:t>Analysis:</w:t>
      </w:r>
    </w:p>
    <w:p w14:paraId="5B1CB0D5"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The above table analyses actions collaborating with </w:t>
      </w:r>
      <w:r w:rsidRPr="00B2211C">
        <w:rPr>
          <w:rFonts w:eastAsia="Times New Roman" w:cs="Times New Roman"/>
          <w:i/>
          <w:szCs w:val="24"/>
        </w:rPr>
        <w:t>Marriott’s global Serve 360</w:t>
      </w:r>
      <w:r w:rsidRPr="00B2211C">
        <w:rPr>
          <w:rFonts w:eastAsia="Times New Roman" w:cs="Times New Roman"/>
          <w:szCs w:val="24"/>
        </w:rPr>
        <w:t xml:space="preserve"> sustainability vision as well as local site-specific needs.</w:t>
      </w:r>
    </w:p>
    <w:p w14:paraId="76B8BA4F" w14:textId="77777777" w:rsidR="007745E9" w:rsidRPr="00B2211C" w:rsidRDefault="00DD163F" w:rsidP="00461A87">
      <w:pPr>
        <w:numPr>
          <w:ilvl w:val="0"/>
          <w:numId w:val="8"/>
        </w:numPr>
        <w:jc w:val="both"/>
        <w:rPr>
          <w:rFonts w:eastAsia="Times New Roman" w:cs="Times New Roman"/>
          <w:szCs w:val="24"/>
        </w:rPr>
      </w:pPr>
      <w:r w:rsidRPr="00B2211C">
        <w:rPr>
          <w:rFonts w:eastAsia="Times New Roman" w:cs="Times New Roman"/>
          <w:b/>
          <w:szCs w:val="24"/>
        </w:rPr>
        <w:t>Monitoring &amp; Evaluation</w:t>
      </w:r>
      <w:r w:rsidRPr="00B2211C">
        <w:rPr>
          <w:rFonts w:eastAsia="Times New Roman" w:cs="Times New Roman"/>
          <w:szCs w:val="24"/>
        </w:rPr>
        <w:t>: It is observed that monthly KPI reviews will assess energy savings, guest feedback, as well as staff participation rates (Ziaei, 2025).</w:t>
      </w:r>
    </w:p>
    <w:p w14:paraId="27D06E39" w14:textId="77777777" w:rsidR="007745E9" w:rsidRPr="00B2211C" w:rsidRDefault="00DD163F" w:rsidP="00461A87">
      <w:pPr>
        <w:numPr>
          <w:ilvl w:val="0"/>
          <w:numId w:val="8"/>
        </w:numPr>
        <w:jc w:val="both"/>
        <w:rPr>
          <w:rFonts w:eastAsia="Times New Roman" w:cs="Times New Roman"/>
          <w:szCs w:val="24"/>
        </w:rPr>
      </w:pPr>
      <w:r w:rsidRPr="00B2211C">
        <w:rPr>
          <w:rFonts w:eastAsia="Times New Roman" w:cs="Times New Roman"/>
          <w:b/>
          <w:szCs w:val="24"/>
        </w:rPr>
        <w:t>Cost Justification</w:t>
      </w:r>
      <w:r w:rsidRPr="00B2211C">
        <w:rPr>
          <w:rFonts w:eastAsia="Times New Roman" w:cs="Times New Roman"/>
          <w:szCs w:val="24"/>
        </w:rPr>
        <w:t>: The total budget of £180,000 is proportionate based on the hotel's 206-room size and prime location, by operational savings will yield long-term ROI.</w:t>
      </w:r>
    </w:p>
    <w:p w14:paraId="02214E90" w14:textId="77777777" w:rsidR="007745E9" w:rsidRPr="00B2211C" w:rsidRDefault="00DD163F" w:rsidP="00461A87">
      <w:pPr>
        <w:numPr>
          <w:ilvl w:val="0"/>
          <w:numId w:val="8"/>
        </w:numPr>
        <w:jc w:val="both"/>
        <w:rPr>
          <w:rFonts w:eastAsia="Times New Roman" w:cs="Times New Roman"/>
          <w:szCs w:val="24"/>
        </w:rPr>
      </w:pPr>
      <w:r w:rsidRPr="00B2211C">
        <w:rPr>
          <w:rFonts w:eastAsia="Times New Roman" w:cs="Times New Roman"/>
          <w:b/>
          <w:szCs w:val="24"/>
        </w:rPr>
        <w:lastRenderedPageBreak/>
        <w:t>Sustainability ROI</w:t>
      </w:r>
      <w:r w:rsidRPr="00B2211C">
        <w:rPr>
          <w:rFonts w:eastAsia="Times New Roman" w:cs="Times New Roman"/>
          <w:szCs w:val="24"/>
        </w:rPr>
        <w:t xml:space="preserve">: It is considered that estimating the payback period for infrastructure upgrades is 2.5–3 years by energy savings alone (Karasu </w:t>
      </w:r>
      <w:r w:rsidRPr="00B2211C">
        <w:rPr>
          <w:rFonts w:eastAsia="Times New Roman" w:cs="Times New Roman"/>
          <w:i/>
          <w:szCs w:val="24"/>
        </w:rPr>
        <w:t>et al.</w:t>
      </w:r>
      <w:r w:rsidRPr="00B2211C">
        <w:rPr>
          <w:rFonts w:eastAsia="Times New Roman" w:cs="Times New Roman"/>
          <w:szCs w:val="24"/>
        </w:rPr>
        <w:t xml:space="preserve"> 2025).</w:t>
      </w:r>
    </w:p>
    <w:p w14:paraId="52CF9339" w14:textId="77777777" w:rsidR="007745E9" w:rsidRPr="00B2211C" w:rsidRDefault="00DD163F" w:rsidP="00461A87">
      <w:pPr>
        <w:jc w:val="both"/>
        <w:rPr>
          <w:b/>
          <w:sz w:val="28"/>
          <w:szCs w:val="28"/>
        </w:rPr>
      </w:pPr>
      <w:r w:rsidRPr="00B2211C">
        <w:rPr>
          <w:rFonts w:eastAsia="Times New Roman" w:cs="Times New Roman"/>
          <w:szCs w:val="24"/>
        </w:rPr>
        <w:t xml:space="preserve">The proposed action plan for </w:t>
      </w:r>
      <w:r w:rsidRPr="00B2211C">
        <w:rPr>
          <w:rFonts w:eastAsia="Times New Roman" w:cs="Times New Roman"/>
          <w:i/>
          <w:szCs w:val="24"/>
        </w:rPr>
        <w:t xml:space="preserve">Marriott London County Hall </w:t>
      </w:r>
      <w:r w:rsidRPr="00B2211C">
        <w:rPr>
          <w:rFonts w:eastAsia="Times New Roman" w:cs="Times New Roman"/>
          <w:szCs w:val="24"/>
        </w:rPr>
        <w:t xml:space="preserve">offers a structured as well as cost-effective roadmap for identifying its energy-related challenges to developing a brand image with guest experience. Thus, it is considered that focusing on infrastructure upgrades, staff engagement, as well as guest participation, the plan targets immediate operational improvements with long-term sustainability (Leuratti </w:t>
      </w:r>
      <w:r w:rsidRPr="00B2211C">
        <w:rPr>
          <w:rFonts w:eastAsia="Times New Roman" w:cs="Times New Roman"/>
          <w:i/>
          <w:szCs w:val="24"/>
        </w:rPr>
        <w:t xml:space="preserve">et al. </w:t>
      </w:r>
      <w:r w:rsidRPr="00B2211C">
        <w:rPr>
          <w:rFonts w:eastAsia="Times New Roman" w:cs="Times New Roman"/>
          <w:szCs w:val="24"/>
        </w:rPr>
        <w:t xml:space="preserve">2025). Moreover, action is time-bound, measurable, as well as collaborates with the hotel’s strategic objectives, ensuring feasibility with accountability. Thus, it is considered that the implementation of this plan will future-proof operations as well as reinforce </w:t>
      </w:r>
      <w:r w:rsidRPr="00B2211C">
        <w:rPr>
          <w:rFonts w:eastAsia="Times New Roman" w:cs="Times New Roman"/>
          <w:i/>
          <w:szCs w:val="24"/>
        </w:rPr>
        <w:t>Marriott’s sustainability leadership</w:t>
      </w:r>
      <w:r w:rsidRPr="00B2211C">
        <w:rPr>
          <w:rFonts w:eastAsia="Times New Roman" w:cs="Times New Roman"/>
          <w:szCs w:val="24"/>
        </w:rPr>
        <w:t>.</w:t>
      </w:r>
    </w:p>
    <w:p w14:paraId="177D4CEC" w14:textId="77777777" w:rsidR="00B24902" w:rsidRPr="00B2211C" w:rsidRDefault="00B24902">
      <w:pPr>
        <w:spacing w:line="276" w:lineRule="auto"/>
        <w:rPr>
          <w:rFonts w:eastAsia="Times New Roman" w:cs="Times New Roman"/>
          <w:b/>
          <w:sz w:val="28"/>
          <w:szCs w:val="28"/>
        </w:rPr>
      </w:pPr>
      <w:bookmarkStart w:id="35" w:name="_it0p1bhqec2u" w:colFirst="0" w:colLast="0"/>
      <w:bookmarkStart w:id="36" w:name="_Toc198647436"/>
      <w:bookmarkEnd w:id="35"/>
      <w:r w:rsidRPr="00B2211C">
        <w:rPr>
          <w:szCs w:val="28"/>
        </w:rPr>
        <w:br w:type="page"/>
      </w:r>
    </w:p>
    <w:p w14:paraId="004FD24C" w14:textId="210D54DC" w:rsidR="007745E9" w:rsidRPr="00B2211C" w:rsidRDefault="00DD163F" w:rsidP="00461A87">
      <w:pPr>
        <w:pStyle w:val="Heading1"/>
        <w:spacing w:line="480" w:lineRule="auto"/>
        <w:rPr>
          <w:b w:val="0"/>
          <w:szCs w:val="28"/>
        </w:rPr>
      </w:pPr>
      <w:bookmarkStart w:id="37" w:name="_Toc198671577"/>
      <w:r w:rsidRPr="00B2211C">
        <w:rPr>
          <w:szCs w:val="28"/>
        </w:rPr>
        <w:lastRenderedPageBreak/>
        <w:t>Conclusion</w:t>
      </w:r>
      <w:bookmarkEnd w:id="36"/>
      <w:bookmarkEnd w:id="37"/>
      <w:r w:rsidRPr="00B2211C">
        <w:rPr>
          <w:szCs w:val="28"/>
        </w:rPr>
        <w:t xml:space="preserve"> </w:t>
      </w:r>
    </w:p>
    <w:p w14:paraId="114356E6"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It concluded that the consultancy report has thoroughly analysed the operational challenges faced by </w:t>
      </w:r>
      <w:r w:rsidRPr="00B2211C">
        <w:rPr>
          <w:rFonts w:eastAsia="Times New Roman" w:cs="Times New Roman"/>
          <w:i/>
          <w:szCs w:val="24"/>
        </w:rPr>
        <w:t>Marriott London County Hall</w:t>
      </w:r>
      <w:r w:rsidRPr="00B2211C">
        <w:rPr>
          <w:rFonts w:eastAsia="Times New Roman" w:cs="Times New Roman"/>
          <w:szCs w:val="24"/>
        </w:rPr>
        <w:t xml:space="preserve">, with a primary focus on the significant rise based on energy costs as well as its resulting impact on the hotel’s budget, staff operations, based on guest experience. The analysis has been focused on the </w:t>
      </w:r>
      <w:r w:rsidRPr="00B2211C">
        <w:rPr>
          <w:rFonts w:eastAsia="Times New Roman" w:cs="Times New Roman"/>
          <w:i/>
          <w:szCs w:val="24"/>
        </w:rPr>
        <w:t>Grade II-listed historic property</w:t>
      </w:r>
      <w:r w:rsidRPr="00B2211C">
        <w:rPr>
          <w:rFonts w:eastAsia="Times New Roman" w:cs="Times New Roman"/>
          <w:szCs w:val="24"/>
        </w:rPr>
        <w:t xml:space="preserve">, as the hotel is disproportionately affected by volatile energy prices caused by outdated infrastructure, with the limitations of energy-efficient technologies. Moreover, behavioural factors like inconsistent staff energy practices as well as minimal guest involvement in sustainability exacerbate the issue, creating further operational strain. Thus, it is considered that the application of analytical frameworks, including STEEPLED, SWOT, as well as TOWS, this report has been addressed by the multifaceted nature of the issue, built on a solid strategic foundation for development. The STEEPLED analysis has been highlighting how political, environmental, as well as technological pressures contribute to developed energy expenditure based on the hospitality sector. The SWOT analysis has focused on </w:t>
      </w:r>
      <w:r w:rsidRPr="00B2211C">
        <w:rPr>
          <w:rFonts w:eastAsia="Times New Roman" w:cs="Times New Roman"/>
          <w:i/>
          <w:szCs w:val="24"/>
        </w:rPr>
        <w:t>Marriott London County Hall’</w:t>
      </w:r>
      <w:r w:rsidRPr="00B2211C">
        <w:rPr>
          <w:rFonts w:eastAsia="Times New Roman" w:cs="Times New Roman"/>
          <w:szCs w:val="24"/>
        </w:rPr>
        <w:t>s strong brand identity, loyal customer base, as well as prime location, which provides a stable platform for adapting to change. The TOWS matrix has been mapped to identify these strengths as weaknesses to actionable strategies, leading to carefully designed recommendations.</w:t>
      </w:r>
    </w:p>
    <w:p w14:paraId="5F696C41"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On the other hand, the key strategies have included retrofitting by building with modern energy-saving infrastructure, launching for targeted energy awareness programme for staff, as well as introducing digital systems for involving as sustainability practices. It is stated that a comprehensive action plan has been presented, outlining, by issue, as corresponding solution, expected outcomes, timeframes, with reasonable budgets by the size with scope of the hotel. Therefore, it is considered that, in total, the proposed investment of up to £180,000 is expected to </w:t>
      </w:r>
      <w:r w:rsidRPr="00B2211C">
        <w:rPr>
          <w:rFonts w:eastAsia="Times New Roman" w:cs="Times New Roman"/>
          <w:szCs w:val="24"/>
        </w:rPr>
        <w:lastRenderedPageBreak/>
        <w:t>deliver strong long-term returns, specifically by a projected 20% reduction in energy costs as well as developed stakeholder satisfaction. It is observed that to support the successful implementation of these recommendations, the report has integrated recognised change management models, including using Lewin’s Change Management Model, Kotter’s 8-Step Process, as well as ADKAR, to ensure that staff adaptation, communication, with long-term commitment are prioritised during transition. These theories have been provided by the structure, as well as reassurance that the proposed changes by introduce minimal disruption for maximum impact.</w:t>
      </w:r>
    </w:p>
    <w:p w14:paraId="6A6AD262" w14:textId="77777777" w:rsidR="007745E9" w:rsidRPr="00B2211C" w:rsidRDefault="00DD163F" w:rsidP="00461A87">
      <w:pPr>
        <w:jc w:val="both"/>
        <w:rPr>
          <w:rFonts w:eastAsia="Times New Roman" w:cs="Times New Roman"/>
          <w:szCs w:val="24"/>
        </w:rPr>
      </w:pPr>
      <w:r w:rsidRPr="00B2211C">
        <w:rPr>
          <w:rFonts w:eastAsia="Times New Roman" w:cs="Times New Roman"/>
          <w:szCs w:val="24"/>
        </w:rPr>
        <w:t xml:space="preserve">After that, it is summarising that the findings and strategies outlined by the report provide </w:t>
      </w:r>
      <w:r w:rsidRPr="00B2211C">
        <w:rPr>
          <w:rFonts w:eastAsia="Times New Roman" w:cs="Times New Roman"/>
          <w:i/>
          <w:szCs w:val="24"/>
        </w:rPr>
        <w:t>Marriott London County Hall</w:t>
      </w:r>
      <w:r w:rsidRPr="00B2211C">
        <w:rPr>
          <w:rFonts w:eastAsia="Times New Roman" w:cs="Times New Roman"/>
          <w:szCs w:val="24"/>
        </w:rPr>
        <w:t xml:space="preserve"> as a viable pathway to overcome current operational inefficiencies while simultaneously reinforcing based on the brand reputation as a sustainable as well as forward-thinking luxury hotel. It is observed that targeted investment, developed internal engagement, with active guest involvement, enables the hotel to safeguard by long-term profitability with environmental responsibility. Moreover, it is considered that </w:t>
      </w:r>
      <w:r w:rsidRPr="00B2211C">
        <w:rPr>
          <w:rFonts w:eastAsia="Times New Roman" w:cs="Times New Roman"/>
          <w:i/>
          <w:szCs w:val="24"/>
        </w:rPr>
        <w:t>Marriott London County Hall</w:t>
      </w:r>
      <w:r w:rsidRPr="00B2211C">
        <w:rPr>
          <w:rFonts w:eastAsia="Times New Roman" w:cs="Times New Roman"/>
          <w:szCs w:val="24"/>
        </w:rPr>
        <w:t xml:space="preserve"> entrusted a consultancy firm with the opportunity to explore as well as improve, and develop solutions for this important issue. Therefore, it is observed that pleasure is gained by collaborating on a project of strategic importance in the future to support Marriott’s journey towards operational excellence as well as sustainability leadership.</w:t>
      </w:r>
    </w:p>
    <w:p w14:paraId="1F15E4AD" w14:textId="77777777" w:rsidR="0009783C" w:rsidRPr="00B2211C" w:rsidRDefault="0009783C" w:rsidP="00461A87">
      <w:pPr>
        <w:rPr>
          <w:rFonts w:eastAsia="Times New Roman" w:cs="Times New Roman"/>
          <w:szCs w:val="24"/>
        </w:rPr>
      </w:pPr>
      <w:r w:rsidRPr="00B2211C">
        <w:rPr>
          <w:rFonts w:eastAsia="Times New Roman" w:cs="Times New Roman"/>
          <w:szCs w:val="24"/>
        </w:rPr>
        <w:br w:type="page"/>
      </w:r>
    </w:p>
    <w:p w14:paraId="25F289FB" w14:textId="3CFCBAC6" w:rsidR="007745E9" w:rsidRPr="00B2211C" w:rsidRDefault="0009783C" w:rsidP="00461A87">
      <w:pPr>
        <w:pStyle w:val="Heading1"/>
        <w:spacing w:line="480" w:lineRule="auto"/>
      </w:pPr>
      <w:bookmarkStart w:id="38" w:name="_Toc198647437"/>
      <w:bookmarkStart w:id="39" w:name="_Toc198671578"/>
      <w:r w:rsidRPr="00B2211C">
        <w:lastRenderedPageBreak/>
        <w:t>Reference</w:t>
      </w:r>
      <w:bookmarkEnd w:id="38"/>
      <w:r w:rsidR="00B24902" w:rsidRPr="00B2211C">
        <w:t>s</w:t>
      </w:r>
      <w:bookmarkEnd w:id="39"/>
    </w:p>
    <w:p w14:paraId="64A42072"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Aldy, J.E., </w:t>
      </w:r>
      <w:r w:rsidRPr="00B2211C">
        <w:rPr>
          <w:color w:val="000000"/>
          <w:lang w:val="en-GB"/>
        </w:rPr>
        <w:t>(2025)</w:t>
      </w:r>
      <w:r w:rsidRPr="00B2211C">
        <w:rPr>
          <w:color w:val="222222"/>
          <w:shd w:val="clear" w:color="auto" w:fill="FFFFFF"/>
          <w:lang w:val="en-GB"/>
        </w:rPr>
        <w:t xml:space="preserve">. How Big is the “Biggest Climate Spending Bill Ever”? Key Factors Influencing the Inflation Reduction act’s Clean Energy Impacts. </w:t>
      </w:r>
      <w:r w:rsidRPr="00B2211C">
        <w:rPr>
          <w:i/>
          <w:iCs/>
          <w:color w:val="222222"/>
          <w:shd w:val="clear" w:color="auto" w:fill="FFFFFF"/>
          <w:lang w:val="en-GB"/>
        </w:rPr>
        <w:t>National Tax Journal</w:t>
      </w:r>
      <w:r w:rsidRPr="00B2211C">
        <w:rPr>
          <w:color w:val="222222"/>
          <w:shd w:val="clear" w:color="auto" w:fill="FFFFFF"/>
          <w:lang w:val="en-GB"/>
        </w:rPr>
        <w:t xml:space="preserve">, </w:t>
      </w:r>
      <w:r w:rsidRPr="00B2211C">
        <w:rPr>
          <w:i/>
          <w:iCs/>
          <w:color w:val="222222"/>
          <w:shd w:val="clear" w:color="auto" w:fill="FFFFFF"/>
          <w:lang w:val="en-GB"/>
        </w:rPr>
        <w:t>78</w:t>
      </w:r>
      <w:r w:rsidRPr="00B2211C">
        <w:rPr>
          <w:color w:val="222222"/>
          <w:shd w:val="clear" w:color="auto" w:fill="FFFFFF"/>
          <w:lang w:val="en-GB"/>
        </w:rPr>
        <w:t>(1), pp.000-000.</w:t>
      </w:r>
    </w:p>
    <w:p w14:paraId="077DB372"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Algül, Y., </w:t>
      </w:r>
      <w:r w:rsidRPr="00B2211C">
        <w:rPr>
          <w:color w:val="000000"/>
          <w:lang w:val="en-GB"/>
        </w:rPr>
        <w:t>(2025)</w:t>
      </w:r>
      <w:r w:rsidRPr="00B2211C">
        <w:rPr>
          <w:color w:val="222222"/>
          <w:shd w:val="clear" w:color="auto" w:fill="FFFFFF"/>
          <w:lang w:val="en-GB"/>
        </w:rPr>
        <w:t xml:space="preserve">. THE IMPACT OF RENEWABLE ENERGY CONSUMPTION ON BUDGET DEFICIT: INSIGHTS FROM OECD COUNTRIES. </w:t>
      </w:r>
      <w:r w:rsidRPr="00B2211C">
        <w:rPr>
          <w:i/>
          <w:iCs/>
          <w:color w:val="222222"/>
          <w:shd w:val="clear" w:color="auto" w:fill="FFFFFF"/>
          <w:lang w:val="en-GB"/>
        </w:rPr>
        <w:t>Sayıştay Dergisi</w:t>
      </w:r>
      <w:r w:rsidRPr="00B2211C">
        <w:rPr>
          <w:color w:val="222222"/>
          <w:shd w:val="clear" w:color="auto" w:fill="FFFFFF"/>
          <w:lang w:val="en-GB"/>
        </w:rPr>
        <w:t>, (135), pp.665-690.</w:t>
      </w:r>
    </w:p>
    <w:p w14:paraId="7C59E3D1"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Bauer, P., </w:t>
      </w:r>
      <w:r w:rsidRPr="00B2211C">
        <w:rPr>
          <w:color w:val="000000"/>
          <w:lang w:val="en-GB"/>
        </w:rPr>
        <w:t>(2025)</w:t>
      </w:r>
      <w:r w:rsidRPr="00B2211C">
        <w:rPr>
          <w:color w:val="222222"/>
          <w:shd w:val="clear" w:color="auto" w:fill="FFFFFF"/>
          <w:lang w:val="en-GB"/>
        </w:rPr>
        <w:t xml:space="preserve">. Organization and Change Management. In </w:t>
      </w:r>
      <w:r w:rsidRPr="00B2211C">
        <w:rPr>
          <w:i/>
          <w:iCs/>
          <w:color w:val="222222"/>
          <w:shd w:val="clear" w:color="auto" w:fill="FFFFFF"/>
          <w:lang w:val="en-GB"/>
        </w:rPr>
        <w:t>A Comprehensive Project Management Guide: Quality Management, Integrated Six-Sigma and Change Management Compilation</w:t>
      </w:r>
      <w:r w:rsidRPr="00B2211C">
        <w:rPr>
          <w:color w:val="222222"/>
          <w:shd w:val="clear" w:color="auto" w:fill="FFFFFF"/>
          <w:lang w:val="en-GB"/>
        </w:rPr>
        <w:t xml:space="preserve"> (pp. 251-279). Cham: Springer Nature Switzerland.</w:t>
      </w:r>
    </w:p>
    <w:p w14:paraId="1F85CD1A"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Carreño, A.M., </w:t>
      </w:r>
      <w:r w:rsidRPr="00B2211C">
        <w:rPr>
          <w:color w:val="000000"/>
          <w:lang w:val="en-GB"/>
        </w:rPr>
        <w:t>(2024)</w:t>
      </w:r>
      <w:r w:rsidRPr="00B2211C">
        <w:rPr>
          <w:color w:val="222222"/>
          <w:shd w:val="clear" w:color="auto" w:fill="FFFFFF"/>
          <w:lang w:val="en-GB"/>
        </w:rPr>
        <w:t xml:space="preserve">. An Analytical Review of John Kotter's Change Leadership Framework: A Modern Approach to Sustainable Organizational Transformation. </w:t>
      </w:r>
      <w:r w:rsidRPr="00B2211C">
        <w:rPr>
          <w:i/>
          <w:iCs/>
          <w:color w:val="222222"/>
          <w:shd w:val="clear" w:color="auto" w:fill="FFFFFF"/>
          <w:lang w:val="en-GB"/>
        </w:rPr>
        <w:t>Available at SSRN 5044428</w:t>
      </w:r>
      <w:r w:rsidRPr="00B2211C">
        <w:rPr>
          <w:color w:val="222222"/>
          <w:shd w:val="clear" w:color="auto" w:fill="FFFFFF"/>
          <w:lang w:val="en-GB"/>
        </w:rPr>
        <w:t>.</w:t>
      </w:r>
    </w:p>
    <w:p w14:paraId="6B1A21CE"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Carron, K. and Lioubimtseva, E., </w:t>
      </w:r>
      <w:r w:rsidRPr="00B2211C">
        <w:rPr>
          <w:color w:val="000000"/>
          <w:lang w:val="en-GB"/>
        </w:rPr>
        <w:t>(2025)</w:t>
      </w:r>
      <w:r w:rsidRPr="00B2211C">
        <w:rPr>
          <w:color w:val="222222"/>
          <w:shd w:val="clear" w:color="auto" w:fill="FFFFFF"/>
          <w:lang w:val="en-GB"/>
        </w:rPr>
        <w:t xml:space="preserve">. Ethics as a Missing Link Between Human Happiness and Environmental Sustainability. </w:t>
      </w:r>
      <w:r w:rsidRPr="00B2211C">
        <w:rPr>
          <w:i/>
          <w:iCs/>
          <w:color w:val="222222"/>
          <w:shd w:val="clear" w:color="auto" w:fill="FFFFFF"/>
          <w:lang w:val="en-GB"/>
        </w:rPr>
        <w:t>Sustainability</w:t>
      </w:r>
      <w:r w:rsidRPr="00B2211C">
        <w:rPr>
          <w:color w:val="222222"/>
          <w:shd w:val="clear" w:color="auto" w:fill="FFFFFF"/>
          <w:lang w:val="en-GB"/>
        </w:rPr>
        <w:t xml:space="preserve">, </w:t>
      </w:r>
      <w:r w:rsidRPr="00B2211C">
        <w:rPr>
          <w:i/>
          <w:iCs/>
          <w:color w:val="222222"/>
          <w:shd w:val="clear" w:color="auto" w:fill="FFFFFF"/>
          <w:lang w:val="en-GB"/>
        </w:rPr>
        <w:t>17</w:t>
      </w:r>
      <w:r w:rsidRPr="00B2211C">
        <w:rPr>
          <w:color w:val="222222"/>
          <w:shd w:val="clear" w:color="auto" w:fill="FFFFFF"/>
          <w:lang w:val="en-GB"/>
        </w:rPr>
        <w:t>(4), p.1732.</w:t>
      </w:r>
    </w:p>
    <w:p w14:paraId="648FC0FD"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Desroches, C., Chauvin, M., Ladan, L., Vateau, C., Gosset, S. and Cordier, P., </w:t>
      </w:r>
      <w:r w:rsidRPr="00B2211C">
        <w:rPr>
          <w:color w:val="000000"/>
          <w:lang w:val="en-GB"/>
        </w:rPr>
        <w:t>(2025)</w:t>
      </w:r>
      <w:r w:rsidRPr="00B2211C">
        <w:rPr>
          <w:color w:val="222222"/>
          <w:shd w:val="clear" w:color="auto" w:fill="FFFFFF"/>
          <w:lang w:val="en-GB"/>
        </w:rPr>
        <w:t xml:space="preserve">. Exploring the sustainable scaling of AI dilemma: A projective study of corporations' AI environmental impacts. </w:t>
      </w:r>
      <w:r w:rsidRPr="00B2211C">
        <w:rPr>
          <w:i/>
          <w:iCs/>
          <w:color w:val="222222"/>
          <w:shd w:val="clear" w:color="auto" w:fill="FFFFFF"/>
          <w:lang w:val="en-GB"/>
        </w:rPr>
        <w:t>arXiv preprint arXiv:2501.14334</w:t>
      </w:r>
      <w:r w:rsidRPr="00B2211C">
        <w:rPr>
          <w:color w:val="222222"/>
          <w:shd w:val="clear" w:color="auto" w:fill="FFFFFF"/>
          <w:lang w:val="en-GB"/>
        </w:rPr>
        <w:t>.</w:t>
      </w:r>
    </w:p>
    <w:p w14:paraId="79EB8C23"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Engmann, A., Eluerkeh, E. and Ngwakwe, C., </w:t>
      </w:r>
      <w:r w:rsidRPr="00B2211C">
        <w:rPr>
          <w:color w:val="000000"/>
          <w:lang w:val="en-GB"/>
        </w:rPr>
        <w:t>(2024)</w:t>
      </w:r>
      <w:r w:rsidRPr="00B2211C">
        <w:rPr>
          <w:color w:val="222222"/>
          <w:shd w:val="clear" w:color="auto" w:fill="FFFFFF"/>
          <w:lang w:val="en-GB"/>
        </w:rPr>
        <w:t xml:space="preserve">. Leading Change by Design-Integrating Design thinking with Kotter’s 8 Step Process. </w:t>
      </w:r>
      <w:r w:rsidRPr="00B2211C">
        <w:rPr>
          <w:i/>
          <w:iCs/>
          <w:color w:val="222222"/>
          <w:shd w:val="clear" w:color="auto" w:fill="FFFFFF"/>
          <w:lang w:val="en-GB"/>
        </w:rPr>
        <w:t>HOLISTICA Journal of Business and Public Administration</w:t>
      </w:r>
      <w:r w:rsidRPr="00B2211C">
        <w:rPr>
          <w:color w:val="222222"/>
          <w:shd w:val="clear" w:color="auto" w:fill="FFFFFF"/>
          <w:lang w:val="en-GB"/>
        </w:rPr>
        <w:t xml:space="preserve">, </w:t>
      </w:r>
      <w:r w:rsidRPr="00B2211C">
        <w:rPr>
          <w:i/>
          <w:iCs/>
          <w:color w:val="222222"/>
          <w:shd w:val="clear" w:color="auto" w:fill="FFFFFF"/>
          <w:lang w:val="en-GB"/>
        </w:rPr>
        <w:t>15</w:t>
      </w:r>
      <w:r w:rsidRPr="00B2211C">
        <w:rPr>
          <w:color w:val="222222"/>
          <w:shd w:val="clear" w:color="auto" w:fill="FFFFFF"/>
          <w:lang w:val="en-GB"/>
        </w:rPr>
        <w:t>(2), pp.127-141.</w:t>
      </w:r>
    </w:p>
    <w:p w14:paraId="5C6C1FF0"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Erdogan, S. and Pata, U.K., </w:t>
      </w:r>
      <w:r w:rsidRPr="00B2211C">
        <w:rPr>
          <w:color w:val="000000"/>
          <w:lang w:val="en-GB"/>
        </w:rPr>
        <w:t>(2025)</w:t>
      </w:r>
      <w:r w:rsidRPr="00B2211C">
        <w:rPr>
          <w:color w:val="222222"/>
          <w:shd w:val="clear" w:color="auto" w:fill="FFFFFF"/>
          <w:lang w:val="en-GB"/>
        </w:rPr>
        <w:t xml:space="preserve">. Uncovering time-, frequency-and quantile-based impacts of energy, fiscal policy instruments, and economic growth on sustainable development. </w:t>
      </w:r>
      <w:r w:rsidRPr="00B2211C">
        <w:rPr>
          <w:i/>
          <w:iCs/>
          <w:color w:val="222222"/>
          <w:shd w:val="clear" w:color="auto" w:fill="FFFFFF"/>
          <w:lang w:val="en-GB"/>
        </w:rPr>
        <w:t>International Journal of Sustainable Development &amp; World Ecology</w:t>
      </w:r>
      <w:r w:rsidRPr="00B2211C">
        <w:rPr>
          <w:color w:val="222222"/>
          <w:shd w:val="clear" w:color="auto" w:fill="FFFFFF"/>
          <w:lang w:val="en-GB"/>
        </w:rPr>
        <w:t xml:space="preserve">, </w:t>
      </w:r>
      <w:r w:rsidRPr="00B2211C">
        <w:rPr>
          <w:i/>
          <w:iCs/>
          <w:color w:val="222222"/>
          <w:shd w:val="clear" w:color="auto" w:fill="FFFFFF"/>
          <w:lang w:val="en-GB"/>
        </w:rPr>
        <w:t>32</w:t>
      </w:r>
      <w:r w:rsidRPr="00B2211C">
        <w:rPr>
          <w:color w:val="222222"/>
          <w:shd w:val="clear" w:color="auto" w:fill="FFFFFF"/>
          <w:lang w:val="en-GB"/>
        </w:rPr>
        <w:t>(1), pp.65-79.</w:t>
      </w:r>
    </w:p>
    <w:p w14:paraId="3B121287"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lastRenderedPageBreak/>
        <w:t xml:space="preserve">García, H. and López, J., </w:t>
      </w:r>
      <w:r w:rsidRPr="00B2211C">
        <w:rPr>
          <w:color w:val="000000"/>
          <w:lang w:val="en-GB"/>
        </w:rPr>
        <w:t>(2025)</w:t>
      </w:r>
      <w:r w:rsidRPr="00B2211C">
        <w:rPr>
          <w:color w:val="222222"/>
          <w:shd w:val="clear" w:color="auto" w:fill="FFFFFF"/>
          <w:lang w:val="en-GB"/>
        </w:rPr>
        <w:t xml:space="preserve">. Tourism Development in Fragile Ecosystems: Promoting Responsible Practices in Ecotourism. </w:t>
      </w:r>
      <w:r w:rsidRPr="00B2211C">
        <w:rPr>
          <w:i/>
          <w:iCs/>
          <w:color w:val="222222"/>
          <w:shd w:val="clear" w:color="auto" w:fill="FFFFFF"/>
          <w:lang w:val="en-GB"/>
        </w:rPr>
        <w:t>Journal of Tourism, Culture, and Management Studies</w:t>
      </w:r>
      <w:r w:rsidRPr="00B2211C">
        <w:rPr>
          <w:color w:val="222222"/>
          <w:shd w:val="clear" w:color="auto" w:fill="FFFFFF"/>
          <w:lang w:val="en-GB"/>
        </w:rPr>
        <w:t xml:space="preserve">, </w:t>
      </w:r>
      <w:r w:rsidRPr="00B2211C">
        <w:rPr>
          <w:i/>
          <w:iCs/>
          <w:color w:val="222222"/>
          <w:shd w:val="clear" w:color="auto" w:fill="FFFFFF"/>
          <w:lang w:val="en-GB"/>
        </w:rPr>
        <w:t>2</w:t>
      </w:r>
      <w:r w:rsidRPr="00B2211C">
        <w:rPr>
          <w:color w:val="222222"/>
          <w:shd w:val="clear" w:color="auto" w:fill="FFFFFF"/>
          <w:lang w:val="en-GB"/>
        </w:rPr>
        <w:t>(1), pp.47-61.</w:t>
      </w:r>
    </w:p>
    <w:p w14:paraId="3F5DA4CD"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George, R., </w:t>
      </w:r>
      <w:r w:rsidRPr="00B2211C">
        <w:rPr>
          <w:color w:val="000000"/>
          <w:lang w:val="en-GB"/>
        </w:rPr>
        <w:t>(2025)</w:t>
      </w:r>
      <w:r w:rsidRPr="00B2211C">
        <w:rPr>
          <w:color w:val="222222"/>
          <w:shd w:val="clear" w:color="auto" w:fill="FFFFFF"/>
          <w:lang w:val="en-GB"/>
        </w:rPr>
        <w:t xml:space="preserve">. Quality Service Experiences Through Internal and Relationship Marketing. In </w:t>
      </w:r>
      <w:r w:rsidRPr="00B2211C">
        <w:rPr>
          <w:i/>
          <w:iCs/>
          <w:color w:val="222222"/>
          <w:shd w:val="clear" w:color="auto" w:fill="FFFFFF"/>
          <w:lang w:val="en-GB"/>
        </w:rPr>
        <w:t>Marketing Tourism and Hospitality: Concepts and Cases</w:t>
      </w:r>
      <w:r w:rsidRPr="00B2211C">
        <w:rPr>
          <w:color w:val="222222"/>
          <w:shd w:val="clear" w:color="auto" w:fill="FFFFFF"/>
          <w:lang w:val="en-GB"/>
        </w:rPr>
        <w:t xml:space="preserve"> (pp. 385-413). Cham: Springer Nature Switzerland.</w:t>
      </w:r>
    </w:p>
    <w:p w14:paraId="06882B8F"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George, R., </w:t>
      </w:r>
      <w:r w:rsidRPr="00B2211C">
        <w:rPr>
          <w:color w:val="000000"/>
          <w:lang w:val="en-GB"/>
        </w:rPr>
        <w:t>(2025)</w:t>
      </w:r>
      <w:r w:rsidRPr="00B2211C">
        <w:rPr>
          <w:color w:val="222222"/>
          <w:shd w:val="clear" w:color="auto" w:fill="FFFFFF"/>
          <w:lang w:val="en-GB"/>
        </w:rPr>
        <w:t xml:space="preserve">. The Role of Digital Marketing in Sustainable Tourism. In </w:t>
      </w:r>
      <w:r w:rsidRPr="00B2211C">
        <w:rPr>
          <w:i/>
          <w:iCs/>
          <w:color w:val="222222"/>
          <w:shd w:val="clear" w:color="auto" w:fill="FFFFFF"/>
          <w:lang w:val="en-GB"/>
        </w:rPr>
        <w:t>Leveraging Digital Marketing for Tourism</w:t>
      </w:r>
      <w:r w:rsidRPr="00B2211C">
        <w:rPr>
          <w:color w:val="222222"/>
          <w:shd w:val="clear" w:color="auto" w:fill="FFFFFF"/>
          <w:lang w:val="en-GB"/>
        </w:rPr>
        <w:t xml:space="preserve"> (pp. 1-21). Springer, Cham.</w:t>
      </w:r>
    </w:p>
    <w:p w14:paraId="30FBD3AF"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Guo, L., Liu, Y., Jiang, Z., Yuan, X. and Jing, Q., </w:t>
      </w:r>
      <w:r w:rsidRPr="00B2211C">
        <w:rPr>
          <w:color w:val="000000"/>
          <w:lang w:val="en-GB"/>
        </w:rPr>
        <w:t>(2025)</w:t>
      </w:r>
      <w:r w:rsidRPr="00B2211C">
        <w:rPr>
          <w:color w:val="222222"/>
          <w:shd w:val="clear" w:color="auto" w:fill="FFFFFF"/>
          <w:lang w:val="en-GB"/>
        </w:rPr>
        <w:t xml:space="preserve">. Impact of land prices on corporate carbon emission intensity. </w:t>
      </w:r>
      <w:r w:rsidRPr="00B2211C">
        <w:rPr>
          <w:i/>
          <w:iCs/>
          <w:color w:val="222222"/>
          <w:shd w:val="clear" w:color="auto" w:fill="FFFFFF"/>
          <w:lang w:val="en-GB"/>
        </w:rPr>
        <w:t>Scientific Reports</w:t>
      </w:r>
      <w:r w:rsidRPr="00B2211C">
        <w:rPr>
          <w:color w:val="222222"/>
          <w:shd w:val="clear" w:color="auto" w:fill="FFFFFF"/>
          <w:lang w:val="en-GB"/>
        </w:rPr>
        <w:t xml:space="preserve">, </w:t>
      </w:r>
      <w:r w:rsidRPr="00B2211C">
        <w:rPr>
          <w:i/>
          <w:iCs/>
          <w:color w:val="222222"/>
          <w:shd w:val="clear" w:color="auto" w:fill="FFFFFF"/>
          <w:lang w:val="en-GB"/>
        </w:rPr>
        <w:t>15</w:t>
      </w:r>
      <w:r w:rsidRPr="00B2211C">
        <w:rPr>
          <w:color w:val="222222"/>
          <w:shd w:val="clear" w:color="auto" w:fill="FFFFFF"/>
          <w:lang w:val="en-GB"/>
        </w:rPr>
        <w:t>(1), p.3632.</w:t>
      </w:r>
    </w:p>
    <w:p w14:paraId="47F4A608"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Hudson, S. and Hudson, L., </w:t>
      </w:r>
      <w:r w:rsidRPr="00B2211C">
        <w:rPr>
          <w:color w:val="000000"/>
          <w:lang w:val="en-GB"/>
        </w:rPr>
        <w:t>(2025)</w:t>
      </w:r>
      <w:r w:rsidRPr="00B2211C">
        <w:rPr>
          <w:color w:val="222222"/>
          <w:shd w:val="clear" w:color="auto" w:fill="FFFFFF"/>
          <w:lang w:val="en-GB"/>
        </w:rPr>
        <w:t xml:space="preserve">. </w:t>
      </w:r>
      <w:r w:rsidRPr="00B2211C">
        <w:rPr>
          <w:i/>
          <w:iCs/>
          <w:color w:val="222222"/>
          <w:shd w:val="clear" w:color="auto" w:fill="FFFFFF"/>
          <w:lang w:val="en-GB"/>
        </w:rPr>
        <w:t>Customer service for hospitality and tourism</w:t>
      </w:r>
      <w:r w:rsidRPr="00B2211C">
        <w:rPr>
          <w:color w:val="222222"/>
          <w:shd w:val="clear" w:color="auto" w:fill="FFFFFF"/>
          <w:lang w:val="en-GB"/>
        </w:rPr>
        <w:t>. Goodfellow Publishers Ltd.</w:t>
      </w:r>
    </w:p>
    <w:p w14:paraId="0F92695C"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Hudson, S., </w:t>
      </w:r>
      <w:r w:rsidRPr="00B2211C">
        <w:rPr>
          <w:color w:val="000000"/>
          <w:lang w:val="en-GB"/>
        </w:rPr>
        <w:t>(2025)</w:t>
      </w:r>
      <w:r w:rsidRPr="00B2211C">
        <w:rPr>
          <w:color w:val="222222"/>
          <w:shd w:val="clear" w:color="auto" w:fill="FFFFFF"/>
          <w:lang w:val="en-GB"/>
        </w:rPr>
        <w:t xml:space="preserve">. </w:t>
      </w:r>
      <w:r w:rsidRPr="00B2211C">
        <w:rPr>
          <w:i/>
          <w:iCs/>
          <w:color w:val="222222"/>
          <w:shd w:val="clear" w:color="auto" w:fill="FFFFFF"/>
          <w:lang w:val="en-GB"/>
        </w:rPr>
        <w:t>Hospitality Management: International Introduction</w:t>
      </w:r>
      <w:r w:rsidRPr="00B2211C">
        <w:rPr>
          <w:color w:val="222222"/>
          <w:shd w:val="clear" w:color="auto" w:fill="FFFFFF"/>
          <w:lang w:val="en-GB"/>
        </w:rPr>
        <w:t>. Taylor &amp; Francis.</w:t>
      </w:r>
    </w:p>
    <w:p w14:paraId="7EE0A9D6"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Ildiri, N., Biesiada, E., Facchinetti, T., Anglani, N., Ahmed, N. and Hernandez, M., </w:t>
      </w:r>
      <w:r w:rsidRPr="00B2211C">
        <w:rPr>
          <w:color w:val="000000"/>
          <w:lang w:val="en-GB"/>
        </w:rPr>
        <w:t>(2025)</w:t>
      </w:r>
      <w:r w:rsidRPr="00B2211C">
        <w:rPr>
          <w:color w:val="222222"/>
          <w:shd w:val="clear" w:color="auto" w:fill="FFFFFF"/>
          <w:lang w:val="en-GB"/>
        </w:rPr>
        <w:t xml:space="preserve">. Impacts of HVAC cleaning on energy consumption and supply airflow: A multi-climate evaluation. </w:t>
      </w:r>
      <w:r w:rsidRPr="00B2211C">
        <w:rPr>
          <w:i/>
          <w:iCs/>
          <w:color w:val="222222"/>
          <w:shd w:val="clear" w:color="auto" w:fill="FFFFFF"/>
          <w:lang w:val="en-GB"/>
        </w:rPr>
        <w:t>Energy and Buildings</w:t>
      </w:r>
      <w:r w:rsidRPr="00B2211C">
        <w:rPr>
          <w:color w:val="222222"/>
          <w:shd w:val="clear" w:color="auto" w:fill="FFFFFF"/>
          <w:lang w:val="en-GB"/>
        </w:rPr>
        <w:t xml:space="preserve">, </w:t>
      </w:r>
      <w:r w:rsidRPr="00B2211C">
        <w:rPr>
          <w:i/>
          <w:iCs/>
          <w:color w:val="222222"/>
          <w:shd w:val="clear" w:color="auto" w:fill="FFFFFF"/>
          <w:lang w:val="en-GB"/>
        </w:rPr>
        <w:t>328</w:t>
      </w:r>
      <w:r w:rsidRPr="00B2211C">
        <w:rPr>
          <w:color w:val="222222"/>
          <w:shd w:val="clear" w:color="auto" w:fill="FFFFFF"/>
          <w:lang w:val="en-GB"/>
        </w:rPr>
        <w:t>, p.115147.</w:t>
      </w:r>
    </w:p>
    <w:p w14:paraId="0BE07886"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Karasu, A., Nasrollahi, F., Francis, M. and Kriegel, M., </w:t>
      </w:r>
      <w:r w:rsidRPr="00B2211C">
        <w:rPr>
          <w:color w:val="000000"/>
          <w:lang w:val="en-GB"/>
        </w:rPr>
        <w:t xml:space="preserve">(2025). </w:t>
      </w:r>
      <w:r w:rsidRPr="00B2211C">
        <w:rPr>
          <w:color w:val="222222"/>
          <w:shd w:val="clear" w:color="auto" w:fill="FFFFFF"/>
          <w:lang w:val="en-GB"/>
        </w:rPr>
        <w:t xml:space="preserve">The Impact of Covid-19 and the European Energy Crisis on the Energy Consumption of Buildings in a German University. </w:t>
      </w:r>
      <w:r w:rsidRPr="00B2211C">
        <w:rPr>
          <w:i/>
          <w:iCs/>
          <w:color w:val="222222"/>
          <w:shd w:val="clear" w:color="auto" w:fill="FFFFFF"/>
          <w:lang w:val="en-GB"/>
        </w:rPr>
        <w:t>Available at SSRN 5081540</w:t>
      </w:r>
      <w:r w:rsidRPr="00B2211C">
        <w:rPr>
          <w:color w:val="222222"/>
          <w:shd w:val="clear" w:color="auto" w:fill="FFFFFF"/>
          <w:lang w:val="en-GB"/>
        </w:rPr>
        <w:t>.</w:t>
      </w:r>
    </w:p>
    <w:p w14:paraId="3D7C50DF"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Leuratti, N., Marangoni, G., Drouet, L., Kamp, L.M. and Kwakkel, J., </w:t>
      </w:r>
      <w:r w:rsidRPr="00B2211C">
        <w:rPr>
          <w:color w:val="000000"/>
          <w:lang w:val="en-GB"/>
        </w:rPr>
        <w:t>(2025)</w:t>
      </w:r>
      <w:r w:rsidRPr="00B2211C">
        <w:rPr>
          <w:color w:val="222222"/>
          <w:shd w:val="clear" w:color="auto" w:fill="FFFFFF"/>
          <w:lang w:val="en-GB"/>
        </w:rPr>
        <w:t xml:space="preserve">. Green hydrogen in the iron and steel industry increases resilience against shocks in energy prices. </w:t>
      </w:r>
      <w:r w:rsidRPr="00B2211C">
        <w:rPr>
          <w:i/>
          <w:iCs/>
          <w:color w:val="222222"/>
          <w:shd w:val="clear" w:color="auto" w:fill="FFFFFF"/>
          <w:lang w:val="en-GB"/>
        </w:rPr>
        <w:t>Environmental Research Letters</w:t>
      </w:r>
      <w:r w:rsidRPr="00B2211C">
        <w:rPr>
          <w:color w:val="222222"/>
          <w:shd w:val="clear" w:color="auto" w:fill="FFFFFF"/>
          <w:lang w:val="en-GB"/>
        </w:rPr>
        <w:t xml:space="preserve">, </w:t>
      </w:r>
      <w:r w:rsidRPr="00B2211C">
        <w:rPr>
          <w:i/>
          <w:iCs/>
          <w:color w:val="222222"/>
          <w:shd w:val="clear" w:color="auto" w:fill="FFFFFF"/>
          <w:lang w:val="en-GB"/>
        </w:rPr>
        <w:t>20</w:t>
      </w:r>
      <w:r w:rsidRPr="00B2211C">
        <w:rPr>
          <w:color w:val="222222"/>
          <w:shd w:val="clear" w:color="auto" w:fill="FFFFFF"/>
          <w:lang w:val="en-GB"/>
        </w:rPr>
        <w:t>(2), p.024021.</w:t>
      </w:r>
    </w:p>
    <w:p w14:paraId="65374A95"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lastRenderedPageBreak/>
        <w:t xml:space="preserve">Li, H., Lu, Z., Zhang, Z. and Tanasescu, C., </w:t>
      </w:r>
      <w:r w:rsidRPr="00B2211C">
        <w:rPr>
          <w:color w:val="000000"/>
          <w:lang w:val="en-GB"/>
        </w:rPr>
        <w:t>(2025)</w:t>
      </w:r>
      <w:r w:rsidRPr="00B2211C">
        <w:rPr>
          <w:color w:val="222222"/>
          <w:shd w:val="clear" w:color="auto" w:fill="FFFFFF"/>
          <w:lang w:val="en-GB"/>
        </w:rPr>
        <w:t xml:space="preserve">. How does artificial intelligence affect manufacturing firms' energy intensity?. </w:t>
      </w:r>
      <w:r w:rsidRPr="00B2211C">
        <w:rPr>
          <w:i/>
          <w:iCs/>
          <w:color w:val="222222"/>
          <w:shd w:val="clear" w:color="auto" w:fill="FFFFFF"/>
          <w:lang w:val="en-GB"/>
        </w:rPr>
        <w:t>Energy Economics</w:t>
      </w:r>
      <w:r w:rsidRPr="00B2211C">
        <w:rPr>
          <w:color w:val="222222"/>
          <w:shd w:val="clear" w:color="auto" w:fill="FFFFFF"/>
          <w:lang w:val="en-GB"/>
        </w:rPr>
        <w:t xml:space="preserve">, </w:t>
      </w:r>
      <w:r w:rsidRPr="00B2211C">
        <w:rPr>
          <w:i/>
          <w:iCs/>
          <w:color w:val="222222"/>
          <w:shd w:val="clear" w:color="auto" w:fill="FFFFFF"/>
          <w:lang w:val="en-GB"/>
        </w:rPr>
        <w:t>141</w:t>
      </w:r>
      <w:r w:rsidRPr="00B2211C">
        <w:rPr>
          <w:color w:val="222222"/>
          <w:shd w:val="clear" w:color="auto" w:fill="FFFFFF"/>
          <w:lang w:val="en-GB"/>
        </w:rPr>
        <w:t>, p.108109.</w:t>
      </w:r>
    </w:p>
    <w:p w14:paraId="15353296"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Li, Z. and Liu, J., </w:t>
      </w:r>
      <w:r w:rsidRPr="00B2211C">
        <w:rPr>
          <w:color w:val="000000"/>
          <w:lang w:val="en-GB"/>
        </w:rPr>
        <w:t>(2025)</w:t>
      </w:r>
      <w:r w:rsidRPr="00B2211C">
        <w:rPr>
          <w:color w:val="222222"/>
          <w:shd w:val="clear" w:color="auto" w:fill="FFFFFF"/>
          <w:lang w:val="en-GB"/>
        </w:rPr>
        <w:t xml:space="preserve">. Impact of supply chain digitalization, business enterprise R&amp;D expenditure and government budget allocations for R&amp;D: A roadmap towards carbon neutrality. </w:t>
      </w:r>
      <w:r w:rsidRPr="00B2211C">
        <w:rPr>
          <w:i/>
          <w:iCs/>
          <w:color w:val="222222"/>
          <w:shd w:val="clear" w:color="auto" w:fill="FFFFFF"/>
          <w:lang w:val="en-GB"/>
        </w:rPr>
        <w:t>Energy Economics</w:t>
      </w:r>
      <w:r w:rsidRPr="00B2211C">
        <w:rPr>
          <w:color w:val="222222"/>
          <w:shd w:val="clear" w:color="auto" w:fill="FFFFFF"/>
          <w:lang w:val="en-GB"/>
        </w:rPr>
        <w:t xml:space="preserve">, </w:t>
      </w:r>
      <w:r w:rsidRPr="00B2211C">
        <w:rPr>
          <w:i/>
          <w:iCs/>
          <w:color w:val="222222"/>
          <w:shd w:val="clear" w:color="auto" w:fill="FFFFFF"/>
          <w:lang w:val="en-GB"/>
        </w:rPr>
        <w:t>141</w:t>
      </w:r>
      <w:r w:rsidRPr="00B2211C">
        <w:rPr>
          <w:color w:val="222222"/>
          <w:shd w:val="clear" w:color="auto" w:fill="FFFFFF"/>
          <w:lang w:val="en-GB"/>
        </w:rPr>
        <w:t>, p.108057.</w:t>
      </w:r>
    </w:p>
    <w:p w14:paraId="34E27305"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Liu, Y., Xu, X., Xu, L., Liu, Y., Liu, J., Hu, W., Yang, N., Jawad, S. and Luo, Y., </w:t>
      </w:r>
      <w:r w:rsidRPr="00B2211C">
        <w:rPr>
          <w:color w:val="000000"/>
          <w:lang w:val="en-GB"/>
        </w:rPr>
        <w:t>(2025)</w:t>
      </w:r>
      <w:r w:rsidRPr="00B2211C">
        <w:rPr>
          <w:color w:val="222222"/>
          <w:shd w:val="clear" w:color="auto" w:fill="FFFFFF"/>
          <w:lang w:val="en-GB"/>
        </w:rPr>
        <w:t xml:space="preserve">. Multi-timescale collaborative operation of renewable energy-based power system and Agri-product supply chain considering dynamic energy consumption-based crop growth. </w:t>
      </w:r>
      <w:r w:rsidRPr="00B2211C">
        <w:rPr>
          <w:i/>
          <w:iCs/>
          <w:color w:val="222222"/>
          <w:shd w:val="clear" w:color="auto" w:fill="FFFFFF"/>
          <w:lang w:val="en-GB"/>
        </w:rPr>
        <w:t>Applied Energy</w:t>
      </w:r>
      <w:r w:rsidRPr="00B2211C">
        <w:rPr>
          <w:color w:val="222222"/>
          <w:shd w:val="clear" w:color="auto" w:fill="FFFFFF"/>
          <w:lang w:val="en-GB"/>
        </w:rPr>
        <w:t xml:space="preserve">, </w:t>
      </w:r>
      <w:r w:rsidRPr="00B2211C">
        <w:rPr>
          <w:i/>
          <w:iCs/>
          <w:color w:val="222222"/>
          <w:shd w:val="clear" w:color="auto" w:fill="FFFFFF"/>
          <w:lang w:val="en-GB"/>
        </w:rPr>
        <w:t>377</w:t>
      </w:r>
      <w:r w:rsidRPr="00B2211C">
        <w:rPr>
          <w:color w:val="222222"/>
          <w:shd w:val="clear" w:color="auto" w:fill="FFFFFF"/>
          <w:lang w:val="en-GB"/>
        </w:rPr>
        <w:t>, p.124359.</w:t>
      </w:r>
    </w:p>
    <w:p w14:paraId="6E634814"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000000"/>
          <w:lang w:val="en-GB"/>
        </w:rPr>
        <w:t xml:space="preserve">Marriott London County Hall, (2025), 20th May, [online] Available at: </w:t>
      </w:r>
      <w:hyperlink r:id="rId11" w:history="1">
        <w:r w:rsidRPr="00B2211C">
          <w:rPr>
            <w:rStyle w:val="Hyperlink"/>
            <w:color w:val="1155CC"/>
            <w:shd w:val="clear" w:color="auto" w:fill="FFFFFF"/>
            <w:lang w:val="en-GB"/>
          </w:rPr>
          <w:t>https://www.marriott.com/en-us/hotels/lonch-london-marriott-hotel-county-hall/overview/</w:t>
        </w:r>
      </w:hyperlink>
      <w:r w:rsidRPr="00B2211C">
        <w:rPr>
          <w:color w:val="222222"/>
          <w:shd w:val="clear" w:color="auto" w:fill="FFFFFF"/>
          <w:lang w:val="en-GB"/>
        </w:rPr>
        <w:t xml:space="preserve"> (accessed on: 20/05/2025)</w:t>
      </w:r>
    </w:p>
    <w:p w14:paraId="71D1091F"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Menegaki, A.N., </w:t>
      </w:r>
      <w:r w:rsidRPr="00B2211C">
        <w:rPr>
          <w:color w:val="000000"/>
          <w:lang w:val="en-GB"/>
        </w:rPr>
        <w:t>(2025)</w:t>
      </w:r>
      <w:r w:rsidRPr="00B2211C">
        <w:rPr>
          <w:color w:val="222222"/>
          <w:shd w:val="clear" w:color="auto" w:fill="FFFFFF"/>
          <w:lang w:val="en-GB"/>
        </w:rPr>
        <w:t xml:space="preserve">. Powering Down Hospitality Through a Policy-Driven, Case-Based and Scenario Approach. </w:t>
      </w:r>
      <w:r w:rsidRPr="00B2211C">
        <w:rPr>
          <w:i/>
          <w:iCs/>
          <w:color w:val="222222"/>
          <w:shd w:val="clear" w:color="auto" w:fill="FFFFFF"/>
          <w:lang w:val="en-GB"/>
        </w:rPr>
        <w:t>Energies</w:t>
      </w:r>
      <w:r w:rsidRPr="00B2211C">
        <w:rPr>
          <w:color w:val="222222"/>
          <w:shd w:val="clear" w:color="auto" w:fill="FFFFFF"/>
          <w:lang w:val="en-GB"/>
        </w:rPr>
        <w:t xml:space="preserve">, </w:t>
      </w:r>
      <w:r w:rsidRPr="00B2211C">
        <w:rPr>
          <w:i/>
          <w:iCs/>
          <w:color w:val="222222"/>
          <w:shd w:val="clear" w:color="auto" w:fill="FFFFFF"/>
          <w:lang w:val="en-GB"/>
        </w:rPr>
        <w:t>18</w:t>
      </w:r>
      <w:r w:rsidRPr="00B2211C">
        <w:rPr>
          <w:color w:val="222222"/>
          <w:shd w:val="clear" w:color="auto" w:fill="FFFFFF"/>
          <w:lang w:val="en-GB"/>
        </w:rPr>
        <w:t>(2), pp.1-36.</w:t>
      </w:r>
    </w:p>
    <w:p w14:paraId="7B57CCCA"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Murtaza, G. and Luqman, M., </w:t>
      </w:r>
      <w:r w:rsidRPr="00B2211C">
        <w:rPr>
          <w:color w:val="000000"/>
          <w:lang w:val="en-GB"/>
        </w:rPr>
        <w:t>(2025)</w:t>
      </w:r>
      <w:r w:rsidRPr="00B2211C">
        <w:rPr>
          <w:color w:val="222222"/>
          <w:shd w:val="clear" w:color="auto" w:fill="FFFFFF"/>
          <w:lang w:val="en-GB"/>
        </w:rPr>
        <w:t xml:space="preserve">. Environmental banking, renewable energy projects, and private investments crowd out. In </w:t>
      </w:r>
      <w:r w:rsidRPr="00B2211C">
        <w:rPr>
          <w:i/>
          <w:iCs/>
          <w:color w:val="222222"/>
          <w:shd w:val="clear" w:color="auto" w:fill="FFFFFF"/>
          <w:lang w:val="en-GB"/>
        </w:rPr>
        <w:t>Renewable Energy Projects and Investments</w:t>
      </w:r>
      <w:r w:rsidRPr="00B2211C">
        <w:rPr>
          <w:color w:val="222222"/>
          <w:shd w:val="clear" w:color="auto" w:fill="FFFFFF"/>
          <w:lang w:val="en-GB"/>
        </w:rPr>
        <w:t xml:space="preserve"> (pp. 177-200). Elsevier.</w:t>
      </w:r>
    </w:p>
    <w:p w14:paraId="72585C30"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Nagamalini, T. and Wesley, J.R., </w:t>
      </w:r>
      <w:r w:rsidRPr="00B2211C">
        <w:rPr>
          <w:color w:val="000000"/>
          <w:lang w:val="en-GB"/>
        </w:rPr>
        <w:t>(2025)</w:t>
      </w:r>
      <w:r w:rsidRPr="00B2211C">
        <w:rPr>
          <w:color w:val="222222"/>
          <w:shd w:val="clear" w:color="auto" w:fill="FFFFFF"/>
          <w:lang w:val="en-GB"/>
        </w:rPr>
        <w:t xml:space="preserve">. Pathway for a circular economy: facilitating circularity using the ADKAR model for waste management. </w:t>
      </w:r>
      <w:r w:rsidRPr="00B2211C">
        <w:rPr>
          <w:i/>
          <w:iCs/>
          <w:color w:val="222222"/>
          <w:shd w:val="clear" w:color="auto" w:fill="FFFFFF"/>
          <w:lang w:val="en-GB"/>
        </w:rPr>
        <w:t>Management of Environmental Quality: An International Journal</w:t>
      </w:r>
      <w:r w:rsidRPr="00B2211C">
        <w:rPr>
          <w:color w:val="222222"/>
          <w:shd w:val="clear" w:color="auto" w:fill="FFFFFF"/>
          <w:lang w:val="en-GB"/>
        </w:rPr>
        <w:t xml:space="preserve">, </w:t>
      </w:r>
      <w:r w:rsidRPr="00B2211C">
        <w:rPr>
          <w:i/>
          <w:iCs/>
          <w:color w:val="222222"/>
          <w:shd w:val="clear" w:color="auto" w:fill="FFFFFF"/>
          <w:lang w:val="en-GB"/>
        </w:rPr>
        <w:t>36</w:t>
      </w:r>
      <w:r w:rsidRPr="00B2211C">
        <w:rPr>
          <w:color w:val="222222"/>
          <w:shd w:val="clear" w:color="auto" w:fill="FFFFFF"/>
          <w:lang w:val="en-GB"/>
        </w:rPr>
        <w:t>(4), pp.990-1012.</w:t>
      </w:r>
    </w:p>
    <w:p w14:paraId="42D5928D"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Oktavia, Y.D., </w:t>
      </w:r>
      <w:r w:rsidRPr="00B2211C">
        <w:rPr>
          <w:color w:val="000000"/>
          <w:lang w:val="en-GB"/>
        </w:rPr>
        <w:t>(2024)</w:t>
      </w:r>
      <w:r w:rsidRPr="00B2211C">
        <w:rPr>
          <w:color w:val="222222"/>
          <w:shd w:val="clear" w:color="auto" w:fill="FFFFFF"/>
          <w:lang w:val="en-GB"/>
        </w:rPr>
        <w:t xml:space="preserve">, December. The Successful Implementation of Kotter's 8-Step Change and PPM Transformation Model: Bluebird's Digital Transformation. In </w:t>
      </w:r>
      <w:r w:rsidRPr="00B2211C">
        <w:rPr>
          <w:i/>
          <w:iCs/>
          <w:color w:val="222222"/>
          <w:shd w:val="clear" w:color="auto" w:fill="FFFFFF"/>
          <w:lang w:val="en-GB"/>
        </w:rPr>
        <w:t>ICEETE Conference Series</w:t>
      </w:r>
      <w:r w:rsidRPr="00B2211C">
        <w:rPr>
          <w:color w:val="222222"/>
          <w:shd w:val="clear" w:color="auto" w:fill="FFFFFF"/>
          <w:lang w:val="en-GB"/>
        </w:rPr>
        <w:t xml:space="preserve"> (Vol. 2, No. 1, pp. 41-49).</w:t>
      </w:r>
    </w:p>
    <w:p w14:paraId="16640178"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lastRenderedPageBreak/>
        <w:t xml:space="preserve">Othman, A., </w:t>
      </w:r>
      <w:r w:rsidRPr="00B2211C">
        <w:rPr>
          <w:color w:val="000000"/>
          <w:lang w:val="en-GB"/>
        </w:rPr>
        <w:t>(2025)</w:t>
      </w:r>
      <w:r w:rsidRPr="00B2211C">
        <w:rPr>
          <w:color w:val="222222"/>
          <w:shd w:val="clear" w:color="auto" w:fill="FFFFFF"/>
          <w:lang w:val="en-GB"/>
        </w:rPr>
        <w:t xml:space="preserve">. Design models to explore the dynamics of change management in sports organizations. </w:t>
      </w:r>
      <w:r w:rsidRPr="00B2211C">
        <w:rPr>
          <w:i/>
          <w:iCs/>
          <w:color w:val="222222"/>
          <w:shd w:val="clear" w:color="auto" w:fill="FFFFFF"/>
          <w:lang w:val="en-GB"/>
        </w:rPr>
        <w:t>The Scientific Journal of Physical Education and Sports Sciences</w:t>
      </w:r>
      <w:r w:rsidRPr="00B2211C">
        <w:rPr>
          <w:color w:val="222222"/>
          <w:shd w:val="clear" w:color="auto" w:fill="FFFFFF"/>
          <w:lang w:val="en-GB"/>
        </w:rPr>
        <w:t xml:space="preserve">, </w:t>
      </w:r>
      <w:r w:rsidRPr="00B2211C">
        <w:rPr>
          <w:i/>
          <w:iCs/>
          <w:color w:val="222222"/>
          <w:shd w:val="clear" w:color="auto" w:fill="FFFFFF"/>
          <w:lang w:val="en-GB"/>
        </w:rPr>
        <w:t>53</w:t>
      </w:r>
      <w:r w:rsidRPr="00B2211C">
        <w:rPr>
          <w:color w:val="222222"/>
          <w:shd w:val="clear" w:color="auto" w:fill="FFFFFF"/>
          <w:lang w:val="en-GB"/>
        </w:rPr>
        <w:t>(1), pp.17-35.</w:t>
      </w:r>
    </w:p>
    <w:p w14:paraId="15990EB2"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Pang, K., Dimeas, A.L., Hatziargyriou, N.D., Wang, C. and Wen, F., </w:t>
      </w:r>
      <w:r w:rsidRPr="00B2211C">
        <w:rPr>
          <w:color w:val="000000"/>
          <w:lang w:val="en-GB"/>
        </w:rPr>
        <w:t>(2025)</w:t>
      </w:r>
      <w:r w:rsidRPr="00B2211C">
        <w:rPr>
          <w:color w:val="222222"/>
          <w:shd w:val="clear" w:color="auto" w:fill="FFFFFF"/>
          <w:lang w:val="en-GB"/>
        </w:rPr>
        <w:t xml:space="preserve">. Collaborative Switch Placement and Operational Measures to Enhance Distribution System Flexibility Considering Uncertain Operation Costs. </w:t>
      </w:r>
      <w:r w:rsidRPr="00B2211C">
        <w:rPr>
          <w:i/>
          <w:iCs/>
          <w:color w:val="222222"/>
          <w:shd w:val="clear" w:color="auto" w:fill="FFFFFF"/>
          <w:lang w:val="en-GB"/>
        </w:rPr>
        <w:t>Energy</w:t>
      </w:r>
      <w:r w:rsidRPr="00B2211C">
        <w:rPr>
          <w:color w:val="222222"/>
          <w:shd w:val="clear" w:color="auto" w:fill="FFFFFF"/>
          <w:lang w:val="en-GB"/>
        </w:rPr>
        <w:t>, p.134982.</w:t>
      </w:r>
    </w:p>
    <w:p w14:paraId="2BD57BB0"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Raturi, P., </w:t>
      </w:r>
      <w:r w:rsidRPr="00B2211C">
        <w:rPr>
          <w:color w:val="000000"/>
          <w:lang w:val="en-GB"/>
        </w:rPr>
        <w:t>(2025)</w:t>
      </w:r>
      <w:r w:rsidRPr="00B2211C">
        <w:rPr>
          <w:color w:val="222222"/>
          <w:shd w:val="clear" w:color="auto" w:fill="FFFFFF"/>
          <w:lang w:val="en-GB"/>
        </w:rPr>
        <w:t xml:space="preserve">. </w:t>
      </w:r>
      <w:r w:rsidRPr="00B2211C">
        <w:rPr>
          <w:i/>
          <w:iCs/>
          <w:color w:val="222222"/>
          <w:shd w:val="clear" w:color="auto" w:fill="FFFFFF"/>
          <w:lang w:val="en-GB"/>
        </w:rPr>
        <w:t>Managing Convention Centers</w:t>
      </w:r>
      <w:r w:rsidRPr="00B2211C">
        <w:rPr>
          <w:color w:val="222222"/>
          <w:shd w:val="clear" w:color="auto" w:fill="FFFFFF"/>
          <w:lang w:val="en-GB"/>
        </w:rPr>
        <w:t>. Educohack Press.</w:t>
      </w:r>
    </w:p>
    <w:p w14:paraId="37F6CB2E"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Rodriguez-Matas, A.F., Ruiz, C., Linares, P. and Perez-Bravo, M., </w:t>
      </w:r>
      <w:r w:rsidRPr="00B2211C">
        <w:rPr>
          <w:color w:val="000000"/>
          <w:lang w:val="en-GB"/>
        </w:rPr>
        <w:t>(2025)</w:t>
      </w:r>
      <w:r w:rsidRPr="00B2211C">
        <w:rPr>
          <w:color w:val="222222"/>
          <w:shd w:val="clear" w:color="auto" w:fill="FFFFFF"/>
          <w:lang w:val="en-GB"/>
        </w:rPr>
        <w:t xml:space="preserve">. How energy strategies are shaped by the correlation of uncertainties. </w:t>
      </w:r>
      <w:r w:rsidRPr="00B2211C">
        <w:rPr>
          <w:i/>
          <w:iCs/>
          <w:color w:val="222222"/>
          <w:shd w:val="clear" w:color="auto" w:fill="FFFFFF"/>
          <w:lang w:val="en-GB"/>
        </w:rPr>
        <w:t>Applied Energy</w:t>
      </w:r>
      <w:r w:rsidRPr="00B2211C">
        <w:rPr>
          <w:color w:val="222222"/>
          <w:shd w:val="clear" w:color="auto" w:fill="FFFFFF"/>
          <w:lang w:val="en-GB"/>
        </w:rPr>
        <w:t xml:space="preserve">, </w:t>
      </w:r>
      <w:r w:rsidRPr="00B2211C">
        <w:rPr>
          <w:i/>
          <w:iCs/>
          <w:color w:val="222222"/>
          <w:shd w:val="clear" w:color="auto" w:fill="FFFFFF"/>
          <w:lang w:val="en-GB"/>
        </w:rPr>
        <w:t>382</w:t>
      </w:r>
      <w:r w:rsidRPr="00B2211C">
        <w:rPr>
          <w:color w:val="222222"/>
          <w:shd w:val="clear" w:color="auto" w:fill="FFFFFF"/>
          <w:lang w:val="en-GB"/>
        </w:rPr>
        <w:t>, p.125257.</w:t>
      </w:r>
    </w:p>
    <w:p w14:paraId="11DD7F0D"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Santa, R., Rodríguez Victoria, O.E. and Tegethoff, T., </w:t>
      </w:r>
      <w:r w:rsidRPr="00B2211C">
        <w:rPr>
          <w:color w:val="000000"/>
          <w:lang w:val="en-GB"/>
        </w:rPr>
        <w:t>(2025)</w:t>
      </w:r>
      <w:r w:rsidRPr="00B2211C">
        <w:rPr>
          <w:color w:val="222222"/>
          <w:shd w:val="clear" w:color="auto" w:fill="FFFFFF"/>
          <w:lang w:val="en-GB"/>
        </w:rPr>
        <w:t xml:space="preserve">. The role of quality in the hotel sector: the interplay between strategy, innovation and outsourcing to achieve performance. </w:t>
      </w:r>
      <w:r w:rsidRPr="00B2211C">
        <w:rPr>
          <w:i/>
          <w:iCs/>
          <w:color w:val="222222"/>
          <w:shd w:val="clear" w:color="auto" w:fill="FFFFFF"/>
          <w:lang w:val="en-GB"/>
        </w:rPr>
        <w:t>The TQM Journal</w:t>
      </w:r>
      <w:r w:rsidRPr="00B2211C">
        <w:rPr>
          <w:color w:val="222222"/>
          <w:shd w:val="clear" w:color="auto" w:fill="FFFFFF"/>
          <w:lang w:val="en-GB"/>
        </w:rPr>
        <w:t xml:space="preserve">, </w:t>
      </w:r>
      <w:r w:rsidRPr="00B2211C">
        <w:rPr>
          <w:i/>
          <w:iCs/>
          <w:color w:val="222222"/>
          <w:shd w:val="clear" w:color="auto" w:fill="FFFFFF"/>
          <w:lang w:val="en-GB"/>
        </w:rPr>
        <w:t>37</w:t>
      </w:r>
      <w:r w:rsidRPr="00B2211C">
        <w:rPr>
          <w:color w:val="222222"/>
          <w:shd w:val="clear" w:color="auto" w:fill="FFFFFF"/>
          <w:lang w:val="en-GB"/>
        </w:rPr>
        <w:t>(1), pp.199-221.</w:t>
      </w:r>
    </w:p>
    <w:p w14:paraId="795FD94E"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Timur, O. and Üstünel, H.Y., </w:t>
      </w:r>
      <w:r w:rsidRPr="00B2211C">
        <w:rPr>
          <w:color w:val="000000"/>
          <w:lang w:val="en-GB"/>
        </w:rPr>
        <w:t>(2025)</w:t>
      </w:r>
      <w:r w:rsidRPr="00B2211C">
        <w:rPr>
          <w:color w:val="222222"/>
          <w:shd w:val="clear" w:color="auto" w:fill="FFFFFF"/>
          <w:lang w:val="en-GB"/>
        </w:rPr>
        <w:t xml:space="preserve">. Short-Term Electric Load Forecasting for an Industrial Plant Using Machine Learning-Based Algorithms. </w:t>
      </w:r>
      <w:r w:rsidRPr="00B2211C">
        <w:rPr>
          <w:i/>
          <w:iCs/>
          <w:color w:val="222222"/>
          <w:shd w:val="clear" w:color="auto" w:fill="FFFFFF"/>
          <w:lang w:val="en-GB"/>
        </w:rPr>
        <w:t>Energies</w:t>
      </w:r>
      <w:r w:rsidRPr="00B2211C">
        <w:rPr>
          <w:color w:val="222222"/>
          <w:shd w:val="clear" w:color="auto" w:fill="FFFFFF"/>
          <w:lang w:val="en-GB"/>
        </w:rPr>
        <w:t xml:space="preserve">, </w:t>
      </w:r>
      <w:r w:rsidRPr="00B2211C">
        <w:rPr>
          <w:i/>
          <w:iCs/>
          <w:color w:val="222222"/>
          <w:shd w:val="clear" w:color="auto" w:fill="FFFFFF"/>
          <w:lang w:val="en-GB"/>
        </w:rPr>
        <w:t>18</w:t>
      </w:r>
      <w:r w:rsidRPr="00B2211C">
        <w:rPr>
          <w:color w:val="222222"/>
          <w:shd w:val="clear" w:color="auto" w:fill="FFFFFF"/>
          <w:lang w:val="en-GB"/>
        </w:rPr>
        <w:t>(5), p.1144.</w:t>
      </w:r>
    </w:p>
    <w:p w14:paraId="6D207F64"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Vilaplana, J.A.L., Yang, G., Ackom, E., Monaco, R. and Xue, Y., </w:t>
      </w:r>
      <w:r w:rsidRPr="00B2211C">
        <w:rPr>
          <w:color w:val="000000"/>
          <w:lang w:val="en-GB"/>
        </w:rPr>
        <w:t>(2025)</w:t>
      </w:r>
      <w:r w:rsidRPr="00B2211C">
        <w:rPr>
          <w:color w:val="222222"/>
          <w:shd w:val="clear" w:color="auto" w:fill="FFFFFF"/>
          <w:lang w:val="en-GB"/>
        </w:rPr>
        <w:t xml:space="preserve">. Dynamic Cost–Benefit Analysis of Digitalization in the Energy Industry. </w:t>
      </w:r>
      <w:r w:rsidRPr="00B2211C">
        <w:rPr>
          <w:i/>
          <w:iCs/>
          <w:color w:val="222222"/>
          <w:shd w:val="clear" w:color="auto" w:fill="FFFFFF"/>
          <w:lang w:val="en-GB"/>
        </w:rPr>
        <w:t>Engineering</w:t>
      </w:r>
      <w:r w:rsidRPr="00B2211C">
        <w:rPr>
          <w:color w:val="222222"/>
          <w:shd w:val="clear" w:color="auto" w:fill="FFFFFF"/>
          <w:lang w:val="en-GB"/>
        </w:rPr>
        <w:t xml:space="preserve">, </w:t>
      </w:r>
      <w:r w:rsidRPr="00B2211C">
        <w:rPr>
          <w:i/>
          <w:iCs/>
          <w:color w:val="222222"/>
          <w:shd w:val="clear" w:color="auto" w:fill="FFFFFF"/>
          <w:lang w:val="en-GB"/>
        </w:rPr>
        <w:t>45</w:t>
      </w:r>
      <w:r w:rsidRPr="00B2211C">
        <w:rPr>
          <w:color w:val="222222"/>
          <w:shd w:val="clear" w:color="auto" w:fill="FFFFFF"/>
          <w:lang w:val="en-GB"/>
        </w:rPr>
        <w:t>, pp.174-187.</w:t>
      </w:r>
    </w:p>
    <w:p w14:paraId="12C41B7D"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Voggenreiter, F., Pinheiro, M. and Marques, R.P., </w:t>
      </w:r>
      <w:r w:rsidRPr="00B2211C">
        <w:rPr>
          <w:color w:val="000000"/>
          <w:lang w:val="en-GB"/>
        </w:rPr>
        <w:t>(2025)</w:t>
      </w:r>
      <w:r w:rsidRPr="00B2211C">
        <w:rPr>
          <w:color w:val="222222"/>
          <w:shd w:val="clear" w:color="auto" w:fill="FFFFFF"/>
          <w:lang w:val="en-GB"/>
        </w:rPr>
        <w:t xml:space="preserve">. MEASURING INDIVIDUAL READINESS FOR CHANGE IN THE BUSINESS ENVIRONMENT: A COMPREHENSIVE FRAMEWORK. In </w:t>
      </w:r>
      <w:r w:rsidRPr="00B2211C">
        <w:rPr>
          <w:i/>
          <w:iCs/>
          <w:color w:val="222222"/>
          <w:shd w:val="clear" w:color="auto" w:fill="FFFFFF"/>
          <w:lang w:val="en-GB"/>
        </w:rPr>
        <w:t>INTED2025 Proceedings</w:t>
      </w:r>
      <w:r w:rsidRPr="00B2211C">
        <w:rPr>
          <w:color w:val="222222"/>
          <w:shd w:val="clear" w:color="auto" w:fill="FFFFFF"/>
          <w:lang w:val="en-GB"/>
        </w:rPr>
        <w:t xml:space="preserve"> (pp. 5078-5085). IATED.</w:t>
      </w:r>
    </w:p>
    <w:p w14:paraId="085F3D24"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Zhang, L., Wei, W., Fan, A., Milman, A. and King, B.E., </w:t>
      </w:r>
      <w:r w:rsidRPr="00B2211C">
        <w:rPr>
          <w:color w:val="000000"/>
          <w:lang w:val="en-GB"/>
        </w:rPr>
        <w:t>(2025)</w:t>
      </w:r>
      <w:r w:rsidRPr="00B2211C">
        <w:rPr>
          <w:color w:val="222222"/>
          <w:shd w:val="clear" w:color="auto" w:fill="FFFFFF"/>
          <w:lang w:val="en-GB"/>
        </w:rPr>
        <w:t xml:space="preserve">. Cultural sustainability in hospitality and tourism: toward a holistic framework. </w:t>
      </w:r>
      <w:r w:rsidRPr="00B2211C">
        <w:rPr>
          <w:i/>
          <w:iCs/>
          <w:color w:val="222222"/>
          <w:shd w:val="clear" w:color="auto" w:fill="FFFFFF"/>
          <w:lang w:val="en-GB"/>
        </w:rPr>
        <w:t>International Journal of Contemporary Hospitality Management</w:t>
      </w:r>
      <w:r w:rsidRPr="00B2211C">
        <w:rPr>
          <w:color w:val="222222"/>
          <w:shd w:val="clear" w:color="auto" w:fill="FFFFFF"/>
          <w:lang w:val="en-GB"/>
        </w:rPr>
        <w:t xml:space="preserve">, </w:t>
      </w:r>
      <w:r w:rsidRPr="00B2211C">
        <w:rPr>
          <w:i/>
          <w:iCs/>
          <w:color w:val="222222"/>
          <w:shd w:val="clear" w:color="auto" w:fill="FFFFFF"/>
          <w:lang w:val="en-GB"/>
        </w:rPr>
        <w:t>37</w:t>
      </w:r>
      <w:r w:rsidRPr="00B2211C">
        <w:rPr>
          <w:color w:val="222222"/>
          <w:shd w:val="clear" w:color="auto" w:fill="FFFFFF"/>
          <w:lang w:val="en-GB"/>
        </w:rPr>
        <w:t>(13), pp.20-38.</w:t>
      </w:r>
    </w:p>
    <w:p w14:paraId="48B9406E"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t xml:space="preserve">Ziaei, S.M., </w:t>
      </w:r>
      <w:r w:rsidRPr="00B2211C">
        <w:rPr>
          <w:color w:val="000000"/>
          <w:lang w:val="en-GB"/>
        </w:rPr>
        <w:t>(2025)</w:t>
      </w:r>
      <w:r w:rsidRPr="00B2211C">
        <w:rPr>
          <w:color w:val="222222"/>
          <w:shd w:val="clear" w:color="auto" w:fill="FFFFFF"/>
          <w:lang w:val="en-GB"/>
        </w:rPr>
        <w:t xml:space="preserve">. Public spending on Energy innovations and CO2 impacts: Evidence from selected OECD countries. </w:t>
      </w:r>
      <w:r w:rsidRPr="00B2211C">
        <w:rPr>
          <w:i/>
          <w:iCs/>
          <w:color w:val="222222"/>
          <w:shd w:val="clear" w:color="auto" w:fill="FFFFFF"/>
          <w:lang w:val="en-GB"/>
        </w:rPr>
        <w:t>Green Technologies and Sustainability</w:t>
      </w:r>
      <w:r w:rsidRPr="00B2211C">
        <w:rPr>
          <w:color w:val="222222"/>
          <w:shd w:val="clear" w:color="auto" w:fill="FFFFFF"/>
          <w:lang w:val="en-GB"/>
        </w:rPr>
        <w:t xml:space="preserve">, </w:t>
      </w:r>
      <w:r w:rsidRPr="00B2211C">
        <w:rPr>
          <w:i/>
          <w:iCs/>
          <w:color w:val="222222"/>
          <w:shd w:val="clear" w:color="auto" w:fill="FFFFFF"/>
          <w:lang w:val="en-GB"/>
        </w:rPr>
        <w:t>3</w:t>
      </w:r>
      <w:r w:rsidRPr="00B2211C">
        <w:rPr>
          <w:color w:val="222222"/>
          <w:shd w:val="clear" w:color="auto" w:fill="FFFFFF"/>
          <w:lang w:val="en-GB"/>
        </w:rPr>
        <w:t>(1), p.100137.</w:t>
      </w:r>
    </w:p>
    <w:p w14:paraId="05E99834" w14:textId="77777777" w:rsidR="00C8107A" w:rsidRPr="00B2211C" w:rsidRDefault="00C8107A" w:rsidP="00461A87">
      <w:pPr>
        <w:pStyle w:val="NormalWeb"/>
        <w:spacing w:before="0" w:beforeAutospacing="0" w:after="0" w:afterAutospacing="0" w:line="480" w:lineRule="auto"/>
        <w:jc w:val="both"/>
        <w:rPr>
          <w:lang w:val="en-GB"/>
        </w:rPr>
      </w:pPr>
      <w:r w:rsidRPr="00B2211C">
        <w:rPr>
          <w:color w:val="222222"/>
          <w:shd w:val="clear" w:color="auto" w:fill="FFFFFF"/>
          <w:lang w:val="en-GB"/>
        </w:rPr>
        <w:lastRenderedPageBreak/>
        <w:t xml:space="preserve">Ziliani, C. and Ieva, M., </w:t>
      </w:r>
      <w:r w:rsidRPr="00B2211C">
        <w:rPr>
          <w:color w:val="000000"/>
          <w:lang w:val="en-GB"/>
        </w:rPr>
        <w:t>(2025)</w:t>
      </w:r>
      <w:r w:rsidRPr="00B2211C">
        <w:rPr>
          <w:color w:val="222222"/>
          <w:shd w:val="clear" w:color="auto" w:fill="FFFFFF"/>
          <w:lang w:val="en-GB"/>
        </w:rPr>
        <w:t xml:space="preserve">. </w:t>
      </w:r>
      <w:r w:rsidRPr="00B2211C">
        <w:rPr>
          <w:i/>
          <w:iCs/>
          <w:color w:val="222222"/>
          <w:shd w:val="clear" w:color="auto" w:fill="FFFFFF"/>
          <w:lang w:val="en-GB"/>
        </w:rPr>
        <w:t>Loyalty Management: Driving Engagement with Loyalty Programs and Customer Experience</w:t>
      </w:r>
      <w:r w:rsidRPr="00B2211C">
        <w:rPr>
          <w:color w:val="222222"/>
          <w:shd w:val="clear" w:color="auto" w:fill="FFFFFF"/>
          <w:lang w:val="en-GB"/>
        </w:rPr>
        <w:t>. Taylor &amp; Francis.</w:t>
      </w:r>
    </w:p>
    <w:p w14:paraId="6D80A701" w14:textId="77777777" w:rsidR="0009783C" w:rsidRPr="00B2211C" w:rsidRDefault="0009783C" w:rsidP="00461A87">
      <w:pPr>
        <w:jc w:val="both"/>
        <w:rPr>
          <w:rFonts w:eastAsia="Times New Roman" w:cs="Times New Roman"/>
          <w:szCs w:val="24"/>
        </w:rPr>
      </w:pPr>
    </w:p>
    <w:sectPr w:rsidR="0009783C" w:rsidRPr="00B2211C" w:rsidSect="00461A87">
      <w:headerReference w:type="default" r:id="rId12"/>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B82A0" w14:textId="77777777" w:rsidR="002B54C3" w:rsidRPr="00B2211C" w:rsidRDefault="002B54C3" w:rsidP="007745E9">
      <w:pPr>
        <w:spacing w:line="240" w:lineRule="auto"/>
      </w:pPr>
      <w:r w:rsidRPr="00B2211C">
        <w:separator/>
      </w:r>
    </w:p>
  </w:endnote>
  <w:endnote w:type="continuationSeparator" w:id="0">
    <w:p w14:paraId="12BB11EA" w14:textId="77777777" w:rsidR="002B54C3" w:rsidRPr="00B2211C" w:rsidRDefault="002B54C3" w:rsidP="007745E9">
      <w:pPr>
        <w:spacing w:line="240" w:lineRule="auto"/>
      </w:pPr>
      <w:r w:rsidRPr="00B221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171887"/>
      <w:docPartObj>
        <w:docPartGallery w:val="Page Numbers (Bottom of Page)"/>
        <w:docPartUnique/>
      </w:docPartObj>
    </w:sdtPr>
    <w:sdtContent>
      <w:sdt>
        <w:sdtPr>
          <w:id w:val="-1769616900"/>
          <w:docPartObj>
            <w:docPartGallery w:val="Page Numbers (Top of Page)"/>
            <w:docPartUnique/>
          </w:docPartObj>
        </w:sdtPr>
        <w:sdtContent>
          <w:p w14:paraId="24898024" w14:textId="69D1965C" w:rsidR="00461A87" w:rsidRPr="00B2211C" w:rsidRDefault="00461A87" w:rsidP="00461A87">
            <w:pPr>
              <w:pStyle w:val="Footer"/>
              <w:spacing w:line="480" w:lineRule="auto"/>
              <w:jc w:val="right"/>
            </w:pPr>
            <w:r w:rsidRPr="00B2211C">
              <w:rPr>
                <w:rFonts w:cs="Times New Roman"/>
                <w:sz w:val="20"/>
                <w:szCs w:val="20"/>
              </w:rPr>
              <w:t xml:space="preserve">Page </w:t>
            </w:r>
            <w:r w:rsidRPr="00B2211C">
              <w:rPr>
                <w:rFonts w:cs="Times New Roman"/>
                <w:b/>
                <w:bCs/>
                <w:sz w:val="20"/>
                <w:szCs w:val="20"/>
              </w:rPr>
              <w:fldChar w:fldCharType="begin"/>
            </w:r>
            <w:r w:rsidRPr="00B2211C">
              <w:rPr>
                <w:rFonts w:cs="Times New Roman"/>
                <w:b/>
                <w:bCs/>
                <w:sz w:val="20"/>
                <w:szCs w:val="20"/>
              </w:rPr>
              <w:instrText xml:space="preserve"> PAGE </w:instrText>
            </w:r>
            <w:r w:rsidRPr="00B2211C">
              <w:rPr>
                <w:rFonts w:cs="Times New Roman"/>
                <w:b/>
                <w:bCs/>
                <w:sz w:val="20"/>
                <w:szCs w:val="20"/>
              </w:rPr>
              <w:fldChar w:fldCharType="separate"/>
            </w:r>
            <w:r w:rsidRPr="00B2211C">
              <w:rPr>
                <w:rFonts w:cs="Times New Roman"/>
                <w:b/>
                <w:bCs/>
                <w:sz w:val="20"/>
                <w:szCs w:val="20"/>
              </w:rPr>
              <w:t>2</w:t>
            </w:r>
            <w:r w:rsidRPr="00B2211C">
              <w:rPr>
                <w:rFonts w:cs="Times New Roman"/>
                <w:b/>
                <w:bCs/>
                <w:sz w:val="20"/>
                <w:szCs w:val="20"/>
              </w:rPr>
              <w:fldChar w:fldCharType="end"/>
            </w:r>
            <w:r w:rsidRPr="00B2211C">
              <w:rPr>
                <w:rFonts w:cs="Times New Roman"/>
                <w:sz w:val="20"/>
                <w:szCs w:val="20"/>
              </w:rPr>
              <w:t xml:space="preserve"> of </w:t>
            </w:r>
            <w:r w:rsidRPr="00B2211C">
              <w:rPr>
                <w:rFonts w:cs="Times New Roman"/>
                <w:b/>
                <w:bCs/>
                <w:sz w:val="20"/>
                <w:szCs w:val="20"/>
              </w:rPr>
              <w:fldChar w:fldCharType="begin"/>
            </w:r>
            <w:r w:rsidRPr="00B2211C">
              <w:rPr>
                <w:rFonts w:cs="Times New Roman"/>
                <w:b/>
                <w:bCs/>
                <w:sz w:val="20"/>
                <w:szCs w:val="20"/>
              </w:rPr>
              <w:instrText xml:space="preserve"> NUMPAGES  </w:instrText>
            </w:r>
            <w:r w:rsidRPr="00B2211C">
              <w:rPr>
                <w:rFonts w:cs="Times New Roman"/>
                <w:b/>
                <w:bCs/>
                <w:sz w:val="20"/>
                <w:szCs w:val="20"/>
              </w:rPr>
              <w:fldChar w:fldCharType="separate"/>
            </w:r>
            <w:r w:rsidRPr="00B2211C">
              <w:rPr>
                <w:rFonts w:cs="Times New Roman"/>
                <w:b/>
                <w:bCs/>
                <w:sz w:val="20"/>
                <w:szCs w:val="20"/>
              </w:rPr>
              <w:t>2</w:t>
            </w:r>
            <w:r w:rsidRPr="00B2211C">
              <w:rPr>
                <w:rFonts w:cs="Times New Roman"/>
                <w:b/>
                <w:bCs/>
                <w:sz w:val="20"/>
                <w:szCs w:val="20"/>
              </w:rPr>
              <w:fldChar w:fldCharType="end"/>
            </w:r>
          </w:p>
        </w:sdtContent>
      </w:sdt>
    </w:sdtContent>
  </w:sdt>
  <w:p w14:paraId="7008D6BE" w14:textId="77777777" w:rsidR="0009783C" w:rsidRPr="00B2211C" w:rsidRDefault="00097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ABCC4" w14:textId="77777777" w:rsidR="002B54C3" w:rsidRPr="00B2211C" w:rsidRDefault="002B54C3" w:rsidP="007745E9">
      <w:pPr>
        <w:spacing w:line="240" w:lineRule="auto"/>
      </w:pPr>
      <w:r w:rsidRPr="00B2211C">
        <w:separator/>
      </w:r>
    </w:p>
  </w:footnote>
  <w:footnote w:type="continuationSeparator" w:id="0">
    <w:p w14:paraId="499BCDC9" w14:textId="77777777" w:rsidR="002B54C3" w:rsidRPr="00B2211C" w:rsidRDefault="002B54C3" w:rsidP="007745E9">
      <w:pPr>
        <w:spacing w:line="240" w:lineRule="auto"/>
      </w:pPr>
      <w:r w:rsidRPr="00B2211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684CE" w14:textId="0DC38AFE" w:rsidR="00461A87" w:rsidRPr="00B2211C" w:rsidRDefault="00461A87" w:rsidP="00461A87">
    <w:pPr>
      <w:pStyle w:val="Header"/>
      <w:spacing w:line="480" w:lineRule="auto"/>
      <w:jc w:val="right"/>
      <w:rPr>
        <w:rFonts w:cs="Times New Roman"/>
        <w:b/>
        <w:bCs/>
        <w:sz w:val="20"/>
        <w:szCs w:val="20"/>
      </w:rPr>
    </w:pPr>
    <w:r w:rsidRPr="00B2211C">
      <w:rPr>
        <w:rFonts w:cs="Times New Roman"/>
        <w:b/>
        <w:bCs/>
        <w:sz w:val="20"/>
        <w:szCs w:val="20"/>
      </w:rPr>
      <w:t>CONSULTANCY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D01A"/>
    <w:multiLevelType w:val="hybridMultilevel"/>
    <w:tmpl w:val="00000000"/>
    <w:lvl w:ilvl="0" w:tplc="489E3B54">
      <w:start w:val="1"/>
      <w:numFmt w:val="bullet"/>
      <w:lvlText w:val="●"/>
      <w:lvlJc w:val="left"/>
      <w:pPr>
        <w:ind w:left="720" w:hanging="360"/>
      </w:pPr>
      <w:rPr>
        <w:u w:val="none"/>
      </w:rPr>
    </w:lvl>
    <w:lvl w:ilvl="1" w:tplc="7C122DC2">
      <w:start w:val="1"/>
      <w:numFmt w:val="bullet"/>
      <w:lvlText w:val="○"/>
      <w:lvlJc w:val="left"/>
      <w:pPr>
        <w:ind w:left="1440" w:hanging="360"/>
      </w:pPr>
      <w:rPr>
        <w:u w:val="none"/>
      </w:rPr>
    </w:lvl>
    <w:lvl w:ilvl="2" w:tplc="F73A2CFA">
      <w:start w:val="1"/>
      <w:numFmt w:val="bullet"/>
      <w:lvlText w:val="■"/>
      <w:lvlJc w:val="left"/>
      <w:pPr>
        <w:ind w:left="2160" w:hanging="360"/>
      </w:pPr>
      <w:rPr>
        <w:u w:val="none"/>
      </w:rPr>
    </w:lvl>
    <w:lvl w:ilvl="3" w:tplc="C7E4E7FE">
      <w:start w:val="1"/>
      <w:numFmt w:val="bullet"/>
      <w:lvlText w:val="●"/>
      <w:lvlJc w:val="left"/>
      <w:pPr>
        <w:ind w:left="2880" w:hanging="360"/>
      </w:pPr>
      <w:rPr>
        <w:u w:val="none"/>
      </w:rPr>
    </w:lvl>
    <w:lvl w:ilvl="4" w:tplc="77AA20EA">
      <w:start w:val="1"/>
      <w:numFmt w:val="bullet"/>
      <w:lvlText w:val="○"/>
      <w:lvlJc w:val="left"/>
      <w:pPr>
        <w:ind w:left="3600" w:hanging="360"/>
      </w:pPr>
      <w:rPr>
        <w:u w:val="none"/>
      </w:rPr>
    </w:lvl>
    <w:lvl w:ilvl="5" w:tplc="29A4E4BA">
      <w:start w:val="1"/>
      <w:numFmt w:val="bullet"/>
      <w:lvlText w:val="■"/>
      <w:lvlJc w:val="left"/>
      <w:pPr>
        <w:ind w:left="4320" w:hanging="360"/>
      </w:pPr>
      <w:rPr>
        <w:u w:val="none"/>
      </w:rPr>
    </w:lvl>
    <w:lvl w:ilvl="6" w:tplc="456A58AA">
      <w:start w:val="1"/>
      <w:numFmt w:val="bullet"/>
      <w:lvlText w:val="●"/>
      <w:lvlJc w:val="left"/>
      <w:pPr>
        <w:ind w:left="5040" w:hanging="360"/>
      </w:pPr>
      <w:rPr>
        <w:u w:val="none"/>
      </w:rPr>
    </w:lvl>
    <w:lvl w:ilvl="7" w:tplc="0CE2A3A2">
      <w:start w:val="1"/>
      <w:numFmt w:val="bullet"/>
      <w:lvlText w:val="○"/>
      <w:lvlJc w:val="left"/>
      <w:pPr>
        <w:ind w:left="5760" w:hanging="360"/>
      </w:pPr>
      <w:rPr>
        <w:u w:val="none"/>
      </w:rPr>
    </w:lvl>
    <w:lvl w:ilvl="8" w:tplc="12BAECAA">
      <w:start w:val="1"/>
      <w:numFmt w:val="bullet"/>
      <w:lvlText w:val="■"/>
      <w:lvlJc w:val="left"/>
      <w:pPr>
        <w:ind w:left="6480" w:hanging="360"/>
      </w:pPr>
      <w:rPr>
        <w:u w:val="none"/>
      </w:rPr>
    </w:lvl>
  </w:abstractNum>
  <w:abstractNum w:abstractNumId="1" w15:restartNumberingAfterBreak="0">
    <w:nsid w:val="02EC0A47"/>
    <w:multiLevelType w:val="hybridMultilevel"/>
    <w:tmpl w:val="00000000"/>
    <w:lvl w:ilvl="0" w:tplc="7974BDC2">
      <w:start w:val="1"/>
      <w:numFmt w:val="bullet"/>
      <w:lvlText w:val="●"/>
      <w:lvlJc w:val="left"/>
      <w:pPr>
        <w:ind w:left="720" w:hanging="360"/>
      </w:pPr>
      <w:rPr>
        <w:u w:val="none"/>
      </w:rPr>
    </w:lvl>
    <w:lvl w:ilvl="1" w:tplc="5A3C1236">
      <w:start w:val="1"/>
      <w:numFmt w:val="bullet"/>
      <w:lvlText w:val="○"/>
      <w:lvlJc w:val="left"/>
      <w:pPr>
        <w:ind w:left="1440" w:hanging="360"/>
      </w:pPr>
      <w:rPr>
        <w:u w:val="none"/>
      </w:rPr>
    </w:lvl>
    <w:lvl w:ilvl="2" w:tplc="028282B6">
      <w:start w:val="1"/>
      <w:numFmt w:val="bullet"/>
      <w:lvlText w:val="■"/>
      <w:lvlJc w:val="left"/>
      <w:pPr>
        <w:ind w:left="2160" w:hanging="360"/>
      </w:pPr>
      <w:rPr>
        <w:u w:val="none"/>
      </w:rPr>
    </w:lvl>
    <w:lvl w:ilvl="3" w:tplc="FDFAFD10">
      <w:start w:val="1"/>
      <w:numFmt w:val="bullet"/>
      <w:lvlText w:val="●"/>
      <w:lvlJc w:val="left"/>
      <w:pPr>
        <w:ind w:left="2880" w:hanging="360"/>
      </w:pPr>
      <w:rPr>
        <w:u w:val="none"/>
      </w:rPr>
    </w:lvl>
    <w:lvl w:ilvl="4" w:tplc="1A28D016">
      <w:start w:val="1"/>
      <w:numFmt w:val="bullet"/>
      <w:lvlText w:val="○"/>
      <w:lvlJc w:val="left"/>
      <w:pPr>
        <w:ind w:left="3600" w:hanging="360"/>
      </w:pPr>
      <w:rPr>
        <w:u w:val="none"/>
      </w:rPr>
    </w:lvl>
    <w:lvl w:ilvl="5" w:tplc="5E323BAC">
      <w:start w:val="1"/>
      <w:numFmt w:val="bullet"/>
      <w:lvlText w:val="■"/>
      <w:lvlJc w:val="left"/>
      <w:pPr>
        <w:ind w:left="4320" w:hanging="360"/>
      </w:pPr>
      <w:rPr>
        <w:u w:val="none"/>
      </w:rPr>
    </w:lvl>
    <w:lvl w:ilvl="6" w:tplc="9BA0D180">
      <w:start w:val="1"/>
      <w:numFmt w:val="bullet"/>
      <w:lvlText w:val="●"/>
      <w:lvlJc w:val="left"/>
      <w:pPr>
        <w:ind w:left="5040" w:hanging="360"/>
      </w:pPr>
      <w:rPr>
        <w:u w:val="none"/>
      </w:rPr>
    </w:lvl>
    <w:lvl w:ilvl="7" w:tplc="C40A6314">
      <w:start w:val="1"/>
      <w:numFmt w:val="bullet"/>
      <w:lvlText w:val="○"/>
      <w:lvlJc w:val="left"/>
      <w:pPr>
        <w:ind w:left="5760" w:hanging="360"/>
      </w:pPr>
      <w:rPr>
        <w:u w:val="none"/>
      </w:rPr>
    </w:lvl>
    <w:lvl w:ilvl="8" w:tplc="82F46114">
      <w:start w:val="1"/>
      <w:numFmt w:val="bullet"/>
      <w:lvlText w:val="■"/>
      <w:lvlJc w:val="left"/>
      <w:pPr>
        <w:ind w:left="6480" w:hanging="360"/>
      </w:pPr>
      <w:rPr>
        <w:u w:val="none"/>
      </w:rPr>
    </w:lvl>
  </w:abstractNum>
  <w:abstractNum w:abstractNumId="2" w15:restartNumberingAfterBreak="0">
    <w:nsid w:val="03CC7FBA"/>
    <w:multiLevelType w:val="hybridMultilevel"/>
    <w:tmpl w:val="00000000"/>
    <w:lvl w:ilvl="0" w:tplc="37FC4F7C">
      <w:start w:val="1"/>
      <w:numFmt w:val="bullet"/>
      <w:lvlText w:val="●"/>
      <w:lvlJc w:val="left"/>
      <w:pPr>
        <w:ind w:left="720" w:hanging="360"/>
      </w:pPr>
      <w:rPr>
        <w:u w:val="none"/>
      </w:rPr>
    </w:lvl>
    <w:lvl w:ilvl="1" w:tplc="B9C0871E">
      <w:start w:val="1"/>
      <w:numFmt w:val="bullet"/>
      <w:lvlText w:val="○"/>
      <w:lvlJc w:val="left"/>
      <w:pPr>
        <w:ind w:left="1440" w:hanging="360"/>
      </w:pPr>
      <w:rPr>
        <w:u w:val="none"/>
      </w:rPr>
    </w:lvl>
    <w:lvl w:ilvl="2" w:tplc="F4145FB2">
      <w:start w:val="1"/>
      <w:numFmt w:val="bullet"/>
      <w:lvlText w:val="■"/>
      <w:lvlJc w:val="left"/>
      <w:pPr>
        <w:ind w:left="2160" w:hanging="360"/>
      </w:pPr>
      <w:rPr>
        <w:u w:val="none"/>
      </w:rPr>
    </w:lvl>
    <w:lvl w:ilvl="3" w:tplc="8AAEDFDA">
      <w:start w:val="1"/>
      <w:numFmt w:val="bullet"/>
      <w:lvlText w:val="●"/>
      <w:lvlJc w:val="left"/>
      <w:pPr>
        <w:ind w:left="2880" w:hanging="360"/>
      </w:pPr>
      <w:rPr>
        <w:u w:val="none"/>
      </w:rPr>
    </w:lvl>
    <w:lvl w:ilvl="4" w:tplc="63E6D9FC">
      <w:start w:val="1"/>
      <w:numFmt w:val="bullet"/>
      <w:lvlText w:val="○"/>
      <w:lvlJc w:val="left"/>
      <w:pPr>
        <w:ind w:left="3600" w:hanging="360"/>
      </w:pPr>
      <w:rPr>
        <w:u w:val="none"/>
      </w:rPr>
    </w:lvl>
    <w:lvl w:ilvl="5" w:tplc="40568C14">
      <w:start w:val="1"/>
      <w:numFmt w:val="bullet"/>
      <w:lvlText w:val="■"/>
      <w:lvlJc w:val="left"/>
      <w:pPr>
        <w:ind w:left="4320" w:hanging="360"/>
      </w:pPr>
      <w:rPr>
        <w:u w:val="none"/>
      </w:rPr>
    </w:lvl>
    <w:lvl w:ilvl="6" w:tplc="4434F6A0">
      <w:start w:val="1"/>
      <w:numFmt w:val="bullet"/>
      <w:lvlText w:val="●"/>
      <w:lvlJc w:val="left"/>
      <w:pPr>
        <w:ind w:left="5040" w:hanging="360"/>
      </w:pPr>
      <w:rPr>
        <w:u w:val="none"/>
      </w:rPr>
    </w:lvl>
    <w:lvl w:ilvl="7" w:tplc="1166C51E">
      <w:start w:val="1"/>
      <w:numFmt w:val="bullet"/>
      <w:lvlText w:val="○"/>
      <w:lvlJc w:val="left"/>
      <w:pPr>
        <w:ind w:left="5760" w:hanging="360"/>
      </w:pPr>
      <w:rPr>
        <w:u w:val="none"/>
      </w:rPr>
    </w:lvl>
    <w:lvl w:ilvl="8" w:tplc="9006B0C0">
      <w:start w:val="1"/>
      <w:numFmt w:val="bullet"/>
      <w:lvlText w:val="■"/>
      <w:lvlJc w:val="left"/>
      <w:pPr>
        <w:ind w:left="6480" w:hanging="360"/>
      </w:pPr>
      <w:rPr>
        <w:u w:val="none"/>
      </w:rPr>
    </w:lvl>
  </w:abstractNum>
  <w:abstractNum w:abstractNumId="3" w15:restartNumberingAfterBreak="0">
    <w:nsid w:val="0603D3F5"/>
    <w:multiLevelType w:val="hybridMultilevel"/>
    <w:tmpl w:val="00000000"/>
    <w:lvl w:ilvl="0" w:tplc="20C21778">
      <w:start w:val="1"/>
      <w:numFmt w:val="bullet"/>
      <w:lvlText w:val="●"/>
      <w:lvlJc w:val="left"/>
      <w:pPr>
        <w:ind w:left="720" w:hanging="360"/>
      </w:pPr>
      <w:rPr>
        <w:u w:val="none"/>
      </w:rPr>
    </w:lvl>
    <w:lvl w:ilvl="1" w:tplc="AFFA849A">
      <w:start w:val="1"/>
      <w:numFmt w:val="bullet"/>
      <w:lvlText w:val="○"/>
      <w:lvlJc w:val="left"/>
      <w:pPr>
        <w:ind w:left="1440" w:hanging="360"/>
      </w:pPr>
      <w:rPr>
        <w:u w:val="none"/>
      </w:rPr>
    </w:lvl>
    <w:lvl w:ilvl="2" w:tplc="6BECA152">
      <w:start w:val="1"/>
      <w:numFmt w:val="bullet"/>
      <w:lvlText w:val="■"/>
      <w:lvlJc w:val="left"/>
      <w:pPr>
        <w:ind w:left="2160" w:hanging="360"/>
      </w:pPr>
      <w:rPr>
        <w:u w:val="none"/>
      </w:rPr>
    </w:lvl>
    <w:lvl w:ilvl="3" w:tplc="681C58D6">
      <w:start w:val="1"/>
      <w:numFmt w:val="bullet"/>
      <w:lvlText w:val="●"/>
      <w:lvlJc w:val="left"/>
      <w:pPr>
        <w:ind w:left="2880" w:hanging="360"/>
      </w:pPr>
      <w:rPr>
        <w:u w:val="none"/>
      </w:rPr>
    </w:lvl>
    <w:lvl w:ilvl="4" w:tplc="7A94E98E">
      <w:start w:val="1"/>
      <w:numFmt w:val="bullet"/>
      <w:lvlText w:val="○"/>
      <w:lvlJc w:val="left"/>
      <w:pPr>
        <w:ind w:left="3600" w:hanging="360"/>
      </w:pPr>
      <w:rPr>
        <w:u w:val="none"/>
      </w:rPr>
    </w:lvl>
    <w:lvl w:ilvl="5" w:tplc="AC2ED6DA">
      <w:start w:val="1"/>
      <w:numFmt w:val="bullet"/>
      <w:lvlText w:val="■"/>
      <w:lvlJc w:val="left"/>
      <w:pPr>
        <w:ind w:left="4320" w:hanging="360"/>
      </w:pPr>
      <w:rPr>
        <w:u w:val="none"/>
      </w:rPr>
    </w:lvl>
    <w:lvl w:ilvl="6" w:tplc="12D86D94">
      <w:start w:val="1"/>
      <w:numFmt w:val="bullet"/>
      <w:lvlText w:val="●"/>
      <w:lvlJc w:val="left"/>
      <w:pPr>
        <w:ind w:left="5040" w:hanging="360"/>
      </w:pPr>
      <w:rPr>
        <w:u w:val="none"/>
      </w:rPr>
    </w:lvl>
    <w:lvl w:ilvl="7" w:tplc="48D8DC40">
      <w:start w:val="1"/>
      <w:numFmt w:val="bullet"/>
      <w:lvlText w:val="○"/>
      <w:lvlJc w:val="left"/>
      <w:pPr>
        <w:ind w:left="5760" w:hanging="360"/>
      </w:pPr>
      <w:rPr>
        <w:u w:val="none"/>
      </w:rPr>
    </w:lvl>
    <w:lvl w:ilvl="8" w:tplc="3D5A272A">
      <w:start w:val="1"/>
      <w:numFmt w:val="bullet"/>
      <w:lvlText w:val="■"/>
      <w:lvlJc w:val="left"/>
      <w:pPr>
        <w:ind w:left="6480" w:hanging="360"/>
      </w:pPr>
      <w:rPr>
        <w:u w:val="none"/>
      </w:rPr>
    </w:lvl>
  </w:abstractNum>
  <w:abstractNum w:abstractNumId="4" w15:restartNumberingAfterBreak="0">
    <w:nsid w:val="06FB2434"/>
    <w:multiLevelType w:val="hybridMultilevel"/>
    <w:tmpl w:val="00000000"/>
    <w:lvl w:ilvl="0" w:tplc="87D0E054">
      <w:start w:val="1"/>
      <w:numFmt w:val="bullet"/>
      <w:lvlText w:val="●"/>
      <w:lvlJc w:val="left"/>
      <w:pPr>
        <w:ind w:left="720" w:hanging="360"/>
      </w:pPr>
      <w:rPr>
        <w:u w:val="none"/>
      </w:rPr>
    </w:lvl>
    <w:lvl w:ilvl="1" w:tplc="91E6CBB6">
      <w:start w:val="1"/>
      <w:numFmt w:val="bullet"/>
      <w:lvlText w:val="○"/>
      <w:lvlJc w:val="left"/>
      <w:pPr>
        <w:ind w:left="1440" w:hanging="360"/>
      </w:pPr>
      <w:rPr>
        <w:u w:val="none"/>
      </w:rPr>
    </w:lvl>
    <w:lvl w:ilvl="2" w:tplc="A5FE9D9C">
      <w:start w:val="1"/>
      <w:numFmt w:val="bullet"/>
      <w:lvlText w:val="■"/>
      <w:lvlJc w:val="left"/>
      <w:pPr>
        <w:ind w:left="2160" w:hanging="360"/>
      </w:pPr>
      <w:rPr>
        <w:u w:val="none"/>
      </w:rPr>
    </w:lvl>
    <w:lvl w:ilvl="3" w:tplc="DA129B44">
      <w:start w:val="1"/>
      <w:numFmt w:val="bullet"/>
      <w:lvlText w:val="●"/>
      <w:lvlJc w:val="left"/>
      <w:pPr>
        <w:ind w:left="2880" w:hanging="360"/>
      </w:pPr>
      <w:rPr>
        <w:u w:val="none"/>
      </w:rPr>
    </w:lvl>
    <w:lvl w:ilvl="4" w:tplc="ECD40A9E">
      <w:start w:val="1"/>
      <w:numFmt w:val="bullet"/>
      <w:lvlText w:val="○"/>
      <w:lvlJc w:val="left"/>
      <w:pPr>
        <w:ind w:left="3600" w:hanging="360"/>
      </w:pPr>
      <w:rPr>
        <w:u w:val="none"/>
      </w:rPr>
    </w:lvl>
    <w:lvl w:ilvl="5" w:tplc="AFA6EAC8">
      <w:start w:val="1"/>
      <w:numFmt w:val="bullet"/>
      <w:lvlText w:val="■"/>
      <w:lvlJc w:val="left"/>
      <w:pPr>
        <w:ind w:left="4320" w:hanging="360"/>
      </w:pPr>
      <w:rPr>
        <w:u w:val="none"/>
      </w:rPr>
    </w:lvl>
    <w:lvl w:ilvl="6" w:tplc="C250138E">
      <w:start w:val="1"/>
      <w:numFmt w:val="bullet"/>
      <w:lvlText w:val="●"/>
      <w:lvlJc w:val="left"/>
      <w:pPr>
        <w:ind w:left="5040" w:hanging="360"/>
      </w:pPr>
      <w:rPr>
        <w:u w:val="none"/>
      </w:rPr>
    </w:lvl>
    <w:lvl w:ilvl="7" w:tplc="8E307344">
      <w:start w:val="1"/>
      <w:numFmt w:val="bullet"/>
      <w:lvlText w:val="○"/>
      <w:lvlJc w:val="left"/>
      <w:pPr>
        <w:ind w:left="5760" w:hanging="360"/>
      </w:pPr>
      <w:rPr>
        <w:u w:val="none"/>
      </w:rPr>
    </w:lvl>
    <w:lvl w:ilvl="8" w:tplc="6F3236B4">
      <w:start w:val="1"/>
      <w:numFmt w:val="bullet"/>
      <w:lvlText w:val="■"/>
      <w:lvlJc w:val="left"/>
      <w:pPr>
        <w:ind w:left="6480" w:hanging="360"/>
      </w:pPr>
      <w:rPr>
        <w:u w:val="none"/>
      </w:rPr>
    </w:lvl>
  </w:abstractNum>
  <w:abstractNum w:abstractNumId="5" w15:restartNumberingAfterBreak="0">
    <w:nsid w:val="079F9A83"/>
    <w:multiLevelType w:val="hybridMultilevel"/>
    <w:tmpl w:val="00000000"/>
    <w:lvl w:ilvl="0" w:tplc="5030938E">
      <w:start w:val="1"/>
      <w:numFmt w:val="bullet"/>
      <w:lvlText w:val="●"/>
      <w:lvlJc w:val="left"/>
      <w:pPr>
        <w:ind w:left="720" w:hanging="360"/>
      </w:pPr>
      <w:rPr>
        <w:u w:val="none"/>
      </w:rPr>
    </w:lvl>
    <w:lvl w:ilvl="1" w:tplc="46DCD46C">
      <w:start w:val="1"/>
      <w:numFmt w:val="bullet"/>
      <w:lvlText w:val="○"/>
      <w:lvlJc w:val="left"/>
      <w:pPr>
        <w:ind w:left="1440" w:hanging="360"/>
      </w:pPr>
      <w:rPr>
        <w:u w:val="none"/>
      </w:rPr>
    </w:lvl>
    <w:lvl w:ilvl="2" w:tplc="AB7436FE">
      <w:start w:val="1"/>
      <w:numFmt w:val="bullet"/>
      <w:lvlText w:val="■"/>
      <w:lvlJc w:val="left"/>
      <w:pPr>
        <w:ind w:left="2160" w:hanging="360"/>
      </w:pPr>
      <w:rPr>
        <w:u w:val="none"/>
      </w:rPr>
    </w:lvl>
    <w:lvl w:ilvl="3" w:tplc="1F1CFD0E">
      <w:start w:val="1"/>
      <w:numFmt w:val="bullet"/>
      <w:lvlText w:val="●"/>
      <w:lvlJc w:val="left"/>
      <w:pPr>
        <w:ind w:left="2880" w:hanging="360"/>
      </w:pPr>
      <w:rPr>
        <w:u w:val="none"/>
      </w:rPr>
    </w:lvl>
    <w:lvl w:ilvl="4" w:tplc="B41AD46A">
      <w:start w:val="1"/>
      <w:numFmt w:val="bullet"/>
      <w:lvlText w:val="○"/>
      <w:lvlJc w:val="left"/>
      <w:pPr>
        <w:ind w:left="3600" w:hanging="360"/>
      </w:pPr>
      <w:rPr>
        <w:u w:val="none"/>
      </w:rPr>
    </w:lvl>
    <w:lvl w:ilvl="5" w:tplc="81AE8E08">
      <w:start w:val="1"/>
      <w:numFmt w:val="bullet"/>
      <w:lvlText w:val="■"/>
      <w:lvlJc w:val="left"/>
      <w:pPr>
        <w:ind w:left="4320" w:hanging="360"/>
      </w:pPr>
      <w:rPr>
        <w:u w:val="none"/>
      </w:rPr>
    </w:lvl>
    <w:lvl w:ilvl="6" w:tplc="5B50666A">
      <w:start w:val="1"/>
      <w:numFmt w:val="bullet"/>
      <w:lvlText w:val="●"/>
      <w:lvlJc w:val="left"/>
      <w:pPr>
        <w:ind w:left="5040" w:hanging="360"/>
      </w:pPr>
      <w:rPr>
        <w:u w:val="none"/>
      </w:rPr>
    </w:lvl>
    <w:lvl w:ilvl="7" w:tplc="76368812">
      <w:start w:val="1"/>
      <w:numFmt w:val="bullet"/>
      <w:lvlText w:val="○"/>
      <w:lvlJc w:val="left"/>
      <w:pPr>
        <w:ind w:left="5760" w:hanging="360"/>
      </w:pPr>
      <w:rPr>
        <w:u w:val="none"/>
      </w:rPr>
    </w:lvl>
    <w:lvl w:ilvl="8" w:tplc="9CE68C08">
      <w:start w:val="1"/>
      <w:numFmt w:val="bullet"/>
      <w:lvlText w:val="■"/>
      <w:lvlJc w:val="left"/>
      <w:pPr>
        <w:ind w:left="6480" w:hanging="360"/>
      </w:pPr>
      <w:rPr>
        <w:u w:val="none"/>
      </w:rPr>
    </w:lvl>
  </w:abstractNum>
  <w:abstractNum w:abstractNumId="6" w15:restartNumberingAfterBreak="0">
    <w:nsid w:val="0AB2E75F"/>
    <w:multiLevelType w:val="hybridMultilevel"/>
    <w:tmpl w:val="00000000"/>
    <w:lvl w:ilvl="0" w:tplc="3132B156">
      <w:start w:val="1"/>
      <w:numFmt w:val="bullet"/>
      <w:lvlText w:val="●"/>
      <w:lvlJc w:val="left"/>
      <w:pPr>
        <w:ind w:left="720" w:hanging="360"/>
      </w:pPr>
      <w:rPr>
        <w:u w:val="none"/>
      </w:rPr>
    </w:lvl>
    <w:lvl w:ilvl="1" w:tplc="E4BCBA60">
      <w:start w:val="1"/>
      <w:numFmt w:val="bullet"/>
      <w:lvlText w:val="○"/>
      <w:lvlJc w:val="left"/>
      <w:pPr>
        <w:ind w:left="1440" w:hanging="360"/>
      </w:pPr>
      <w:rPr>
        <w:u w:val="none"/>
      </w:rPr>
    </w:lvl>
    <w:lvl w:ilvl="2" w:tplc="80A4A584">
      <w:start w:val="1"/>
      <w:numFmt w:val="bullet"/>
      <w:lvlText w:val="■"/>
      <w:lvlJc w:val="left"/>
      <w:pPr>
        <w:ind w:left="2160" w:hanging="360"/>
      </w:pPr>
      <w:rPr>
        <w:u w:val="none"/>
      </w:rPr>
    </w:lvl>
    <w:lvl w:ilvl="3" w:tplc="4F94761C">
      <w:start w:val="1"/>
      <w:numFmt w:val="bullet"/>
      <w:lvlText w:val="●"/>
      <w:lvlJc w:val="left"/>
      <w:pPr>
        <w:ind w:left="2880" w:hanging="360"/>
      </w:pPr>
      <w:rPr>
        <w:u w:val="none"/>
      </w:rPr>
    </w:lvl>
    <w:lvl w:ilvl="4" w:tplc="83805B9E">
      <w:start w:val="1"/>
      <w:numFmt w:val="bullet"/>
      <w:lvlText w:val="○"/>
      <w:lvlJc w:val="left"/>
      <w:pPr>
        <w:ind w:left="3600" w:hanging="360"/>
      </w:pPr>
      <w:rPr>
        <w:u w:val="none"/>
      </w:rPr>
    </w:lvl>
    <w:lvl w:ilvl="5" w:tplc="1ED06EAC">
      <w:start w:val="1"/>
      <w:numFmt w:val="bullet"/>
      <w:lvlText w:val="■"/>
      <w:lvlJc w:val="left"/>
      <w:pPr>
        <w:ind w:left="4320" w:hanging="360"/>
      </w:pPr>
      <w:rPr>
        <w:u w:val="none"/>
      </w:rPr>
    </w:lvl>
    <w:lvl w:ilvl="6" w:tplc="5D3638D4">
      <w:start w:val="1"/>
      <w:numFmt w:val="bullet"/>
      <w:lvlText w:val="●"/>
      <w:lvlJc w:val="left"/>
      <w:pPr>
        <w:ind w:left="5040" w:hanging="360"/>
      </w:pPr>
      <w:rPr>
        <w:u w:val="none"/>
      </w:rPr>
    </w:lvl>
    <w:lvl w:ilvl="7" w:tplc="89B2D312">
      <w:start w:val="1"/>
      <w:numFmt w:val="bullet"/>
      <w:lvlText w:val="○"/>
      <w:lvlJc w:val="left"/>
      <w:pPr>
        <w:ind w:left="5760" w:hanging="360"/>
      </w:pPr>
      <w:rPr>
        <w:u w:val="none"/>
      </w:rPr>
    </w:lvl>
    <w:lvl w:ilvl="8" w:tplc="CFB87704">
      <w:start w:val="1"/>
      <w:numFmt w:val="bullet"/>
      <w:lvlText w:val="■"/>
      <w:lvlJc w:val="left"/>
      <w:pPr>
        <w:ind w:left="6480" w:hanging="360"/>
      </w:pPr>
      <w:rPr>
        <w:u w:val="none"/>
      </w:rPr>
    </w:lvl>
  </w:abstractNum>
  <w:abstractNum w:abstractNumId="7" w15:restartNumberingAfterBreak="0">
    <w:nsid w:val="11B4180C"/>
    <w:multiLevelType w:val="hybridMultilevel"/>
    <w:tmpl w:val="00000000"/>
    <w:lvl w:ilvl="0" w:tplc="8B3637F6">
      <w:start w:val="1"/>
      <w:numFmt w:val="bullet"/>
      <w:lvlText w:val="●"/>
      <w:lvlJc w:val="left"/>
      <w:pPr>
        <w:ind w:left="720" w:hanging="360"/>
      </w:pPr>
      <w:rPr>
        <w:u w:val="none"/>
      </w:rPr>
    </w:lvl>
    <w:lvl w:ilvl="1" w:tplc="3D0EAE0C">
      <w:start w:val="1"/>
      <w:numFmt w:val="bullet"/>
      <w:lvlText w:val="○"/>
      <w:lvlJc w:val="left"/>
      <w:pPr>
        <w:ind w:left="1440" w:hanging="360"/>
      </w:pPr>
      <w:rPr>
        <w:u w:val="none"/>
      </w:rPr>
    </w:lvl>
    <w:lvl w:ilvl="2" w:tplc="9B824CE4">
      <w:start w:val="1"/>
      <w:numFmt w:val="bullet"/>
      <w:lvlText w:val="■"/>
      <w:lvlJc w:val="left"/>
      <w:pPr>
        <w:ind w:left="2160" w:hanging="360"/>
      </w:pPr>
      <w:rPr>
        <w:u w:val="none"/>
      </w:rPr>
    </w:lvl>
    <w:lvl w:ilvl="3" w:tplc="21226B9E">
      <w:start w:val="1"/>
      <w:numFmt w:val="bullet"/>
      <w:lvlText w:val="●"/>
      <w:lvlJc w:val="left"/>
      <w:pPr>
        <w:ind w:left="2880" w:hanging="360"/>
      </w:pPr>
      <w:rPr>
        <w:u w:val="none"/>
      </w:rPr>
    </w:lvl>
    <w:lvl w:ilvl="4" w:tplc="18F4C180">
      <w:start w:val="1"/>
      <w:numFmt w:val="bullet"/>
      <w:lvlText w:val="○"/>
      <w:lvlJc w:val="left"/>
      <w:pPr>
        <w:ind w:left="3600" w:hanging="360"/>
      </w:pPr>
      <w:rPr>
        <w:u w:val="none"/>
      </w:rPr>
    </w:lvl>
    <w:lvl w:ilvl="5" w:tplc="F46EB7DA">
      <w:start w:val="1"/>
      <w:numFmt w:val="bullet"/>
      <w:lvlText w:val="■"/>
      <w:lvlJc w:val="left"/>
      <w:pPr>
        <w:ind w:left="4320" w:hanging="360"/>
      </w:pPr>
      <w:rPr>
        <w:u w:val="none"/>
      </w:rPr>
    </w:lvl>
    <w:lvl w:ilvl="6" w:tplc="9498F624">
      <w:start w:val="1"/>
      <w:numFmt w:val="bullet"/>
      <w:lvlText w:val="●"/>
      <w:lvlJc w:val="left"/>
      <w:pPr>
        <w:ind w:left="5040" w:hanging="360"/>
      </w:pPr>
      <w:rPr>
        <w:u w:val="none"/>
      </w:rPr>
    </w:lvl>
    <w:lvl w:ilvl="7" w:tplc="64C2DED0">
      <w:start w:val="1"/>
      <w:numFmt w:val="bullet"/>
      <w:lvlText w:val="○"/>
      <w:lvlJc w:val="left"/>
      <w:pPr>
        <w:ind w:left="5760" w:hanging="360"/>
      </w:pPr>
      <w:rPr>
        <w:u w:val="none"/>
      </w:rPr>
    </w:lvl>
    <w:lvl w:ilvl="8" w:tplc="746A83D0">
      <w:start w:val="1"/>
      <w:numFmt w:val="bullet"/>
      <w:lvlText w:val="■"/>
      <w:lvlJc w:val="left"/>
      <w:pPr>
        <w:ind w:left="6480" w:hanging="360"/>
      </w:pPr>
      <w:rPr>
        <w:u w:val="none"/>
      </w:rPr>
    </w:lvl>
  </w:abstractNum>
  <w:abstractNum w:abstractNumId="8" w15:restartNumberingAfterBreak="0">
    <w:nsid w:val="1325DB76"/>
    <w:multiLevelType w:val="hybridMultilevel"/>
    <w:tmpl w:val="00000000"/>
    <w:lvl w:ilvl="0" w:tplc="C89EEFBA">
      <w:start w:val="1"/>
      <w:numFmt w:val="bullet"/>
      <w:lvlText w:val="●"/>
      <w:lvlJc w:val="left"/>
      <w:pPr>
        <w:ind w:left="720" w:hanging="360"/>
      </w:pPr>
      <w:rPr>
        <w:u w:val="none"/>
      </w:rPr>
    </w:lvl>
    <w:lvl w:ilvl="1" w:tplc="499C4CBC">
      <w:start w:val="1"/>
      <w:numFmt w:val="bullet"/>
      <w:lvlText w:val="○"/>
      <w:lvlJc w:val="left"/>
      <w:pPr>
        <w:ind w:left="1440" w:hanging="360"/>
      </w:pPr>
      <w:rPr>
        <w:u w:val="none"/>
      </w:rPr>
    </w:lvl>
    <w:lvl w:ilvl="2" w:tplc="4A201180">
      <w:start w:val="1"/>
      <w:numFmt w:val="bullet"/>
      <w:lvlText w:val="■"/>
      <w:lvlJc w:val="left"/>
      <w:pPr>
        <w:ind w:left="2160" w:hanging="360"/>
      </w:pPr>
      <w:rPr>
        <w:u w:val="none"/>
      </w:rPr>
    </w:lvl>
    <w:lvl w:ilvl="3" w:tplc="C25A85C0">
      <w:start w:val="1"/>
      <w:numFmt w:val="bullet"/>
      <w:lvlText w:val="●"/>
      <w:lvlJc w:val="left"/>
      <w:pPr>
        <w:ind w:left="2880" w:hanging="360"/>
      </w:pPr>
      <w:rPr>
        <w:u w:val="none"/>
      </w:rPr>
    </w:lvl>
    <w:lvl w:ilvl="4" w:tplc="AEBCF69E">
      <w:start w:val="1"/>
      <w:numFmt w:val="bullet"/>
      <w:lvlText w:val="○"/>
      <w:lvlJc w:val="left"/>
      <w:pPr>
        <w:ind w:left="3600" w:hanging="360"/>
      </w:pPr>
      <w:rPr>
        <w:u w:val="none"/>
      </w:rPr>
    </w:lvl>
    <w:lvl w:ilvl="5" w:tplc="97A63816">
      <w:start w:val="1"/>
      <w:numFmt w:val="bullet"/>
      <w:lvlText w:val="■"/>
      <w:lvlJc w:val="left"/>
      <w:pPr>
        <w:ind w:left="4320" w:hanging="360"/>
      </w:pPr>
      <w:rPr>
        <w:u w:val="none"/>
      </w:rPr>
    </w:lvl>
    <w:lvl w:ilvl="6" w:tplc="1B1C630C">
      <w:start w:val="1"/>
      <w:numFmt w:val="bullet"/>
      <w:lvlText w:val="●"/>
      <w:lvlJc w:val="left"/>
      <w:pPr>
        <w:ind w:left="5040" w:hanging="360"/>
      </w:pPr>
      <w:rPr>
        <w:u w:val="none"/>
      </w:rPr>
    </w:lvl>
    <w:lvl w:ilvl="7" w:tplc="47B8AED6">
      <w:start w:val="1"/>
      <w:numFmt w:val="bullet"/>
      <w:lvlText w:val="○"/>
      <w:lvlJc w:val="left"/>
      <w:pPr>
        <w:ind w:left="5760" w:hanging="360"/>
      </w:pPr>
      <w:rPr>
        <w:u w:val="none"/>
      </w:rPr>
    </w:lvl>
    <w:lvl w:ilvl="8" w:tplc="F7A61DE2">
      <w:start w:val="1"/>
      <w:numFmt w:val="bullet"/>
      <w:lvlText w:val="■"/>
      <w:lvlJc w:val="left"/>
      <w:pPr>
        <w:ind w:left="6480" w:hanging="360"/>
      </w:pPr>
      <w:rPr>
        <w:u w:val="none"/>
      </w:rPr>
    </w:lvl>
  </w:abstractNum>
  <w:abstractNum w:abstractNumId="9" w15:restartNumberingAfterBreak="0">
    <w:nsid w:val="18579C10"/>
    <w:multiLevelType w:val="hybridMultilevel"/>
    <w:tmpl w:val="00000000"/>
    <w:lvl w:ilvl="0" w:tplc="ED50A9D8">
      <w:start w:val="1"/>
      <w:numFmt w:val="bullet"/>
      <w:lvlText w:val="●"/>
      <w:lvlJc w:val="left"/>
      <w:pPr>
        <w:ind w:left="720" w:hanging="360"/>
      </w:pPr>
      <w:rPr>
        <w:u w:val="none"/>
      </w:rPr>
    </w:lvl>
    <w:lvl w:ilvl="1" w:tplc="57525218">
      <w:start w:val="1"/>
      <w:numFmt w:val="bullet"/>
      <w:lvlText w:val="○"/>
      <w:lvlJc w:val="left"/>
      <w:pPr>
        <w:ind w:left="1440" w:hanging="360"/>
      </w:pPr>
      <w:rPr>
        <w:u w:val="none"/>
      </w:rPr>
    </w:lvl>
    <w:lvl w:ilvl="2" w:tplc="DFF2DD48">
      <w:start w:val="1"/>
      <w:numFmt w:val="bullet"/>
      <w:lvlText w:val="■"/>
      <w:lvlJc w:val="left"/>
      <w:pPr>
        <w:ind w:left="2160" w:hanging="360"/>
      </w:pPr>
      <w:rPr>
        <w:u w:val="none"/>
      </w:rPr>
    </w:lvl>
    <w:lvl w:ilvl="3" w:tplc="A81021CA">
      <w:start w:val="1"/>
      <w:numFmt w:val="bullet"/>
      <w:lvlText w:val="●"/>
      <w:lvlJc w:val="left"/>
      <w:pPr>
        <w:ind w:left="2880" w:hanging="360"/>
      </w:pPr>
      <w:rPr>
        <w:u w:val="none"/>
      </w:rPr>
    </w:lvl>
    <w:lvl w:ilvl="4" w:tplc="B8066348">
      <w:start w:val="1"/>
      <w:numFmt w:val="bullet"/>
      <w:lvlText w:val="○"/>
      <w:lvlJc w:val="left"/>
      <w:pPr>
        <w:ind w:left="3600" w:hanging="360"/>
      </w:pPr>
      <w:rPr>
        <w:u w:val="none"/>
      </w:rPr>
    </w:lvl>
    <w:lvl w:ilvl="5" w:tplc="2E90B45E">
      <w:start w:val="1"/>
      <w:numFmt w:val="bullet"/>
      <w:lvlText w:val="■"/>
      <w:lvlJc w:val="left"/>
      <w:pPr>
        <w:ind w:left="4320" w:hanging="360"/>
      </w:pPr>
      <w:rPr>
        <w:u w:val="none"/>
      </w:rPr>
    </w:lvl>
    <w:lvl w:ilvl="6" w:tplc="FCD4D576">
      <w:start w:val="1"/>
      <w:numFmt w:val="bullet"/>
      <w:lvlText w:val="●"/>
      <w:lvlJc w:val="left"/>
      <w:pPr>
        <w:ind w:left="5040" w:hanging="360"/>
      </w:pPr>
      <w:rPr>
        <w:u w:val="none"/>
      </w:rPr>
    </w:lvl>
    <w:lvl w:ilvl="7" w:tplc="A7585578">
      <w:start w:val="1"/>
      <w:numFmt w:val="bullet"/>
      <w:lvlText w:val="○"/>
      <w:lvlJc w:val="left"/>
      <w:pPr>
        <w:ind w:left="5760" w:hanging="360"/>
      </w:pPr>
      <w:rPr>
        <w:u w:val="none"/>
      </w:rPr>
    </w:lvl>
    <w:lvl w:ilvl="8" w:tplc="3A7AB714">
      <w:start w:val="1"/>
      <w:numFmt w:val="bullet"/>
      <w:lvlText w:val="■"/>
      <w:lvlJc w:val="left"/>
      <w:pPr>
        <w:ind w:left="6480" w:hanging="360"/>
      </w:pPr>
      <w:rPr>
        <w:u w:val="none"/>
      </w:rPr>
    </w:lvl>
  </w:abstractNum>
  <w:abstractNum w:abstractNumId="10" w15:restartNumberingAfterBreak="0">
    <w:nsid w:val="1A008209"/>
    <w:multiLevelType w:val="hybridMultilevel"/>
    <w:tmpl w:val="00000000"/>
    <w:lvl w:ilvl="0" w:tplc="811458A2">
      <w:start w:val="1"/>
      <w:numFmt w:val="bullet"/>
      <w:lvlText w:val="●"/>
      <w:lvlJc w:val="left"/>
      <w:pPr>
        <w:ind w:left="720" w:hanging="360"/>
      </w:pPr>
      <w:rPr>
        <w:u w:val="none"/>
      </w:rPr>
    </w:lvl>
    <w:lvl w:ilvl="1" w:tplc="A83207B2">
      <w:start w:val="1"/>
      <w:numFmt w:val="bullet"/>
      <w:lvlText w:val="○"/>
      <w:lvlJc w:val="left"/>
      <w:pPr>
        <w:ind w:left="1440" w:hanging="360"/>
      </w:pPr>
      <w:rPr>
        <w:u w:val="none"/>
      </w:rPr>
    </w:lvl>
    <w:lvl w:ilvl="2" w:tplc="8996DF3E">
      <w:start w:val="1"/>
      <w:numFmt w:val="bullet"/>
      <w:lvlText w:val="■"/>
      <w:lvlJc w:val="left"/>
      <w:pPr>
        <w:ind w:left="2160" w:hanging="360"/>
      </w:pPr>
      <w:rPr>
        <w:u w:val="none"/>
      </w:rPr>
    </w:lvl>
    <w:lvl w:ilvl="3" w:tplc="CDCC88E8">
      <w:start w:val="1"/>
      <w:numFmt w:val="bullet"/>
      <w:lvlText w:val="●"/>
      <w:lvlJc w:val="left"/>
      <w:pPr>
        <w:ind w:left="2880" w:hanging="360"/>
      </w:pPr>
      <w:rPr>
        <w:u w:val="none"/>
      </w:rPr>
    </w:lvl>
    <w:lvl w:ilvl="4" w:tplc="BAA861EA">
      <w:start w:val="1"/>
      <w:numFmt w:val="bullet"/>
      <w:lvlText w:val="○"/>
      <w:lvlJc w:val="left"/>
      <w:pPr>
        <w:ind w:left="3600" w:hanging="360"/>
      </w:pPr>
      <w:rPr>
        <w:u w:val="none"/>
      </w:rPr>
    </w:lvl>
    <w:lvl w:ilvl="5" w:tplc="D2546A94">
      <w:start w:val="1"/>
      <w:numFmt w:val="bullet"/>
      <w:lvlText w:val="■"/>
      <w:lvlJc w:val="left"/>
      <w:pPr>
        <w:ind w:left="4320" w:hanging="360"/>
      </w:pPr>
      <w:rPr>
        <w:u w:val="none"/>
      </w:rPr>
    </w:lvl>
    <w:lvl w:ilvl="6" w:tplc="1A56D136">
      <w:start w:val="1"/>
      <w:numFmt w:val="bullet"/>
      <w:lvlText w:val="●"/>
      <w:lvlJc w:val="left"/>
      <w:pPr>
        <w:ind w:left="5040" w:hanging="360"/>
      </w:pPr>
      <w:rPr>
        <w:u w:val="none"/>
      </w:rPr>
    </w:lvl>
    <w:lvl w:ilvl="7" w:tplc="B7E2C684">
      <w:start w:val="1"/>
      <w:numFmt w:val="bullet"/>
      <w:lvlText w:val="○"/>
      <w:lvlJc w:val="left"/>
      <w:pPr>
        <w:ind w:left="5760" w:hanging="360"/>
      </w:pPr>
      <w:rPr>
        <w:u w:val="none"/>
      </w:rPr>
    </w:lvl>
    <w:lvl w:ilvl="8" w:tplc="518493FC">
      <w:start w:val="1"/>
      <w:numFmt w:val="bullet"/>
      <w:lvlText w:val="■"/>
      <w:lvlJc w:val="left"/>
      <w:pPr>
        <w:ind w:left="6480" w:hanging="360"/>
      </w:pPr>
      <w:rPr>
        <w:u w:val="none"/>
      </w:rPr>
    </w:lvl>
  </w:abstractNum>
  <w:abstractNum w:abstractNumId="11" w15:restartNumberingAfterBreak="0">
    <w:nsid w:val="21D14532"/>
    <w:multiLevelType w:val="hybridMultilevel"/>
    <w:tmpl w:val="00000000"/>
    <w:lvl w:ilvl="0" w:tplc="1332D1CC">
      <w:start w:val="1"/>
      <w:numFmt w:val="bullet"/>
      <w:lvlText w:val="●"/>
      <w:lvlJc w:val="left"/>
      <w:pPr>
        <w:ind w:left="720" w:hanging="360"/>
      </w:pPr>
      <w:rPr>
        <w:u w:val="none"/>
      </w:rPr>
    </w:lvl>
    <w:lvl w:ilvl="1" w:tplc="13B68C9E">
      <w:start w:val="1"/>
      <w:numFmt w:val="bullet"/>
      <w:lvlText w:val="○"/>
      <w:lvlJc w:val="left"/>
      <w:pPr>
        <w:ind w:left="1440" w:hanging="360"/>
      </w:pPr>
      <w:rPr>
        <w:u w:val="none"/>
      </w:rPr>
    </w:lvl>
    <w:lvl w:ilvl="2" w:tplc="190A0810">
      <w:start w:val="1"/>
      <w:numFmt w:val="bullet"/>
      <w:lvlText w:val="■"/>
      <w:lvlJc w:val="left"/>
      <w:pPr>
        <w:ind w:left="2160" w:hanging="360"/>
      </w:pPr>
      <w:rPr>
        <w:u w:val="none"/>
      </w:rPr>
    </w:lvl>
    <w:lvl w:ilvl="3" w:tplc="A86CA534">
      <w:start w:val="1"/>
      <w:numFmt w:val="bullet"/>
      <w:lvlText w:val="●"/>
      <w:lvlJc w:val="left"/>
      <w:pPr>
        <w:ind w:left="2880" w:hanging="360"/>
      </w:pPr>
      <w:rPr>
        <w:u w:val="none"/>
      </w:rPr>
    </w:lvl>
    <w:lvl w:ilvl="4" w:tplc="5DC4C58C">
      <w:start w:val="1"/>
      <w:numFmt w:val="bullet"/>
      <w:lvlText w:val="○"/>
      <w:lvlJc w:val="left"/>
      <w:pPr>
        <w:ind w:left="3600" w:hanging="360"/>
      </w:pPr>
      <w:rPr>
        <w:u w:val="none"/>
      </w:rPr>
    </w:lvl>
    <w:lvl w:ilvl="5" w:tplc="39A25012">
      <w:start w:val="1"/>
      <w:numFmt w:val="bullet"/>
      <w:lvlText w:val="■"/>
      <w:lvlJc w:val="left"/>
      <w:pPr>
        <w:ind w:left="4320" w:hanging="360"/>
      </w:pPr>
      <w:rPr>
        <w:u w:val="none"/>
      </w:rPr>
    </w:lvl>
    <w:lvl w:ilvl="6" w:tplc="599C3626">
      <w:start w:val="1"/>
      <w:numFmt w:val="bullet"/>
      <w:lvlText w:val="●"/>
      <w:lvlJc w:val="left"/>
      <w:pPr>
        <w:ind w:left="5040" w:hanging="360"/>
      </w:pPr>
      <w:rPr>
        <w:u w:val="none"/>
      </w:rPr>
    </w:lvl>
    <w:lvl w:ilvl="7" w:tplc="C046B2C6">
      <w:start w:val="1"/>
      <w:numFmt w:val="bullet"/>
      <w:lvlText w:val="○"/>
      <w:lvlJc w:val="left"/>
      <w:pPr>
        <w:ind w:left="5760" w:hanging="360"/>
      </w:pPr>
      <w:rPr>
        <w:u w:val="none"/>
      </w:rPr>
    </w:lvl>
    <w:lvl w:ilvl="8" w:tplc="D1646234">
      <w:start w:val="1"/>
      <w:numFmt w:val="bullet"/>
      <w:lvlText w:val="■"/>
      <w:lvlJc w:val="left"/>
      <w:pPr>
        <w:ind w:left="6480" w:hanging="360"/>
      </w:pPr>
      <w:rPr>
        <w:u w:val="none"/>
      </w:rPr>
    </w:lvl>
  </w:abstractNum>
  <w:abstractNum w:abstractNumId="12" w15:restartNumberingAfterBreak="0">
    <w:nsid w:val="23DCA153"/>
    <w:multiLevelType w:val="hybridMultilevel"/>
    <w:tmpl w:val="00000000"/>
    <w:lvl w:ilvl="0" w:tplc="4A36798C">
      <w:start w:val="1"/>
      <w:numFmt w:val="bullet"/>
      <w:lvlText w:val="●"/>
      <w:lvlJc w:val="left"/>
      <w:pPr>
        <w:ind w:left="720" w:hanging="360"/>
      </w:pPr>
      <w:rPr>
        <w:u w:val="none"/>
      </w:rPr>
    </w:lvl>
    <w:lvl w:ilvl="1" w:tplc="513822FC">
      <w:start w:val="1"/>
      <w:numFmt w:val="bullet"/>
      <w:lvlText w:val="○"/>
      <w:lvlJc w:val="left"/>
      <w:pPr>
        <w:ind w:left="1440" w:hanging="360"/>
      </w:pPr>
      <w:rPr>
        <w:u w:val="none"/>
      </w:rPr>
    </w:lvl>
    <w:lvl w:ilvl="2" w:tplc="8610BAB2">
      <w:start w:val="1"/>
      <w:numFmt w:val="bullet"/>
      <w:lvlText w:val="■"/>
      <w:lvlJc w:val="left"/>
      <w:pPr>
        <w:ind w:left="2160" w:hanging="360"/>
      </w:pPr>
      <w:rPr>
        <w:u w:val="none"/>
      </w:rPr>
    </w:lvl>
    <w:lvl w:ilvl="3" w:tplc="E62499DE">
      <w:start w:val="1"/>
      <w:numFmt w:val="bullet"/>
      <w:lvlText w:val="●"/>
      <w:lvlJc w:val="left"/>
      <w:pPr>
        <w:ind w:left="2880" w:hanging="360"/>
      </w:pPr>
      <w:rPr>
        <w:u w:val="none"/>
      </w:rPr>
    </w:lvl>
    <w:lvl w:ilvl="4" w:tplc="7DBE656C">
      <w:start w:val="1"/>
      <w:numFmt w:val="bullet"/>
      <w:lvlText w:val="○"/>
      <w:lvlJc w:val="left"/>
      <w:pPr>
        <w:ind w:left="3600" w:hanging="360"/>
      </w:pPr>
      <w:rPr>
        <w:u w:val="none"/>
      </w:rPr>
    </w:lvl>
    <w:lvl w:ilvl="5" w:tplc="69A43120">
      <w:start w:val="1"/>
      <w:numFmt w:val="bullet"/>
      <w:lvlText w:val="■"/>
      <w:lvlJc w:val="left"/>
      <w:pPr>
        <w:ind w:left="4320" w:hanging="360"/>
      </w:pPr>
      <w:rPr>
        <w:u w:val="none"/>
      </w:rPr>
    </w:lvl>
    <w:lvl w:ilvl="6" w:tplc="2194B02C">
      <w:start w:val="1"/>
      <w:numFmt w:val="bullet"/>
      <w:lvlText w:val="●"/>
      <w:lvlJc w:val="left"/>
      <w:pPr>
        <w:ind w:left="5040" w:hanging="360"/>
      </w:pPr>
      <w:rPr>
        <w:u w:val="none"/>
      </w:rPr>
    </w:lvl>
    <w:lvl w:ilvl="7" w:tplc="3C8C3B74">
      <w:start w:val="1"/>
      <w:numFmt w:val="bullet"/>
      <w:lvlText w:val="○"/>
      <w:lvlJc w:val="left"/>
      <w:pPr>
        <w:ind w:left="5760" w:hanging="360"/>
      </w:pPr>
      <w:rPr>
        <w:u w:val="none"/>
      </w:rPr>
    </w:lvl>
    <w:lvl w:ilvl="8" w:tplc="1C065E0E">
      <w:start w:val="1"/>
      <w:numFmt w:val="bullet"/>
      <w:lvlText w:val="■"/>
      <w:lvlJc w:val="left"/>
      <w:pPr>
        <w:ind w:left="6480" w:hanging="360"/>
      </w:pPr>
      <w:rPr>
        <w:u w:val="none"/>
      </w:rPr>
    </w:lvl>
  </w:abstractNum>
  <w:abstractNum w:abstractNumId="13" w15:restartNumberingAfterBreak="0">
    <w:nsid w:val="246265B4"/>
    <w:multiLevelType w:val="hybridMultilevel"/>
    <w:tmpl w:val="00000000"/>
    <w:lvl w:ilvl="0" w:tplc="A510F428">
      <w:start w:val="1"/>
      <w:numFmt w:val="bullet"/>
      <w:lvlText w:val="●"/>
      <w:lvlJc w:val="left"/>
      <w:pPr>
        <w:ind w:left="720" w:hanging="360"/>
      </w:pPr>
      <w:rPr>
        <w:u w:val="none"/>
      </w:rPr>
    </w:lvl>
    <w:lvl w:ilvl="1" w:tplc="5E1CEADE">
      <w:start w:val="1"/>
      <w:numFmt w:val="bullet"/>
      <w:lvlText w:val="○"/>
      <w:lvlJc w:val="left"/>
      <w:pPr>
        <w:ind w:left="1440" w:hanging="360"/>
      </w:pPr>
      <w:rPr>
        <w:u w:val="none"/>
      </w:rPr>
    </w:lvl>
    <w:lvl w:ilvl="2" w:tplc="FB56BCD8">
      <w:start w:val="1"/>
      <w:numFmt w:val="bullet"/>
      <w:lvlText w:val="■"/>
      <w:lvlJc w:val="left"/>
      <w:pPr>
        <w:ind w:left="2160" w:hanging="360"/>
      </w:pPr>
      <w:rPr>
        <w:u w:val="none"/>
      </w:rPr>
    </w:lvl>
    <w:lvl w:ilvl="3" w:tplc="58A06AFC">
      <w:start w:val="1"/>
      <w:numFmt w:val="bullet"/>
      <w:lvlText w:val="●"/>
      <w:lvlJc w:val="left"/>
      <w:pPr>
        <w:ind w:left="2880" w:hanging="360"/>
      </w:pPr>
      <w:rPr>
        <w:u w:val="none"/>
      </w:rPr>
    </w:lvl>
    <w:lvl w:ilvl="4" w:tplc="DADA5D6A">
      <w:start w:val="1"/>
      <w:numFmt w:val="bullet"/>
      <w:lvlText w:val="○"/>
      <w:lvlJc w:val="left"/>
      <w:pPr>
        <w:ind w:left="3600" w:hanging="360"/>
      </w:pPr>
      <w:rPr>
        <w:u w:val="none"/>
      </w:rPr>
    </w:lvl>
    <w:lvl w:ilvl="5" w:tplc="3EF0F616">
      <w:start w:val="1"/>
      <w:numFmt w:val="bullet"/>
      <w:lvlText w:val="■"/>
      <w:lvlJc w:val="left"/>
      <w:pPr>
        <w:ind w:left="4320" w:hanging="360"/>
      </w:pPr>
      <w:rPr>
        <w:u w:val="none"/>
      </w:rPr>
    </w:lvl>
    <w:lvl w:ilvl="6" w:tplc="4934B50C">
      <w:start w:val="1"/>
      <w:numFmt w:val="bullet"/>
      <w:lvlText w:val="●"/>
      <w:lvlJc w:val="left"/>
      <w:pPr>
        <w:ind w:left="5040" w:hanging="360"/>
      </w:pPr>
      <w:rPr>
        <w:u w:val="none"/>
      </w:rPr>
    </w:lvl>
    <w:lvl w:ilvl="7" w:tplc="FE083EE2">
      <w:start w:val="1"/>
      <w:numFmt w:val="bullet"/>
      <w:lvlText w:val="○"/>
      <w:lvlJc w:val="left"/>
      <w:pPr>
        <w:ind w:left="5760" w:hanging="360"/>
      </w:pPr>
      <w:rPr>
        <w:u w:val="none"/>
      </w:rPr>
    </w:lvl>
    <w:lvl w:ilvl="8" w:tplc="BDD4E7C6">
      <w:start w:val="1"/>
      <w:numFmt w:val="bullet"/>
      <w:lvlText w:val="■"/>
      <w:lvlJc w:val="left"/>
      <w:pPr>
        <w:ind w:left="6480" w:hanging="360"/>
      </w:pPr>
      <w:rPr>
        <w:u w:val="none"/>
      </w:rPr>
    </w:lvl>
  </w:abstractNum>
  <w:abstractNum w:abstractNumId="14" w15:restartNumberingAfterBreak="0">
    <w:nsid w:val="249EFAD6"/>
    <w:multiLevelType w:val="hybridMultilevel"/>
    <w:tmpl w:val="00000000"/>
    <w:lvl w:ilvl="0" w:tplc="05447FF4">
      <w:start w:val="1"/>
      <w:numFmt w:val="bullet"/>
      <w:lvlText w:val="●"/>
      <w:lvlJc w:val="left"/>
      <w:pPr>
        <w:ind w:left="720" w:hanging="360"/>
      </w:pPr>
      <w:rPr>
        <w:u w:val="none"/>
      </w:rPr>
    </w:lvl>
    <w:lvl w:ilvl="1" w:tplc="1C30B316">
      <w:start w:val="1"/>
      <w:numFmt w:val="bullet"/>
      <w:lvlText w:val="○"/>
      <w:lvlJc w:val="left"/>
      <w:pPr>
        <w:ind w:left="1440" w:hanging="360"/>
      </w:pPr>
      <w:rPr>
        <w:u w:val="none"/>
      </w:rPr>
    </w:lvl>
    <w:lvl w:ilvl="2" w:tplc="F1E6B268">
      <w:start w:val="1"/>
      <w:numFmt w:val="bullet"/>
      <w:lvlText w:val="■"/>
      <w:lvlJc w:val="left"/>
      <w:pPr>
        <w:ind w:left="2160" w:hanging="360"/>
      </w:pPr>
      <w:rPr>
        <w:u w:val="none"/>
      </w:rPr>
    </w:lvl>
    <w:lvl w:ilvl="3" w:tplc="F7AACBB8">
      <w:start w:val="1"/>
      <w:numFmt w:val="bullet"/>
      <w:lvlText w:val="●"/>
      <w:lvlJc w:val="left"/>
      <w:pPr>
        <w:ind w:left="2880" w:hanging="360"/>
      </w:pPr>
      <w:rPr>
        <w:u w:val="none"/>
      </w:rPr>
    </w:lvl>
    <w:lvl w:ilvl="4" w:tplc="0A560190">
      <w:start w:val="1"/>
      <w:numFmt w:val="bullet"/>
      <w:lvlText w:val="○"/>
      <w:lvlJc w:val="left"/>
      <w:pPr>
        <w:ind w:left="3600" w:hanging="360"/>
      </w:pPr>
      <w:rPr>
        <w:u w:val="none"/>
      </w:rPr>
    </w:lvl>
    <w:lvl w:ilvl="5" w:tplc="3490E3D0">
      <w:start w:val="1"/>
      <w:numFmt w:val="bullet"/>
      <w:lvlText w:val="■"/>
      <w:lvlJc w:val="left"/>
      <w:pPr>
        <w:ind w:left="4320" w:hanging="360"/>
      </w:pPr>
      <w:rPr>
        <w:u w:val="none"/>
      </w:rPr>
    </w:lvl>
    <w:lvl w:ilvl="6" w:tplc="3D4609E8">
      <w:start w:val="1"/>
      <w:numFmt w:val="bullet"/>
      <w:lvlText w:val="●"/>
      <w:lvlJc w:val="left"/>
      <w:pPr>
        <w:ind w:left="5040" w:hanging="360"/>
      </w:pPr>
      <w:rPr>
        <w:u w:val="none"/>
      </w:rPr>
    </w:lvl>
    <w:lvl w:ilvl="7" w:tplc="8EF6E260">
      <w:start w:val="1"/>
      <w:numFmt w:val="bullet"/>
      <w:lvlText w:val="○"/>
      <w:lvlJc w:val="left"/>
      <w:pPr>
        <w:ind w:left="5760" w:hanging="360"/>
      </w:pPr>
      <w:rPr>
        <w:u w:val="none"/>
      </w:rPr>
    </w:lvl>
    <w:lvl w:ilvl="8" w:tplc="23B4F412">
      <w:start w:val="1"/>
      <w:numFmt w:val="bullet"/>
      <w:lvlText w:val="■"/>
      <w:lvlJc w:val="left"/>
      <w:pPr>
        <w:ind w:left="6480" w:hanging="360"/>
      </w:pPr>
      <w:rPr>
        <w:u w:val="none"/>
      </w:rPr>
    </w:lvl>
  </w:abstractNum>
  <w:abstractNum w:abstractNumId="15" w15:restartNumberingAfterBreak="0">
    <w:nsid w:val="2A9D517E"/>
    <w:multiLevelType w:val="hybridMultilevel"/>
    <w:tmpl w:val="00000000"/>
    <w:lvl w:ilvl="0" w:tplc="07186C2C">
      <w:start w:val="1"/>
      <w:numFmt w:val="bullet"/>
      <w:lvlText w:val="●"/>
      <w:lvlJc w:val="left"/>
      <w:pPr>
        <w:ind w:left="720" w:hanging="360"/>
      </w:pPr>
      <w:rPr>
        <w:u w:val="none"/>
      </w:rPr>
    </w:lvl>
    <w:lvl w:ilvl="1" w:tplc="4E22EECA">
      <w:start w:val="1"/>
      <w:numFmt w:val="bullet"/>
      <w:lvlText w:val="○"/>
      <w:lvlJc w:val="left"/>
      <w:pPr>
        <w:ind w:left="1440" w:hanging="360"/>
      </w:pPr>
      <w:rPr>
        <w:u w:val="none"/>
      </w:rPr>
    </w:lvl>
    <w:lvl w:ilvl="2" w:tplc="5C9A1E34">
      <w:start w:val="1"/>
      <w:numFmt w:val="bullet"/>
      <w:lvlText w:val="■"/>
      <w:lvlJc w:val="left"/>
      <w:pPr>
        <w:ind w:left="2160" w:hanging="360"/>
      </w:pPr>
      <w:rPr>
        <w:u w:val="none"/>
      </w:rPr>
    </w:lvl>
    <w:lvl w:ilvl="3" w:tplc="2256B158">
      <w:start w:val="1"/>
      <w:numFmt w:val="bullet"/>
      <w:lvlText w:val="●"/>
      <w:lvlJc w:val="left"/>
      <w:pPr>
        <w:ind w:left="2880" w:hanging="360"/>
      </w:pPr>
      <w:rPr>
        <w:u w:val="none"/>
      </w:rPr>
    </w:lvl>
    <w:lvl w:ilvl="4" w:tplc="34283BEE">
      <w:start w:val="1"/>
      <w:numFmt w:val="bullet"/>
      <w:lvlText w:val="○"/>
      <w:lvlJc w:val="left"/>
      <w:pPr>
        <w:ind w:left="3600" w:hanging="360"/>
      </w:pPr>
      <w:rPr>
        <w:u w:val="none"/>
      </w:rPr>
    </w:lvl>
    <w:lvl w:ilvl="5" w:tplc="A1E414B4">
      <w:start w:val="1"/>
      <w:numFmt w:val="bullet"/>
      <w:lvlText w:val="■"/>
      <w:lvlJc w:val="left"/>
      <w:pPr>
        <w:ind w:left="4320" w:hanging="360"/>
      </w:pPr>
      <w:rPr>
        <w:u w:val="none"/>
      </w:rPr>
    </w:lvl>
    <w:lvl w:ilvl="6" w:tplc="97528932">
      <w:start w:val="1"/>
      <w:numFmt w:val="bullet"/>
      <w:lvlText w:val="●"/>
      <w:lvlJc w:val="left"/>
      <w:pPr>
        <w:ind w:left="5040" w:hanging="360"/>
      </w:pPr>
      <w:rPr>
        <w:u w:val="none"/>
      </w:rPr>
    </w:lvl>
    <w:lvl w:ilvl="7" w:tplc="EEC2314E">
      <w:start w:val="1"/>
      <w:numFmt w:val="bullet"/>
      <w:lvlText w:val="○"/>
      <w:lvlJc w:val="left"/>
      <w:pPr>
        <w:ind w:left="5760" w:hanging="360"/>
      </w:pPr>
      <w:rPr>
        <w:u w:val="none"/>
      </w:rPr>
    </w:lvl>
    <w:lvl w:ilvl="8" w:tplc="F982768A">
      <w:start w:val="1"/>
      <w:numFmt w:val="bullet"/>
      <w:lvlText w:val="■"/>
      <w:lvlJc w:val="left"/>
      <w:pPr>
        <w:ind w:left="6480" w:hanging="360"/>
      </w:pPr>
      <w:rPr>
        <w:u w:val="none"/>
      </w:rPr>
    </w:lvl>
  </w:abstractNum>
  <w:abstractNum w:abstractNumId="16" w15:restartNumberingAfterBreak="0">
    <w:nsid w:val="2DF44AFA"/>
    <w:multiLevelType w:val="hybridMultilevel"/>
    <w:tmpl w:val="00000000"/>
    <w:lvl w:ilvl="0" w:tplc="53C64A96">
      <w:start w:val="1"/>
      <w:numFmt w:val="bullet"/>
      <w:lvlText w:val="●"/>
      <w:lvlJc w:val="left"/>
      <w:pPr>
        <w:ind w:left="720" w:hanging="360"/>
      </w:pPr>
      <w:rPr>
        <w:u w:val="none"/>
      </w:rPr>
    </w:lvl>
    <w:lvl w:ilvl="1" w:tplc="BFD042C6">
      <w:start w:val="1"/>
      <w:numFmt w:val="bullet"/>
      <w:lvlText w:val="○"/>
      <w:lvlJc w:val="left"/>
      <w:pPr>
        <w:ind w:left="1440" w:hanging="360"/>
      </w:pPr>
      <w:rPr>
        <w:u w:val="none"/>
      </w:rPr>
    </w:lvl>
    <w:lvl w:ilvl="2" w:tplc="12E2E9F4">
      <w:start w:val="1"/>
      <w:numFmt w:val="bullet"/>
      <w:lvlText w:val="■"/>
      <w:lvlJc w:val="left"/>
      <w:pPr>
        <w:ind w:left="2160" w:hanging="360"/>
      </w:pPr>
      <w:rPr>
        <w:u w:val="none"/>
      </w:rPr>
    </w:lvl>
    <w:lvl w:ilvl="3" w:tplc="DAA45B00">
      <w:start w:val="1"/>
      <w:numFmt w:val="bullet"/>
      <w:lvlText w:val="●"/>
      <w:lvlJc w:val="left"/>
      <w:pPr>
        <w:ind w:left="2880" w:hanging="360"/>
      </w:pPr>
      <w:rPr>
        <w:u w:val="none"/>
      </w:rPr>
    </w:lvl>
    <w:lvl w:ilvl="4" w:tplc="68CCD86A">
      <w:start w:val="1"/>
      <w:numFmt w:val="bullet"/>
      <w:lvlText w:val="○"/>
      <w:lvlJc w:val="left"/>
      <w:pPr>
        <w:ind w:left="3600" w:hanging="360"/>
      </w:pPr>
      <w:rPr>
        <w:u w:val="none"/>
      </w:rPr>
    </w:lvl>
    <w:lvl w:ilvl="5" w:tplc="FD3A4E6C">
      <w:start w:val="1"/>
      <w:numFmt w:val="bullet"/>
      <w:lvlText w:val="■"/>
      <w:lvlJc w:val="left"/>
      <w:pPr>
        <w:ind w:left="4320" w:hanging="360"/>
      </w:pPr>
      <w:rPr>
        <w:u w:val="none"/>
      </w:rPr>
    </w:lvl>
    <w:lvl w:ilvl="6" w:tplc="E278B6FA">
      <w:start w:val="1"/>
      <w:numFmt w:val="bullet"/>
      <w:lvlText w:val="●"/>
      <w:lvlJc w:val="left"/>
      <w:pPr>
        <w:ind w:left="5040" w:hanging="360"/>
      </w:pPr>
      <w:rPr>
        <w:u w:val="none"/>
      </w:rPr>
    </w:lvl>
    <w:lvl w:ilvl="7" w:tplc="12F47714">
      <w:start w:val="1"/>
      <w:numFmt w:val="bullet"/>
      <w:lvlText w:val="○"/>
      <w:lvlJc w:val="left"/>
      <w:pPr>
        <w:ind w:left="5760" w:hanging="360"/>
      </w:pPr>
      <w:rPr>
        <w:u w:val="none"/>
      </w:rPr>
    </w:lvl>
    <w:lvl w:ilvl="8" w:tplc="C2BAD6B6">
      <w:start w:val="1"/>
      <w:numFmt w:val="bullet"/>
      <w:lvlText w:val="■"/>
      <w:lvlJc w:val="left"/>
      <w:pPr>
        <w:ind w:left="6480" w:hanging="360"/>
      </w:pPr>
      <w:rPr>
        <w:u w:val="none"/>
      </w:rPr>
    </w:lvl>
  </w:abstractNum>
  <w:abstractNum w:abstractNumId="17" w15:restartNumberingAfterBreak="0">
    <w:nsid w:val="30C271F7"/>
    <w:multiLevelType w:val="hybridMultilevel"/>
    <w:tmpl w:val="00000000"/>
    <w:lvl w:ilvl="0" w:tplc="D04C8DC6">
      <w:start w:val="1"/>
      <w:numFmt w:val="bullet"/>
      <w:lvlText w:val="●"/>
      <w:lvlJc w:val="left"/>
      <w:pPr>
        <w:ind w:left="720" w:hanging="360"/>
      </w:pPr>
      <w:rPr>
        <w:u w:val="none"/>
      </w:rPr>
    </w:lvl>
    <w:lvl w:ilvl="1" w:tplc="8B409C2A">
      <w:start w:val="1"/>
      <w:numFmt w:val="bullet"/>
      <w:lvlText w:val="○"/>
      <w:lvlJc w:val="left"/>
      <w:pPr>
        <w:ind w:left="1440" w:hanging="360"/>
      </w:pPr>
      <w:rPr>
        <w:u w:val="none"/>
      </w:rPr>
    </w:lvl>
    <w:lvl w:ilvl="2" w:tplc="66901664">
      <w:start w:val="1"/>
      <w:numFmt w:val="bullet"/>
      <w:lvlText w:val="■"/>
      <w:lvlJc w:val="left"/>
      <w:pPr>
        <w:ind w:left="2160" w:hanging="360"/>
      </w:pPr>
      <w:rPr>
        <w:u w:val="none"/>
      </w:rPr>
    </w:lvl>
    <w:lvl w:ilvl="3" w:tplc="4BBCD562">
      <w:start w:val="1"/>
      <w:numFmt w:val="bullet"/>
      <w:lvlText w:val="●"/>
      <w:lvlJc w:val="left"/>
      <w:pPr>
        <w:ind w:left="2880" w:hanging="360"/>
      </w:pPr>
      <w:rPr>
        <w:u w:val="none"/>
      </w:rPr>
    </w:lvl>
    <w:lvl w:ilvl="4" w:tplc="CA3E5FBE">
      <w:start w:val="1"/>
      <w:numFmt w:val="bullet"/>
      <w:lvlText w:val="○"/>
      <w:lvlJc w:val="left"/>
      <w:pPr>
        <w:ind w:left="3600" w:hanging="360"/>
      </w:pPr>
      <w:rPr>
        <w:u w:val="none"/>
      </w:rPr>
    </w:lvl>
    <w:lvl w:ilvl="5" w:tplc="5F641798">
      <w:start w:val="1"/>
      <w:numFmt w:val="bullet"/>
      <w:lvlText w:val="■"/>
      <w:lvlJc w:val="left"/>
      <w:pPr>
        <w:ind w:left="4320" w:hanging="360"/>
      </w:pPr>
      <w:rPr>
        <w:u w:val="none"/>
      </w:rPr>
    </w:lvl>
    <w:lvl w:ilvl="6" w:tplc="60F86966">
      <w:start w:val="1"/>
      <w:numFmt w:val="bullet"/>
      <w:lvlText w:val="●"/>
      <w:lvlJc w:val="left"/>
      <w:pPr>
        <w:ind w:left="5040" w:hanging="360"/>
      </w:pPr>
      <w:rPr>
        <w:u w:val="none"/>
      </w:rPr>
    </w:lvl>
    <w:lvl w:ilvl="7" w:tplc="E7FAF30A">
      <w:start w:val="1"/>
      <w:numFmt w:val="bullet"/>
      <w:lvlText w:val="○"/>
      <w:lvlJc w:val="left"/>
      <w:pPr>
        <w:ind w:left="5760" w:hanging="360"/>
      </w:pPr>
      <w:rPr>
        <w:u w:val="none"/>
      </w:rPr>
    </w:lvl>
    <w:lvl w:ilvl="8" w:tplc="88907A14">
      <w:start w:val="1"/>
      <w:numFmt w:val="bullet"/>
      <w:lvlText w:val="■"/>
      <w:lvlJc w:val="left"/>
      <w:pPr>
        <w:ind w:left="6480" w:hanging="360"/>
      </w:pPr>
      <w:rPr>
        <w:u w:val="none"/>
      </w:rPr>
    </w:lvl>
  </w:abstractNum>
  <w:abstractNum w:abstractNumId="18" w15:restartNumberingAfterBreak="0">
    <w:nsid w:val="31A406BF"/>
    <w:multiLevelType w:val="hybridMultilevel"/>
    <w:tmpl w:val="00000000"/>
    <w:lvl w:ilvl="0" w:tplc="CD3E5288">
      <w:start w:val="1"/>
      <w:numFmt w:val="bullet"/>
      <w:lvlText w:val="●"/>
      <w:lvlJc w:val="left"/>
      <w:pPr>
        <w:ind w:left="720" w:hanging="360"/>
      </w:pPr>
      <w:rPr>
        <w:u w:val="none"/>
      </w:rPr>
    </w:lvl>
    <w:lvl w:ilvl="1" w:tplc="91FAB5A6">
      <w:start w:val="1"/>
      <w:numFmt w:val="bullet"/>
      <w:lvlText w:val="○"/>
      <w:lvlJc w:val="left"/>
      <w:pPr>
        <w:ind w:left="1440" w:hanging="360"/>
      </w:pPr>
      <w:rPr>
        <w:u w:val="none"/>
      </w:rPr>
    </w:lvl>
    <w:lvl w:ilvl="2" w:tplc="521A40F8">
      <w:start w:val="1"/>
      <w:numFmt w:val="bullet"/>
      <w:lvlText w:val="■"/>
      <w:lvlJc w:val="left"/>
      <w:pPr>
        <w:ind w:left="2160" w:hanging="360"/>
      </w:pPr>
      <w:rPr>
        <w:u w:val="none"/>
      </w:rPr>
    </w:lvl>
    <w:lvl w:ilvl="3" w:tplc="D3F6FBC2">
      <w:start w:val="1"/>
      <w:numFmt w:val="bullet"/>
      <w:lvlText w:val="●"/>
      <w:lvlJc w:val="left"/>
      <w:pPr>
        <w:ind w:left="2880" w:hanging="360"/>
      </w:pPr>
      <w:rPr>
        <w:u w:val="none"/>
      </w:rPr>
    </w:lvl>
    <w:lvl w:ilvl="4" w:tplc="DD28C55A">
      <w:start w:val="1"/>
      <w:numFmt w:val="bullet"/>
      <w:lvlText w:val="○"/>
      <w:lvlJc w:val="left"/>
      <w:pPr>
        <w:ind w:left="3600" w:hanging="360"/>
      </w:pPr>
      <w:rPr>
        <w:u w:val="none"/>
      </w:rPr>
    </w:lvl>
    <w:lvl w:ilvl="5" w:tplc="8F3C62AA">
      <w:start w:val="1"/>
      <w:numFmt w:val="bullet"/>
      <w:lvlText w:val="■"/>
      <w:lvlJc w:val="left"/>
      <w:pPr>
        <w:ind w:left="4320" w:hanging="360"/>
      </w:pPr>
      <w:rPr>
        <w:u w:val="none"/>
      </w:rPr>
    </w:lvl>
    <w:lvl w:ilvl="6" w:tplc="9AFC6274">
      <w:start w:val="1"/>
      <w:numFmt w:val="bullet"/>
      <w:lvlText w:val="●"/>
      <w:lvlJc w:val="left"/>
      <w:pPr>
        <w:ind w:left="5040" w:hanging="360"/>
      </w:pPr>
      <w:rPr>
        <w:u w:val="none"/>
      </w:rPr>
    </w:lvl>
    <w:lvl w:ilvl="7" w:tplc="7B7E1D82">
      <w:start w:val="1"/>
      <w:numFmt w:val="bullet"/>
      <w:lvlText w:val="○"/>
      <w:lvlJc w:val="left"/>
      <w:pPr>
        <w:ind w:left="5760" w:hanging="360"/>
      </w:pPr>
      <w:rPr>
        <w:u w:val="none"/>
      </w:rPr>
    </w:lvl>
    <w:lvl w:ilvl="8" w:tplc="4C1E8C7E">
      <w:start w:val="1"/>
      <w:numFmt w:val="bullet"/>
      <w:lvlText w:val="■"/>
      <w:lvlJc w:val="left"/>
      <w:pPr>
        <w:ind w:left="6480" w:hanging="360"/>
      </w:pPr>
      <w:rPr>
        <w:u w:val="none"/>
      </w:rPr>
    </w:lvl>
  </w:abstractNum>
  <w:abstractNum w:abstractNumId="19" w15:restartNumberingAfterBreak="0">
    <w:nsid w:val="36712E3F"/>
    <w:multiLevelType w:val="hybridMultilevel"/>
    <w:tmpl w:val="00000000"/>
    <w:lvl w:ilvl="0" w:tplc="810410B6">
      <w:start w:val="1"/>
      <w:numFmt w:val="bullet"/>
      <w:lvlText w:val="●"/>
      <w:lvlJc w:val="left"/>
      <w:pPr>
        <w:ind w:left="720" w:hanging="360"/>
      </w:pPr>
      <w:rPr>
        <w:u w:val="none"/>
      </w:rPr>
    </w:lvl>
    <w:lvl w:ilvl="1" w:tplc="8FECE342">
      <w:start w:val="1"/>
      <w:numFmt w:val="bullet"/>
      <w:lvlText w:val="○"/>
      <w:lvlJc w:val="left"/>
      <w:pPr>
        <w:ind w:left="1440" w:hanging="360"/>
      </w:pPr>
      <w:rPr>
        <w:u w:val="none"/>
      </w:rPr>
    </w:lvl>
    <w:lvl w:ilvl="2" w:tplc="08A0406C">
      <w:start w:val="1"/>
      <w:numFmt w:val="bullet"/>
      <w:lvlText w:val="■"/>
      <w:lvlJc w:val="left"/>
      <w:pPr>
        <w:ind w:left="2160" w:hanging="360"/>
      </w:pPr>
      <w:rPr>
        <w:u w:val="none"/>
      </w:rPr>
    </w:lvl>
    <w:lvl w:ilvl="3" w:tplc="E10E943C">
      <w:start w:val="1"/>
      <w:numFmt w:val="bullet"/>
      <w:lvlText w:val="●"/>
      <w:lvlJc w:val="left"/>
      <w:pPr>
        <w:ind w:left="2880" w:hanging="360"/>
      </w:pPr>
      <w:rPr>
        <w:u w:val="none"/>
      </w:rPr>
    </w:lvl>
    <w:lvl w:ilvl="4" w:tplc="64C443F4">
      <w:start w:val="1"/>
      <w:numFmt w:val="bullet"/>
      <w:lvlText w:val="○"/>
      <w:lvlJc w:val="left"/>
      <w:pPr>
        <w:ind w:left="3600" w:hanging="360"/>
      </w:pPr>
      <w:rPr>
        <w:u w:val="none"/>
      </w:rPr>
    </w:lvl>
    <w:lvl w:ilvl="5" w:tplc="5D54E8C0">
      <w:start w:val="1"/>
      <w:numFmt w:val="bullet"/>
      <w:lvlText w:val="■"/>
      <w:lvlJc w:val="left"/>
      <w:pPr>
        <w:ind w:left="4320" w:hanging="360"/>
      </w:pPr>
      <w:rPr>
        <w:u w:val="none"/>
      </w:rPr>
    </w:lvl>
    <w:lvl w:ilvl="6" w:tplc="BFE2BAD2">
      <w:start w:val="1"/>
      <w:numFmt w:val="bullet"/>
      <w:lvlText w:val="●"/>
      <w:lvlJc w:val="left"/>
      <w:pPr>
        <w:ind w:left="5040" w:hanging="360"/>
      </w:pPr>
      <w:rPr>
        <w:u w:val="none"/>
      </w:rPr>
    </w:lvl>
    <w:lvl w:ilvl="7" w:tplc="C2107274">
      <w:start w:val="1"/>
      <w:numFmt w:val="bullet"/>
      <w:lvlText w:val="○"/>
      <w:lvlJc w:val="left"/>
      <w:pPr>
        <w:ind w:left="5760" w:hanging="360"/>
      </w:pPr>
      <w:rPr>
        <w:u w:val="none"/>
      </w:rPr>
    </w:lvl>
    <w:lvl w:ilvl="8" w:tplc="558A17AA">
      <w:start w:val="1"/>
      <w:numFmt w:val="bullet"/>
      <w:lvlText w:val="■"/>
      <w:lvlJc w:val="left"/>
      <w:pPr>
        <w:ind w:left="6480" w:hanging="360"/>
      </w:pPr>
      <w:rPr>
        <w:u w:val="none"/>
      </w:rPr>
    </w:lvl>
  </w:abstractNum>
  <w:abstractNum w:abstractNumId="20" w15:restartNumberingAfterBreak="0">
    <w:nsid w:val="3DC85CBF"/>
    <w:multiLevelType w:val="hybridMultilevel"/>
    <w:tmpl w:val="00000000"/>
    <w:lvl w:ilvl="0" w:tplc="19EE002A">
      <w:start w:val="1"/>
      <w:numFmt w:val="bullet"/>
      <w:lvlText w:val="●"/>
      <w:lvlJc w:val="left"/>
      <w:pPr>
        <w:ind w:left="720" w:hanging="360"/>
      </w:pPr>
      <w:rPr>
        <w:u w:val="none"/>
      </w:rPr>
    </w:lvl>
    <w:lvl w:ilvl="1" w:tplc="99280ED2">
      <w:start w:val="1"/>
      <w:numFmt w:val="bullet"/>
      <w:lvlText w:val="○"/>
      <w:lvlJc w:val="left"/>
      <w:pPr>
        <w:ind w:left="1440" w:hanging="360"/>
      </w:pPr>
      <w:rPr>
        <w:u w:val="none"/>
      </w:rPr>
    </w:lvl>
    <w:lvl w:ilvl="2" w:tplc="DB6099DC">
      <w:start w:val="1"/>
      <w:numFmt w:val="bullet"/>
      <w:lvlText w:val="■"/>
      <w:lvlJc w:val="left"/>
      <w:pPr>
        <w:ind w:left="2160" w:hanging="360"/>
      </w:pPr>
      <w:rPr>
        <w:u w:val="none"/>
      </w:rPr>
    </w:lvl>
    <w:lvl w:ilvl="3" w:tplc="003AF2E0">
      <w:start w:val="1"/>
      <w:numFmt w:val="bullet"/>
      <w:lvlText w:val="●"/>
      <w:lvlJc w:val="left"/>
      <w:pPr>
        <w:ind w:left="2880" w:hanging="360"/>
      </w:pPr>
      <w:rPr>
        <w:u w:val="none"/>
      </w:rPr>
    </w:lvl>
    <w:lvl w:ilvl="4" w:tplc="09DE0948">
      <w:start w:val="1"/>
      <w:numFmt w:val="bullet"/>
      <w:lvlText w:val="○"/>
      <w:lvlJc w:val="left"/>
      <w:pPr>
        <w:ind w:left="3600" w:hanging="360"/>
      </w:pPr>
      <w:rPr>
        <w:u w:val="none"/>
      </w:rPr>
    </w:lvl>
    <w:lvl w:ilvl="5" w:tplc="4D4008B8">
      <w:start w:val="1"/>
      <w:numFmt w:val="bullet"/>
      <w:lvlText w:val="■"/>
      <w:lvlJc w:val="left"/>
      <w:pPr>
        <w:ind w:left="4320" w:hanging="360"/>
      </w:pPr>
      <w:rPr>
        <w:u w:val="none"/>
      </w:rPr>
    </w:lvl>
    <w:lvl w:ilvl="6" w:tplc="DB422258">
      <w:start w:val="1"/>
      <w:numFmt w:val="bullet"/>
      <w:lvlText w:val="●"/>
      <w:lvlJc w:val="left"/>
      <w:pPr>
        <w:ind w:left="5040" w:hanging="360"/>
      </w:pPr>
      <w:rPr>
        <w:u w:val="none"/>
      </w:rPr>
    </w:lvl>
    <w:lvl w:ilvl="7" w:tplc="FB14CEB8">
      <w:start w:val="1"/>
      <w:numFmt w:val="bullet"/>
      <w:lvlText w:val="○"/>
      <w:lvlJc w:val="left"/>
      <w:pPr>
        <w:ind w:left="5760" w:hanging="360"/>
      </w:pPr>
      <w:rPr>
        <w:u w:val="none"/>
      </w:rPr>
    </w:lvl>
    <w:lvl w:ilvl="8" w:tplc="00F88B16">
      <w:start w:val="1"/>
      <w:numFmt w:val="bullet"/>
      <w:lvlText w:val="■"/>
      <w:lvlJc w:val="left"/>
      <w:pPr>
        <w:ind w:left="6480" w:hanging="360"/>
      </w:pPr>
      <w:rPr>
        <w:u w:val="none"/>
      </w:rPr>
    </w:lvl>
  </w:abstractNum>
  <w:abstractNum w:abstractNumId="21" w15:restartNumberingAfterBreak="0">
    <w:nsid w:val="41A07BB7"/>
    <w:multiLevelType w:val="hybridMultilevel"/>
    <w:tmpl w:val="00000000"/>
    <w:lvl w:ilvl="0" w:tplc="0D92EDB0">
      <w:start w:val="1"/>
      <w:numFmt w:val="bullet"/>
      <w:lvlText w:val="●"/>
      <w:lvlJc w:val="left"/>
      <w:pPr>
        <w:ind w:left="720" w:hanging="360"/>
      </w:pPr>
      <w:rPr>
        <w:u w:val="none"/>
      </w:rPr>
    </w:lvl>
    <w:lvl w:ilvl="1" w:tplc="3A8A3092">
      <w:start w:val="1"/>
      <w:numFmt w:val="bullet"/>
      <w:lvlText w:val="○"/>
      <w:lvlJc w:val="left"/>
      <w:pPr>
        <w:ind w:left="1440" w:hanging="360"/>
      </w:pPr>
      <w:rPr>
        <w:u w:val="none"/>
      </w:rPr>
    </w:lvl>
    <w:lvl w:ilvl="2" w:tplc="B19E88BC">
      <w:start w:val="1"/>
      <w:numFmt w:val="bullet"/>
      <w:lvlText w:val="■"/>
      <w:lvlJc w:val="left"/>
      <w:pPr>
        <w:ind w:left="2160" w:hanging="360"/>
      </w:pPr>
      <w:rPr>
        <w:u w:val="none"/>
      </w:rPr>
    </w:lvl>
    <w:lvl w:ilvl="3" w:tplc="3EBADD40">
      <w:start w:val="1"/>
      <w:numFmt w:val="bullet"/>
      <w:lvlText w:val="●"/>
      <w:lvlJc w:val="left"/>
      <w:pPr>
        <w:ind w:left="2880" w:hanging="360"/>
      </w:pPr>
      <w:rPr>
        <w:u w:val="none"/>
      </w:rPr>
    </w:lvl>
    <w:lvl w:ilvl="4" w:tplc="5EA43B02">
      <w:start w:val="1"/>
      <w:numFmt w:val="bullet"/>
      <w:lvlText w:val="○"/>
      <w:lvlJc w:val="left"/>
      <w:pPr>
        <w:ind w:left="3600" w:hanging="360"/>
      </w:pPr>
      <w:rPr>
        <w:u w:val="none"/>
      </w:rPr>
    </w:lvl>
    <w:lvl w:ilvl="5" w:tplc="379484FC">
      <w:start w:val="1"/>
      <w:numFmt w:val="bullet"/>
      <w:lvlText w:val="■"/>
      <w:lvlJc w:val="left"/>
      <w:pPr>
        <w:ind w:left="4320" w:hanging="360"/>
      </w:pPr>
      <w:rPr>
        <w:u w:val="none"/>
      </w:rPr>
    </w:lvl>
    <w:lvl w:ilvl="6" w:tplc="4942D28A">
      <w:start w:val="1"/>
      <w:numFmt w:val="bullet"/>
      <w:lvlText w:val="●"/>
      <w:lvlJc w:val="left"/>
      <w:pPr>
        <w:ind w:left="5040" w:hanging="360"/>
      </w:pPr>
      <w:rPr>
        <w:u w:val="none"/>
      </w:rPr>
    </w:lvl>
    <w:lvl w:ilvl="7" w:tplc="92A8CAEC">
      <w:start w:val="1"/>
      <w:numFmt w:val="bullet"/>
      <w:lvlText w:val="○"/>
      <w:lvlJc w:val="left"/>
      <w:pPr>
        <w:ind w:left="5760" w:hanging="360"/>
      </w:pPr>
      <w:rPr>
        <w:u w:val="none"/>
      </w:rPr>
    </w:lvl>
    <w:lvl w:ilvl="8" w:tplc="50AE9280">
      <w:start w:val="1"/>
      <w:numFmt w:val="bullet"/>
      <w:lvlText w:val="■"/>
      <w:lvlJc w:val="left"/>
      <w:pPr>
        <w:ind w:left="6480" w:hanging="360"/>
      </w:pPr>
      <w:rPr>
        <w:u w:val="none"/>
      </w:rPr>
    </w:lvl>
  </w:abstractNum>
  <w:abstractNum w:abstractNumId="22" w15:restartNumberingAfterBreak="0">
    <w:nsid w:val="45150039"/>
    <w:multiLevelType w:val="hybridMultilevel"/>
    <w:tmpl w:val="00000000"/>
    <w:lvl w:ilvl="0" w:tplc="01E287BC">
      <w:start w:val="1"/>
      <w:numFmt w:val="bullet"/>
      <w:lvlText w:val="●"/>
      <w:lvlJc w:val="left"/>
      <w:pPr>
        <w:ind w:left="720" w:hanging="360"/>
      </w:pPr>
      <w:rPr>
        <w:u w:val="none"/>
      </w:rPr>
    </w:lvl>
    <w:lvl w:ilvl="1" w:tplc="D3F4E384">
      <w:start w:val="1"/>
      <w:numFmt w:val="bullet"/>
      <w:lvlText w:val="○"/>
      <w:lvlJc w:val="left"/>
      <w:pPr>
        <w:ind w:left="1440" w:hanging="360"/>
      </w:pPr>
      <w:rPr>
        <w:u w:val="none"/>
      </w:rPr>
    </w:lvl>
    <w:lvl w:ilvl="2" w:tplc="E79017CE">
      <w:start w:val="1"/>
      <w:numFmt w:val="bullet"/>
      <w:lvlText w:val="■"/>
      <w:lvlJc w:val="left"/>
      <w:pPr>
        <w:ind w:left="2160" w:hanging="360"/>
      </w:pPr>
      <w:rPr>
        <w:u w:val="none"/>
      </w:rPr>
    </w:lvl>
    <w:lvl w:ilvl="3" w:tplc="82128414">
      <w:start w:val="1"/>
      <w:numFmt w:val="bullet"/>
      <w:lvlText w:val="●"/>
      <w:lvlJc w:val="left"/>
      <w:pPr>
        <w:ind w:left="2880" w:hanging="360"/>
      </w:pPr>
      <w:rPr>
        <w:u w:val="none"/>
      </w:rPr>
    </w:lvl>
    <w:lvl w:ilvl="4" w:tplc="807E0460">
      <w:start w:val="1"/>
      <w:numFmt w:val="bullet"/>
      <w:lvlText w:val="○"/>
      <w:lvlJc w:val="left"/>
      <w:pPr>
        <w:ind w:left="3600" w:hanging="360"/>
      </w:pPr>
      <w:rPr>
        <w:u w:val="none"/>
      </w:rPr>
    </w:lvl>
    <w:lvl w:ilvl="5" w:tplc="298AED76">
      <w:start w:val="1"/>
      <w:numFmt w:val="bullet"/>
      <w:lvlText w:val="■"/>
      <w:lvlJc w:val="left"/>
      <w:pPr>
        <w:ind w:left="4320" w:hanging="360"/>
      </w:pPr>
      <w:rPr>
        <w:u w:val="none"/>
      </w:rPr>
    </w:lvl>
    <w:lvl w:ilvl="6" w:tplc="88BE650A">
      <w:start w:val="1"/>
      <w:numFmt w:val="bullet"/>
      <w:lvlText w:val="●"/>
      <w:lvlJc w:val="left"/>
      <w:pPr>
        <w:ind w:left="5040" w:hanging="360"/>
      </w:pPr>
      <w:rPr>
        <w:u w:val="none"/>
      </w:rPr>
    </w:lvl>
    <w:lvl w:ilvl="7" w:tplc="97225D10">
      <w:start w:val="1"/>
      <w:numFmt w:val="bullet"/>
      <w:lvlText w:val="○"/>
      <w:lvlJc w:val="left"/>
      <w:pPr>
        <w:ind w:left="5760" w:hanging="360"/>
      </w:pPr>
      <w:rPr>
        <w:u w:val="none"/>
      </w:rPr>
    </w:lvl>
    <w:lvl w:ilvl="8" w:tplc="B4605538">
      <w:start w:val="1"/>
      <w:numFmt w:val="bullet"/>
      <w:lvlText w:val="■"/>
      <w:lvlJc w:val="left"/>
      <w:pPr>
        <w:ind w:left="6480" w:hanging="360"/>
      </w:pPr>
      <w:rPr>
        <w:u w:val="none"/>
      </w:rPr>
    </w:lvl>
  </w:abstractNum>
  <w:abstractNum w:abstractNumId="23" w15:restartNumberingAfterBreak="0">
    <w:nsid w:val="45A71F0E"/>
    <w:multiLevelType w:val="hybridMultilevel"/>
    <w:tmpl w:val="00000000"/>
    <w:lvl w:ilvl="0" w:tplc="D546789A">
      <w:start w:val="1"/>
      <w:numFmt w:val="bullet"/>
      <w:lvlText w:val="●"/>
      <w:lvlJc w:val="left"/>
      <w:pPr>
        <w:ind w:left="720" w:hanging="360"/>
      </w:pPr>
      <w:rPr>
        <w:u w:val="none"/>
      </w:rPr>
    </w:lvl>
    <w:lvl w:ilvl="1" w:tplc="0B4A91E0">
      <w:start w:val="1"/>
      <w:numFmt w:val="bullet"/>
      <w:lvlText w:val="○"/>
      <w:lvlJc w:val="left"/>
      <w:pPr>
        <w:ind w:left="1440" w:hanging="360"/>
      </w:pPr>
      <w:rPr>
        <w:u w:val="none"/>
      </w:rPr>
    </w:lvl>
    <w:lvl w:ilvl="2" w:tplc="A54A8B84">
      <w:start w:val="1"/>
      <w:numFmt w:val="bullet"/>
      <w:lvlText w:val="■"/>
      <w:lvlJc w:val="left"/>
      <w:pPr>
        <w:ind w:left="2160" w:hanging="360"/>
      </w:pPr>
      <w:rPr>
        <w:u w:val="none"/>
      </w:rPr>
    </w:lvl>
    <w:lvl w:ilvl="3" w:tplc="B4AA8D66">
      <w:start w:val="1"/>
      <w:numFmt w:val="bullet"/>
      <w:lvlText w:val="●"/>
      <w:lvlJc w:val="left"/>
      <w:pPr>
        <w:ind w:left="2880" w:hanging="360"/>
      </w:pPr>
      <w:rPr>
        <w:u w:val="none"/>
      </w:rPr>
    </w:lvl>
    <w:lvl w:ilvl="4" w:tplc="FAD2F79A">
      <w:start w:val="1"/>
      <w:numFmt w:val="bullet"/>
      <w:lvlText w:val="○"/>
      <w:lvlJc w:val="left"/>
      <w:pPr>
        <w:ind w:left="3600" w:hanging="360"/>
      </w:pPr>
      <w:rPr>
        <w:u w:val="none"/>
      </w:rPr>
    </w:lvl>
    <w:lvl w:ilvl="5" w:tplc="6F882470">
      <w:start w:val="1"/>
      <w:numFmt w:val="bullet"/>
      <w:lvlText w:val="■"/>
      <w:lvlJc w:val="left"/>
      <w:pPr>
        <w:ind w:left="4320" w:hanging="360"/>
      </w:pPr>
      <w:rPr>
        <w:u w:val="none"/>
      </w:rPr>
    </w:lvl>
    <w:lvl w:ilvl="6" w:tplc="5F06F6EE">
      <w:start w:val="1"/>
      <w:numFmt w:val="bullet"/>
      <w:lvlText w:val="●"/>
      <w:lvlJc w:val="left"/>
      <w:pPr>
        <w:ind w:left="5040" w:hanging="360"/>
      </w:pPr>
      <w:rPr>
        <w:u w:val="none"/>
      </w:rPr>
    </w:lvl>
    <w:lvl w:ilvl="7" w:tplc="B1EC4694">
      <w:start w:val="1"/>
      <w:numFmt w:val="bullet"/>
      <w:lvlText w:val="○"/>
      <w:lvlJc w:val="left"/>
      <w:pPr>
        <w:ind w:left="5760" w:hanging="360"/>
      </w:pPr>
      <w:rPr>
        <w:u w:val="none"/>
      </w:rPr>
    </w:lvl>
    <w:lvl w:ilvl="8" w:tplc="2A42A7D2">
      <w:start w:val="1"/>
      <w:numFmt w:val="bullet"/>
      <w:lvlText w:val="■"/>
      <w:lvlJc w:val="left"/>
      <w:pPr>
        <w:ind w:left="6480" w:hanging="360"/>
      </w:pPr>
      <w:rPr>
        <w:u w:val="none"/>
      </w:rPr>
    </w:lvl>
  </w:abstractNum>
  <w:abstractNum w:abstractNumId="24" w15:restartNumberingAfterBreak="0">
    <w:nsid w:val="485EB43C"/>
    <w:multiLevelType w:val="hybridMultilevel"/>
    <w:tmpl w:val="00000000"/>
    <w:lvl w:ilvl="0" w:tplc="B03C8F84">
      <w:start w:val="1"/>
      <w:numFmt w:val="bullet"/>
      <w:lvlText w:val="●"/>
      <w:lvlJc w:val="left"/>
      <w:pPr>
        <w:ind w:left="720" w:hanging="360"/>
      </w:pPr>
      <w:rPr>
        <w:u w:val="none"/>
      </w:rPr>
    </w:lvl>
    <w:lvl w:ilvl="1" w:tplc="4942D254">
      <w:start w:val="1"/>
      <w:numFmt w:val="bullet"/>
      <w:lvlText w:val="○"/>
      <w:lvlJc w:val="left"/>
      <w:pPr>
        <w:ind w:left="1440" w:hanging="360"/>
      </w:pPr>
      <w:rPr>
        <w:u w:val="none"/>
      </w:rPr>
    </w:lvl>
    <w:lvl w:ilvl="2" w:tplc="9AC64600">
      <w:start w:val="1"/>
      <w:numFmt w:val="bullet"/>
      <w:lvlText w:val="■"/>
      <w:lvlJc w:val="left"/>
      <w:pPr>
        <w:ind w:left="2160" w:hanging="360"/>
      </w:pPr>
      <w:rPr>
        <w:u w:val="none"/>
      </w:rPr>
    </w:lvl>
    <w:lvl w:ilvl="3" w:tplc="D312D1BA">
      <w:start w:val="1"/>
      <w:numFmt w:val="bullet"/>
      <w:lvlText w:val="●"/>
      <w:lvlJc w:val="left"/>
      <w:pPr>
        <w:ind w:left="2880" w:hanging="360"/>
      </w:pPr>
      <w:rPr>
        <w:u w:val="none"/>
      </w:rPr>
    </w:lvl>
    <w:lvl w:ilvl="4" w:tplc="847E7534">
      <w:start w:val="1"/>
      <w:numFmt w:val="bullet"/>
      <w:lvlText w:val="○"/>
      <w:lvlJc w:val="left"/>
      <w:pPr>
        <w:ind w:left="3600" w:hanging="360"/>
      </w:pPr>
      <w:rPr>
        <w:u w:val="none"/>
      </w:rPr>
    </w:lvl>
    <w:lvl w:ilvl="5" w:tplc="EBCC7312">
      <w:start w:val="1"/>
      <w:numFmt w:val="bullet"/>
      <w:lvlText w:val="■"/>
      <w:lvlJc w:val="left"/>
      <w:pPr>
        <w:ind w:left="4320" w:hanging="360"/>
      </w:pPr>
      <w:rPr>
        <w:u w:val="none"/>
      </w:rPr>
    </w:lvl>
    <w:lvl w:ilvl="6" w:tplc="D62042B8">
      <w:start w:val="1"/>
      <w:numFmt w:val="bullet"/>
      <w:lvlText w:val="●"/>
      <w:lvlJc w:val="left"/>
      <w:pPr>
        <w:ind w:left="5040" w:hanging="360"/>
      </w:pPr>
      <w:rPr>
        <w:u w:val="none"/>
      </w:rPr>
    </w:lvl>
    <w:lvl w:ilvl="7" w:tplc="090099B6">
      <w:start w:val="1"/>
      <w:numFmt w:val="bullet"/>
      <w:lvlText w:val="○"/>
      <w:lvlJc w:val="left"/>
      <w:pPr>
        <w:ind w:left="5760" w:hanging="360"/>
      </w:pPr>
      <w:rPr>
        <w:u w:val="none"/>
      </w:rPr>
    </w:lvl>
    <w:lvl w:ilvl="8" w:tplc="581E088A">
      <w:start w:val="1"/>
      <w:numFmt w:val="bullet"/>
      <w:lvlText w:val="■"/>
      <w:lvlJc w:val="left"/>
      <w:pPr>
        <w:ind w:left="6480" w:hanging="360"/>
      </w:pPr>
      <w:rPr>
        <w:u w:val="none"/>
      </w:rPr>
    </w:lvl>
  </w:abstractNum>
  <w:abstractNum w:abstractNumId="25" w15:restartNumberingAfterBreak="0">
    <w:nsid w:val="49D2B0E5"/>
    <w:multiLevelType w:val="hybridMultilevel"/>
    <w:tmpl w:val="00000000"/>
    <w:lvl w:ilvl="0" w:tplc="5DAE471C">
      <w:start w:val="1"/>
      <w:numFmt w:val="bullet"/>
      <w:lvlText w:val="●"/>
      <w:lvlJc w:val="left"/>
      <w:pPr>
        <w:ind w:left="720" w:hanging="360"/>
      </w:pPr>
      <w:rPr>
        <w:u w:val="none"/>
      </w:rPr>
    </w:lvl>
    <w:lvl w:ilvl="1" w:tplc="814A99B6">
      <w:start w:val="1"/>
      <w:numFmt w:val="bullet"/>
      <w:lvlText w:val="○"/>
      <w:lvlJc w:val="left"/>
      <w:pPr>
        <w:ind w:left="1440" w:hanging="360"/>
      </w:pPr>
      <w:rPr>
        <w:u w:val="none"/>
      </w:rPr>
    </w:lvl>
    <w:lvl w:ilvl="2" w:tplc="75BC0B1C">
      <w:start w:val="1"/>
      <w:numFmt w:val="bullet"/>
      <w:lvlText w:val="■"/>
      <w:lvlJc w:val="left"/>
      <w:pPr>
        <w:ind w:left="2160" w:hanging="360"/>
      </w:pPr>
      <w:rPr>
        <w:u w:val="none"/>
      </w:rPr>
    </w:lvl>
    <w:lvl w:ilvl="3" w:tplc="A5B23B48">
      <w:start w:val="1"/>
      <w:numFmt w:val="bullet"/>
      <w:lvlText w:val="●"/>
      <w:lvlJc w:val="left"/>
      <w:pPr>
        <w:ind w:left="2880" w:hanging="360"/>
      </w:pPr>
      <w:rPr>
        <w:u w:val="none"/>
      </w:rPr>
    </w:lvl>
    <w:lvl w:ilvl="4" w:tplc="C23ACF22">
      <w:start w:val="1"/>
      <w:numFmt w:val="bullet"/>
      <w:lvlText w:val="○"/>
      <w:lvlJc w:val="left"/>
      <w:pPr>
        <w:ind w:left="3600" w:hanging="360"/>
      </w:pPr>
      <w:rPr>
        <w:u w:val="none"/>
      </w:rPr>
    </w:lvl>
    <w:lvl w:ilvl="5" w:tplc="E6A04A72">
      <w:start w:val="1"/>
      <w:numFmt w:val="bullet"/>
      <w:lvlText w:val="■"/>
      <w:lvlJc w:val="left"/>
      <w:pPr>
        <w:ind w:left="4320" w:hanging="360"/>
      </w:pPr>
      <w:rPr>
        <w:u w:val="none"/>
      </w:rPr>
    </w:lvl>
    <w:lvl w:ilvl="6" w:tplc="6C5C6E36">
      <w:start w:val="1"/>
      <w:numFmt w:val="bullet"/>
      <w:lvlText w:val="●"/>
      <w:lvlJc w:val="left"/>
      <w:pPr>
        <w:ind w:left="5040" w:hanging="360"/>
      </w:pPr>
      <w:rPr>
        <w:u w:val="none"/>
      </w:rPr>
    </w:lvl>
    <w:lvl w:ilvl="7" w:tplc="9584502A">
      <w:start w:val="1"/>
      <w:numFmt w:val="bullet"/>
      <w:lvlText w:val="○"/>
      <w:lvlJc w:val="left"/>
      <w:pPr>
        <w:ind w:left="5760" w:hanging="360"/>
      </w:pPr>
      <w:rPr>
        <w:u w:val="none"/>
      </w:rPr>
    </w:lvl>
    <w:lvl w:ilvl="8" w:tplc="BE66C7BE">
      <w:start w:val="1"/>
      <w:numFmt w:val="bullet"/>
      <w:lvlText w:val="■"/>
      <w:lvlJc w:val="left"/>
      <w:pPr>
        <w:ind w:left="6480" w:hanging="360"/>
      </w:pPr>
      <w:rPr>
        <w:u w:val="none"/>
      </w:rPr>
    </w:lvl>
  </w:abstractNum>
  <w:abstractNum w:abstractNumId="26" w15:restartNumberingAfterBreak="0">
    <w:nsid w:val="57EA84A5"/>
    <w:multiLevelType w:val="hybridMultilevel"/>
    <w:tmpl w:val="00000000"/>
    <w:lvl w:ilvl="0" w:tplc="3AC2A4D6">
      <w:start w:val="1"/>
      <w:numFmt w:val="bullet"/>
      <w:lvlText w:val="●"/>
      <w:lvlJc w:val="left"/>
      <w:pPr>
        <w:ind w:left="720" w:hanging="360"/>
      </w:pPr>
      <w:rPr>
        <w:u w:val="none"/>
      </w:rPr>
    </w:lvl>
    <w:lvl w:ilvl="1" w:tplc="39167E6C">
      <w:start w:val="1"/>
      <w:numFmt w:val="bullet"/>
      <w:lvlText w:val="○"/>
      <w:lvlJc w:val="left"/>
      <w:pPr>
        <w:ind w:left="1440" w:hanging="360"/>
      </w:pPr>
      <w:rPr>
        <w:u w:val="none"/>
      </w:rPr>
    </w:lvl>
    <w:lvl w:ilvl="2" w:tplc="6EC84BC2">
      <w:start w:val="1"/>
      <w:numFmt w:val="bullet"/>
      <w:lvlText w:val="■"/>
      <w:lvlJc w:val="left"/>
      <w:pPr>
        <w:ind w:left="2160" w:hanging="360"/>
      </w:pPr>
      <w:rPr>
        <w:u w:val="none"/>
      </w:rPr>
    </w:lvl>
    <w:lvl w:ilvl="3" w:tplc="B510A390">
      <w:start w:val="1"/>
      <w:numFmt w:val="bullet"/>
      <w:lvlText w:val="●"/>
      <w:lvlJc w:val="left"/>
      <w:pPr>
        <w:ind w:left="2880" w:hanging="360"/>
      </w:pPr>
      <w:rPr>
        <w:u w:val="none"/>
      </w:rPr>
    </w:lvl>
    <w:lvl w:ilvl="4" w:tplc="6D1A1592">
      <w:start w:val="1"/>
      <w:numFmt w:val="bullet"/>
      <w:lvlText w:val="○"/>
      <w:lvlJc w:val="left"/>
      <w:pPr>
        <w:ind w:left="3600" w:hanging="360"/>
      </w:pPr>
      <w:rPr>
        <w:u w:val="none"/>
      </w:rPr>
    </w:lvl>
    <w:lvl w:ilvl="5" w:tplc="C6647924">
      <w:start w:val="1"/>
      <w:numFmt w:val="bullet"/>
      <w:lvlText w:val="■"/>
      <w:lvlJc w:val="left"/>
      <w:pPr>
        <w:ind w:left="4320" w:hanging="360"/>
      </w:pPr>
      <w:rPr>
        <w:u w:val="none"/>
      </w:rPr>
    </w:lvl>
    <w:lvl w:ilvl="6" w:tplc="DEF26624">
      <w:start w:val="1"/>
      <w:numFmt w:val="bullet"/>
      <w:lvlText w:val="●"/>
      <w:lvlJc w:val="left"/>
      <w:pPr>
        <w:ind w:left="5040" w:hanging="360"/>
      </w:pPr>
      <w:rPr>
        <w:u w:val="none"/>
      </w:rPr>
    </w:lvl>
    <w:lvl w:ilvl="7" w:tplc="F02E9624">
      <w:start w:val="1"/>
      <w:numFmt w:val="bullet"/>
      <w:lvlText w:val="○"/>
      <w:lvlJc w:val="left"/>
      <w:pPr>
        <w:ind w:left="5760" w:hanging="360"/>
      </w:pPr>
      <w:rPr>
        <w:u w:val="none"/>
      </w:rPr>
    </w:lvl>
    <w:lvl w:ilvl="8" w:tplc="6B7AC43C">
      <w:start w:val="1"/>
      <w:numFmt w:val="bullet"/>
      <w:lvlText w:val="■"/>
      <w:lvlJc w:val="left"/>
      <w:pPr>
        <w:ind w:left="6480" w:hanging="360"/>
      </w:pPr>
      <w:rPr>
        <w:u w:val="none"/>
      </w:rPr>
    </w:lvl>
  </w:abstractNum>
  <w:abstractNum w:abstractNumId="27" w15:restartNumberingAfterBreak="0">
    <w:nsid w:val="5ADBFD67"/>
    <w:multiLevelType w:val="hybridMultilevel"/>
    <w:tmpl w:val="00000000"/>
    <w:lvl w:ilvl="0" w:tplc="323EF776">
      <w:start w:val="1"/>
      <w:numFmt w:val="bullet"/>
      <w:lvlText w:val="●"/>
      <w:lvlJc w:val="left"/>
      <w:pPr>
        <w:ind w:left="720" w:hanging="360"/>
      </w:pPr>
      <w:rPr>
        <w:u w:val="none"/>
      </w:rPr>
    </w:lvl>
    <w:lvl w:ilvl="1" w:tplc="03460162">
      <w:start w:val="1"/>
      <w:numFmt w:val="bullet"/>
      <w:lvlText w:val="○"/>
      <w:lvlJc w:val="left"/>
      <w:pPr>
        <w:ind w:left="1440" w:hanging="360"/>
      </w:pPr>
      <w:rPr>
        <w:u w:val="none"/>
      </w:rPr>
    </w:lvl>
    <w:lvl w:ilvl="2" w:tplc="5FB4EBD2">
      <w:start w:val="1"/>
      <w:numFmt w:val="bullet"/>
      <w:lvlText w:val="■"/>
      <w:lvlJc w:val="left"/>
      <w:pPr>
        <w:ind w:left="2160" w:hanging="360"/>
      </w:pPr>
      <w:rPr>
        <w:u w:val="none"/>
      </w:rPr>
    </w:lvl>
    <w:lvl w:ilvl="3" w:tplc="61A806A4">
      <w:start w:val="1"/>
      <w:numFmt w:val="bullet"/>
      <w:lvlText w:val="●"/>
      <w:lvlJc w:val="left"/>
      <w:pPr>
        <w:ind w:left="2880" w:hanging="360"/>
      </w:pPr>
      <w:rPr>
        <w:u w:val="none"/>
      </w:rPr>
    </w:lvl>
    <w:lvl w:ilvl="4" w:tplc="20ACBBBE">
      <w:start w:val="1"/>
      <w:numFmt w:val="bullet"/>
      <w:lvlText w:val="○"/>
      <w:lvlJc w:val="left"/>
      <w:pPr>
        <w:ind w:left="3600" w:hanging="360"/>
      </w:pPr>
      <w:rPr>
        <w:u w:val="none"/>
      </w:rPr>
    </w:lvl>
    <w:lvl w:ilvl="5" w:tplc="D6DA0B42">
      <w:start w:val="1"/>
      <w:numFmt w:val="bullet"/>
      <w:lvlText w:val="■"/>
      <w:lvlJc w:val="left"/>
      <w:pPr>
        <w:ind w:left="4320" w:hanging="360"/>
      </w:pPr>
      <w:rPr>
        <w:u w:val="none"/>
      </w:rPr>
    </w:lvl>
    <w:lvl w:ilvl="6" w:tplc="2AE4E0F2">
      <w:start w:val="1"/>
      <w:numFmt w:val="bullet"/>
      <w:lvlText w:val="●"/>
      <w:lvlJc w:val="left"/>
      <w:pPr>
        <w:ind w:left="5040" w:hanging="360"/>
      </w:pPr>
      <w:rPr>
        <w:u w:val="none"/>
      </w:rPr>
    </w:lvl>
    <w:lvl w:ilvl="7" w:tplc="22C66DEA">
      <w:start w:val="1"/>
      <w:numFmt w:val="bullet"/>
      <w:lvlText w:val="○"/>
      <w:lvlJc w:val="left"/>
      <w:pPr>
        <w:ind w:left="5760" w:hanging="360"/>
      </w:pPr>
      <w:rPr>
        <w:u w:val="none"/>
      </w:rPr>
    </w:lvl>
    <w:lvl w:ilvl="8" w:tplc="30661B64">
      <w:start w:val="1"/>
      <w:numFmt w:val="bullet"/>
      <w:lvlText w:val="■"/>
      <w:lvlJc w:val="left"/>
      <w:pPr>
        <w:ind w:left="6480" w:hanging="360"/>
      </w:pPr>
      <w:rPr>
        <w:u w:val="none"/>
      </w:rPr>
    </w:lvl>
  </w:abstractNum>
  <w:abstractNum w:abstractNumId="28" w15:restartNumberingAfterBreak="0">
    <w:nsid w:val="5E4796FB"/>
    <w:multiLevelType w:val="hybridMultilevel"/>
    <w:tmpl w:val="00000000"/>
    <w:lvl w:ilvl="0" w:tplc="F086D7BA">
      <w:start w:val="1"/>
      <w:numFmt w:val="bullet"/>
      <w:lvlText w:val="●"/>
      <w:lvlJc w:val="left"/>
      <w:pPr>
        <w:ind w:left="720" w:hanging="360"/>
      </w:pPr>
      <w:rPr>
        <w:u w:val="none"/>
      </w:rPr>
    </w:lvl>
    <w:lvl w:ilvl="1" w:tplc="7CAA1AC8">
      <w:start w:val="1"/>
      <w:numFmt w:val="bullet"/>
      <w:lvlText w:val="○"/>
      <w:lvlJc w:val="left"/>
      <w:pPr>
        <w:ind w:left="1440" w:hanging="360"/>
      </w:pPr>
      <w:rPr>
        <w:u w:val="none"/>
      </w:rPr>
    </w:lvl>
    <w:lvl w:ilvl="2" w:tplc="D8189572">
      <w:start w:val="1"/>
      <w:numFmt w:val="bullet"/>
      <w:lvlText w:val="■"/>
      <w:lvlJc w:val="left"/>
      <w:pPr>
        <w:ind w:left="2160" w:hanging="360"/>
      </w:pPr>
      <w:rPr>
        <w:u w:val="none"/>
      </w:rPr>
    </w:lvl>
    <w:lvl w:ilvl="3" w:tplc="A59CE0E6">
      <w:start w:val="1"/>
      <w:numFmt w:val="bullet"/>
      <w:lvlText w:val="●"/>
      <w:lvlJc w:val="left"/>
      <w:pPr>
        <w:ind w:left="2880" w:hanging="360"/>
      </w:pPr>
      <w:rPr>
        <w:u w:val="none"/>
      </w:rPr>
    </w:lvl>
    <w:lvl w:ilvl="4" w:tplc="968602A8">
      <w:start w:val="1"/>
      <w:numFmt w:val="bullet"/>
      <w:lvlText w:val="○"/>
      <w:lvlJc w:val="left"/>
      <w:pPr>
        <w:ind w:left="3600" w:hanging="360"/>
      </w:pPr>
      <w:rPr>
        <w:u w:val="none"/>
      </w:rPr>
    </w:lvl>
    <w:lvl w:ilvl="5" w:tplc="24C0246C">
      <w:start w:val="1"/>
      <w:numFmt w:val="bullet"/>
      <w:lvlText w:val="■"/>
      <w:lvlJc w:val="left"/>
      <w:pPr>
        <w:ind w:left="4320" w:hanging="360"/>
      </w:pPr>
      <w:rPr>
        <w:u w:val="none"/>
      </w:rPr>
    </w:lvl>
    <w:lvl w:ilvl="6" w:tplc="C0A636E8">
      <w:start w:val="1"/>
      <w:numFmt w:val="bullet"/>
      <w:lvlText w:val="●"/>
      <w:lvlJc w:val="left"/>
      <w:pPr>
        <w:ind w:left="5040" w:hanging="360"/>
      </w:pPr>
      <w:rPr>
        <w:u w:val="none"/>
      </w:rPr>
    </w:lvl>
    <w:lvl w:ilvl="7" w:tplc="AB1E34A6">
      <w:start w:val="1"/>
      <w:numFmt w:val="bullet"/>
      <w:lvlText w:val="○"/>
      <w:lvlJc w:val="left"/>
      <w:pPr>
        <w:ind w:left="5760" w:hanging="360"/>
      </w:pPr>
      <w:rPr>
        <w:u w:val="none"/>
      </w:rPr>
    </w:lvl>
    <w:lvl w:ilvl="8" w:tplc="3DAE8A34">
      <w:start w:val="1"/>
      <w:numFmt w:val="bullet"/>
      <w:lvlText w:val="■"/>
      <w:lvlJc w:val="left"/>
      <w:pPr>
        <w:ind w:left="6480" w:hanging="360"/>
      </w:pPr>
      <w:rPr>
        <w:u w:val="none"/>
      </w:rPr>
    </w:lvl>
  </w:abstractNum>
  <w:abstractNum w:abstractNumId="29" w15:restartNumberingAfterBreak="0">
    <w:nsid w:val="5F1FE764"/>
    <w:multiLevelType w:val="hybridMultilevel"/>
    <w:tmpl w:val="00000000"/>
    <w:lvl w:ilvl="0" w:tplc="90DA74FA">
      <w:start w:val="1"/>
      <w:numFmt w:val="bullet"/>
      <w:lvlText w:val="●"/>
      <w:lvlJc w:val="left"/>
      <w:pPr>
        <w:ind w:left="720" w:hanging="360"/>
      </w:pPr>
      <w:rPr>
        <w:u w:val="none"/>
      </w:rPr>
    </w:lvl>
    <w:lvl w:ilvl="1" w:tplc="04BE6824">
      <w:start w:val="1"/>
      <w:numFmt w:val="bullet"/>
      <w:lvlText w:val="○"/>
      <w:lvlJc w:val="left"/>
      <w:pPr>
        <w:ind w:left="1440" w:hanging="360"/>
      </w:pPr>
      <w:rPr>
        <w:u w:val="none"/>
      </w:rPr>
    </w:lvl>
    <w:lvl w:ilvl="2" w:tplc="A8DC8A9E">
      <w:start w:val="1"/>
      <w:numFmt w:val="bullet"/>
      <w:lvlText w:val="■"/>
      <w:lvlJc w:val="left"/>
      <w:pPr>
        <w:ind w:left="2160" w:hanging="360"/>
      </w:pPr>
      <w:rPr>
        <w:u w:val="none"/>
      </w:rPr>
    </w:lvl>
    <w:lvl w:ilvl="3" w:tplc="40C2DB3C">
      <w:start w:val="1"/>
      <w:numFmt w:val="bullet"/>
      <w:lvlText w:val="●"/>
      <w:lvlJc w:val="left"/>
      <w:pPr>
        <w:ind w:left="2880" w:hanging="360"/>
      </w:pPr>
      <w:rPr>
        <w:u w:val="none"/>
      </w:rPr>
    </w:lvl>
    <w:lvl w:ilvl="4" w:tplc="15ACB814">
      <w:start w:val="1"/>
      <w:numFmt w:val="bullet"/>
      <w:lvlText w:val="○"/>
      <w:lvlJc w:val="left"/>
      <w:pPr>
        <w:ind w:left="3600" w:hanging="360"/>
      </w:pPr>
      <w:rPr>
        <w:u w:val="none"/>
      </w:rPr>
    </w:lvl>
    <w:lvl w:ilvl="5" w:tplc="4E544CEA">
      <w:start w:val="1"/>
      <w:numFmt w:val="bullet"/>
      <w:lvlText w:val="■"/>
      <w:lvlJc w:val="left"/>
      <w:pPr>
        <w:ind w:left="4320" w:hanging="360"/>
      </w:pPr>
      <w:rPr>
        <w:u w:val="none"/>
      </w:rPr>
    </w:lvl>
    <w:lvl w:ilvl="6" w:tplc="27067132">
      <w:start w:val="1"/>
      <w:numFmt w:val="bullet"/>
      <w:lvlText w:val="●"/>
      <w:lvlJc w:val="left"/>
      <w:pPr>
        <w:ind w:left="5040" w:hanging="360"/>
      </w:pPr>
      <w:rPr>
        <w:u w:val="none"/>
      </w:rPr>
    </w:lvl>
    <w:lvl w:ilvl="7" w:tplc="1EAE4610">
      <w:start w:val="1"/>
      <w:numFmt w:val="bullet"/>
      <w:lvlText w:val="○"/>
      <w:lvlJc w:val="left"/>
      <w:pPr>
        <w:ind w:left="5760" w:hanging="360"/>
      </w:pPr>
      <w:rPr>
        <w:u w:val="none"/>
      </w:rPr>
    </w:lvl>
    <w:lvl w:ilvl="8" w:tplc="4374267C">
      <w:start w:val="1"/>
      <w:numFmt w:val="bullet"/>
      <w:lvlText w:val="■"/>
      <w:lvlJc w:val="left"/>
      <w:pPr>
        <w:ind w:left="6480" w:hanging="360"/>
      </w:pPr>
      <w:rPr>
        <w:u w:val="none"/>
      </w:rPr>
    </w:lvl>
  </w:abstractNum>
  <w:abstractNum w:abstractNumId="30" w15:restartNumberingAfterBreak="0">
    <w:nsid w:val="60A1B0E7"/>
    <w:multiLevelType w:val="hybridMultilevel"/>
    <w:tmpl w:val="00000000"/>
    <w:lvl w:ilvl="0" w:tplc="2B4EC396">
      <w:start w:val="1"/>
      <w:numFmt w:val="bullet"/>
      <w:lvlText w:val="●"/>
      <w:lvlJc w:val="left"/>
      <w:pPr>
        <w:ind w:left="720" w:hanging="360"/>
      </w:pPr>
      <w:rPr>
        <w:u w:val="none"/>
      </w:rPr>
    </w:lvl>
    <w:lvl w:ilvl="1" w:tplc="0576C846">
      <w:start w:val="1"/>
      <w:numFmt w:val="bullet"/>
      <w:lvlText w:val="○"/>
      <w:lvlJc w:val="left"/>
      <w:pPr>
        <w:ind w:left="1440" w:hanging="360"/>
      </w:pPr>
      <w:rPr>
        <w:u w:val="none"/>
      </w:rPr>
    </w:lvl>
    <w:lvl w:ilvl="2" w:tplc="AD44A102">
      <w:start w:val="1"/>
      <w:numFmt w:val="bullet"/>
      <w:lvlText w:val="■"/>
      <w:lvlJc w:val="left"/>
      <w:pPr>
        <w:ind w:left="2160" w:hanging="360"/>
      </w:pPr>
      <w:rPr>
        <w:u w:val="none"/>
      </w:rPr>
    </w:lvl>
    <w:lvl w:ilvl="3" w:tplc="61E026E2">
      <w:start w:val="1"/>
      <w:numFmt w:val="bullet"/>
      <w:lvlText w:val="●"/>
      <w:lvlJc w:val="left"/>
      <w:pPr>
        <w:ind w:left="2880" w:hanging="360"/>
      </w:pPr>
      <w:rPr>
        <w:u w:val="none"/>
      </w:rPr>
    </w:lvl>
    <w:lvl w:ilvl="4" w:tplc="100C1948">
      <w:start w:val="1"/>
      <w:numFmt w:val="bullet"/>
      <w:lvlText w:val="○"/>
      <w:lvlJc w:val="left"/>
      <w:pPr>
        <w:ind w:left="3600" w:hanging="360"/>
      </w:pPr>
      <w:rPr>
        <w:u w:val="none"/>
      </w:rPr>
    </w:lvl>
    <w:lvl w:ilvl="5" w:tplc="458695AA">
      <w:start w:val="1"/>
      <w:numFmt w:val="bullet"/>
      <w:lvlText w:val="■"/>
      <w:lvlJc w:val="left"/>
      <w:pPr>
        <w:ind w:left="4320" w:hanging="360"/>
      </w:pPr>
      <w:rPr>
        <w:u w:val="none"/>
      </w:rPr>
    </w:lvl>
    <w:lvl w:ilvl="6" w:tplc="FFC60DD4">
      <w:start w:val="1"/>
      <w:numFmt w:val="bullet"/>
      <w:lvlText w:val="●"/>
      <w:lvlJc w:val="left"/>
      <w:pPr>
        <w:ind w:left="5040" w:hanging="360"/>
      </w:pPr>
      <w:rPr>
        <w:u w:val="none"/>
      </w:rPr>
    </w:lvl>
    <w:lvl w:ilvl="7" w:tplc="C234C72A">
      <w:start w:val="1"/>
      <w:numFmt w:val="bullet"/>
      <w:lvlText w:val="○"/>
      <w:lvlJc w:val="left"/>
      <w:pPr>
        <w:ind w:left="5760" w:hanging="360"/>
      </w:pPr>
      <w:rPr>
        <w:u w:val="none"/>
      </w:rPr>
    </w:lvl>
    <w:lvl w:ilvl="8" w:tplc="13B08AC4">
      <w:start w:val="1"/>
      <w:numFmt w:val="bullet"/>
      <w:lvlText w:val="■"/>
      <w:lvlJc w:val="left"/>
      <w:pPr>
        <w:ind w:left="6480" w:hanging="360"/>
      </w:pPr>
      <w:rPr>
        <w:u w:val="none"/>
      </w:rPr>
    </w:lvl>
  </w:abstractNum>
  <w:abstractNum w:abstractNumId="31" w15:restartNumberingAfterBreak="0">
    <w:nsid w:val="630855D3"/>
    <w:multiLevelType w:val="hybridMultilevel"/>
    <w:tmpl w:val="00000000"/>
    <w:lvl w:ilvl="0" w:tplc="FE5C9618">
      <w:start w:val="1"/>
      <w:numFmt w:val="bullet"/>
      <w:lvlText w:val="●"/>
      <w:lvlJc w:val="left"/>
      <w:pPr>
        <w:ind w:left="720" w:hanging="360"/>
      </w:pPr>
      <w:rPr>
        <w:u w:val="none"/>
      </w:rPr>
    </w:lvl>
    <w:lvl w:ilvl="1" w:tplc="8E885946">
      <w:start w:val="1"/>
      <w:numFmt w:val="bullet"/>
      <w:lvlText w:val="○"/>
      <w:lvlJc w:val="left"/>
      <w:pPr>
        <w:ind w:left="1440" w:hanging="360"/>
      </w:pPr>
      <w:rPr>
        <w:u w:val="none"/>
      </w:rPr>
    </w:lvl>
    <w:lvl w:ilvl="2" w:tplc="44803474">
      <w:start w:val="1"/>
      <w:numFmt w:val="bullet"/>
      <w:lvlText w:val="■"/>
      <w:lvlJc w:val="left"/>
      <w:pPr>
        <w:ind w:left="2160" w:hanging="360"/>
      </w:pPr>
      <w:rPr>
        <w:u w:val="none"/>
      </w:rPr>
    </w:lvl>
    <w:lvl w:ilvl="3" w:tplc="A24E304E">
      <w:start w:val="1"/>
      <w:numFmt w:val="bullet"/>
      <w:lvlText w:val="●"/>
      <w:lvlJc w:val="left"/>
      <w:pPr>
        <w:ind w:left="2880" w:hanging="360"/>
      </w:pPr>
      <w:rPr>
        <w:u w:val="none"/>
      </w:rPr>
    </w:lvl>
    <w:lvl w:ilvl="4" w:tplc="A6C428A4">
      <w:start w:val="1"/>
      <w:numFmt w:val="bullet"/>
      <w:lvlText w:val="○"/>
      <w:lvlJc w:val="left"/>
      <w:pPr>
        <w:ind w:left="3600" w:hanging="360"/>
      </w:pPr>
      <w:rPr>
        <w:u w:val="none"/>
      </w:rPr>
    </w:lvl>
    <w:lvl w:ilvl="5" w:tplc="A78AD048">
      <w:start w:val="1"/>
      <w:numFmt w:val="bullet"/>
      <w:lvlText w:val="■"/>
      <w:lvlJc w:val="left"/>
      <w:pPr>
        <w:ind w:left="4320" w:hanging="360"/>
      </w:pPr>
      <w:rPr>
        <w:u w:val="none"/>
      </w:rPr>
    </w:lvl>
    <w:lvl w:ilvl="6" w:tplc="D9FAF092">
      <w:start w:val="1"/>
      <w:numFmt w:val="bullet"/>
      <w:lvlText w:val="●"/>
      <w:lvlJc w:val="left"/>
      <w:pPr>
        <w:ind w:left="5040" w:hanging="360"/>
      </w:pPr>
      <w:rPr>
        <w:u w:val="none"/>
      </w:rPr>
    </w:lvl>
    <w:lvl w:ilvl="7" w:tplc="D78216A2">
      <w:start w:val="1"/>
      <w:numFmt w:val="bullet"/>
      <w:lvlText w:val="○"/>
      <w:lvlJc w:val="left"/>
      <w:pPr>
        <w:ind w:left="5760" w:hanging="360"/>
      </w:pPr>
      <w:rPr>
        <w:u w:val="none"/>
      </w:rPr>
    </w:lvl>
    <w:lvl w:ilvl="8" w:tplc="8FFC223C">
      <w:start w:val="1"/>
      <w:numFmt w:val="bullet"/>
      <w:lvlText w:val="■"/>
      <w:lvlJc w:val="left"/>
      <w:pPr>
        <w:ind w:left="6480" w:hanging="360"/>
      </w:pPr>
      <w:rPr>
        <w:u w:val="none"/>
      </w:rPr>
    </w:lvl>
  </w:abstractNum>
  <w:abstractNum w:abstractNumId="32" w15:restartNumberingAfterBreak="0">
    <w:nsid w:val="63E8064F"/>
    <w:multiLevelType w:val="hybridMultilevel"/>
    <w:tmpl w:val="00000000"/>
    <w:lvl w:ilvl="0" w:tplc="418C1A18">
      <w:start w:val="1"/>
      <w:numFmt w:val="bullet"/>
      <w:lvlText w:val="●"/>
      <w:lvlJc w:val="left"/>
      <w:pPr>
        <w:ind w:left="720" w:hanging="360"/>
      </w:pPr>
      <w:rPr>
        <w:u w:val="none"/>
      </w:rPr>
    </w:lvl>
    <w:lvl w:ilvl="1" w:tplc="94B2F584">
      <w:start w:val="1"/>
      <w:numFmt w:val="bullet"/>
      <w:lvlText w:val="○"/>
      <w:lvlJc w:val="left"/>
      <w:pPr>
        <w:ind w:left="1440" w:hanging="360"/>
      </w:pPr>
      <w:rPr>
        <w:u w:val="none"/>
      </w:rPr>
    </w:lvl>
    <w:lvl w:ilvl="2" w:tplc="8990F626">
      <w:start w:val="1"/>
      <w:numFmt w:val="bullet"/>
      <w:lvlText w:val="■"/>
      <w:lvlJc w:val="left"/>
      <w:pPr>
        <w:ind w:left="2160" w:hanging="360"/>
      </w:pPr>
      <w:rPr>
        <w:u w:val="none"/>
      </w:rPr>
    </w:lvl>
    <w:lvl w:ilvl="3" w:tplc="9CAC0E0C">
      <w:start w:val="1"/>
      <w:numFmt w:val="bullet"/>
      <w:lvlText w:val="●"/>
      <w:lvlJc w:val="left"/>
      <w:pPr>
        <w:ind w:left="2880" w:hanging="360"/>
      </w:pPr>
      <w:rPr>
        <w:u w:val="none"/>
      </w:rPr>
    </w:lvl>
    <w:lvl w:ilvl="4" w:tplc="42CE67DA">
      <w:start w:val="1"/>
      <w:numFmt w:val="bullet"/>
      <w:lvlText w:val="○"/>
      <w:lvlJc w:val="left"/>
      <w:pPr>
        <w:ind w:left="3600" w:hanging="360"/>
      </w:pPr>
      <w:rPr>
        <w:u w:val="none"/>
      </w:rPr>
    </w:lvl>
    <w:lvl w:ilvl="5" w:tplc="B352F962">
      <w:start w:val="1"/>
      <w:numFmt w:val="bullet"/>
      <w:lvlText w:val="■"/>
      <w:lvlJc w:val="left"/>
      <w:pPr>
        <w:ind w:left="4320" w:hanging="360"/>
      </w:pPr>
      <w:rPr>
        <w:u w:val="none"/>
      </w:rPr>
    </w:lvl>
    <w:lvl w:ilvl="6" w:tplc="DE089134">
      <w:start w:val="1"/>
      <w:numFmt w:val="bullet"/>
      <w:lvlText w:val="●"/>
      <w:lvlJc w:val="left"/>
      <w:pPr>
        <w:ind w:left="5040" w:hanging="360"/>
      </w:pPr>
      <w:rPr>
        <w:u w:val="none"/>
      </w:rPr>
    </w:lvl>
    <w:lvl w:ilvl="7" w:tplc="ED88216A">
      <w:start w:val="1"/>
      <w:numFmt w:val="bullet"/>
      <w:lvlText w:val="○"/>
      <w:lvlJc w:val="left"/>
      <w:pPr>
        <w:ind w:left="5760" w:hanging="360"/>
      </w:pPr>
      <w:rPr>
        <w:u w:val="none"/>
      </w:rPr>
    </w:lvl>
    <w:lvl w:ilvl="8" w:tplc="666480A0">
      <w:start w:val="1"/>
      <w:numFmt w:val="bullet"/>
      <w:lvlText w:val="■"/>
      <w:lvlJc w:val="left"/>
      <w:pPr>
        <w:ind w:left="6480" w:hanging="360"/>
      </w:pPr>
      <w:rPr>
        <w:u w:val="none"/>
      </w:rPr>
    </w:lvl>
  </w:abstractNum>
  <w:abstractNum w:abstractNumId="33" w15:restartNumberingAfterBreak="0">
    <w:nsid w:val="6689492D"/>
    <w:multiLevelType w:val="hybridMultilevel"/>
    <w:tmpl w:val="00000000"/>
    <w:lvl w:ilvl="0" w:tplc="5756D11C">
      <w:start w:val="1"/>
      <w:numFmt w:val="bullet"/>
      <w:lvlText w:val="●"/>
      <w:lvlJc w:val="left"/>
      <w:pPr>
        <w:ind w:left="720" w:hanging="360"/>
      </w:pPr>
      <w:rPr>
        <w:u w:val="none"/>
      </w:rPr>
    </w:lvl>
    <w:lvl w:ilvl="1" w:tplc="CEB6D9B6">
      <w:start w:val="1"/>
      <w:numFmt w:val="bullet"/>
      <w:lvlText w:val="○"/>
      <w:lvlJc w:val="left"/>
      <w:pPr>
        <w:ind w:left="1440" w:hanging="360"/>
      </w:pPr>
      <w:rPr>
        <w:u w:val="none"/>
      </w:rPr>
    </w:lvl>
    <w:lvl w:ilvl="2" w:tplc="B6600F3C">
      <w:start w:val="1"/>
      <w:numFmt w:val="bullet"/>
      <w:lvlText w:val="■"/>
      <w:lvlJc w:val="left"/>
      <w:pPr>
        <w:ind w:left="2160" w:hanging="360"/>
      </w:pPr>
      <w:rPr>
        <w:u w:val="none"/>
      </w:rPr>
    </w:lvl>
    <w:lvl w:ilvl="3" w:tplc="E56CED92">
      <w:start w:val="1"/>
      <w:numFmt w:val="bullet"/>
      <w:lvlText w:val="●"/>
      <w:lvlJc w:val="left"/>
      <w:pPr>
        <w:ind w:left="2880" w:hanging="360"/>
      </w:pPr>
      <w:rPr>
        <w:u w:val="none"/>
      </w:rPr>
    </w:lvl>
    <w:lvl w:ilvl="4" w:tplc="AD8ECFC0">
      <w:start w:val="1"/>
      <w:numFmt w:val="bullet"/>
      <w:lvlText w:val="○"/>
      <w:lvlJc w:val="left"/>
      <w:pPr>
        <w:ind w:left="3600" w:hanging="360"/>
      </w:pPr>
      <w:rPr>
        <w:u w:val="none"/>
      </w:rPr>
    </w:lvl>
    <w:lvl w:ilvl="5" w:tplc="8DBE1E32">
      <w:start w:val="1"/>
      <w:numFmt w:val="bullet"/>
      <w:lvlText w:val="■"/>
      <w:lvlJc w:val="left"/>
      <w:pPr>
        <w:ind w:left="4320" w:hanging="360"/>
      </w:pPr>
      <w:rPr>
        <w:u w:val="none"/>
      </w:rPr>
    </w:lvl>
    <w:lvl w:ilvl="6" w:tplc="B3C2BCF4">
      <w:start w:val="1"/>
      <w:numFmt w:val="bullet"/>
      <w:lvlText w:val="●"/>
      <w:lvlJc w:val="left"/>
      <w:pPr>
        <w:ind w:left="5040" w:hanging="360"/>
      </w:pPr>
      <w:rPr>
        <w:u w:val="none"/>
      </w:rPr>
    </w:lvl>
    <w:lvl w:ilvl="7" w:tplc="544EB396">
      <w:start w:val="1"/>
      <w:numFmt w:val="bullet"/>
      <w:lvlText w:val="○"/>
      <w:lvlJc w:val="left"/>
      <w:pPr>
        <w:ind w:left="5760" w:hanging="360"/>
      </w:pPr>
      <w:rPr>
        <w:u w:val="none"/>
      </w:rPr>
    </w:lvl>
    <w:lvl w:ilvl="8" w:tplc="F42A85B8">
      <w:start w:val="1"/>
      <w:numFmt w:val="bullet"/>
      <w:lvlText w:val="■"/>
      <w:lvlJc w:val="left"/>
      <w:pPr>
        <w:ind w:left="6480" w:hanging="360"/>
      </w:pPr>
      <w:rPr>
        <w:u w:val="none"/>
      </w:rPr>
    </w:lvl>
  </w:abstractNum>
  <w:abstractNum w:abstractNumId="34" w15:restartNumberingAfterBreak="0">
    <w:nsid w:val="682B2483"/>
    <w:multiLevelType w:val="hybridMultilevel"/>
    <w:tmpl w:val="00000000"/>
    <w:lvl w:ilvl="0" w:tplc="F5C417FE">
      <w:start w:val="1"/>
      <w:numFmt w:val="bullet"/>
      <w:lvlText w:val="●"/>
      <w:lvlJc w:val="left"/>
      <w:pPr>
        <w:ind w:left="720" w:hanging="360"/>
      </w:pPr>
      <w:rPr>
        <w:u w:val="none"/>
      </w:rPr>
    </w:lvl>
    <w:lvl w:ilvl="1" w:tplc="AA9EF2D8">
      <w:start w:val="1"/>
      <w:numFmt w:val="bullet"/>
      <w:lvlText w:val="○"/>
      <w:lvlJc w:val="left"/>
      <w:pPr>
        <w:ind w:left="1440" w:hanging="360"/>
      </w:pPr>
      <w:rPr>
        <w:u w:val="none"/>
      </w:rPr>
    </w:lvl>
    <w:lvl w:ilvl="2" w:tplc="CCDA5376">
      <w:start w:val="1"/>
      <w:numFmt w:val="bullet"/>
      <w:lvlText w:val="■"/>
      <w:lvlJc w:val="left"/>
      <w:pPr>
        <w:ind w:left="2160" w:hanging="360"/>
      </w:pPr>
      <w:rPr>
        <w:u w:val="none"/>
      </w:rPr>
    </w:lvl>
    <w:lvl w:ilvl="3" w:tplc="54FA8E5E">
      <w:start w:val="1"/>
      <w:numFmt w:val="bullet"/>
      <w:lvlText w:val="●"/>
      <w:lvlJc w:val="left"/>
      <w:pPr>
        <w:ind w:left="2880" w:hanging="360"/>
      </w:pPr>
      <w:rPr>
        <w:u w:val="none"/>
      </w:rPr>
    </w:lvl>
    <w:lvl w:ilvl="4" w:tplc="2BDCE61A">
      <w:start w:val="1"/>
      <w:numFmt w:val="bullet"/>
      <w:lvlText w:val="○"/>
      <w:lvlJc w:val="left"/>
      <w:pPr>
        <w:ind w:left="3600" w:hanging="360"/>
      </w:pPr>
      <w:rPr>
        <w:u w:val="none"/>
      </w:rPr>
    </w:lvl>
    <w:lvl w:ilvl="5" w:tplc="10CA7928">
      <w:start w:val="1"/>
      <w:numFmt w:val="bullet"/>
      <w:lvlText w:val="■"/>
      <w:lvlJc w:val="left"/>
      <w:pPr>
        <w:ind w:left="4320" w:hanging="360"/>
      </w:pPr>
      <w:rPr>
        <w:u w:val="none"/>
      </w:rPr>
    </w:lvl>
    <w:lvl w:ilvl="6" w:tplc="71265B5A">
      <w:start w:val="1"/>
      <w:numFmt w:val="bullet"/>
      <w:lvlText w:val="●"/>
      <w:lvlJc w:val="left"/>
      <w:pPr>
        <w:ind w:left="5040" w:hanging="360"/>
      </w:pPr>
      <w:rPr>
        <w:u w:val="none"/>
      </w:rPr>
    </w:lvl>
    <w:lvl w:ilvl="7" w:tplc="F55A383E">
      <w:start w:val="1"/>
      <w:numFmt w:val="bullet"/>
      <w:lvlText w:val="○"/>
      <w:lvlJc w:val="left"/>
      <w:pPr>
        <w:ind w:left="5760" w:hanging="360"/>
      </w:pPr>
      <w:rPr>
        <w:u w:val="none"/>
      </w:rPr>
    </w:lvl>
    <w:lvl w:ilvl="8" w:tplc="0BAAE1FA">
      <w:start w:val="1"/>
      <w:numFmt w:val="bullet"/>
      <w:lvlText w:val="■"/>
      <w:lvlJc w:val="left"/>
      <w:pPr>
        <w:ind w:left="6480" w:hanging="360"/>
      </w:pPr>
      <w:rPr>
        <w:u w:val="none"/>
      </w:rPr>
    </w:lvl>
  </w:abstractNum>
  <w:abstractNum w:abstractNumId="35" w15:restartNumberingAfterBreak="0">
    <w:nsid w:val="7058A1BC"/>
    <w:multiLevelType w:val="hybridMultilevel"/>
    <w:tmpl w:val="00000000"/>
    <w:lvl w:ilvl="0" w:tplc="51C8C1E2">
      <w:start w:val="1"/>
      <w:numFmt w:val="bullet"/>
      <w:lvlText w:val="●"/>
      <w:lvlJc w:val="left"/>
      <w:pPr>
        <w:ind w:left="720" w:hanging="360"/>
      </w:pPr>
      <w:rPr>
        <w:u w:val="none"/>
      </w:rPr>
    </w:lvl>
    <w:lvl w:ilvl="1" w:tplc="90B4D470">
      <w:start w:val="1"/>
      <w:numFmt w:val="bullet"/>
      <w:lvlText w:val="○"/>
      <w:lvlJc w:val="left"/>
      <w:pPr>
        <w:ind w:left="1440" w:hanging="360"/>
      </w:pPr>
      <w:rPr>
        <w:u w:val="none"/>
      </w:rPr>
    </w:lvl>
    <w:lvl w:ilvl="2" w:tplc="6376242A">
      <w:start w:val="1"/>
      <w:numFmt w:val="bullet"/>
      <w:lvlText w:val="■"/>
      <w:lvlJc w:val="left"/>
      <w:pPr>
        <w:ind w:left="2160" w:hanging="360"/>
      </w:pPr>
      <w:rPr>
        <w:u w:val="none"/>
      </w:rPr>
    </w:lvl>
    <w:lvl w:ilvl="3" w:tplc="B3DECEC0">
      <w:start w:val="1"/>
      <w:numFmt w:val="bullet"/>
      <w:lvlText w:val="●"/>
      <w:lvlJc w:val="left"/>
      <w:pPr>
        <w:ind w:left="2880" w:hanging="360"/>
      </w:pPr>
      <w:rPr>
        <w:u w:val="none"/>
      </w:rPr>
    </w:lvl>
    <w:lvl w:ilvl="4" w:tplc="4476B5B8">
      <w:start w:val="1"/>
      <w:numFmt w:val="bullet"/>
      <w:lvlText w:val="○"/>
      <w:lvlJc w:val="left"/>
      <w:pPr>
        <w:ind w:left="3600" w:hanging="360"/>
      </w:pPr>
      <w:rPr>
        <w:u w:val="none"/>
      </w:rPr>
    </w:lvl>
    <w:lvl w:ilvl="5" w:tplc="D5DE6166">
      <w:start w:val="1"/>
      <w:numFmt w:val="bullet"/>
      <w:lvlText w:val="■"/>
      <w:lvlJc w:val="left"/>
      <w:pPr>
        <w:ind w:left="4320" w:hanging="360"/>
      </w:pPr>
      <w:rPr>
        <w:u w:val="none"/>
      </w:rPr>
    </w:lvl>
    <w:lvl w:ilvl="6" w:tplc="E33048A6">
      <w:start w:val="1"/>
      <w:numFmt w:val="bullet"/>
      <w:lvlText w:val="●"/>
      <w:lvlJc w:val="left"/>
      <w:pPr>
        <w:ind w:left="5040" w:hanging="360"/>
      </w:pPr>
      <w:rPr>
        <w:u w:val="none"/>
      </w:rPr>
    </w:lvl>
    <w:lvl w:ilvl="7" w:tplc="83B2C376">
      <w:start w:val="1"/>
      <w:numFmt w:val="bullet"/>
      <w:lvlText w:val="○"/>
      <w:lvlJc w:val="left"/>
      <w:pPr>
        <w:ind w:left="5760" w:hanging="360"/>
      </w:pPr>
      <w:rPr>
        <w:u w:val="none"/>
      </w:rPr>
    </w:lvl>
    <w:lvl w:ilvl="8" w:tplc="36E8CAE4">
      <w:start w:val="1"/>
      <w:numFmt w:val="bullet"/>
      <w:lvlText w:val="■"/>
      <w:lvlJc w:val="left"/>
      <w:pPr>
        <w:ind w:left="6480" w:hanging="360"/>
      </w:pPr>
      <w:rPr>
        <w:u w:val="none"/>
      </w:rPr>
    </w:lvl>
  </w:abstractNum>
  <w:abstractNum w:abstractNumId="36" w15:restartNumberingAfterBreak="0">
    <w:nsid w:val="76D80F26"/>
    <w:multiLevelType w:val="hybridMultilevel"/>
    <w:tmpl w:val="00000000"/>
    <w:lvl w:ilvl="0" w:tplc="B3204850">
      <w:start w:val="1"/>
      <w:numFmt w:val="bullet"/>
      <w:lvlText w:val="●"/>
      <w:lvlJc w:val="left"/>
      <w:pPr>
        <w:ind w:left="720" w:hanging="360"/>
      </w:pPr>
      <w:rPr>
        <w:u w:val="none"/>
      </w:rPr>
    </w:lvl>
    <w:lvl w:ilvl="1" w:tplc="AA3C5C2C">
      <w:start w:val="1"/>
      <w:numFmt w:val="bullet"/>
      <w:lvlText w:val="○"/>
      <w:lvlJc w:val="left"/>
      <w:pPr>
        <w:ind w:left="1440" w:hanging="360"/>
      </w:pPr>
      <w:rPr>
        <w:u w:val="none"/>
      </w:rPr>
    </w:lvl>
    <w:lvl w:ilvl="2" w:tplc="87D69E56">
      <w:start w:val="1"/>
      <w:numFmt w:val="bullet"/>
      <w:lvlText w:val="■"/>
      <w:lvlJc w:val="left"/>
      <w:pPr>
        <w:ind w:left="2160" w:hanging="360"/>
      </w:pPr>
      <w:rPr>
        <w:u w:val="none"/>
      </w:rPr>
    </w:lvl>
    <w:lvl w:ilvl="3" w:tplc="D098F634">
      <w:start w:val="1"/>
      <w:numFmt w:val="bullet"/>
      <w:lvlText w:val="●"/>
      <w:lvlJc w:val="left"/>
      <w:pPr>
        <w:ind w:left="2880" w:hanging="360"/>
      </w:pPr>
      <w:rPr>
        <w:u w:val="none"/>
      </w:rPr>
    </w:lvl>
    <w:lvl w:ilvl="4" w:tplc="F0E89B04">
      <w:start w:val="1"/>
      <w:numFmt w:val="bullet"/>
      <w:lvlText w:val="○"/>
      <w:lvlJc w:val="left"/>
      <w:pPr>
        <w:ind w:left="3600" w:hanging="360"/>
      </w:pPr>
      <w:rPr>
        <w:u w:val="none"/>
      </w:rPr>
    </w:lvl>
    <w:lvl w:ilvl="5" w:tplc="8B188720">
      <w:start w:val="1"/>
      <w:numFmt w:val="bullet"/>
      <w:lvlText w:val="■"/>
      <w:lvlJc w:val="left"/>
      <w:pPr>
        <w:ind w:left="4320" w:hanging="360"/>
      </w:pPr>
      <w:rPr>
        <w:u w:val="none"/>
      </w:rPr>
    </w:lvl>
    <w:lvl w:ilvl="6" w:tplc="4BB2401E">
      <w:start w:val="1"/>
      <w:numFmt w:val="bullet"/>
      <w:lvlText w:val="●"/>
      <w:lvlJc w:val="left"/>
      <w:pPr>
        <w:ind w:left="5040" w:hanging="360"/>
      </w:pPr>
      <w:rPr>
        <w:u w:val="none"/>
      </w:rPr>
    </w:lvl>
    <w:lvl w:ilvl="7" w:tplc="3AA40FCE">
      <w:start w:val="1"/>
      <w:numFmt w:val="bullet"/>
      <w:lvlText w:val="○"/>
      <w:lvlJc w:val="left"/>
      <w:pPr>
        <w:ind w:left="5760" w:hanging="360"/>
      </w:pPr>
      <w:rPr>
        <w:u w:val="none"/>
      </w:rPr>
    </w:lvl>
    <w:lvl w:ilvl="8" w:tplc="94D2DA82">
      <w:start w:val="1"/>
      <w:numFmt w:val="bullet"/>
      <w:lvlText w:val="■"/>
      <w:lvlJc w:val="left"/>
      <w:pPr>
        <w:ind w:left="6480" w:hanging="360"/>
      </w:pPr>
      <w:rPr>
        <w:u w:val="none"/>
      </w:rPr>
    </w:lvl>
  </w:abstractNum>
  <w:abstractNum w:abstractNumId="37" w15:restartNumberingAfterBreak="0">
    <w:nsid w:val="7883D0E7"/>
    <w:multiLevelType w:val="hybridMultilevel"/>
    <w:tmpl w:val="00000000"/>
    <w:lvl w:ilvl="0" w:tplc="94C02A3A">
      <w:start w:val="1"/>
      <w:numFmt w:val="bullet"/>
      <w:lvlText w:val="●"/>
      <w:lvlJc w:val="left"/>
      <w:pPr>
        <w:ind w:left="720" w:hanging="360"/>
      </w:pPr>
      <w:rPr>
        <w:u w:val="none"/>
      </w:rPr>
    </w:lvl>
    <w:lvl w:ilvl="1" w:tplc="4CD61658">
      <w:start w:val="1"/>
      <w:numFmt w:val="bullet"/>
      <w:lvlText w:val="○"/>
      <w:lvlJc w:val="left"/>
      <w:pPr>
        <w:ind w:left="1440" w:hanging="360"/>
      </w:pPr>
      <w:rPr>
        <w:u w:val="none"/>
      </w:rPr>
    </w:lvl>
    <w:lvl w:ilvl="2" w:tplc="ABA8C89C">
      <w:start w:val="1"/>
      <w:numFmt w:val="bullet"/>
      <w:lvlText w:val="■"/>
      <w:lvlJc w:val="left"/>
      <w:pPr>
        <w:ind w:left="2160" w:hanging="360"/>
      </w:pPr>
      <w:rPr>
        <w:u w:val="none"/>
      </w:rPr>
    </w:lvl>
    <w:lvl w:ilvl="3" w:tplc="93B87C84">
      <w:start w:val="1"/>
      <w:numFmt w:val="bullet"/>
      <w:lvlText w:val="●"/>
      <w:lvlJc w:val="left"/>
      <w:pPr>
        <w:ind w:left="2880" w:hanging="360"/>
      </w:pPr>
      <w:rPr>
        <w:u w:val="none"/>
      </w:rPr>
    </w:lvl>
    <w:lvl w:ilvl="4" w:tplc="6B58A0AC">
      <w:start w:val="1"/>
      <w:numFmt w:val="bullet"/>
      <w:lvlText w:val="○"/>
      <w:lvlJc w:val="left"/>
      <w:pPr>
        <w:ind w:left="3600" w:hanging="360"/>
      </w:pPr>
      <w:rPr>
        <w:u w:val="none"/>
      </w:rPr>
    </w:lvl>
    <w:lvl w:ilvl="5" w:tplc="97E6FF14">
      <w:start w:val="1"/>
      <w:numFmt w:val="bullet"/>
      <w:lvlText w:val="■"/>
      <w:lvlJc w:val="left"/>
      <w:pPr>
        <w:ind w:left="4320" w:hanging="360"/>
      </w:pPr>
      <w:rPr>
        <w:u w:val="none"/>
      </w:rPr>
    </w:lvl>
    <w:lvl w:ilvl="6" w:tplc="48A8E72C">
      <w:start w:val="1"/>
      <w:numFmt w:val="bullet"/>
      <w:lvlText w:val="●"/>
      <w:lvlJc w:val="left"/>
      <w:pPr>
        <w:ind w:left="5040" w:hanging="360"/>
      </w:pPr>
      <w:rPr>
        <w:u w:val="none"/>
      </w:rPr>
    </w:lvl>
    <w:lvl w:ilvl="7" w:tplc="14204E7A">
      <w:start w:val="1"/>
      <w:numFmt w:val="bullet"/>
      <w:lvlText w:val="○"/>
      <w:lvlJc w:val="left"/>
      <w:pPr>
        <w:ind w:left="5760" w:hanging="360"/>
      </w:pPr>
      <w:rPr>
        <w:u w:val="none"/>
      </w:rPr>
    </w:lvl>
    <w:lvl w:ilvl="8" w:tplc="FC2A8868">
      <w:start w:val="1"/>
      <w:numFmt w:val="bullet"/>
      <w:lvlText w:val="■"/>
      <w:lvlJc w:val="left"/>
      <w:pPr>
        <w:ind w:left="6480" w:hanging="360"/>
      </w:pPr>
      <w:rPr>
        <w:u w:val="none"/>
      </w:rPr>
    </w:lvl>
  </w:abstractNum>
  <w:abstractNum w:abstractNumId="38" w15:restartNumberingAfterBreak="0">
    <w:nsid w:val="79A0AB6C"/>
    <w:multiLevelType w:val="hybridMultilevel"/>
    <w:tmpl w:val="00000000"/>
    <w:lvl w:ilvl="0" w:tplc="58A66ADC">
      <w:start w:val="1"/>
      <w:numFmt w:val="bullet"/>
      <w:lvlText w:val="●"/>
      <w:lvlJc w:val="left"/>
      <w:pPr>
        <w:ind w:left="720" w:hanging="360"/>
      </w:pPr>
      <w:rPr>
        <w:u w:val="none"/>
      </w:rPr>
    </w:lvl>
    <w:lvl w:ilvl="1" w:tplc="D278C174">
      <w:start w:val="1"/>
      <w:numFmt w:val="bullet"/>
      <w:lvlText w:val="○"/>
      <w:lvlJc w:val="left"/>
      <w:pPr>
        <w:ind w:left="1440" w:hanging="360"/>
      </w:pPr>
      <w:rPr>
        <w:u w:val="none"/>
      </w:rPr>
    </w:lvl>
    <w:lvl w:ilvl="2" w:tplc="158A9B0C">
      <w:start w:val="1"/>
      <w:numFmt w:val="bullet"/>
      <w:lvlText w:val="■"/>
      <w:lvlJc w:val="left"/>
      <w:pPr>
        <w:ind w:left="2160" w:hanging="360"/>
      </w:pPr>
      <w:rPr>
        <w:u w:val="none"/>
      </w:rPr>
    </w:lvl>
    <w:lvl w:ilvl="3" w:tplc="BB3C8322">
      <w:start w:val="1"/>
      <w:numFmt w:val="bullet"/>
      <w:lvlText w:val="●"/>
      <w:lvlJc w:val="left"/>
      <w:pPr>
        <w:ind w:left="2880" w:hanging="360"/>
      </w:pPr>
      <w:rPr>
        <w:u w:val="none"/>
      </w:rPr>
    </w:lvl>
    <w:lvl w:ilvl="4" w:tplc="248A4F2E">
      <w:start w:val="1"/>
      <w:numFmt w:val="bullet"/>
      <w:lvlText w:val="○"/>
      <w:lvlJc w:val="left"/>
      <w:pPr>
        <w:ind w:left="3600" w:hanging="360"/>
      </w:pPr>
      <w:rPr>
        <w:u w:val="none"/>
      </w:rPr>
    </w:lvl>
    <w:lvl w:ilvl="5" w:tplc="FD5A0A62">
      <w:start w:val="1"/>
      <w:numFmt w:val="bullet"/>
      <w:lvlText w:val="■"/>
      <w:lvlJc w:val="left"/>
      <w:pPr>
        <w:ind w:left="4320" w:hanging="360"/>
      </w:pPr>
      <w:rPr>
        <w:u w:val="none"/>
      </w:rPr>
    </w:lvl>
    <w:lvl w:ilvl="6" w:tplc="B352F3AE">
      <w:start w:val="1"/>
      <w:numFmt w:val="bullet"/>
      <w:lvlText w:val="●"/>
      <w:lvlJc w:val="left"/>
      <w:pPr>
        <w:ind w:left="5040" w:hanging="360"/>
      </w:pPr>
      <w:rPr>
        <w:u w:val="none"/>
      </w:rPr>
    </w:lvl>
    <w:lvl w:ilvl="7" w:tplc="117AD940">
      <w:start w:val="1"/>
      <w:numFmt w:val="bullet"/>
      <w:lvlText w:val="○"/>
      <w:lvlJc w:val="left"/>
      <w:pPr>
        <w:ind w:left="5760" w:hanging="360"/>
      </w:pPr>
      <w:rPr>
        <w:u w:val="none"/>
      </w:rPr>
    </w:lvl>
    <w:lvl w:ilvl="8" w:tplc="FE861EC4">
      <w:start w:val="1"/>
      <w:numFmt w:val="bullet"/>
      <w:lvlText w:val="■"/>
      <w:lvlJc w:val="left"/>
      <w:pPr>
        <w:ind w:left="6480" w:hanging="360"/>
      </w:pPr>
      <w:rPr>
        <w:u w:val="none"/>
      </w:rPr>
    </w:lvl>
  </w:abstractNum>
  <w:abstractNum w:abstractNumId="39" w15:restartNumberingAfterBreak="0">
    <w:nsid w:val="7C732670"/>
    <w:multiLevelType w:val="hybridMultilevel"/>
    <w:tmpl w:val="00000000"/>
    <w:lvl w:ilvl="0" w:tplc="652E143A">
      <w:start w:val="1"/>
      <w:numFmt w:val="bullet"/>
      <w:lvlText w:val="●"/>
      <w:lvlJc w:val="left"/>
      <w:pPr>
        <w:ind w:left="720" w:hanging="360"/>
      </w:pPr>
      <w:rPr>
        <w:u w:val="none"/>
      </w:rPr>
    </w:lvl>
    <w:lvl w:ilvl="1" w:tplc="734CACA2">
      <w:start w:val="1"/>
      <w:numFmt w:val="bullet"/>
      <w:lvlText w:val="○"/>
      <w:lvlJc w:val="left"/>
      <w:pPr>
        <w:ind w:left="1440" w:hanging="360"/>
      </w:pPr>
      <w:rPr>
        <w:u w:val="none"/>
      </w:rPr>
    </w:lvl>
    <w:lvl w:ilvl="2" w:tplc="63AC3F82">
      <w:start w:val="1"/>
      <w:numFmt w:val="bullet"/>
      <w:lvlText w:val="■"/>
      <w:lvlJc w:val="left"/>
      <w:pPr>
        <w:ind w:left="2160" w:hanging="360"/>
      </w:pPr>
      <w:rPr>
        <w:u w:val="none"/>
      </w:rPr>
    </w:lvl>
    <w:lvl w:ilvl="3" w:tplc="B59CC288">
      <w:start w:val="1"/>
      <w:numFmt w:val="bullet"/>
      <w:lvlText w:val="●"/>
      <w:lvlJc w:val="left"/>
      <w:pPr>
        <w:ind w:left="2880" w:hanging="360"/>
      </w:pPr>
      <w:rPr>
        <w:u w:val="none"/>
      </w:rPr>
    </w:lvl>
    <w:lvl w:ilvl="4" w:tplc="526C766A">
      <w:start w:val="1"/>
      <w:numFmt w:val="bullet"/>
      <w:lvlText w:val="○"/>
      <w:lvlJc w:val="left"/>
      <w:pPr>
        <w:ind w:left="3600" w:hanging="360"/>
      </w:pPr>
      <w:rPr>
        <w:u w:val="none"/>
      </w:rPr>
    </w:lvl>
    <w:lvl w:ilvl="5" w:tplc="3758782C">
      <w:start w:val="1"/>
      <w:numFmt w:val="bullet"/>
      <w:lvlText w:val="■"/>
      <w:lvlJc w:val="left"/>
      <w:pPr>
        <w:ind w:left="4320" w:hanging="360"/>
      </w:pPr>
      <w:rPr>
        <w:u w:val="none"/>
      </w:rPr>
    </w:lvl>
    <w:lvl w:ilvl="6" w:tplc="CF4071CE">
      <w:start w:val="1"/>
      <w:numFmt w:val="bullet"/>
      <w:lvlText w:val="●"/>
      <w:lvlJc w:val="left"/>
      <w:pPr>
        <w:ind w:left="5040" w:hanging="360"/>
      </w:pPr>
      <w:rPr>
        <w:u w:val="none"/>
      </w:rPr>
    </w:lvl>
    <w:lvl w:ilvl="7" w:tplc="7376DBE8">
      <w:start w:val="1"/>
      <w:numFmt w:val="bullet"/>
      <w:lvlText w:val="○"/>
      <w:lvlJc w:val="left"/>
      <w:pPr>
        <w:ind w:left="5760" w:hanging="360"/>
      </w:pPr>
      <w:rPr>
        <w:u w:val="none"/>
      </w:rPr>
    </w:lvl>
    <w:lvl w:ilvl="8" w:tplc="E1785BF0">
      <w:start w:val="1"/>
      <w:numFmt w:val="bullet"/>
      <w:lvlText w:val="■"/>
      <w:lvlJc w:val="left"/>
      <w:pPr>
        <w:ind w:left="6480" w:hanging="360"/>
      </w:pPr>
      <w:rPr>
        <w:u w:val="none"/>
      </w:rPr>
    </w:lvl>
  </w:abstractNum>
  <w:abstractNum w:abstractNumId="40" w15:restartNumberingAfterBreak="0">
    <w:nsid w:val="7E8C92B5"/>
    <w:multiLevelType w:val="hybridMultilevel"/>
    <w:tmpl w:val="00000000"/>
    <w:lvl w:ilvl="0" w:tplc="BFC697B8">
      <w:start w:val="1"/>
      <w:numFmt w:val="bullet"/>
      <w:lvlText w:val="●"/>
      <w:lvlJc w:val="left"/>
      <w:pPr>
        <w:ind w:left="720" w:hanging="360"/>
      </w:pPr>
      <w:rPr>
        <w:u w:val="none"/>
      </w:rPr>
    </w:lvl>
    <w:lvl w:ilvl="1" w:tplc="0FF4433C">
      <w:start w:val="1"/>
      <w:numFmt w:val="bullet"/>
      <w:lvlText w:val="○"/>
      <w:lvlJc w:val="left"/>
      <w:pPr>
        <w:ind w:left="1440" w:hanging="360"/>
      </w:pPr>
      <w:rPr>
        <w:u w:val="none"/>
      </w:rPr>
    </w:lvl>
    <w:lvl w:ilvl="2" w:tplc="B254D7C6">
      <w:start w:val="1"/>
      <w:numFmt w:val="bullet"/>
      <w:lvlText w:val="■"/>
      <w:lvlJc w:val="left"/>
      <w:pPr>
        <w:ind w:left="2160" w:hanging="360"/>
      </w:pPr>
      <w:rPr>
        <w:u w:val="none"/>
      </w:rPr>
    </w:lvl>
    <w:lvl w:ilvl="3" w:tplc="4FCCACF0">
      <w:start w:val="1"/>
      <w:numFmt w:val="bullet"/>
      <w:lvlText w:val="●"/>
      <w:lvlJc w:val="left"/>
      <w:pPr>
        <w:ind w:left="2880" w:hanging="360"/>
      </w:pPr>
      <w:rPr>
        <w:u w:val="none"/>
      </w:rPr>
    </w:lvl>
    <w:lvl w:ilvl="4" w:tplc="E6AA9F70">
      <w:start w:val="1"/>
      <w:numFmt w:val="bullet"/>
      <w:lvlText w:val="○"/>
      <w:lvlJc w:val="left"/>
      <w:pPr>
        <w:ind w:left="3600" w:hanging="360"/>
      </w:pPr>
      <w:rPr>
        <w:u w:val="none"/>
      </w:rPr>
    </w:lvl>
    <w:lvl w:ilvl="5" w:tplc="F19EEBAC">
      <w:start w:val="1"/>
      <w:numFmt w:val="bullet"/>
      <w:lvlText w:val="■"/>
      <w:lvlJc w:val="left"/>
      <w:pPr>
        <w:ind w:left="4320" w:hanging="360"/>
      </w:pPr>
      <w:rPr>
        <w:u w:val="none"/>
      </w:rPr>
    </w:lvl>
    <w:lvl w:ilvl="6" w:tplc="D262B7BC">
      <w:start w:val="1"/>
      <w:numFmt w:val="bullet"/>
      <w:lvlText w:val="●"/>
      <w:lvlJc w:val="left"/>
      <w:pPr>
        <w:ind w:left="5040" w:hanging="360"/>
      </w:pPr>
      <w:rPr>
        <w:u w:val="none"/>
      </w:rPr>
    </w:lvl>
    <w:lvl w:ilvl="7" w:tplc="2F5AD81C">
      <w:start w:val="1"/>
      <w:numFmt w:val="bullet"/>
      <w:lvlText w:val="○"/>
      <w:lvlJc w:val="left"/>
      <w:pPr>
        <w:ind w:left="5760" w:hanging="360"/>
      </w:pPr>
      <w:rPr>
        <w:u w:val="none"/>
      </w:rPr>
    </w:lvl>
    <w:lvl w:ilvl="8" w:tplc="5DB21024">
      <w:start w:val="1"/>
      <w:numFmt w:val="bullet"/>
      <w:lvlText w:val="■"/>
      <w:lvlJc w:val="left"/>
      <w:pPr>
        <w:ind w:left="6480" w:hanging="360"/>
      </w:pPr>
      <w:rPr>
        <w:u w:val="none"/>
      </w:rPr>
    </w:lvl>
  </w:abstractNum>
  <w:num w:numId="1" w16cid:durableId="1970471538">
    <w:abstractNumId w:val="21"/>
  </w:num>
  <w:num w:numId="2" w16cid:durableId="912349050">
    <w:abstractNumId w:val="40"/>
  </w:num>
  <w:num w:numId="3" w16cid:durableId="1724938304">
    <w:abstractNumId w:val="27"/>
  </w:num>
  <w:num w:numId="4" w16cid:durableId="683868397">
    <w:abstractNumId w:val="28"/>
  </w:num>
  <w:num w:numId="5" w16cid:durableId="1204246893">
    <w:abstractNumId w:val="34"/>
  </w:num>
  <w:num w:numId="6" w16cid:durableId="1687293988">
    <w:abstractNumId w:val="23"/>
  </w:num>
  <w:num w:numId="7" w16cid:durableId="1887643776">
    <w:abstractNumId w:val="37"/>
  </w:num>
  <w:num w:numId="8" w16cid:durableId="408237634">
    <w:abstractNumId w:val="24"/>
  </w:num>
  <w:num w:numId="9" w16cid:durableId="1619216205">
    <w:abstractNumId w:val="32"/>
  </w:num>
  <w:num w:numId="10" w16cid:durableId="1631091388">
    <w:abstractNumId w:val="38"/>
  </w:num>
  <w:num w:numId="11" w16cid:durableId="1208225603">
    <w:abstractNumId w:val="25"/>
  </w:num>
  <w:num w:numId="12" w16cid:durableId="2005280901">
    <w:abstractNumId w:val="1"/>
  </w:num>
  <w:num w:numId="13" w16cid:durableId="285624623">
    <w:abstractNumId w:val="19"/>
  </w:num>
  <w:num w:numId="14" w16cid:durableId="1281453196">
    <w:abstractNumId w:val="16"/>
  </w:num>
  <w:num w:numId="15" w16cid:durableId="908346329">
    <w:abstractNumId w:val="6"/>
  </w:num>
  <w:num w:numId="16" w16cid:durableId="174851547">
    <w:abstractNumId w:val="36"/>
  </w:num>
  <w:num w:numId="17" w16cid:durableId="463698583">
    <w:abstractNumId w:val="20"/>
  </w:num>
  <w:num w:numId="18" w16cid:durableId="1262104739">
    <w:abstractNumId w:val="26"/>
  </w:num>
  <w:num w:numId="19" w16cid:durableId="2111661481">
    <w:abstractNumId w:val="4"/>
  </w:num>
  <w:num w:numId="20" w16cid:durableId="357119354">
    <w:abstractNumId w:val="15"/>
  </w:num>
  <w:num w:numId="21" w16cid:durableId="1987932398">
    <w:abstractNumId w:val="9"/>
  </w:num>
  <w:num w:numId="22" w16cid:durableId="1444961174">
    <w:abstractNumId w:val="33"/>
  </w:num>
  <w:num w:numId="23" w16cid:durableId="643242809">
    <w:abstractNumId w:val="8"/>
  </w:num>
  <w:num w:numId="24" w16cid:durableId="25638132">
    <w:abstractNumId w:val="35"/>
  </w:num>
  <w:num w:numId="25" w16cid:durableId="1207646600">
    <w:abstractNumId w:val="39"/>
  </w:num>
  <w:num w:numId="26" w16cid:durableId="295257993">
    <w:abstractNumId w:val="7"/>
  </w:num>
  <w:num w:numId="27" w16cid:durableId="576134978">
    <w:abstractNumId w:val="31"/>
  </w:num>
  <w:num w:numId="28" w16cid:durableId="387657164">
    <w:abstractNumId w:val="0"/>
  </w:num>
  <w:num w:numId="29" w16cid:durableId="709183097">
    <w:abstractNumId w:val="10"/>
  </w:num>
  <w:num w:numId="30" w16cid:durableId="943805567">
    <w:abstractNumId w:val="12"/>
  </w:num>
  <w:num w:numId="31" w16cid:durableId="2078745916">
    <w:abstractNumId w:val="3"/>
  </w:num>
  <w:num w:numId="32" w16cid:durableId="1935820212">
    <w:abstractNumId w:val="29"/>
  </w:num>
  <w:num w:numId="33" w16cid:durableId="68577633">
    <w:abstractNumId w:val="5"/>
  </w:num>
  <w:num w:numId="34" w16cid:durableId="924876577">
    <w:abstractNumId w:val="30"/>
  </w:num>
  <w:num w:numId="35" w16cid:durableId="1264655650">
    <w:abstractNumId w:val="2"/>
  </w:num>
  <w:num w:numId="36" w16cid:durableId="837116880">
    <w:abstractNumId w:val="13"/>
  </w:num>
  <w:num w:numId="37" w16cid:durableId="300624051">
    <w:abstractNumId w:val="14"/>
  </w:num>
  <w:num w:numId="38" w16cid:durableId="416286739">
    <w:abstractNumId w:val="18"/>
  </w:num>
  <w:num w:numId="39" w16cid:durableId="25494682">
    <w:abstractNumId w:val="17"/>
  </w:num>
  <w:num w:numId="40" w16cid:durableId="345133287">
    <w:abstractNumId w:val="11"/>
  </w:num>
  <w:num w:numId="41" w16cid:durableId="3786294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E9"/>
    <w:rsid w:val="0001645E"/>
    <w:rsid w:val="0009783C"/>
    <w:rsid w:val="002B54C3"/>
    <w:rsid w:val="00386BED"/>
    <w:rsid w:val="00461A87"/>
    <w:rsid w:val="004F42D7"/>
    <w:rsid w:val="00502093"/>
    <w:rsid w:val="007745E9"/>
    <w:rsid w:val="00807222"/>
    <w:rsid w:val="00834EAB"/>
    <w:rsid w:val="008A3D8B"/>
    <w:rsid w:val="009B201D"/>
    <w:rsid w:val="00A1053C"/>
    <w:rsid w:val="00B2211C"/>
    <w:rsid w:val="00B24902"/>
    <w:rsid w:val="00C8107A"/>
    <w:rsid w:val="00DB5D28"/>
    <w:rsid w:val="00DD163F"/>
    <w:rsid w:val="00EA7B1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8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24902"/>
    <w:pPr>
      <w:spacing w:line="480" w:lineRule="auto"/>
    </w:pPr>
    <w:rPr>
      <w:rFonts w:ascii="Times New Roman" w:hAnsi="Times New Roman"/>
      <w:sz w:val="24"/>
      <w:lang w:val="en-GB"/>
    </w:rPr>
  </w:style>
  <w:style w:type="paragraph" w:styleId="Heading1">
    <w:name w:val="heading 1"/>
    <w:basedOn w:val="Normal"/>
    <w:next w:val="Normal"/>
    <w:rsid w:val="0009783C"/>
    <w:pPr>
      <w:keepNext/>
      <w:keepLines/>
      <w:spacing w:line="360" w:lineRule="auto"/>
      <w:jc w:val="both"/>
      <w:outlineLvl w:val="0"/>
    </w:pPr>
    <w:rPr>
      <w:rFonts w:eastAsia="Times New Roman" w:cs="Times New Roman"/>
      <w:b/>
      <w:sz w:val="28"/>
      <w:szCs w:val="24"/>
    </w:rPr>
  </w:style>
  <w:style w:type="paragraph" w:styleId="Heading2">
    <w:name w:val="heading 2"/>
    <w:basedOn w:val="Normal"/>
    <w:next w:val="Normal"/>
    <w:rsid w:val="007745E9"/>
    <w:pPr>
      <w:keepNext/>
      <w:keepLines/>
      <w:spacing w:line="360" w:lineRule="auto"/>
      <w:outlineLvl w:val="1"/>
    </w:pPr>
    <w:rPr>
      <w:rFonts w:eastAsia="Times New Roman" w:cs="Times New Roman"/>
      <w:szCs w:val="24"/>
    </w:rPr>
  </w:style>
  <w:style w:type="paragraph" w:styleId="Heading3">
    <w:name w:val="heading 3"/>
    <w:basedOn w:val="Normal"/>
    <w:next w:val="Normal"/>
    <w:rsid w:val="007745E9"/>
    <w:pPr>
      <w:keepNext/>
      <w:keepLines/>
      <w:spacing w:before="320" w:after="80"/>
      <w:outlineLvl w:val="2"/>
    </w:pPr>
    <w:rPr>
      <w:color w:val="434343"/>
      <w:sz w:val="28"/>
      <w:szCs w:val="28"/>
    </w:rPr>
  </w:style>
  <w:style w:type="paragraph" w:styleId="Heading4">
    <w:name w:val="heading 4"/>
    <w:basedOn w:val="Normal"/>
    <w:next w:val="Normal"/>
    <w:rsid w:val="007745E9"/>
    <w:pPr>
      <w:keepNext/>
      <w:keepLines/>
      <w:spacing w:before="280" w:after="80"/>
      <w:outlineLvl w:val="3"/>
    </w:pPr>
    <w:rPr>
      <w:color w:val="666666"/>
      <w:szCs w:val="24"/>
    </w:rPr>
  </w:style>
  <w:style w:type="paragraph" w:styleId="Heading5">
    <w:name w:val="heading 5"/>
    <w:basedOn w:val="Normal"/>
    <w:next w:val="Normal"/>
    <w:rsid w:val="007745E9"/>
    <w:pPr>
      <w:keepNext/>
      <w:keepLines/>
      <w:spacing w:before="240" w:after="80"/>
      <w:outlineLvl w:val="4"/>
    </w:pPr>
    <w:rPr>
      <w:color w:val="666666"/>
    </w:rPr>
  </w:style>
  <w:style w:type="paragraph" w:styleId="Heading6">
    <w:name w:val="heading 6"/>
    <w:basedOn w:val="Normal"/>
    <w:next w:val="Normal"/>
    <w:rsid w:val="007745E9"/>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7745E9"/>
    <w:tblPr>
      <w:tblCellMar>
        <w:top w:w="0" w:type="dxa"/>
        <w:left w:w="0" w:type="dxa"/>
        <w:bottom w:w="0" w:type="dxa"/>
        <w:right w:w="0" w:type="dxa"/>
      </w:tblCellMar>
    </w:tblPr>
  </w:style>
  <w:style w:type="paragraph" w:styleId="Title">
    <w:name w:val="Title"/>
    <w:basedOn w:val="Normal"/>
    <w:next w:val="Normal"/>
    <w:rsid w:val="007745E9"/>
    <w:pPr>
      <w:keepNext/>
      <w:keepLines/>
      <w:spacing w:after="60"/>
    </w:pPr>
    <w:rPr>
      <w:sz w:val="52"/>
      <w:szCs w:val="52"/>
    </w:rPr>
  </w:style>
  <w:style w:type="paragraph" w:styleId="Subtitle">
    <w:name w:val="Subtitle"/>
    <w:basedOn w:val="Normal"/>
    <w:next w:val="Normal"/>
    <w:rsid w:val="007745E9"/>
    <w:pPr>
      <w:keepNext/>
      <w:keepLines/>
      <w:spacing w:after="320"/>
    </w:pPr>
    <w:rPr>
      <w:color w:val="666666"/>
      <w:sz w:val="30"/>
      <w:szCs w:val="30"/>
    </w:rPr>
  </w:style>
  <w:style w:type="table" w:customStyle="1" w:styleId="Table1">
    <w:name w:val="Table1"/>
    <w:basedOn w:val="TableNormal1"/>
    <w:rsid w:val="007745E9"/>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7745E9"/>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7745E9"/>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7745E9"/>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7745E9"/>
    <w:tblPr>
      <w:tblStyleRowBandSize w:val="1"/>
      <w:tblStyleColBandSize w:val="1"/>
      <w:tblCellMar>
        <w:top w:w="100" w:type="dxa"/>
        <w:left w:w="100" w:type="dxa"/>
        <w:bottom w:w="100" w:type="dxa"/>
        <w:right w:w="100" w:type="dxa"/>
      </w:tblCellMar>
    </w:tblPr>
  </w:style>
  <w:style w:type="table" w:customStyle="1" w:styleId="Table6">
    <w:name w:val="Table6"/>
    <w:basedOn w:val="TableNormal1"/>
    <w:rsid w:val="007745E9"/>
    <w:tblPr>
      <w:tblStyleRowBandSize w:val="1"/>
      <w:tblStyleColBandSize w:val="1"/>
      <w:tblCellMar>
        <w:top w:w="100" w:type="dxa"/>
        <w:left w:w="100" w:type="dxa"/>
        <w:bottom w:w="100" w:type="dxa"/>
        <w:right w:w="100" w:type="dxa"/>
      </w:tblCellMar>
    </w:tblPr>
  </w:style>
  <w:style w:type="table" w:customStyle="1" w:styleId="Table7">
    <w:name w:val="Table7"/>
    <w:basedOn w:val="TableNormal1"/>
    <w:rsid w:val="007745E9"/>
    <w:tblPr>
      <w:tblStyleRowBandSize w:val="1"/>
      <w:tblStyleColBandSize w:val="1"/>
      <w:tblCellMar>
        <w:top w:w="100" w:type="dxa"/>
        <w:left w:w="100" w:type="dxa"/>
        <w:bottom w:w="100" w:type="dxa"/>
        <w:right w:w="100" w:type="dxa"/>
      </w:tblCellMar>
    </w:tblPr>
  </w:style>
  <w:style w:type="table" w:customStyle="1" w:styleId="Table8">
    <w:name w:val="Table8"/>
    <w:basedOn w:val="TableNormal1"/>
    <w:rsid w:val="007745E9"/>
    <w:tblPr>
      <w:tblStyleRowBandSize w:val="1"/>
      <w:tblStyleColBandSize w:val="1"/>
      <w:tblCellMar>
        <w:top w:w="100" w:type="dxa"/>
        <w:left w:w="100" w:type="dxa"/>
        <w:bottom w:w="100" w:type="dxa"/>
        <w:right w:w="100" w:type="dxa"/>
      </w:tblCellMar>
    </w:tblPr>
  </w:style>
  <w:style w:type="table" w:customStyle="1" w:styleId="Table9">
    <w:name w:val="Table9"/>
    <w:basedOn w:val="TableNormal1"/>
    <w:rsid w:val="007745E9"/>
    <w:tblPr>
      <w:tblStyleRowBandSize w:val="1"/>
      <w:tblStyleColBandSize w:val="1"/>
      <w:tblCellMar>
        <w:top w:w="100" w:type="dxa"/>
        <w:left w:w="100" w:type="dxa"/>
        <w:bottom w:w="100" w:type="dxa"/>
        <w:right w:w="100" w:type="dxa"/>
      </w:tblCellMar>
    </w:tblPr>
  </w:style>
  <w:style w:type="table" w:customStyle="1" w:styleId="Table10">
    <w:name w:val="Table10"/>
    <w:basedOn w:val="TableNormal1"/>
    <w:rsid w:val="007745E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9783C"/>
    <w:pPr>
      <w:tabs>
        <w:tab w:val="center" w:pos="4680"/>
        <w:tab w:val="right" w:pos="9360"/>
      </w:tabs>
      <w:spacing w:line="240" w:lineRule="auto"/>
    </w:pPr>
  </w:style>
  <w:style w:type="character" w:customStyle="1" w:styleId="HeaderChar">
    <w:name w:val="Header Char"/>
    <w:basedOn w:val="DefaultParagraphFont"/>
    <w:link w:val="Header"/>
    <w:uiPriority w:val="99"/>
    <w:rsid w:val="0009783C"/>
  </w:style>
  <w:style w:type="paragraph" w:styleId="Footer">
    <w:name w:val="footer"/>
    <w:basedOn w:val="Normal"/>
    <w:link w:val="FooterChar"/>
    <w:uiPriority w:val="99"/>
    <w:unhideWhenUsed/>
    <w:rsid w:val="0009783C"/>
    <w:pPr>
      <w:tabs>
        <w:tab w:val="center" w:pos="4680"/>
        <w:tab w:val="right" w:pos="9360"/>
      </w:tabs>
      <w:spacing w:line="240" w:lineRule="auto"/>
    </w:pPr>
  </w:style>
  <w:style w:type="character" w:customStyle="1" w:styleId="FooterChar">
    <w:name w:val="Footer Char"/>
    <w:basedOn w:val="DefaultParagraphFont"/>
    <w:link w:val="Footer"/>
    <w:uiPriority w:val="99"/>
    <w:rsid w:val="0009783C"/>
  </w:style>
  <w:style w:type="paragraph" w:styleId="BalloonText">
    <w:name w:val="Balloon Text"/>
    <w:basedOn w:val="Normal"/>
    <w:link w:val="BalloonTextChar"/>
    <w:uiPriority w:val="99"/>
    <w:semiHidden/>
    <w:unhideWhenUsed/>
    <w:rsid w:val="000978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83C"/>
    <w:rPr>
      <w:rFonts w:ascii="Tahoma" w:hAnsi="Tahoma" w:cs="Tahoma"/>
      <w:sz w:val="16"/>
      <w:szCs w:val="16"/>
    </w:rPr>
  </w:style>
  <w:style w:type="paragraph" w:styleId="NormalWeb">
    <w:name w:val="Normal (Web)"/>
    <w:basedOn w:val="Normal"/>
    <w:uiPriority w:val="99"/>
    <w:semiHidden/>
    <w:unhideWhenUsed/>
    <w:rsid w:val="00C8107A"/>
    <w:pPr>
      <w:spacing w:before="100" w:beforeAutospacing="1" w:after="100" w:afterAutospacing="1" w:line="240" w:lineRule="auto"/>
    </w:pPr>
    <w:rPr>
      <w:rFonts w:eastAsia="Times New Roman" w:cs="Times New Roman"/>
      <w:szCs w:val="24"/>
      <w:lang w:val="en-US" w:bidi="bn-BD"/>
    </w:rPr>
  </w:style>
  <w:style w:type="character" w:styleId="Hyperlink">
    <w:name w:val="Hyperlink"/>
    <w:basedOn w:val="DefaultParagraphFont"/>
    <w:uiPriority w:val="99"/>
    <w:unhideWhenUsed/>
    <w:rsid w:val="00C8107A"/>
    <w:rPr>
      <w:color w:val="0000FF"/>
      <w:u w:val="single"/>
    </w:rPr>
  </w:style>
  <w:style w:type="paragraph" w:styleId="TOCHeading">
    <w:name w:val="TOC Heading"/>
    <w:basedOn w:val="Heading1"/>
    <w:next w:val="Normal"/>
    <w:uiPriority w:val="39"/>
    <w:unhideWhenUsed/>
    <w:qFormat/>
    <w:rsid w:val="00DB5D28"/>
    <w:pPr>
      <w:spacing w:before="48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DB5D28"/>
    <w:pPr>
      <w:spacing w:after="100"/>
    </w:pPr>
  </w:style>
  <w:style w:type="paragraph" w:styleId="TOC2">
    <w:name w:val="toc 2"/>
    <w:basedOn w:val="Normal"/>
    <w:next w:val="Normal"/>
    <w:autoRedefine/>
    <w:uiPriority w:val="39"/>
    <w:unhideWhenUsed/>
    <w:rsid w:val="00DB5D2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517913">
      <w:bodyDiv w:val="1"/>
      <w:marLeft w:val="0"/>
      <w:marRight w:val="0"/>
      <w:marTop w:val="0"/>
      <w:marBottom w:val="0"/>
      <w:divBdr>
        <w:top w:val="none" w:sz="0" w:space="0" w:color="auto"/>
        <w:left w:val="none" w:sz="0" w:space="0" w:color="auto"/>
        <w:bottom w:val="none" w:sz="0" w:space="0" w:color="auto"/>
        <w:right w:val="none" w:sz="0" w:space="0" w:color="auto"/>
      </w:divBdr>
    </w:div>
    <w:div w:id="1942907301">
      <w:bodyDiv w:val="1"/>
      <w:marLeft w:val="0"/>
      <w:marRight w:val="0"/>
      <w:marTop w:val="0"/>
      <w:marBottom w:val="0"/>
      <w:divBdr>
        <w:top w:val="none" w:sz="0" w:space="0" w:color="auto"/>
        <w:left w:val="none" w:sz="0" w:space="0" w:color="auto"/>
        <w:bottom w:val="none" w:sz="0" w:space="0" w:color="auto"/>
        <w:right w:val="none" w:sz="0" w:space="0" w:color="auto"/>
      </w:divBdr>
    </w:div>
    <w:div w:id="2129004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en-us/hotels/lonch-london-marriott-hotel-county-hall/overvie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1F72E-41BE-4A08-A8FC-59C6C18A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7674</Words>
  <Characters>43746</Characters>
  <Application>Microsoft Office Word</Application>
  <DocSecurity>0</DocSecurity>
  <Lines>364</Lines>
  <Paragraphs>102</Paragraphs>
  <ScaleCrop>false</ScaleCrop>
  <Company/>
  <LinksUpToDate>false</LinksUpToDate>
  <CharactersWithSpaces>51318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2025-05-20T16:43:00Z</dcterms:created>
  <dcterms:modified xsi:type="dcterms:W3CDTF">2025-05-20T20:57:00Z</dcterms:modified>
</cp:coreProperties>
</file>