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E1AE9F" wp14:paraId="01C20804" wp14:textId="3BE2894E">
      <w:pPr>
        <w:spacing w:before="1540" w:beforeAutospacing="off" w:after="240" w:afterAutospacing="off"/>
        <w:jc w:val="center"/>
      </w:pPr>
      <w:r w:rsidR="53AD24EE">
        <w:drawing>
          <wp:inline xmlns:wp14="http://schemas.microsoft.com/office/word/2010/wordprocessingDrawing" wp14:editId="122BF886" wp14:anchorId="3E2BEDD5">
            <wp:extent cx="1419225" cy="752475"/>
            <wp:effectExtent l="0" t="0" r="0" b="0"/>
            <wp:docPr id="401505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505410" name="Picture 401505410"/>
                    <pic:cNvPicPr/>
                  </pic:nvPicPr>
                  <pic:blipFill>
                    <a:blip xmlns:r="http://schemas.openxmlformats.org/officeDocument/2006/relationships" r:embed="rId335342573">
                      <a:extLst>
                        <a:ext uri="{28A0092B-C50C-407E-A947-70E740481C1C}">
                          <a14:useLocalDpi xmlns:a14="http://schemas.microsoft.com/office/drawing/2010/main"/>
                        </a:ext>
                      </a:extLst>
                    </a:blip>
                    <a:stretch>
                      <a:fillRect/>
                    </a:stretch>
                  </pic:blipFill>
                  <pic:spPr>
                    <a:xfrm>
                      <a:off x="0" y="0"/>
                      <a:ext cx="1419225" cy="752475"/>
                    </a:xfrm>
                    <a:prstGeom prst="rect">
                      <a:avLst/>
                    </a:prstGeom>
                  </pic:spPr>
                </pic:pic>
              </a:graphicData>
            </a:graphic>
          </wp:inline>
        </w:drawing>
      </w:r>
    </w:p>
    <w:p w:rsidR="10E1C348" w:rsidP="37E63DBD" w:rsidRDefault="10E1C348" w14:paraId="0EAC7053" w14:textId="5861407B">
      <w:pPr>
        <w:pStyle w:val="Normal"/>
        <w:suppressLineNumbers w:val="0"/>
        <w:pBdr>
          <w:top w:val="single" w:color="5B9BD5" w:sz="6" w:space="6"/>
          <w:bottom w:val="single" w:color="5B9BD5" w:sz="6" w:space="6"/>
        </w:pBdr>
        <w:bidi w:val="0"/>
        <w:spacing w:before="0" w:beforeAutospacing="off" w:after="240" w:afterAutospacing="off" w:line="279" w:lineRule="auto"/>
        <w:ind w:left="0" w:right="0"/>
        <w:jc w:val="center"/>
      </w:pPr>
      <w:r w:rsidRPr="37E63DBD" w:rsidR="10E1C348">
        <w:rPr>
          <w:rFonts w:ascii="Calibri" w:hAnsi="Calibri" w:eastAsia="Calibri" w:cs="Calibri"/>
          <w:b w:val="0"/>
          <w:bCs w:val="0"/>
          <w:i w:val="0"/>
          <w:iCs w:val="0"/>
          <w:smallCaps w:val="1"/>
          <w:strike w:val="0"/>
          <w:dstrike w:val="0"/>
          <w:noProof w:val="0"/>
          <w:color w:val="5B9BD5"/>
          <w:sz w:val="72"/>
          <w:szCs w:val="72"/>
          <w:u w:val="none"/>
          <w:lang w:val="en-GB"/>
        </w:rPr>
        <w:t>Financial performance analysis of burberry group plc and investment appraisal of strategic opportunities for beard plc</w:t>
      </w:r>
    </w:p>
    <w:p w:rsidR="5B3C23C2" w:rsidP="37E63DBD" w:rsidRDefault="5B3C23C2" w14:paraId="0C46A185" w14:textId="5B77FC40">
      <w:pPr>
        <w:spacing w:before="0" w:beforeAutospacing="off" w:after="0" w:afterAutospacing="off"/>
        <w:jc w:val="center"/>
        <w:rPr>
          <w:rFonts w:ascii="Calibri" w:hAnsi="Calibri" w:eastAsia="Calibri" w:cs="Calibri"/>
          <w:b w:val="0"/>
          <w:bCs w:val="0"/>
          <w:i w:val="0"/>
          <w:iCs w:val="0"/>
          <w:strike w:val="0"/>
          <w:dstrike w:val="0"/>
          <w:noProof w:val="0"/>
          <w:color w:val="5B9BD5"/>
          <w:sz w:val="28"/>
          <w:szCs w:val="28"/>
          <w:u w:val="none"/>
          <w:lang w:val="en-GB"/>
        </w:rPr>
      </w:pPr>
      <w:r w:rsidRPr="37E63DBD" w:rsidR="5B3C23C2">
        <w:rPr>
          <w:rFonts w:ascii="Calibri" w:hAnsi="Calibri" w:eastAsia="Calibri" w:cs="Calibri"/>
          <w:b w:val="0"/>
          <w:bCs w:val="0"/>
          <w:i w:val="0"/>
          <w:iCs w:val="0"/>
          <w:strike w:val="0"/>
          <w:dstrike w:val="0"/>
          <w:noProof w:val="0"/>
          <w:color w:val="5B9BD5"/>
          <w:sz w:val="28"/>
          <w:szCs w:val="28"/>
          <w:u w:val="none"/>
          <w:lang w:val="en-GB"/>
        </w:rPr>
        <w:t>Finance for Business Managers</w:t>
      </w:r>
    </w:p>
    <w:p xmlns:wp14="http://schemas.microsoft.com/office/word/2010/wordml" w:rsidP="32E1AE9F" wp14:paraId="31D97E52" wp14:textId="554226B7">
      <w:pPr>
        <w:spacing w:before="0" w:beforeAutospacing="off" w:after="0" w:afterAutospacing="off"/>
        <w:jc w:val="center"/>
      </w:pPr>
      <w:r w:rsidRPr="37E63DBD" w:rsidR="5B3C23C2">
        <w:rPr>
          <w:rFonts w:ascii="Calibri" w:hAnsi="Calibri" w:eastAsia="Calibri" w:cs="Calibri"/>
          <w:b w:val="0"/>
          <w:bCs w:val="0"/>
          <w:i w:val="0"/>
          <w:iCs w:val="0"/>
          <w:strike w:val="0"/>
          <w:dstrike w:val="0"/>
          <w:noProof w:val="0"/>
          <w:color w:val="5B9BD5"/>
          <w:sz w:val="28"/>
          <w:szCs w:val="28"/>
          <w:u w:val="none"/>
          <w:lang w:val="en-GB"/>
        </w:rPr>
        <w:t>BMMB7005D</w:t>
      </w:r>
    </w:p>
    <w:p xmlns:wp14="http://schemas.microsoft.com/office/word/2010/wordml" w:rsidP="37E63DBD" wp14:paraId="594897E0" wp14:textId="404F55FF">
      <w:pPr>
        <w:spacing w:before="0" w:beforeAutospacing="off" w:after="0" w:afterAutospacing="off"/>
        <w:jc w:val="center"/>
        <w:rPr>
          <w:rFonts w:ascii="Calibri" w:hAnsi="Calibri" w:eastAsia="Calibri" w:cs="Calibri"/>
          <w:b w:val="0"/>
          <w:bCs w:val="0"/>
          <w:i w:val="0"/>
          <w:iCs w:val="0"/>
          <w:strike w:val="0"/>
          <w:dstrike w:val="0"/>
          <w:noProof w:val="0"/>
          <w:color w:val="5B9BD5"/>
          <w:sz w:val="28"/>
          <w:szCs w:val="28"/>
          <w:u w:val="none"/>
          <w:lang w:val="en-GB"/>
        </w:rPr>
      </w:pPr>
      <w:r w:rsidRPr="37E63DBD" w:rsidR="5B3C23C2">
        <w:rPr>
          <w:rFonts w:ascii="Calibri" w:hAnsi="Calibri" w:eastAsia="Calibri" w:cs="Calibri"/>
          <w:b w:val="0"/>
          <w:bCs w:val="0"/>
          <w:i w:val="0"/>
          <w:iCs w:val="0"/>
          <w:strike w:val="0"/>
          <w:dstrike w:val="0"/>
          <w:noProof w:val="0"/>
          <w:color w:val="5B9BD5"/>
          <w:sz w:val="28"/>
          <w:szCs w:val="28"/>
          <w:u w:val="none"/>
          <w:lang w:val="en-GB"/>
        </w:rPr>
        <w:t>Megan Marston-Phipps</w:t>
      </w:r>
    </w:p>
    <w:p xmlns:wp14="http://schemas.microsoft.com/office/word/2010/wordml" w:rsidP="37E63DBD" wp14:paraId="0E7D1C0A" wp14:textId="6B1B8540">
      <w:pPr>
        <w:spacing w:before="0" w:beforeAutospacing="off" w:after="0" w:afterAutospacing="off"/>
        <w:jc w:val="center"/>
        <w:rPr>
          <w:rFonts w:ascii="Calibri" w:hAnsi="Calibri" w:eastAsia="Calibri" w:cs="Calibri"/>
          <w:b w:val="0"/>
          <w:bCs w:val="0"/>
          <w:i w:val="0"/>
          <w:iCs w:val="0"/>
          <w:strike w:val="0"/>
          <w:dstrike w:val="0"/>
          <w:noProof w:val="0"/>
          <w:color w:val="5B9BD5"/>
          <w:sz w:val="28"/>
          <w:szCs w:val="28"/>
          <w:u w:val="none"/>
          <w:lang w:val="en-GB"/>
        </w:rPr>
      </w:pPr>
      <w:r w:rsidRPr="37E63DBD" w:rsidR="5B3C23C2">
        <w:rPr>
          <w:rFonts w:ascii="Calibri" w:hAnsi="Calibri" w:eastAsia="Calibri" w:cs="Calibri"/>
          <w:b w:val="0"/>
          <w:bCs w:val="0"/>
          <w:i w:val="0"/>
          <w:iCs w:val="0"/>
          <w:strike w:val="0"/>
          <w:dstrike w:val="0"/>
          <w:noProof w:val="0"/>
          <w:color w:val="5B9BD5"/>
          <w:sz w:val="28"/>
          <w:szCs w:val="28"/>
          <w:u w:val="none"/>
          <w:lang w:val="en-GB"/>
        </w:rPr>
        <w:t>2204916</w:t>
      </w:r>
    </w:p>
    <w:p xmlns:wp14="http://schemas.microsoft.com/office/word/2010/wordml" w:rsidP="37E63DBD" wp14:paraId="059DFA05" wp14:textId="59CE65BF">
      <w:pPr>
        <w:spacing w:before="0" w:beforeAutospacing="off" w:after="0" w:afterAutospacing="off"/>
        <w:jc w:val="center"/>
        <w:rPr>
          <w:rFonts w:ascii="Calibri" w:hAnsi="Calibri" w:eastAsia="Calibri" w:cs="Calibri"/>
          <w:b w:val="0"/>
          <w:bCs w:val="0"/>
          <w:i w:val="0"/>
          <w:iCs w:val="0"/>
          <w:strike w:val="0"/>
          <w:dstrike w:val="0"/>
          <w:noProof w:val="0"/>
          <w:color w:val="5B9BD5"/>
          <w:sz w:val="28"/>
          <w:szCs w:val="28"/>
          <w:u w:val="none"/>
          <w:lang w:val="en-GB"/>
        </w:rPr>
      </w:pPr>
    </w:p>
    <w:p xmlns:wp14="http://schemas.microsoft.com/office/word/2010/wordml" w:rsidP="32E1AE9F" wp14:paraId="1E28EDA0" wp14:textId="0D42DBF3">
      <w:pPr>
        <w:spacing w:before="480" w:beforeAutospacing="off" w:after="0" w:afterAutospacing="off"/>
        <w:jc w:val="center"/>
      </w:pPr>
      <w:r w:rsidR="53AD24EE">
        <w:drawing>
          <wp:inline xmlns:wp14="http://schemas.microsoft.com/office/word/2010/wordprocessingDrawing" wp14:editId="0E0BB214" wp14:anchorId="55A4CFF6">
            <wp:extent cx="762000" cy="476250"/>
            <wp:effectExtent l="0" t="0" r="0" b="0"/>
            <wp:docPr id="995986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5986812" name="Picture 995986812"/>
                    <pic:cNvPicPr/>
                  </pic:nvPicPr>
                  <pic:blipFill>
                    <a:blip xmlns:r="http://schemas.openxmlformats.org/officeDocument/2006/relationships" r:embed="rId829588997">
                      <a:extLst>
                        <a:ext uri="{28A0092B-C50C-407E-A947-70E740481C1C}">
                          <a14:useLocalDpi xmlns:a14="http://schemas.microsoft.com/office/drawing/2010/main"/>
                        </a:ext>
                      </a:extLst>
                    </a:blip>
                    <a:stretch>
                      <a:fillRect/>
                    </a:stretch>
                  </pic:blipFill>
                  <pic:spPr>
                    <a:xfrm>
                      <a:off x="0" y="0"/>
                      <a:ext cx="762000" cy="476250"/>
                    </a:xfrm>
                    <a:prstGeom prst="rect">
                      <a:avLst/>
                    </a:prstGeom>
                  </pic:spPr>
                </pic:pic>
              </a:graphicData>
            </a:graphic>
          </wp:inline>
        </w:drawing>
      </w:r>
    </w:p>
    <w:p w:rsidR="37E63DBD" w:rsidP="37E63DBD" w:rsidRDefault="37E63DBD" w14:paraId="6ECA7313" w14:textId="35907AC6">
      <w:pPr>
        <w:pStyle w:val="Heading1"/>
        <w:spacing w:before="240" w:beforeAutospacing="off" w:after="0" w:afterAutospacing="off"/>
        <w:rPr>
          <w:rFonts w:ascii="Calibri" w:hAnsi="Calibri" w:eastAsia="Calibri" w:cs="Calibri"/>
          <w:b w:val="0"/>
          <w:bCs w:val="0"/>
          <w:i w:val="0"/>
          <w:iCs w:val="0"/>
          <w:strike w:val="0"/>
          <w:dstrike w:val="0"/>
          <w:noProof w:val="0"/>
          <w:color w:val="2E75B5"/>
          <w:sz w:val="32"/>
          <w:szCs w:val="32"/>
          <w:u w:val="none"/>
          <w:lang w:val="en-GB"/>
        </w:rPr>
      </w:pPr>
    </w:p>
    <w:p w:rsidR="37E63DBD" w:rsidP="37E63DBD" w:rsidRDefault="37E63DBD" w14:paraId="71C2EE45" w14:textId="0BBCBEAF">
      <w:pPr>
        <w:pStyle w:val="Normal"/>
        <w:rPr>
          <w:noProof w:val="0"/>
          <w:lang w:val="en-GB"/>
        </w:rPr>
      </w:pPr>
    </w:p>
    <w:p w:rsidR="53AD24EE" w:rsidP="37E63DBD" w:rsidRDefault="53AD24EE" w14:paraId="7B322B97" w14:textId="4566D011">
      <w:pPr>
        <w:pStyle w:val="Heading1"/>
        <w:spacing w:before="240" w:beforeAutospacing="off" w:after="0" w:afterAutospacing="off"/>
        <w:rPr>
          <w:rFonts w:ascii="Calibri" w:hAnsi="Calibri" w:eastAsia="Calibri" w:cs="Calibri"/>
          <w:b w:val="0"/>
          <w:bCs w:val="0"/>
          <w:i w:val="0"/>
          <w:iCs w:val="0"/>
          <w:strike w:val="0"/>
          <w:dstrike w:val="0"/>
          <w:noProof w:val="0"/>
          <w:color w:val="2E75B5"/>
          <w:sz w:val="32"/>
          <w:szCs w:val="32"/>
          <w:u w:val="none"/>
          <w:lang w:val="en-GB"/>
        </w:rPr>
      </w:pPr>
      <w:bookmarkStart w:name="_Toc1847609397" w:id="1732922543"/>
      <w:r w:rsidRPr="37E63DBD" w:rsidR="53AD24EE">
        <w:rPr>
          <w:rFonts w:ascii="Calibri" w:hAnsi="Calibri" w:eastAsia="Calibri" w:cs="Calibri"/>
          <w:b w:val="0"/>
          <w:bCs w:val="0"/>
          <w:i w:val="0"/>
          <w:iCs w:val="0"/>
          <w:strike w:val="0"/>
          <w:dstrike w:val="0"/>
          <w:noProof w:val="0"/>
          <w:color w:val="2E75B5"/>
          <w:sz w:val="32"/>
          <w:szCs w:val="32"/>
          <w:u w:val="none"/>
          <w:lang w:val="en-GB"/>
        </w:rPr>
        <w:t>Executive Summary</w:t>
      </w:r>
      <w:bookmarkEnd w:id="1732922543"/>
    </w:p>
    <w:p w:rsidR="100003C5" w:rsidP="37E63DBD" w:rsidRDefault="100003C5" w14:paraId="0A3AF369" w14:textId="3A3AB687">
      <w:pPr>
        <w:pStyle w:val="Normal"/>
        <w:spacing w:line="360" w:lineRule="auto"/>
        <w:jc w:val="both"/>
        <w:rPr>
          <w:noProof w:val="0"/>
          <w:sz w:val="22"/>
          <w:szCs w:val="22"/>
          <w:lang w:val="en-GB"/>
        </w:rPr>
      </w:pPr>
      <w:r w:rsidRPr="37E63DBD" w:rsidR="100003C5">
        <w:rPr>
          <w:noProof w:val="0"/>
          <w:sz w:val="22"/>
          <w:szCs w:val="22"/>
          <w:lang w:val="en-GB"/>
        </w:rPr>
        <w:t>The purpose of this report is to analyse the financial performance of Burberry Group pls and evaluate investment opportunities for Beard Plc using key financial and appraisal techniques.</w:t>
      </w:r>
    </w:p>
    <w:p w:rsidR="35BBCDF5" w:rsidP="37E63DBD" w:rsidRDefault="35BBCDF5" w14:paraId="234DF8E8" w14:textId="56B8C758">
      <w:pPr>
        <w:pStyle w:val="Normal"/>
        <w:suppressLineNumbers w:val="0"/>
        <w:bidi w:val="0"/>
        <w:spacing w:before="0" w:beforeAutospacing="off" w:after="160" w:afterAutospacing="off" w:line="360" w:lineRule="auto"/>
        <w:ind w:left="0" w:right="0"/>
        <w:jc w:val="both"/>
        <w:rPr>
          <w:noProof w:val="0"/>
          <w:sz w:val="22"/>
          <w:szCs w:val="22"/>
          <w:lang w:val="en-GB"/>
        </w:rPr>
      </w:pPr>
      <w:r w:rsidRPr="37E63DBD" w:rsidR="35BBCDF5">
        <w:rPr>
          <w:noProof w:val="0"/>
          <w:sz w:val="22"/>
          <w:szCs w:val="22"/>
          <w:lang w:val="en-GB"/>
        </w:rPr>
        <w:t xml:space="preserve">Burberry’s results show a marked weakening in financial </w:t>
      </w:r>
      <w:r w:rsidRPr="37E63DBD" w:rsidR="544953FF">
        <w:rPr>
          <w:noProof w:val="0"/>
          <w:sz w:val="22"/>
          <w:szCs w:val="22"/>
          <w:lang w:val="en-GB"/>
        </w:rPr>
        <w:t>performance</w:t>
      </w:r>
      <w:r w:rsidRPr="37E63DBD" w:rsidR="35BBCDF5">
        <w:rPr>
          <w:noProof w:val="0"/>
          <w:sz w:val="22"/>
          <w:szCs w:val="22"/>
          <w:lang w:val="en-GB"/>
        </w:rPr>
        <w:t xml:space="preserve"> between 2024 and 2025. The most significant issue is the sharp fall in </w:t>
      </w:r>
      <w:r w:rsidRPr="37E63DBD" w:rsidR="3E14E94E">
        <w:rPr>
          <w:noProof w:val="0"/>
          <w:sz w:val="22"/>
          <w:szCs w:val="22"/>
          <w:lang w:val="en-GB"/>
        </w:rPr>
        <w:t>profitability</w:t>
      </w:r>
      <w:r w:rsidRPr="37E63DBD" w:rsidR="35BBCDF5">
        <w:rPr>
          <w:noProof w:val="0"/>
          <w:sz w:val="22"/>
          <w:szCs w:val="22"/>
          <w:lang w:val="en-GB"/>
        </w:rPr>
        <w:t xml:space="preserve">, with returns turning negative and margins under pressure. Although </w:t>
      </w:r>
      <w:r w:rsidRPr="37E63DBD" w:rsidR="22639EDC">
        <w:rPr>
          <w:noProof w:val="0"/>
          <w:sz w:val="22"/>
          <w:szCs w:val="22"/>
          <w:lang w:val="en-GB"/>
        </w:rPr>
        <w:t>liquidity</w:t>
      </w:r>
      <w:r w:rsidRPr="37E63DBD" w:rsidR="35BBCDF5">
        <w:rPr>
          <w:noProof w:val="0"/>
          <w:sz w:val="22"/>
          <w:szCs w:val="22"/>
          <w:lang w:val="en-GB"/>
        </w:rPr>
        <w:t xml:space="preserve"> levels </w:t>
      </w:r>
      <w:r w:rsidRPr="37E63DBD" w:rsidR="35BBCDF5">
        <w:rPr>
          <w:noProof w:val="0"/>
          <w:sz w:val="22"/>
          <w:szCs w:val="22"/>
          <w:lang w:val="en-GB"/>
        </w:rPr>
        <w:t>remain</w:t>
      </w:r>
      <w:r w:rsidRPr="37E63DBD" w:rsidR="35BBCDF5">
        <w:rPr>
          <w:noProof w:val="0"/>
          <w:sz w:val="22"/>
          <w:szCs w:val="22"/>
          <w:lang w:val="en-GB"/>
        </w:rPr>
        <w:t xml:space="preserve"> broadly adequate and some op</w:t>
      </w:r>
      <w:r w:rsidRPr="37E63DBD" w:rsidR="658C1983">
        <w:rPr>
          <w:noProof w:val="0"/>
          <w:sz w:val="22"/>
          <w:szCs w:val="22"/>
          <w:lang w:val="en-GB"/>
        </w:rPr>
        <w:t xml:space="preserve">erational efficiency improvements are </w:t>
      </w:r>
      <w:r w:rsidRPr="37E63DBD" w:rsidR="658C1983">
        <w:rPr>
          <w:noProof w:val="0"/>
          <w:sz w:val="22"/>
          <w:szCs w:val="22"/>
          <w:lang w:val="en-GB"/>
        </w:rPr>
        <w:t>evident</w:t>
      </w:r>
      <w:r w:rsidRPr="37E63DBD" w:rsidR="658C1983">
        <w:rPr>
          <w:noProof w:val="0"/>
          <w:sz w:val="22"/>
          <w:szCs w:val="22"/>
          <w:lang w:val="en-GB"/>
        </w:rPr>
        <w:t xml:space="preserve">, these have not been sufficient to offset declining earnings. </w:t>
      </w:r>
      <w:r w:rsidRPr="37E63DBD" w:rsidR="3FD9AA0B">
        <w:rPr>
          <w:noProof w:val="0"/>
          <w:sz w:val="22"/>
          <w:szCs w:val="22"/>
          <w:lang w:val="en-GB"/>
        </w:rPr>
        <w:t>Increased</w:t>
      </w:r>
      <w:r w:rsidRPr="37E63DBD" w:rsidR="658C1983">
        <w:rPr>
          <w:noProof w:val="0"/>
          <w:sz w:val="22"/>
          <w:szCs w:val="22"/>
          <w:lang w:val="en-GB"/>
        </w:rPr>
        <w:t xml:space="preserve"> gearing and </w:t>
      </w:r>
      <w:r w:rsidRPr="37E63DBD" w:rsidR="4DAAADB0">
        <w:rPr>
          <w:noProof w:val="0"/>
          <w:sz w:val="22"/>
          <w:szCs w:val="22"/>
          <w:lang w:val="en-GB"/>
        </w:rPr>
        <w:t>weaker</w:t>
      </w:r>
      <w:r w:rsidRPr="37E63DBD" w:rsidR="658C1983">
        <w:rPr>
          <w:noProof w:val="0"/>
          <w:sz w:val="22"/>
          <w:szCs w:val="22"/>
          <w:lang w:val="en-GB"/>
        </w:rPr>
        <w:t xml:space="preserve"> investor returns, including negative earnings per share and the </w:t>
      </w:r>
      <w:r w:rsidRPr="37E63DBD" w:rsidR="16A00662">
        <w:rPr>
          <w:noProof w:val="0"/>
          <w:sz w:val="22"/>
          <w:szCs w:val="22"/>
          <w:lang w:val="en-GB"/>
        </w:rPr>
        <w:t>absence</w:t>
      </w:r>
      <w:r w:rsidRPr="37E63DBD" w:rsidR="658C1983">
        <w:rPr>
          <w:noProof w:val="0"/>
          <w:sz w:val="22"/>
          <w:szCs w:val="22"/>
          <w:lang w:val="en-GB"/>
        </w:rPr>
        <w:t xml:space="preserve"> of dividend cover, </w:t>
      </w:r>
      <w:r w:rsidRPr="37E63DBD" w:rsidR="34393F6B">
        <w:rPr>
          <w:noProof w:val="0"/>
          <w:sz w:val="22"/>
          <w:szCs w:val="22"/>
          <w:lang w:val="en-GB"/>
        </w:rPr>
        <w:t>indicate</w:t>
      </w:r>
      <w:r w:rsidRPr="37E63DBD" w:rsidR="658C1983">
        <w:rPr>
          <w:noProof w:val="0"/>
          <w:sz w:val="22"/>
          <w:szCs w:val="22"/>
          <w:lang w:val="en-GB"/>
        </w:rPr>
        <w:t xml:space="preserve"> heightened financial risk and reduced value creation for shareh</w:t>
      </w:r>
      <w:r w:rsidRPr="37E63DBD" w:rsidR="47B681B7">
        <w:rPr>
          <w:noProof w:val="0"/>
          <w:sz w:val="22"/>
          <w:szCs w:val="22"/>
          <w:lang w:val="en-GB"/>
        </w:rPr>
        <w:t xml:space="preserve">olders. Overall, the findings suggest that cost pressures and softer market conditions are </w:t>
      </w:r>
      <w:r w:rsidRPr="37E63DBD" w:rsidR="47B681B7">
        <w:rPr>
          <w:noProof w:val="0"/>
          <w:sz w:val="22"/>
          <w:szCs w:val="22"/>
          <w:lang w:val="en-GB"/>
        </w:rPr>
        <w:t>impacting</w:t>
      </w:r>
      <w:r w:rsidRPr="37E63DBD" w:rsidR="47B681B7">
        <w:rPr>
          <w:noProof w:val="0"/>
          <w:sz w:val="22"/>
          <w:szCs w:val="22"/>
          <w:lang w:val="en-GB"/>
        </w:rPr>
        <w:t xml:space="preserve"> the business, alongside possible internal inefficiencies. The report highlights the need for stronger cost discipline, improved revenue generation, tighter working capital control</w:t>
      </w:r>
      <w:r w:rsidRPr="37E63DBD" w:rsidR="0B87A868">
        <w:rPr>
          <w:noProof w:val="0"/>
          <w:sz w:val="22"/>
          <w:szCs w:val="22"/>
          <w:lang w:val="en-GB"/>
        </w:rPr>
        <w:t xml:space="preserve">, and </w:t>
      </w:r>
      <w:r w:rsidRPr="37E63DBD" w:rsidR="49898A5A">
        <w:rPr>
          <w:noProof w:val="0"/>
          <w:sz w:val="22"/>
          <w:szCs w:val="22"/>
          <w:lang w:val="en-GB"/>
        </w:rPr>
        <w:t>a more</w:t>
      </w:r>
      <w:r w:rsidRPr="37E63DBD" w:rsidR="0B87A868">
        <w:rPr>
          <w:noProof w:val="0"/>
          <w:sz w:val="22"/>
          <w:szCs w:val="22"/>
          <w:lang w:val="en-GB"/>
        </w:rPr>
        <w:t xml:space="preserve"> balanced approach to financing </w:t>
      </w:r>
      <w:r w:rsidRPr="37E63DBD" w:rsidR="0B87A868">
        <w:rPr>
          <w:noProof w:val="0"/>
          <w:sz w:val="22"/>
          <w:szCs w:val="22"/>
          <w:lang w:val="en-GB"/>
        </w:rPr>
        <w:t>in order to</w:t>
      </w:r>
      <w:r w:rsidRPr="37E63DBD" w:rsidR="0B87A868">
        <w:rPr>
          <w:noProof w:val="0"/>
          <w:sz w:val="22"/>
          <w:szCs w:val="22"/>
          <w:lang w:val="en-GB"/>
        </w:rPr>
        <w:t xml:space="preserve"> stabilise performance. </w:t>
      </w:r>
    </w:p>
    <w:p w:rsidR="0B87A868" w:rsidP="37E63DBD" w:rsidRDefault="0B87A868" w14:paraId="1B1C6744" w14:textId="08EEC61A">
      <w:pPr>
        <w:pStyle w:val="Normal"/>
        <w:suppressLineNumbers w:val="0"/>
        <w:bidi w:val="0"/>
        <w:spacing w:before="0" w:beforeAutospacing="off" w:after="160" w:afterAutospacing="off" w:line="360" w:lineRule="auto"/>
        <w:ind w:left="0" w:right="0"/>
        <w:jc w:val="both"/>
        <w:rPr>
          <w:noProof w:val="0"/>
          <w:sz w:val="22"/>
          <w:szCs w:val="22"/>
          <w:lang w:val="en-GB"/>
        </w:rPr>
      </w:pPr>
      <w:r w:rsidRPr="37E63DBD" w:rsidR="0B87A868">
        <w:rPr>
          <w:noProof w:val="0"/>
          <w:sz w:val="22"/>
          <w:szCs w:val="22"/>
          <w:lang w:val="en-GB"/>
        </w:rPr>
        <w:t xml:space="preserve">In relation to Beard Plc, investment appraisal techniques </w:t>
      </w:r>
      <w:r w:rsidRPr="37E63DBD" w:rsidR="0B87A868">
        <w:rPr>
          <w:noProof w:val="0"/>
          <w:sz w:val="22"/>
          <w:szCs w:val="22"/>
          <w:lang w:val="en-GB"/>
        </w:rPr>
        <w:t>identify</w:t>
      </w:r>
      <w:r w:rsidRPr="37E63DBD" w:rsidR="0B87A868">
        <w:rPr>
          <w:noProof w:val="0"/>
          <w:sz w:val="22"/>
          <w:szCs w:val="22"/>
          <w:lang w:val="en-GB"/>
        </w:rPr>
        <w:t xml:space="preserve"> Project C as the most attractive </w:t>
      </w:r>
      <w:r w:rsidRPr="37E63DBD" w:rsidR="0B87A868">
        <w:rPr>
          <w:noProof w:val="0"/>
          <w:sz w:val="22"/>
          <w:szCs w:val="22"/>
          <w:lang w:val="en-GB"/>
        </w:rPr>
        <w:t>option</w:t>
      </w:r>
      <w:r w:rsidRPr="37E63DBD" w:rsidR="0B87A868">
        <w:rPr>
          <w:noProof w:val="0"/>
          <w:sz w:val="22"/>
          <w:szCs w:val="22"/>
          <w:lang w:val="en-GB"/>
        </w:rPr>
        <w:t xml:space="preserve">, delivering the strongest NPV and an IRR that exceeds the required </w:t>
      </w:r>
      <w:r w:rsidRPr="37E63DBD" w:rsidR="16D21341">
        <w:rPr>
          <w:noProof w:val="0"/>
          <w:sz w:val="22"/>
          <w:szCs w:val="22"/>
          <w:lang w:val="en-GB"/>
        </w:rPr>
        <w:t>return</w:t>
      </w:r>
      <w:r w:rsidRPr="37E63DBD" w:rsidR="0B87A868">
        <w:rPr>
          <w:noProof w:val="0"/>
          <w:sz w:val="22"/>
          <w:szCs w:val="22"/>
          <w:lang w:val="en-GB"/>
        </w:rPr>
        <w:t xml:space="preserve">, </w:t>
      </w:r>
      <w:r w:rsidRPr="37E63DBD" w:rsidR="0B87A868">
        <w:rPr>
          <w:noProof w:val="0"/>
          <w:sz w:val="22"/>
          <w:szCs w:val="22"/>
          <w:lang w:val="en-GB"/>
        </w:rPr>
        <w:t>indicating</w:t>
      </w:r>
      <w:r w:rsidRPr="37E63DBD" w:rsidR="0B87A868">
        <w:rPr>
          <w:noProof w:val="0"/>
          <w:sz w:val="22"/>
          <w:szCs w:val="22"/>
          <w:lang w:val="en-GB"/>
        </w:rPr>
        <w:t xml:space="preserve"> strong value generation potential. Project B also produces a positive return and is suitable for partial funding under </w:t>
      </w:r>
      <w:r w:rsidRPr="37E63DBD" w:rsidR="7986B30A">
        <w:rPr>
          <w:noProof w:val="0"/>
          <w:sz w:val="22"/>
          <w:szCs w:val="22"/>
          <w:lang w:val="en-GB"/>
        </w:rPr>
        <w:t xml:space="preserve">the capital constraint of £1.5 million, while Project A is not </w:t>
      </w:r>
      <w:r w:rsidRPr="37E63DBD" w:rsidR="7986B30A">
        <w:rPr>
          <w:noProof w:val="0"/>
          <w:sz w:val="22"/>
          <w:szCs w:val="22"/>
          <w:lang w:val="en-GB"/>
        </w:rPr>
        <w:t>viable</w:t>
      </w:r>
      <w:r w:rsidRPr="37E63DBD" w:rsidR="7986B30A">
        <w:rPr>
          <w:noProof w:val="0"/>
          <w:sz w:val="22"/>
          <w:szCs w:val="22"/>
          <w:lang w:val="en-GB"/>
        </w:rPr>
        <w:t xml:space="preserve"> due to its negative value outcome. </w:t>
      </w:r>
    </w:p>
    <w:p w:rsidR="7986B30A" w:rsidP="37E63DBD" w:rsidRDefault="7986B30A" w14:paraId="5EAE483B" w14:textId="0FEF8DC3">
      <w:pPr>
        <w:pStyle w:val="Normal"/>
        <w:suppressLineNumbers w:val="0"/>
        <w:bidi w:val="0"/>
        <w:spacing w:before="0" w:beforeAutospacing="off" w:after="160" w:afterAutospacing="off" w:line="360" w:lineRule="auto"/>
        <w:ind w:left="0" w:right="0"/>
        <w:jc w:val="both"/>
        <w:rPr>
          <w:noProof w:val="0"/>
          <w:sz w:val="22"/>
          <w:szCs w:val="22"/>
          <w:lang w:val="en-GB"/>
        </w:rPr>
      </w:pPr>
      <w:r w:rsidRPr="37E63DBD" w:rsidR="7986B30A">
        <w:rPr>
          <w:noProof w:val="0"/>
          <w:sz w:val="22"/>
          <w:szCs w:val="22"/>
          <w:lang w:val="en-GB"/>
        </w:rPr>
        <w:t xml:space="preserve">Given the capital limitation, the recommended approach is to prioritise full funding of Project C, with remaining resources </w:t>
      </w:r>
      <w:r w:rsidRPr="37E63DBD" w:rsidR="7986B30A">
        <w:rPr>
          <w:noProof w:val="0"/>
          <w:sz w:val="22"/>
          <w:szCs w:val="22"/>
          <w:lang w:val="en-GB"/>
        </w:rPr>
        <w:t>allocated</w:t>
      </w:r>
      <w:r w:rsidRPr="37E63DBD" w:rsidR="7986B30A">
        <w:rPr>
          <w:noProof w:val="0"/>
          <w:sz w:val="22"/>
          <w:szCs w:val="22"/>
          <w:lang w:val="en-GB"/>
        </w:rPr>
        <w:t xml:space="preserve"> to Project B to maximise overall value from available funds. To support this investment strategy, a blended financing structure is suggested, using internal </w:t>
      </w:r>
      <w:r w:rsidRPr="37E63DBD" w:rsidR="5138624A">
        <w:rPr>
          <w:noProof w:val="0"/>
          <w:sz w:val="22"/>
          <w:szCs w:val="22"/>
          <w:lang w:val="en-GB"/>
        </w:rPr>
        <w:t>funds alongside moderate borrowing to balance cost efficiency and financial risk exposure.</w:t>
      </w:r>
    </w:p>
    <w:p w:rsidR="5138624A" w:rsidP="37E63DBD" w:rsidRDefault="5138624A" w14:paraId="2C202584" w14:textId="5A4B25F8">
      <w:pPr>
        <w:pStyle w:val="Normal"/>
        <w:suppressLineNumbers w:val="0"/>
        <w:bidi w:val="0"/>
        <w:spacing w:before="0" w:beforeAutospacing="off" w:after="160" w:afterAutospacing="off" w:line="360" w:lineRule="auto"/>
        <w:ind w:left="0" w:right="0"/>
        <w:jc w:val="both"/>
        <w:rPr>
          <w:noProof w:val="0"/>
          <w:sz w:val="22"/>
          <w:szCs w:val="22"/>
          <w:lang w:val="en-GB"/>
        </w:rPr>
      </w:pPr>
      <w:r w:rsidRPr="37E63DBD" w:rsidR="5138624A">
        <w:rPr>
          <w:noProof w:val="0"/>
          <w:sz w:val="22"/>
          <w:szCs w:val="22"/>
          <w:lang w:val="en-GB"/>
        </w:rPr>
        <w:t xml:space="preserve">Overall, the analysis demonstrates how structured finanvial evaluation can guide both performance assessment and investment decision-making to support long-term value creation. </w:t>
      </w:r>
    </w:p>
    <w:p xmlns:wp14="http://schemas.microsoft.com/office/word/2010/wordml" wp14:paraId="58D8AE1B" wp14:textId="6F3BD9DA"/>
    <w:p xmlns:wp14="http://schemas.microsoft.com/office/word/2010/wordml" wp14:paraId="38358A8A" wp14:textId="73A15DD3"/>
    <w:p xmlns:wp14="http://schemas.microsoft.com/office/word/2010/wordml" wp14:paraId="3B06AA88" wp14:textId="5DB9C3DC"/>
    <w:p w:rsidR="37E63DBD" w:rsidP="37E63DBD" w:rsidRDefault="37E63DBD" w14:paraId="46AA081B" w14:textId="67FFEF86">
      <w:pPr>
        <w:pStyle w:val="Normal"/>
        <w:rPr>
          <w:rFonts w:ascii="Calibri" w:hAnsi="Calibri" w:eastAsia="Calibri" w:cs="Calibri"/>
          <w:b w:val="0"/>
          <w:bCs w:val="0"/>
          <w:i w:val="0"/>
          <w:iCs w:val="0"/>
          <w:strike w:val="0"/>
          <w:dstrike w:val="0"/>
          <w:noProof w:val="0"/>
          <w:color w:val="2E75B5"/>
          <w:sz w:val="32"/>
          <w:szCs w:val="32"/>
          <w:u w:val="none"/>
          <w:lang w:val="en-GB"/>
        </w:rPr>
      </w:pPr>
    </w:p>
    <w:p xmlns:wp14="http://schemas.microsoft.com/office/word/2010/wordml" w:rsidP="32E1AE9F" wp14:paraId="3816A2A7" wp14:textId="38B25A4C">
      <w:pPr>
        <w:pStyle w:val="Normal"/>
      </w:pPr>
      <w:r w:rsidRPr="37E63DBD" w:rsidR="53AD24EE">
        <w:rPr>
          <w:rFonts w:ascii="Calibri" w:hAnsi="Calibri" w:eastAsia="Calibri" w:cs="Calibri"/>
          <w:b w:val="0"/>
          <w:bCs w:val="0"/>
          <w:i w:val="0"/>
          <w:iCs w:val="0"/>
          <w:strike w:val="0"/>
          <w:dstrike w:val="0"/>
          <w:noProof w:val="0"/>
          <w:color w:val="2E75B5"/>
          <w:sz w:val="32"/>
          <w:szCs w:val="32"/>
          <w:u w:val="none"/>
          <w:lang w:val="en-GB"/>
        </w:rPr>
        <w:t>Table of Contents</w:t>
      </w:r>
    </w:p>
    <w:sdt>
      <w:sdtPr>
        <w:id w:val="1497296395"/>
        <w:docPartObj>
          <w:docPartGallery w:val="Table of Contents"/>
          <w:docPartUnique/>
        </w:docPartObj>
      </w:sdtPr>
      <w:sdtContent>
        <w:p w:rsidR="37E63DBD" w:rsidP="37E63DBD" w:rsidRDefault="37E63DBD" w14:paraId="1F677D68" w14:textId="27C048B2">
          <w:pPr>
            <w:pStyle w:val="TOC1"/>
            <w:tabs>
              <w:tab w:val="right" w:leader="dot" w:pos="9015"/>
            </w:tabs>
            <w:bidi w:val="0"/>
            <w:rPr>
              <w:rStyle w:val="Hyperlink"/>
            </w:rPr>
          </w:pPr>
          <w:r>
            <w:fldChar w:fldCharType="begin"/>
          </w:r>
          <w:r>
            <w:instrText xml:space="preserve">TOC \o "1-9" \z \u \h</w:instrText>
          </w:r>
          <w:r>
            <w:fldChar w:fldCharType="separate"/>
          </w:r>
          <w:hyperlink w:anchor="_Toc1847609397">
            <w:r w:rsidRPr="37E63DBD" w:rsidR="37E63DBD">
              <w:rPr>
                <w:rStyle w:val="Hyperlink"/>
              </w:rPr>
              <w:t>Executive Summary</w:t>
            </w:r>
            <w:r>
              <w:tab/>
            </w:r>
            <w:r>
              <w:fldChar w:fldCharType="begin"/>
            </w:r>
            <w:r>
              <w:instrText xml:space="preserve">PAGEREF _Toc1847609397 \h</w:instrText>
            </w:r>
            <w:r>
              <w:fldChar w:fldCharType="separate"/>
            </w:r>
            <w:r w:rsidRPr="37E63DBD" w:rsidR="37E63DBD">
              <w:rPr>
                <w:rStyle w:val="Hyperlink"/>
              </w:rPr>
              <w:t>1</w:t>
            </w:r>
            <w:r>
              <w:fldChar w:fldCharType="end"/>
            </w:r>
          </w:hyperlink>
        </w:p>
        <w:p w:rsidR="37E63DBD" w:rsidP="37E63DBD" w:rsidRDefault="37E63DBD" w14:paraId="52913002" w14:textId="291C6C38">
          <w:pPr>
            <w:pStyle w:val="TOC1"/>
            <w:tabs>
              <w:tab w:val="right" w:leader="dot" w:pos="9015"/>
            </w:tabs>
            <w:bidi w:val="0"/>
            <w:rPr>
              <w:rStyle w:val="Hyperlink"/>
            </w:rPr>
          </w:pPr>
          <w:hyperlink w:anchor="_Toc841177970">
            <w:r w:rsidRPr="37E63DBD" w:rsidR="37E63DBD">
              <w:rPr>
                <w:rStyle w:val="Hyperlink"/>
              </w:rPr>
              <w:t>Introduction</w:t>
            </w:r>
            <w:r>
              <w:tab/>
            </w:r>
            <w:r>
              <w:fldChar w:fldCharType="begin"/>
            </w:r>
            <w:r>
              <w:instrText xml:space="preserve">PAGEREF _Toc841177970 \h</w:instrText>
            </w:r>
            <w:r>
              <w:fldChar w:fldCharType="separate"/>
            </w:r>
            <w:r w:rsidRPr="37E63DBD" w:rsidR="37E63DBD">
              <w:rPr>
                <w:rStyle w:val="Hyperlink"/>
              </w:rPr>
              <w:t>3</w:t>
            </w:r>
            <w:r>
              <w:fldChar w:fldCharType="end"/>
            </w:r>
          </w:hyperlink>
        </w:p>
        <w:p w:rsidR="37E63DBD" w:rsidP="37E63DBD" w:rsidRDefault="37E63DBD" w14:paraId="63EAF8C2" w14:textId="14DE6BAB">
          <w:pPr>
            <w:pStyle w:val="TOC1"/>
            <w:tabs>
              <w:tab w:val="right" w:leader="dot" w:pos="9015"/>
            </w:tabs>
            <w:bidi w:val="0"/>
            <w:rPr>
              <w:rStyle w:val="Hyperlink"/>
            </w:rPr>
          </w:pPr>
          <w:hyperlink w:anchor="_Toc1312902496">
            <w:r w:rsidRPr="37E63DBD" w:rsidR="37E63DBD">
              <w:rPr>
                <w:rStyle w:val="Hyperlink"/>
              </w:rPr>
              <w:t>Main Findings</w:t>
            </w:r>
            <w:r>
              <w:tab/>
            </w:r>
            <w:r>
              <w:fldChar w:fldCharType="begin"/>
            </w:r>
            <w:r>
              <w:instrText xml:space="preserve">PAGEREF _Toc1312902496 \h</w:instrText>
            </w:r>
            <w:r>
              <w:fldChar w:fldCharType="separate"/>
            </w:r>
            <w:r w:rsidRPr="37E63DBD" w:rsidR="37E63DBD">
              <w:rPr>
                <w:rStyle w:val="Hyperlink"/>
              </w:rPr>
              <w:t>5</w:t>
            </w:r>
            <w:r>
              <w:fldChar w:fldCharType="end"/>
            </w:r>
          </w:hyperlink>
        </w:p>
        <w:p w:rsidR="37E63DBD" w:rsidP="37E63DBD" w:rsidRDefault="37E63DBD" w14:paraId="25785381" w14:textId="08C6D277">
          <w:pPr>
            <w:pStyle w:val="TOC2"/>
            <w:tabs>
              <w:tab w:val="right" w:leader="dot" w:pos="9015"/>
            </w:tabs>
            <w:bidi w:val="0"/>
            <w:rPr>
              <w:rStyle w:val="Hyperlink"/>
            </w:rPr>
          </w:pPr>
          <w:hyperlink w:anchor="_Toc853383951">
            <w:r w:rsidRPr="37E63DBD" w:rsidR="37E63DBD">
              <w:rPr>
                <w:rStyle w:val="Hyperlink"/>
              </w:rPr>
              <w:t>Task 1</w:t>
            </w:r>
            <w:r>
              <w:tab/>
            </w:r>
            <w:r>
              <w:fldChar w:fldCharType="begin"/>
            </w:r>
            <w:r>
              <w:instrText xml:space="preserve">PAGEREF _Toc853383951 \h</w:instrText>
            </w:r>
            <w:r>
              <w:fldChar w:fldCharType="separate"/>
            </w:r>
            <w:r w:rsidRPr="37E63DBD" w:rsidR="37E63DBD">
              <w:rPr>
                <w:rStyle w:val="Hyperlink"/>
              </w:rPr>
              <w:t>5</w:t>
            </w:r>
            <w:r>
              <w:fldChar w:fldCharType="end"/>
            </w:r>
          </w:hyperlink>
        </w:p>
        <w:p w:rsidR="37E63DBD" w:rsidP="37E63DBD" w:rsidRDefault="37E63DBD" w14:paraId="49D5A5DA" w14:textId="7ABE548C">
          <w:pPr>
            <w:pStyle w:val="TOC2"/>
            <w:tabs>
              <w:tab w:val="right" w:leader="dot" w:pos="9015"/>
            </w:tabs>
            <w:bidi w:val="0"/>
            <w:rPr>
              <w:rStyle w:val="Hyperlink"/>
            </w:rPr>
          </w:pPr>
          <w:hyperlink w:anchor="_Toc2020406226">
            <w:r w:rsidRPr="37E63DBD" w:rsidR="37E63DBD">
              <w:rPr>
                <w:rStyle w:val="Hyperlink"/>
              </w:rPr>
              <w:t>Task 2</w:t>
            </w:r>
            <w:r>
              <w:tab/>
            </w:r>
            <w:r>
              <w:fldChar w:fldCharType="begin"/>
            </w:r>
            <w:r>
              <w:instrText xml:space="preserve">PAGEREF _Toc2020406226 \h</w:instrText>
            </w:r>
            <w:r>
              <w:fldChar w:fldCharType="separate"/>
            </w:r>
            <w:r w:rsidRPr="37E63DBD" w:rsidR="37E63DBD">
              <w:rPr>
                <w:rStyle w:val="Hyperlink"/>
              </w:rPr>
              <w:t>14</w:t>
            </w:r>
            <w:r>
              <w:fldChar w:fldCharType="end"/>
            </w:r>
          </w:hyperlink>
        </w:p>
        <w:p w:rsidR="37E63DBD" w:rsidP="37E63DBD" w:rsidRDefault="37E63DBD" w14:paraId="7383942A" w14:textId="71979C04">
          <w:pPr>
            <w:pStyle w:val="TOC1"/>
            <w:tabs>
              <w:tab w:val="right" w:leader="dot" w:pos="9015"/>
            </w:tabs>
            <w:bidi w:val="0"/>
            <w:rPr>
              <w:rStyle w:val="Hyperlink"/>
            </w:rPr>
          </w:pPr>
          <w:hyperlink w:anchor="_Toc107956638">
            <w:r w:rsidRPr="37E63DBD" w:rsidR="37E63DBD">
              <w:rPr>
                <w:rStyle w:val="Hyperlink"/>
              </w:rPr>
              <w:t>Conclusion</w:t>
            </w:r>
            <w:r>
              <w:tab/>
            </w:r>
            <w:r>
              <w:fldChar w:fldCharType="begin"/>
            </w:r>
            <w:r>
              <w:instrText xml:space="preserve">PAGEREF _Toc107956638 \h</w:instrText>
            </w:r>
            <w:r>
              <w:fldChar w:fldCharType="separate"/>
            </w:r>
            <w:r w:rsidRPr="37E63DBD" w:rsidR="37E63DBD">
              <w:rPr>
                <w:rStyle w:val="Hyperlink"/>
              </w:rPr>
              <w:t>21</w:t>
            </w:r>
            <w:r>
              <w:fldChar w:fldCharType="end"/>
            </w:r>
          </w:hyperlink>
        </w:p>
        <w:p w:rsidR="37E63DBD" w:rsidP="37E63DBD" w:rsidRDefault="37E63DBD" w14:paraId="7497DBCC" w14:textId="2B4A5DF9">
          <w:pPr>
            <w:pStyle w:val="TOC1"/>
            <w:tabs>
              <w:tab w:val="right" w:leader="dot" w:pos="9015"/>
            </w:tabs>
            <w:bidi w:val="0"/>
            <w:rPr>
              <w:rStyle w:val="Hyperlink"/>
            </w:rPr>
          </w:pPr>
          <w:hyperlink w:anchor="_Toc1574219677">
            <w:r w:rsidRPr="37E63DBD" w:rsidR="37E63DBD">
              <w:rPr>
                <w:rStyle w:val="Hyperlink"/>
              </w:rPr>
              <w:t>Bibliography</w:t>
            </w:r>
            <w:r>
              <w:tab/>
            </w:r>
            <w:r>
              <w:fldChar w:fldCharType="begin"/>
            </w:r>
            <w:r>
              <w:instrText xml:space="preserve">PAGEREF _Toc1574219677 \h</w:instrText>
            </w:r>
            <w:r>
              <w:fldChar w:fldCharType="separate"/>
            </w:r>
            <w:r w:rsidRPr="37E63DBD" w:rsidR="37E63DBD">
              <w:rPr>
                <w:rStyle w:val="Hyperlink"/>
              </w:rPr>
              <w:t>22</w:t>
            </w:r>
            <w:r>
              <w:fldChar w:fldCharType="end"/>
            </w:r>
          </w:hyperlink>
        </w:p>
        <w:p w:rsidR="37E63DBD" w:rsidP="37E63DBD" w:rsidRDefault="37E63DBD" w14:paraId="4C7DF058" w14:textId="46EF90D9">
          <w:pPr>
            <w:pStyle w:val="TOC1"/>
            <w:tabs>
              <w:tab w:val="right" w:leader="dot" w:pos="9015"/>
            </w:tabs>
            <w:bidi w:val="0"/>
            <w:rPr>
              <w:rStyle w:val="Hyperlink"/>
            </w:rPr>
          </w:pPr>
          <w:hyperlink w:anchor="_Toc1199397129">
            <w:r w:rsidRPr="37E63DBD" w:rsidR="37E63DBD">
              <w:rPr>
                <w:rStyle w:val="Hyperlink"/>
              </w:rPr>
              <w:t>Appendix</w:t>
            </w:r>
            <w:r>
              <w:tab/>
            </w:r>
            <w:r>
              <w:fldChar w:fldCharType="begin"/>
            </w:r>
            <w:r>
              <w:instrText xml:space="preserve">PAGEREF _Toc1199397129 \h</w:instrText>
            </w:r>
            <w:r>
              <w:fldChar w:fldCharType="separate"/>
            </w:r>
            <w:r w:rsidRPr="37E63DBD" w:rsidR="37E63DBD">
              <w:rPr>
                <w:rStyle w:val="Hyperlink"/>
              </w:rPr>
              <w:t>28</w:t>
            </w:r>
            <w:r>
              <w:fldChar w:fldCharType="end"/>
            </w:r>
          </w:hyperlink>
          <w:r>
            <w:fldChar w:fldCharType="end"/>
          </w:r>
        </w:p>
      </w:sdtContent>
    </w:sdt>
    <w:p xmlns:wp14="http://schemas.microsoft.com/office/word/2010/wordml" wp14:paraId="5BEE1005" wp14:textId="4515EF25"/>
    <w:p xmlns:wp14="http://schemas.microsoft.com/office/word/2010/wordml" wp14:paraId="09BF1A24" wp14:textId="063FF349"/>
    <w:p xmlns:wp14="http://schemas.microsoft.com/office/word/2010/wordml" wp14:paraId="2491CD84" wp14:textId="42ADEFFD"/>
    <w:p xmlns:wp14="http://schemas.microsoft.com/office/word/2010/wordml" wp14:paraId="1A727D15" wp14:textId="28223D5E"/>
    <w:p xmlns:wp14="http://schemas.microsoft.com/office/word/2010/wordml" wp14:paraId="22919655" wp14:textId="704B9333"/>
    <w:p xmlns:wp14="http://schemas.microsoft.com/office/word/2010/wordml" wp14:paraId="110C0128" wp14:textId="2C8DC9A6"/>
    <w:p xmlns:wp14="http://schemas.microsoft.com/office/word/2010/wordml" wp14:paraId="778924E2" wp14:textId="3ED19CBF"/>
    <w:p xmlns:wp14="http://schemas.microsoft.com/office/word/2010/wordml" wp14:paraId="70AEA759" wp14:textId="528C1CF3"/>
    <w:p xmlns:wp14="http://schemas.microsoft.com/office/word/2010/wordml" wp14:paraId="392218C7" wp14:textId="27D56532"/>
    <w:p xmlns:wp14="http://schemas.microsoft.com/office/word/2010/wordml" wp14:paraId="5E5780BA" wp14:textId="63509715"/>
    <w:p xmlns:wp14="http://schemas.microsoft.com/office/word/2010/wordml" wp14:paraId="51155B6C" wp14:textId="76DE7AA7"/>
    <w:p xmlns:wp14="http://schemas.microsoft.com/office/word/2010/wordml" wp14:paraId="3D19806D" wp14:textId="581FE4B4"/>
    <w:p xmlns:wp14="http://schemas.microsoft.com/office/word/2010/wordml" w:rsidP="37E63DBD" wp14:paraId="25B47897" wp14:textId="55086804">
      <w:pPr>
        <w:pStyle w:val="Heading1"/>
        <w:rPr>
          <w:rFonts w:ascii="Calibri" w:hAnsi="Calibri" w:eastAsia="Calibri" w:cs="Calibri"/>
          <w:b w:val="0"/>
          <w:bCs w:val="0"/>
          <w:i w:val="0"/>
          <w:iCs w:val="0"/>
          <w:strike w:val="0"/>
          <w:dstrike w:val="0"/>
          <w:noProof w:val="0"/>
          <w:color w:val="2E75B5"/>
          <w:sz w:val="32"/>
          <w:szCs w:val="32"/>
          <w:u w:val="none"/>
          <w:lang w:val="en-GB"/>
        </w:rPr>
      </w:pPr>
    </w:p>
    <w:p xmlns:wp14="http://schemas.microsoft.com/office/word/2010/wordml" w:rsidP="37E63DBD" wp14:paraId="0EFA86CE" wp14:textId="215759B5">
      <w:pPr>
        <w:pStyle w:val="Heading1"/>
        <w:rPr>
          <w:rFonts w:ascii="Calibri" w:hAnsi="Calibri" w:eastAsia="Calibri" w:cs="Calibri"/>
          <w:b w:val="0"/>
          <w:bCs w:val="0"/>
          <w:i w:val="0"/>
          <w:iCs w:val="0"/>
          <w:strike w:val="0"/>
          <w:dstrike w:val="0"/>
          <w:noProof w:val="0"/>
          <w:color w:val="2E75B5"/>
          <w:sz w:val="32"/>
          <w:szCs w:val="32"/>
          <w:u w:val="none"/>
          <w:lang w:val="en-GB"/>
        </w:rPr>
      </w:pPr>
    </w:p>
    <w:p xmlns:wp14="http://schemas.microsoft.com/office/word/2010/wordml" w:rsidP="37E63DBD" wp14:paraId="13B99417" wp14:textId="48DA207B">
      <w:pPr>
        <w:pStyle w:val="Normal"/>
        <w:rPr>
          <w:noProof w:val="0"/>
          <w:lang w:val="en-GB"/>
        </w:rPr>
      </w:pPr>
    </w:p>
    <w:p xmlns:wp14="http://schemas.microsoft.com/office/word/2010/wordml" w:rsidP="37E63DBD" wp14:paraId="74918C46" wp14:textId="30DAF53C">
      <w:pPr>
        <w:pStyle w:val="Normal"/>
        <w:rPr>
          <w:noProof w:val="0"/>
          <w:lang w:val="en-GB"/>
        </w:rPr>
      </w:pPr>
    </w:p>
    <w:p xmlns:wp14="http://schemas.microsoft.com/office/word/2010/wordml" w:rsidP="37E63DBD" wp14:paraId="598098B9" wp14:textId="20485269">
      <w:pPr>
        <w:pStyle w:val="Heading1"/>
        <w:rPr>
          <w:rFonts w:ascii="Calibri" w:hAnsi="Calibri" w:eastAsia="Calibri" w:cs="Calibri"/>
          <w:b w:val="0"/>
          <w:bCs w:val="0"/>
          <w:i w:val="0"/>
          <w:iCs w:val="0"/>
          <w:strike w:val="0"/>
          <w:dstrike w:val="0"/>
          <w:noProof w:val="0"/>
          <w:color w:val="2E75B5"/>
          <w:sz w:val="32"/>
          <w:szCs w:val="32"/>
          <w:u w:val="none"/>
          <w:lang w:val="en-GB"/>
        </w:rPr>
      </w:pPr>
      <w:bookmarkStart w:name="_Toc841177970" w:id="271136949"/>
      <w:r w:rsidRPr="37E63DBD" w:rsidR="53AD24EE">
        <w:rPr>
          <w:rFonts w:ascii="Calibri" w:hAnsi="Calibri" w:eastAsia="Calibri" w:cs="Calibri"/>
          <w:b w:val="0"/>
          <w:bCs w:val="0"/>
          <w:i w:val="0"/>
          <w:iCs w:val="0"/>
          <w:strike w:val="0"/>
          <w:dstrike w:val="0"/>
          <w:noProof w:val="0"/>
          <w:color w:val="2E75B5"/>
          <w:sz w:val="32"/>
          <w:szCs w:val="32"/>
          <w:u w:val="none"/>
          <w:lang w:val="en-GB"/>
        </w:rPr>
        <w:t>Introduction</w:t>
      </w:r>
      <w:bookmarkEnd w:id="271136949"/>
      <w:r w:rsidRPr="37E63DBD" w:rsidR="53AD24EE">
        <w:rPr>
          <w:rFonts w:ascii="Calibri" w:hAnsi="Calibri" w:eastAsia="Calibri" w:cs="Calibri"/>
          <w:b w:val="0"/>
          <w:bCs w:val="0"/>
          <w:i w:val="0"/>
          <w:iCs w:val="0"/>
          <w:strike w:val="0"/>
          <w:dstrike w:val="0"/>
          <w:noProof w:val="0"/>
          <w:color w:val="2E75B5"/>
          <w:sz w:val="32"/>
          <w:szCs w:val="32"/>
          <w:u w:val="none"/>
          <w:lang w:val="en-GB"/>
        </w:rPr>
        <w:t xml:space="preserve"> </w:t>
      </w:r>
    </w:p>
    <w:p xmlns:wp14="http://schemas.microsoft.com/office/word/2010/wordml" w:rsidP="37E63DBD" wp14:paraId="7D2C79A9" wp14:textId="6ECA90B6">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Financial statement analysis plays a critical role in evaluating the performance, financial position, and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future prospects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of organisations. Among the various analytical tools available,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ratio 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nalysis rema</w:t>
      </w:r>
      <w:r w:rsidRPr="37E63DBD" w:rsidR="2E067EDC">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s one of the most widely used techniques for assessing corporate performance due to its ability to simplify complex financial data into meaningful indicators (</w:t>
      </w:r>
      <w:r w:rsidRPr="37E63DBD" w:rsidR="4D1759E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Weetman, 2013</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By examining </w:t>
      </w:r>
      <w:r w:rsidRPr="37E63DBD" w:rsidR="03E42C8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relationships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between key financial figures, ratio analysis enables stakeholders to assess profitability, liquidity, efficiency, gearing, and investor returns. </w:t>
      </w:r>
    </w:p>
    <w:p xmlns:wp14="http://schemas.microsoft.com/office/word/2010/wordml" w:rsidP="37E63DBD" wp14:paraId="78B672B6" wp14:textId="2BF7F54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This report focuses on Burberry Group plc, a luxury fashion retailer listed on the London Stock Exchange and a constituent of the FTSE 100 Index. The company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operates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in a highly competitive and economically sens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itive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sector, where financial performance is influenced not only by internal management decisions but also by global macroeconomic conditions and consumer demand trends (Casale, 2026). As a result, financial analysis must be interpreted within both a firm-specific and industry-wide context.</w:t>
      </w:r>
    </w:p>
    <w:p xmlns:wp14="http://schemas.microsoft.com/office/word/2010/wordml" w:rsidP="37E63DBD" wp14:paraId="56140A20" wp14:textId="7F0A84FA">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The aim of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this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report is to evaluate Burberry’s financial performance over the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financial years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ending March 2025 and March 2024</w:t>
      </w:r>
      <w:r w:rsidRPr="37E63DBD" w:rsidR="4BA679C5">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w:t>
      </w:r>
      <w:r w:rsidRPr="37E63DBD" w:rsidR="457B0ED3">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Appendix 1</w:t>
      </w:r>
      <w:r w:rsidRPr="37E63DBD" w:rsidR="4BA679C5">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through the applicatio</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n of the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k</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ey fin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ancial ratios: profitability, liquidity, efficiency,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gearing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and investor ratios, followed by a critical evaluation of the findings. In doing so, the report will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identify</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trends, assess financial strengths and weaknesses, and consider the broader implications for stakeholders. </w:t>
      </w:r>
    </w:p>
    <w:p xmlns:wp14="http://schemas.microsoft.com/office/word/2010/wordml" w:rsidP="37E63DBD" wp14:paraId="6DE40195" wp14:textId="65B98C5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However, it is widely acknowledged that rati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o an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alysis has limitations (Keown, Martin &amp; Petty, 2013), particularly due to its reliance on historical financial data and its inability to capture qualitative and external factors influencing performance (Naseem et al., 2020). Therefore, this report will also critically assess the limitations of ratio analysis before providing strategic </w:t>
      </w:r>
      <w:r w:rsidRPr="37E63DBD" w:rsidR="00D97FBC">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recommendations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to improve Burberry’s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financial management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and overall performance. </w:t>
      </w:r>
    </w:p>
    <w:p xmlns:wp14="http://schemas.microsoft.com/office/word/2010/wordml" w:rsidP="37E63DBD" wp14:paraId="389C91E8" wp14:textId="2751734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p>
    <w:p xmlns:wp14="http://schemas.microsoft.com/office/word/2010/wordml" w:rsidP="37E63DBD" wp14:paraId="58D2556A" wp14:textId="4A072C1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6DAF8D86">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Beard Plc is a manufacturer of high-quality hand</w:t>
      </w:r>
      <w:r w:rsidRPr="37E63DBD" w:rsidR="6DAF8D86">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ba</w:t>
      </w:r>
      <w:r w:rsidRPr="37E63DBD" w:rsidR="6DAF8D86">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gs that is considering three strategic investment opportunities aimed at expanding its operations over a four-year period. The options are (</w:t>
      </w:r>
      <w:r w:rsidRPr="37E63DBD" w:rsidR="7C3785EB">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A) expandin</w:t>
      </w:r>
      <w:r w:rsidRPr="37E63DBD" w:rsidR="7C3785EB">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g its r</w:t>
      </w:r>
      <w:r w:rsidRPr="37E63DBD" w:rsidR="7C3785EB">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etail outlet to include all products, (B) developing into internet sales and (C) producing purses and wallets.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The company faces a capital constraint of £1.5 million, so must prioritise investments that maximise shareholder value whilst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maintaining</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financial efficiency.</w:t>
      </w:r>
    </w:p>
    <w:p xmlns:wp14="http://schemas.microsoft.com/office/word/2010/wordml" w:rsidP="37E63DBD" wp14:paraId="2010D4D8" wp14:textId="29B42B14">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7B1D9184">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T</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he purpose of this repor</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t is to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evaluate the three proposed investment opportunities using investment th</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e apprai</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sal techniques,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Net Present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Value (NPV), Internal Rate o</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f </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Retu</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rn</w:t>
      </w:r>
      <w:r w:rsidRPr="37E63DBD" w:rsidR="5B283C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(IRR), Accounting Rate of Return (A</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RR</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and Payback Period. The analysis will </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identify</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the most financially viable </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option</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and provide a recommendation to the Board of Directors. </w:t>
      </w:r>
    </w:p>
    <w:p xmlns:wp14="http://schemas.microsoft.com/office/word/2010/wordml" w:rsidP="37E63DBD" wp14:paraId="2C7AA77F" wp14:textId="2FE2D9B7">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NPV is t</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he primary decision-making tool due to its strong </w:t>
      </w:r>
      <w:r w:rsidRPr="37E63DBD" w:rsidR="51A78AC3">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theoretical</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grounding in </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financial management</w:t>
      </w:r>
      <w:r w:rsidRPr="37E63DBD" w:rsidR="4147A1C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literature. It is widely recognised as the most robust method of investment appraisal as it incorporates the time value of mone</w:t>
      </w:r>
      <w:r w:rsidRPr="37E63DBD" w:rsidR="725B89A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y and focuses directly on shareholder wealth maximisation </w:t>
      </w:r>
      <w:r w:rsidRPr="37E63DBD" w:rsidR="725B89A1">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w:t>
      </w:r>
      <w:r w:rsidRPr="37E63DBD" w:rsidR="725B89A1">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Brealey, Myers &amp; Allen, 20</w:t>
      </w:r>
      <w:r w:rsidRPr="37E63DBD" w:rsidR="4A496AE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11</w:t>
      </w:r>
      <w:r w:rsidRPr="37E63DBD" w:rsidR="725B89A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However, </w:t>
      </w:r>
      <w:r w:rsidRPr="37E63DBD" w:rsidR="6573676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supplementary</w:t>
      </w:r>
      <w:r w:rsidRPr="37E63DBD" w:rsidR="725B89A1">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techniques such as IRR and non-discounted methods will also be considered to provide a more comprehensive evaluation and reflect real-world decision</w:t>
      </w:r>
      <w:r w:rsidRPr="37E63DBD" w:rsidR="622E79AD">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-making practices. </w:t>
      </w:r>
    </w:p>
    <w:p xmlns:wp14="http://schemas.microsoft.com/office/word/2010/wordml" w:rsidP="37E63DBD" wp14:paraId="305E2A1C" wp14:textId="502ABE3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pP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In addition, the report will examine capital rationing implications and </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identify</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the </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optimal</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investment strategy und</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er fin</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ancial constraints. Fin</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ally, it</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will assess potential financing options available to Beard pl</w:t>
      </w:r>
      <w:r w:rsidRPr="37E63DBD" w:rsidR="434285C5">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c</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and critically evaluate their advantages and disadvantages in s</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upporting the </w:t>
      </w:r>
      <w:r w:rsidRPr="37E63DBD" w:rsidR="6C86EBDA">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proposed</w:t>
      </w:r>
      <w:r w:rsidRPr="37E63DBD" w:rsidR="72237FB0">
        <w:rPr>
          <w:rFonts w:ascii="Arial" w:hAnsi="Arial" w:eastAsia="Arial" w:cs="Arial" w:asciiTheme="minorAscii" w:hAnsiTheme="minorAscii" w:eastAsiaTheme="minorAscii" w:cstheme="minorAscii"/>
          <w:b w:val="0"/>
          <w:bCs w:val="0"/>
          <w:i w:val="0"/>
          <w:iCs w:val="0"/>
          <w:strike w:val="0"/>
          <w:dstrike w:val="0"/>
          <w:noProof w:val="0"/>
          <w:color w:val="222222"/>
          <w:sz w:val="22"/>
          <w:szCs w:val="22"/>
          <w:u w:val="none"/>
          <w:lang w:val="en-GB"/>
        </w:rPr>
        <w:t xml:space="preserve"> investment programme. </w:t>
      </w:r>
    </w:p>
    <w:p xmlns:wp14="http://schemas.microsoft.com/office/word/2010/wordml" w:rsidP="32E1AE9F" wp14:paraId="19E2E6AE" wp14:textId="0D93D728">
      <w:pPr>
        <w:spacing w:line="360" w:lineRule="auto"/>
        <w:jc w:val="both"/>
        <w:rPr>
          <w:rFonts w:ascii="Arial" w:hAnsi="Arial" w:eastAsia="Arial" w:cs="Arial" w:asciiTheme="minorAscii" w:hAnsiTheme="minorAscii" w:eastAsiaTheme="minorAscii" w:cstheme="minorAscii"/>
          <w:sz w:val="22"/>
          <w:szCs w:val="22"/>
        </w:rPr>
      </w:pPr>
    </w:p>
    <w:p xmlns:wp14="http://schemas.microsoft.com/office/word/2010/wordml" w:rsidP="37E63DBD" wp14:paraId="41A70017" wp14:textId="3485C27F">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62233146" wp14:textId="0980116B">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6BAB404" wp14:textId="73D876C0">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874B757" wp14:textId="4CA21D82">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7BFADE13" wp14:textId="47A8F26A">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5C1D6814" wp14:textId="06610836">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68C8135A" wp14:textId="5F90BD69">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21ED4AC" wp14:textId="52C47BCA">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15125BC6" wp14:textId="0C2D7A3B">
      <w:pPr>
        <w:pStyle w:val="Normal"/>
        <w:rPr>
          <w:noProof w:val="0"/>
          <w:lang w:val="en-GB"/>
        </w:rPr>
      </w:pPr>
    </w:p>
    <w:p xmlns:wp14="http://schemas.microsoft.com/office/word/2010/wordml" w:rsidP="37E63DBD" wp14:paraId="675F1B4E" wp14:textId="50BE8DC5">
      <w:pPr>
        <w:pStyle w:val="Normal"/>
        <w:rPr>
          <w:noProof w:val="0"/>
          <w:lang w:val="en-GB"/>
        </w:rPr>
      </w:pPr>
    </w:p>
    <w:p xmlns:wp14="http://schemas.microsoft.com/office/word/2010/wordml" w:rsidP="37E63DBD" wp14:paraId="27F256CE" wp14:textId="7D4C163F">
      <w:pPr>
        <w:pStyle w:val="Heading1"/>
        <w:spacing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bookmarkStart w:name="_Toc1312902496" w:id="2005095381"/>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t>Main Findings</w:t>
      </w:r>
      <w:bookmarkEnd w:id="2005095381"/>
    </w:p>
    <w:p xmlns:wp14="http://schemas.microsoft.com/office/word/2010/wordml" w:rsidP="32E1AE9F" wp14:paraId="594956D4" wp14:textId="012905ED">
      <w:pPr>
        <w:spacing w:line="360" w:lineRule="auto"/>
        <w:jc w:val="both"/>
        <w:rPr>
          <w:rFonts w:ascii="Arial" w:hAnsi="Arial" w:eastAsia="Arial" w:cs="Arial" w:asciiTheme="minorAscii" w:hAnsiTheme="minorAscii" w:eastAsiaTheme="minorAscii" w:cstheme="minorAscii"/>
          <w:sz w:val="22"/>
          <w:szCs w:val="22"/>
        </w:rPr>
      </w:pPr>
    </w:p>
    <w:p xmlns:wp14="http://schemas.microsoft.com/office/word/2010/wordml" w:rsidP="37E63DBD" wp14:paraId="23CCB296" wp14:textId="2BFBF337">
      <w:pPr>
        <w:pStyle w:val="Heading2"/>
        <w:spacing w:before="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bookmarkStart w:name="_Toc853383951" w:id="858740688"/>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t>Task 1</w:t>
      </w:r>
      <w:bookmarkEnd w:id="858740688"/>
    </w:p>
    <w:p xmlns:wp14="http://schemas.microsoft.com/office/word/2010/wordml" w:rsidP="32E1AE9F" wp14:paraId="71E08B13" wp14:textId="54ACBBE5">
      <w:pPr>
        <w:spacing w:line="360" w:lineRule="auto"/>
        <w:jc w:val="both"/>
        <w:rPr>
          <w:rFonts w:ascii="Arial" w:hAnsi="Arial" w:eastAsia="Arial" w:cs="Arial" w:asciiTheme="minorAscii" w:hAnsiTheme="minorAscii" w:eastAsiaTheme="minorAscii" w:cstheme="minorAscii"/>
          <w:sz w:val="22"/>
          <w:szCs w:val="22"/>
        </w:rPr>
      </w:pPr>
    </w:p>
    <w:p xmlns:wp14="http://schemas.microsoft.com/office/word/2010/wordml" w:rsidP="37E63DBD" wp14:paraId="02ED531B" wp14:textId="4DE7AD8C">
      <w:pPr>
        <w:pStyle w:val="ListParagraph"/>
        <w:numPr>
          <w:ilvl w:val="0"/>
          <w:numId w:val="1"/>
        </w:numPr>
        <w:spacing w:before="220" w:beforeAutospacing="off" w:after="22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Profitability</w:t>
      </w:r>
    </w:p>
    <w:p xmlns:wp14="http://schemas.microsoft.com/office/word/2010/wordml" w:rsidP="37E63DBD" wp14:paraId="0AAFF0AF" wp14:textId="654A8E1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Profitability r</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atios ar</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 essential indicators used to assess a firm’s ability to generate earnings relative to its revenue and capital base (</w:t>
      </w:r>
      <w:r w:rsidRPr="37E63DBD" w:rsidR="39AB0AC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Fadillah</w:t>
      </w:r>
      <w:r w:rsidRPr="37E63DBD" w:rsidR="39AB0AC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et al., 2024</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These ratios provide insight into operational efficiency and overall financial performance, making them a key focus for stakeholders (Morshed, 2020).</w:t>
      </w:r>
    </w:p>
    <w:p xmlns:wp14="http://schemas.microsoft.com/office/word/2010/wordml" w:rsidP="37E63DBD" wp14:paraId="57FFC0CA" wp14:textId="3B3539AE">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1.1 Gross profit margin </w:t>
      </w:r>
    </w:p>
    <w:p xmlns:wp14="http://schemas.microsoft.com/office/word/2010/wordml" w:rsidP="37E63DBD" wp14:paraId="78B9644A" wp14:textId="4495F134">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Burberry’s gross profit margin declined from 67% in 2024</w:t>
      </w:r>
      <w:r w:rsidRPr="37E63DBD" w:rsidR="679BE0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CF39E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2</w:t>
      </w:r>
      <w:r w:rsidRPr="37E63DBD" w:rsidR="679BE0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62% in 2025</w:t>
      </w:r>
      <w:r w:rsidRPr="37E63DBD" w:rsidR="1A3380D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5C792E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3</w:t>
      </w:r>
      <w:r w:rsidRPr="37E63DBD" w:rsidR="1A3380D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Indicating a reduction in the proportion of revenue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etained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after the cost of sales. This suggests that the company is either experiencing increased production costs or reducing pricing power.</w:t>
      </w:r>
    </w:p>
    <w:p xmlns:wp14="http://schemas.microsoft.com/office/word/2010/wordml" w:rsidP="37E63DBD" wp14:paraId="292A9C15" wp14:textId="554205C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Resear</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ch by </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arvasi</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Taleizadeh</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&amp; </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Thaicon</w:t>
      </w:r>
      <w:r w:rsidRPr="37E63DBD" w:rsidR="4AD1716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(2025)</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57C9E4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indicates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declining </w:t>
      </w:r>
      <w:r w:rsidRPr="37E63DBD" w:rsidR="596A2B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gro</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ss margins in retail firms are often associated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with 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creased competition, rising 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pu</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 costs, or the need for promotional pricing strategies to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maintain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sales volumes. In the luxury se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or,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 m</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ay reflect 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shift in consumer demand or increased discounting to stimulate purchases. </w:t>
      </w:r>
    </w:p>
    <w:p xmlns:wp14="http://schemas.microsoft.com/office/word/2010/wordml" w:rsidP="37E63DBD" wp14:paraId="65C54616" wp14:textId="6B87E2F1">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1.2 Net profit margin</w:t>
      </w:r>
    </w:p>
    <w:p xmlns:wp14="http://schemas.microsoft.com/office/word/2010/wordml" w:rsidP="37E63DBD" wp14:paraId="70FBA780" wp14:textId="0C29EFD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net profit margin fell sharply from a positive 14% in 2024</w:t>
      </w:r>
      <w:r w:rsidRPr="37E63DBD" w:rsidR="33BF70D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527B14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4</w:t>
      </w:r>
      <w:r w:rsidRPr="37E63DBD" w:rsidR="33BF70D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approximately -0.12% in 2025</w:t>
      </w:r>
      <w:r w:rsidRPr="37E63DBD" w:rsidR="35D007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C9E63F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5</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Burberry moved into an operating loss position.</w:t>
      </w:r>
    </w:p>
    <w:p xmlns:wp14="http://schemas.microsoft.com/office/word/2010/wordml" w:rsidP="32E1AE9F" wp14:paraId="02403D82" wp14:textId="7AD4F9AC">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Operating profitability is a key measure of business performance, as it reflects the outcomes of core operations before financing and taxation. A negative margin suggests that operating expenses have exceeded gross profit, highlighting potential inefficiencies or declining revenues (</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Yazdanfar</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2013).</w:t>
      </w:r>
    </w:p>
    <w:p xmlns:wp14="http://schemas.microsoft.com/office/word/2010/wordml" w:rsidP="37E63DBD" wp14:paraId="5BACE86A" wp14:textId="17B0EF2F">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1.3 Return on capital employed</w:t>
      </w:r>
    </w:p>
    <w:p xmlns:wp14="http://schemas.microsoft.com/office/word/2010/wordml" w:rsidP="37E63DBD" wp14:paraId="60B49A71" wp14:textId="450402E7">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Return on capital employed (ROCE) decreased significantly from 16.6% in 2024</w:t>
      </w:r>
      <w:r w:rsidRPr="37E63DBD" w:rsidR="1DAD432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A7E541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6</w:t>
      </w:r>
      <w:r w:rsidRPr="37E63DBD" w:rsidR="1DAD432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approximately -0.12% in 2025</w:t>
      </w:r>
      <w:r w:rsidRPr="37E63DBD" w:rsidR="27391D0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1565CE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7</w:t>
      </w:r>
      <w:r w:rsidRPr="37E63DBD" w:rsidR="27391D0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substantial decline in the efficiency with which Burberry generates returns from its invested capital. </w:t>
      </w:r>
    </w:p>
    <w:p xmlns:wp14="http://schemas.microsoft.com/office/word/2010/wordml" w:rsidP="37E63DBD" wp14:paraId="42FAF328" wp14:textId="1CDBDFF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ROCE is widely regarded as a comprehensive measure of financial performance, as it evaluate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 how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effectively management utilises both equity and debt to generate profits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Maditinos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et al., 2011). A negative ROCE suggests that the company is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failing to generate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adequate returns on its capital base, which may raise concerns amon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 inve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stors. </w:t>
      </w:r>
    </w:p>
    <w:p xmlns:wp14="http://schemas.microsoft.com/office/word/2010/wordml" w:rsidP="32E1AE9F" wp14:paraId="0D961DAF" wp14:textId="15AD9650">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Overall, Burberry’s profitability has deteriorated significantly across all key measures. The decline in gross margin, combined with the transition to operating losses and negative ROCE, suggests that the company is facing both cost pressures and reduced revenue efficiency.</w:t>
      </w:r>
    </w:p>
    <w:p xmlns:wp14="http://schemas.microsoft.com/office/word/2010/wordml" w:rsidP="37E63DBD" wp14:paraId="4B0B6DBF" wp14:textId="7250F7F3">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Such trends are often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observed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during periods o</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 economi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 uncertainty, where consumer spendin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 decli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nes and operational co</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sts inc</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rease, particularly within discretionary sectors such as luxury retail (</w:t>
      </w:r>
      <w:r w:rsidRPr="37E63DBD" w:rsidR="2D27734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Moisieiev et al., 2025</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indicates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Burberry’s financial performance may be influenced by both internal inefficiencies and external market conditions. </w:t>
      </w:r>
    </w:p>
    <w:p xmlns:wp14="http://schemas.microsoft.com/office/word/2010/wordml" w:rsidP="37E63DBD" wp14:paraId="30C017A3" wp14:textId="357BF75B">
      <w:pPr>
        <w:pStyle w:val="ListParagraph"/>
        <w:numPr>
          <w:ilvl w:val="0"/>
          <w:numId w:val="2"/>
        </w:numPr>
        <w:spacing w:before="220" w:beforeAutospacing="off" w:after="22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Liquidity</w:t>
      </w:r>
    </w:p>
    <w:p xmlns:wp14="http://schemas.microsoft.com/office/word/2010/wordml" w:rsidP="32E1AE9F" wp14:paraId="69C95BAF" wp14:textId="5892CBC7">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Liquidity ratios measure a company’s ability to meet its short-term financial obligations as they fall due. They are essential for assessing financial stability and short-term risk, particularly in retail businesses where cash flow timing and inventory levels can fluctuate significantly (Abdullah, Hashmi &amp; Iqbal, 2022).</w:t>
      </w:r>
    </w:p>
    <w:p xmlns:wp14="http://schemas.microsoft.com/office/word/2010/wordml" w:rsidP="37E63DBD" wp14:paraId="2D74112F" wp14:textId="4BA49E41">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2.1 Current ratio</w:t>
      </w:r>
    </w:p>
    <w:p xmlns:wp14="http://schemas.microsoft.com/office/word/2010/wordml" w:rsidP="37E63DBD" wp14:paraId="2D9A9B34" wp14:textId="706A452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Burberry’s current ratio decli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ned fr</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om 1.7 in 2024</w:t>
      </w:r>
      <w:r w:rsidRPr="37E63DBD" w:rsidR="001510C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23DE8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8</w:t>
      </w:r>
      <w:r w:rsidRPr="37E63DBD" w:rsidR="001510C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1.4 in 2025</w:t>
      </w:r>
      <w:r w:rsidRPr="37E63DBD" w:rsidR="77B76C6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3F46052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9</w:t>
      </w:r>
      <w:r w:rsidRPr="37E63DBD" w:rsidR="77B76C6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reduction in the company’s ability to cover short-term liabilities with current assets.</w:t>
      </w:r>
    </w:p>
    <w:p xmlns:wp14="http://schemas.microsoft.com/office/word/2010/wordml" w:rsidP="37E63DBD" wp14:paraId="22EBD1D4" wp14:textId="302B6D4E">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 current ratio above 1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generally suggests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 a firm</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can meet its short-term obligations; h</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owever, a dec</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lining trend may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weakening liquidity or increasing reliance on short-term financing. Research shows that falling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liquidity</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ratios can signal tighter working capital conditions and increased financial pressure (</w:t>
      </w:r>
      <w:r w:rsidRPr="37E63DBD" w:rsidR="75DC75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Hofmann, </w:t>
      </w:r>
      <w:r w:rsidRPr="37E63DBD" w:rsidR="75DC75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Töyli</w:t>
      </w:r>
      <w:r w:rsidRPr="37E63DBD" w:rsidR="75DC75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&amp; Solakivi, 2022</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4E59F1CE" wp14:textId="0A00C694">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2.2 Quick ratio (Acid test)</w:t>
      </w:r>
    </w:p>
    <w:p xmlns:wp14="http://schemas.microsoft.com/office/word/2010/wordml" w:rsidP="37E63DBD" wp14:paraId="69AA2B72" wp14:textId="5FF4467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quick ratio remained stable at 1.1 in both 2024</w:t>
      </w:r>
      <w:r w:rsidRPr="37E63DBD" w:rsidR="0FE575D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6DDB0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10</w:t>
      </w:r>
      <w:r w:rsidRPr="37E63DBD" w:rsidR="0FE575D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2025</w:t>
      </w:r>
      <w:r w:rsidRPr="37E63DBD" w:rsidR="45B6448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53C80C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w:t>
      </w:r>
      <w:r w:rsidRPr="37E63DBD" w:rsidR="753C80C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pendix 11</w:t>
      </w:r>
      <w:r w:rsidRPr="37E63DBD" w:rsidR="45B6448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suggesting that Burberry’s more liquid assets (excluding inventory) have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remained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sufficient to cover short-term liabilities. </w:t>
      </w:r>
    </w:p>
    <w:p xmlns:wp14="http://schemas.microsoft.com/office/word/2010/wordml" w:rsidP="37E63DBD" wp14:paraId="29DEDE60" wp14:textId="5B0E61B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quick ratio is considered a stricter measure of liquidity because it excludes inventory</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which ma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y not be easily converted into cash. Research by Atrill &amp; McLaney (2022) su</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ggest th</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at firms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maintaining</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quick ratio above 1 are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generally considered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financially stable in the short term.</w:t>
      </w:r>
    </w:p>
    <w:p xmlns:wp14="http://schemas.microsoft.com/office/word/2010/wordml" w:rsidP="37E63DBD" wp14:paraId="27101EEF" wp14:textId="4D675136">
      <w:p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2.3 Working Capital Considerations</w:t>
      </w:r>
    </w:p>
    <w:p xmlns:wp14="http://schemas.microsoft.com/office/word/2010/wordml" w:rsidP="32E1AE9F" wp14:paraId="716D58D5" wp14:textId="63427A6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Despite stable quick liquidity, the decline in the current ratio suggests increasing pressure on working capital management. This may reflect rising short-term liabilities or slower conversion of current assets into cash.</w:t>
      </w:r>
    </w:p>
    <w:p xmlns:wp14="http://schemas.microsoft.com/office/word/2010/wordml" w:rsidP="32E1AE9F" wp14:paraId="41557791" wp14:textId="202E2DE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Research by Mun &amp; Jang (2015) highlights that inefficient working capital management can negatively </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impact</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liquidity and overall firm performance, particularly in retail sectors where inventory cycles are longer and cash conversion cycles are critical. </w:t>
      </w:r>
    </w:p>
    <w:p xmlns:wp14="http://schemas.microsoft.com/office/word/2010/wordml" w:rsidP="37E63DBD" wp14:paraId="17C65C5E" wp14:textId="24D746E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Overall, Burberry’s liquidity position shows moderate weakening, primarily driven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by a dec</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line in the current ratio while the quick ratio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stable. This suggests that although immediate liquidity is still adequate, the company may be experiencing increasing pressure on broader working capital management.</w:t>
      </w:r>
    </w:p>
    <w:p xmlns:wp14="http://schemas.microsoft.com/office/word/2010/wordml" w:rsidP="32E1AE9F" wp14:paraId="474F7DCC" wp14:textId="730CF15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This is particularly relevant in the context of declining profitability </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identified</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earlier, as weaker earnings can place </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additional</w:t>
      </w:r>
      <w:r w:rsidRPr="32E1AE9F"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strain on short-term liquidity and operational flexibility. </w:t>
      </w:r>
    </w:p>
    <w:p xmlns:wp14="http://schemas.microsoft.com/office/word/2010/wordml" w:rsidP="37E63DBD" wp14:paraId="399989ED" wp14:textId="367BA8C9">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03B09E6C">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Efficiency</w:t>
      </w:r>
    </w:p>
    <w:p xmlns:wp14="http://schemas.microsoft.com/office/word/2010/wordml" w:rsidP="37E63DBD" wp14:paraId="5BFA509E" wp14:textId="3739BD4D">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Efficiency ratios measure how effectively a company uses its </w:t>
      </w:r>
      <w:r w:rsidRPr="37E63DBD" w:rsidR="3E40F8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assets</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manages its working capital to generate revenue (</w:t>
      </w:r>
      <w:r w:rsidRPr="37E63DBD" w:rsidR="6DE7FD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Margetta &amp; linkedin.com, 2025</w:t>
      </w:r>
      <w:r w:rsidRPr="37E63DBD" w:rsidR="2DE74A8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They are particularly important in retail businesses, where inventory, receivables, and payables management directly affect operational performance and cash flow</w:t>
      </w:r>
      <w:r w:rsidRPr="37E63DBD" w:rsidR="3441F03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(Arnold, 2020)</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01FFD086" wp14:textId="1036B486">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03B09E6C">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3.1 Stock turnover &amp; Stock days</w:t>
      </w:r>
    </w:p>
    <w:p xmlns:wp14="http://schemas.microsoft.com/office/word/2010/wordml" w:rsidP="37E63DBD" wp14:paraId="3007A044" wp14:textId="3424196B">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Burberry’s stock turnover increased from 1.0 in 2024</w:t>
      </w:r>
      <w:r w:rsidRPr="37E63DBD" w:rsidR="2628423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0C35A0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w:t>
      </w:r>
      <w:r w:rsidRPr="37E63DBD" w:rsidR="029B903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w:t>
      </w:r>
      <w:r w:rsidRPr="37E63DBD" w:rsidR="2628423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2.1 in 2025</w:t>
      </w:r>
      <w:r w:rsidRPr="37E63DBD" w:rsidR="17C20DD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BEB15A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w:t>
      </w:r>
      <w:r w:rsidRPr="37E63DBD" w:rsidR="0AF1B2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13</w:t>
      </w:r>
      <w:r w:rsidRPr="37E63DBD" w:rsidR="17C20DD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ing</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inventory is being sold and replaced more </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frequently</w:t>
      </w:r>
      <w:r w:rsidRPr="37E63DBD" w:rsidR="03B09E6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58D65555" wp14:textId="70B17834">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Higher inven</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tory tu</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rn</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over is </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ge</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nerally associated</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with improved operational efficiency, as it reflects stronger sales </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activ</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ity </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relative</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stock le</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vels. Ho</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wever, literature from Aktas, Croci &amp; </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Petmezas</w:t>
      </w:r>
      <w:r w:rsidRPr="37E63DBD" w:rsidR="0198A5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(2015)</w:t>
      </w:r>
      <w:r w:rsidRPr="37E63DBD" w:rsidR="5BD16A7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notes that increases in turnover must be interpreted carefully, as they may reflect reduced inventory holding, potential stock constraints, or shifts in demand patterns rather than </w:t>
      </w:r>
      <w:r w:rsidRPr="37E63DBD" w:rsidR="399C16C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purely</w:t>
      </w:r>
      <w:r w:rsidRPr="37E63DBD" w:rsidR="5BD16A7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22BAE72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operational</w:t>
      </w:r>
      <w:r w:rsidRPr="37E63DBD" w:rsidR="5BD16A7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improvement</w:t>
      </w: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7B37468E" wp14:textId="7FB97968">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Stock days decreased </w:t>
      </w:r>
      <w:r w:rsidRPr="37E63DBD" w:rsidR="238ADAD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significantly</w:t>
      </w: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from 369 days</w:t>
      </w:r>
      <w:r w:rsidRPr="37E63DBD" w:rsidR="2CEADC8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2024 (</w:t>
      </w:r>
      <w:r w:rsidRPr="37E63DBD" w:rsidR="756D26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14</w:t>
      </w:r>
      <w:r w:rsidRPr="37E63DBD" w:rsidR="2CEADC8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168 days</w:t>
      </w:r>
      <w:r w:rsidRPr="37E63DBD" w:rsidR="3245565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2025 (</w:t>
      </w:r>
      <w:r w:rsidRPr="37E63DBD" w:rsidR="1A1CAF5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w:t>
      </w:r>
      <w:r w:rsidRPr="37E63DBD" w:rsidR="1A1CAF5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w:t>
      </w: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meaning inventory is held for a much shorter period before being sold. </w:t>
      </w:r>
      <w:r w:rsidRPr="37E63DBD" w:rsidR="24C9A93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 </w:t>
      </w:r>
      <w:r w:rsidRPr="37E63DBD" w:rsidR="04A5DB7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hospitality and </w:t>
      </w:r>
      <w:r w:rsidRPr="37E63DBD" w:rsidR="24C9A93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retail performance studies, reductions in stock holding periods are commonly associated with improved supply chain responsiveness and stronger demand alignment (</w:t>
      </w:r>
      <w:r w:rsidRPr="37E63DBD" w:rsidR="52D4631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Akron et al., 2020</w:t>
      </w:r>
      <w:r w:rsidRPr="37E63DBD" w:rsidR="2D09CD5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70CAE15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AFCE705" wp14:textId="32B7E081">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1B347F77">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3.2 Debtors days</w:t>
      </w:r>
    </w:p>
    <w:p xmlns:wp14="http://schemas.microsoft.com/office/word/2010/wordml" w:rsidP="37E63DBD" wp14:paraId="616C7058" wp14:textId="11602B8F">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Debtors</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days improved slightly from 4</w:t>
      </w:r>
      <w:r w:rsidRPr="37E63DBD" w:rsidR="1103F52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8</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days in 2024</w:t>
      </w:r>
      <w:r w:rsidRPr="37E63DBD" w:rsidR="0F3A2A1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1ADE42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16</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46 days in 2025</w:t>
      </w:r>
      <w:r w:rsidRPr="37E63DBD" w:rsidR="5E05499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33DFB25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17</w:t>
      </w:r>
      <w:r w:rsidRPr="37E63DBD" w:rsidR="5E05499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customers are paying marginally faster. </w:t>
      </w:r>
    </w:p>
    <w:p xmlns:wp14="http://schemas.microsoft.com/office/word/2010/wordml" w:rsidP="32E1AE9F" wp14:paraId="52B8AA99" wp14:textId="5B640119">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This suggests a small improvement in credit control and cash collection efficiency. Effective receivables management is important as delays in customer payments can place pressure on liquidity and working capital (Brigham &amp; Ehrhardt, 202</w:t>
      </w:r>
      <w:r w:rsidRPr="32E1AE9F" w:rsidR="1D1283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0</w:t>
      </w:r>
      <w:r w:rsidRPr="32E1AE9F"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9158D5C" wp14:textId="7BFA7DF2">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1B347F77">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3.3 Creditor days</w:t>
      </w:r>
    </w:p>
    <w:p xmlns:wp14="http://schemas.microsoft.com/office/word/2010/wordml" w:rsidP="37E63DBD" wp14:paraId="3311385B" wp14:textId="190DFCAB">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Creditor days decreased from 191 days</w:t>
      </w:r>
      <w:r w:rsidRPr="37E63DBD" w:rsidR="2E535D8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496FE8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18</w:t>
      </w:r>
      <w:r w:rsidRPr="37E63DBD" w:rsidR="2E535D8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182 days</w:t>
      </w:r>
      <w:r w:rsidRPr="37E63DBD" w:rsidR="04FD52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B0F780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19</w:t>
      </w:r>
      <w:r w:rsidRPr="37E63DBD" w:rsidR="04FD52B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meaning Burberry is taking slightly less time to pay suppliers.</w:t>
      </w:r>
    </w:p>
    <w:p xmlns:wp14="http://schemas.microsoft.com/office/word/2010/wordml" w:rsidP="37E63DBD" wp14:paraId="16669BB3" wp14:textId="4C7B194E">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While faster payments may strengthen supplier relationships and improve supply chain stability, they also reduce the benefits of trade credit </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as</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short-term source of finance. </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Financial management</w:t>
      </w:r>
      <w:r w:rsidRPr="37E63DBD" w:rsidR="1B347F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theory suggests that firms must balance supplier relationships with liquidity optimisation when managing payables (</w:t>
      </w:r>
      <w:r w:rsidRPr="37E63DBD" w:rsidR="5F537E1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Arnold, 20</w:t>
      </w:r>
      <w:r w:rsidRPr="37E63DBD" w:rsidR="7CA7B46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13</w:t>
      </w:r>
      <w:r w:rsidRPr="37E63DBD" w:rsidR="5F537E1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It is also worth noting that the ideal time range is around 60 days, and any over 100 is considered too high</w:t>
      </w:r>
      <w:r w:rsidRPr="37E63DBD" w:rsidR="4241360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4828A1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(Sahoo, 2024</w:t>
      </w:r>
      <w:r w:rsidRPr="37E63DBD" w:rsidR="4241360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2CA16147" wp14:textId="24F28A4D">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Overall, </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Burber</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ry </w:t>
      </w:r>
      <w:r w:rsidRPr="37E63DBD" w:rsidR="2903254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demonst</w:t>
      </w:r>
      <w:r w:rsidRPr="37E63DBD" w:rsidR="2903254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rates</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improving</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operational efficiency in inventory management and receivables collection, alongside a reduction in creditor days. From </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 financial management</w:t>
      </w:r>
      <w:r w:rsidRPr="37E63DBD" w:rsidR="7D7A88A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perspective, this suggests an improvement in operational control and working capital efficiency, particularly through faster inventory t</w:t>
      </w:r>
      <w:r w:rsidRPr="37E63DBD" w:rsidR="0E28AEF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urnover. However, the reduction in supplier credit may place slight pressure on short-term cash resources, meaning efficiency gains may need to be balanced against liquidity management </w:t>
      </w:r>
      <w:r w:rsidRPr="37E63DBD" w:rsidR="0E28AEF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objectives</w:t>
      </w:r>
      <w:r w:rsidRPr="37E63DBD" w:rsidR="0E28AEF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5DA6F576" wp14:textId="2AAD64B5">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75626535">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Gearing ratios</w:t>
      </w:r>
    </w:p>
    <w:p xmlns:wp14="http://schemas.microsoft.com/office/word/2010/wordml" w:rsidP="32E1AE9F" wp14:paraId="21846FFE" wp14:textId="0D485A05">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756265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Gearing ratios measure the proportion of a company’s capital structure that is financed through debt compared to equity. They are used to assess financial risk, as higher levels of borrowing increase exposure to interest rate changes and repayment obligations, particularly during periods of economic uncertainty </w:t>
      </w:r>
      <w:r w:rsidRPr="32E1AE9F" w:rsidR="0F686F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2E1AE9F" w:rsidR="6C6D2E8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Frank &amp; Goyal, 20</w:t>
      </w:r>
      <w:r w:rsidRPr="32E1AE9F" w:rsidR="4336599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04</w:t>
      </w:r>
      <w:r w:rsidRPr="32E1AE9F" w:rsidR="0F686F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94AE2AC" wp14:textId="5DEDF7D6">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0F686F04">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4.1 Gearing </w:t>
      </w:r>
      <w:r w:rsidRPr="37E63DBD" w:rsidR="3F16901E">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ratio</w:t>
      </w:r>
      <w:r w:rsidRPr="37E63DBD" w:rsidR="34016425">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 xml:space="preserve">s </w:t>
      </w:r>
    </w:p>
    <w:p w:rsidR="1D292728" w:rsidP="37E63DBD" w:rsidRDefault="1D292728" w14:paraId="2295A326" w14:textId="7F407854">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D29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Gearing ratio 1 increased from 11.9% in 2024 (Appendix 20) to 18.9% in 2025 (Appendix 21), </w:t>
      </w:r>
      <w:r w:rsidRPr="37E63DBD" w:rsidR="0A3E018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1D29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rise in overall financial leverage</w:t>
      </w:r>
      <w:r w:rsidRPr="37E63DBD" w:rsidR="4C0565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007BF6DF" wp14:textId="1A08346F">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23C97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earing rati</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 2 shows a</w:t>
      </w:r>
      <w:r w:rsidRPr="37E63DBD" w:rsidR="78F059D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increas</w:t>
      </w:r>
      <w:r w:rsidRPr="37E63DBD" w:rsidR="2457AEC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from 25.9% in 2024</w:t>
      </w:r>
      <w:r w:rsidRPr="37E63DBD" w:rsidR="1EC10F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8BFF7F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22)</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47.5% in 2025</w:t>
      </w:r>
      <w:r w:rsidRPr="37E63DBD" w:rsidR="2789DC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2106AA0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23</w:t>
      </w:r>
      <w:r w:rsidRPr="37E63DBD" w:rsidR="2789DC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F95AF7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substantial rise in financial leverage.</w:t>
      </w:r>
    </w:p>
    <w:p xmlns:wp14="http://schemas.microsoft.com/office/word/2010/wordml" w:rsidP="37E63DBD" wp14:paraId="16CC821E" wp14:textId="167FC7B8">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This suggests that, under a broader debt-to-capital definition, Burberry has become significantly more reliant on debt financing. Hi</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gher geari</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ng increases financial risk, as fixed obligations such as interest payments must be met regardless of performance (</w:t>
      </w:r>
      <w:r w:rsidRPr="37E63DBD" w:rsidR="757BA3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Ahmed </w:t>
      </w:r>
      <w:r w:rsidRPr="37E63DBD" w:rsidR="757BA3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Mareai</w:t>
      </w:r>
      <w:r w:rsidRPr="37E63DBD" w:rsidR="757BA3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Senan et al., 2021</w:t>
      </w:r>
      <w:r w:rsidRPr="37E63DBD" w:rsidR="00CB1F8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3F16901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5FB51AC1" wp14:textId="15E1D5E2">
      <w:pPr>
        <w:pStyle w:val="ListParagraph"/>
        <w:numPr>
          <w:ilvl w:val="0"/>
          <w:numId w:val="2"/>
        </w:numPr>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3CED90E7">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Investor Ratios</w:t>
      </w:r>
    </w:p>
    <w:p xmlns:wp14="http://schemas.microsoft.com/office/word/2010/wordml" w:rsidP="37E63DBD" wp14:paraId="649A0E10" wp14:textId="09C9297A">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Investor rati</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os as</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sess re</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turns to</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shareholders and the attractiveness of a company as an investment. They are particularly important for listed firms, as they reflect profitability from the perspective of equity </w:t>
      </w:r>
      <w:r w:rsidRPr="37E63DBD" w:rsidR="51F9F93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holders</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the sustainability of dividend policy. These ratios are </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closely linked</w:t>
      </w:r>
      <w:r w:rsidRPr="37E63DBD" w:rsidR="3CED90E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market confidence and</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earnings performance (</w:t>
      </w:r>
      <w:r w:rsidRPr="37E63DBD" w:rsidR="2400F0D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Harinurdin, 2023)</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1519124C" wp14:textId="30D398F6">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1437F069">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5.1 Earnings per share (EPS)</w:t>
      </w:r>
    </w:p>
    <w:p xmlns:wp14="http://schemas.microsoft.com/office/word/2010/wordml" w:rsidP="37E63DBD" wp14:paraId="1F2440F1" wp14:textId="0139B836">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For 2025, Burberry reports negative earnings per </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share</w:t>
      </w:r>
      <w:r w:rsidRPr="37E63DBD" w:rsidR="22014C57">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37E63DBD" w:rsidR="12B3868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of </w:t>
      </w:r>
      <w:r w:rsidRPr="37E63DBD" w:rsidR="12B3868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w:t>
      </w:r>
      <w:r w:rsidRPr="37E63DBD" w:rsidR="12B3868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20.9)p</w:t>
      </w:r>
      <w:r w:rsidRPr="37E63DBD" w:rsidR="12B3868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37E63DBD" w:rsidR="22014C57">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w:t>
      </w:r>
      <w:r w:rsidRPr="37E63DBD" w:rsidR="0925F40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Appendix 24</w:t>
      </w:r>
      <w:r w:rsidRPr="37E63DBD" w:rsidR="3DFFBF0B">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indicating</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that the company made a net loss attributable to ordinary shareholders. This </w:t>
      </w:r>
      <w:r w:rsidRPr="37E63DBD" w:rsidR="3E520D9C">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contrasts</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with 2024, where EPS was positive </w:t>
      </w:r>
      <w:r w:rsidRPr="37E63DBD" w:rsidR="3139334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at 74.1p </w:t>
      </w:r>
      <w:r w:rsidRPr="37E63DBD" w:rsidR="2D80805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(Appendix 25</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xmlns:wp14="http://schemas.microsoft.com/office/word/2010/wordml" w:rsidP="37E63DBD" wp14:paraId="648FA4FD" wp14:textId="2C88157F">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A decline into negative EPS is a significant signal for investors, as it </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indicates</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that the company is not generating sufficient profits to reward eq</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ui</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ty holders. </w:t>
      </w:r>
      <w:r w:rsidRPr="37E63DBD" w:rsidR="2EEE5E13">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Academic</w:t>
      </w:r>
      <w:r w:rsidRPr="37E63DBD" w:rsidR="1437F06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literature suggests that EPS is one of the most closely watched indicators of corporate performance, as it directly reflects</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37E63DBD" w:rsidR="0D9646DA">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shareholder</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value creation (</w:t>
      </w:r>
      <w:r w:rsidRPr="37E63DBD" w:rsidR="1201098B">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Sloan &amp; Wang, 2025</w:t>
      </w:r>
      <w:r w:rsidRPr="37E63DBD" w:rsidR="5D345E2A">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xmlns:wp14="http://schemas.microsoft.com/office/word/2010/wordml" w:rsidP="37E63DBD" wp14:paraId="1E355539" wp14:textId="092DEB9B">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The deterioration in EPS aligns with the bro</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ader decli</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ne in profitability </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identified</w:t>
      </w:r>
      <w:r w:rsidRPr="37E63DBD" w:rsidR="24B3FFF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earlier, reinforcing concerns about reduced earnings capacity. </w:t>
      </w:r>
    </w:p>
    <w:p xmlns:wp14="http://schemas.microsoft.com/office/word/2010/wordml" w:rsidP="37E63DBD" wp14:paraId="3E01182D" wp14:textId="224417E4">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pPr>
      <w:r w:rsidRPr="37E63DBD" w:rsidR="71620DBB">
        <w:rPr>
          <w:rFonts w:ascii="Arial" w:hAnsi="Arial" w:eastAsia="Arial" w:cs="Arial"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GB"/>
        </w:rPr>
        <w:t>5.2 Dividend cover</w:t>
      </w:r>
    </w:p>
    <w:p xmlns:wp14="http://schemas.microsoft.com/office/word/2010/wordml" w:rsidP="37E63DBD" wp14:paraId="4C51CD3E" wp14:textId="4FF83913">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Dividend cover cannot be meaningfully calculated for 2025 due to negative earnings</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This implies that earnings are insufficient to support dividend payments without </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w:t>
      </w:r>
      <w:r w:rsidRPr="37E63DBD" w:rsidR="7696563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ying on reserves or alternative funding sources. </w:t>
      </w:r>
    </w:p>
    <w:p xmlns:wp14="http://schemas.microsoft.com/office/word/2010/wordml" w:rsidP="37E63DBD" wp14:paraId="2307B650" wp14:textId="1ACF143C">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 2024, dividend cover was 4.4</w:t>
      </w:r>
      <w:r w:rsidRPr="37E63DBD" w:rsidR="2FDBC8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A6E8B4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Appendix 26</w:t>
      </w:r>
      <w:r w:rsidRPr="37E63DBD" w:rsidR="2FDBC8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indicating</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that earnings were more than sufficient to cover payments multiple times. A high dividend cover ratio is </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generall</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y interpr</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eted</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as a sign o</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 dividend sustainability and financial stren</w:t>
      </w:r>
      <w:r w:rsidRPr="37E63DBD" w:rsidR="71620D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gth (</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Brav et al., 2</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0</w:t>
      </w:r>
      <w:r w:rsidRPr="37E63DBD" w:rsidR="692F38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05</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2E1AE9F" wp14:paraId="03AC59ED" wp14:textId="4B2034BA">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removal of meaningful dividend cover in 2025 suggests a deterioration in earnings quality and raises questions about the sustainability of future dividend payments. </w:t>
      </w:r>
    </w:p>
    <w:p xmlns:wp14="http://schemas.microsoft.com/office/word/2010/wordml" w:rsidP="37E63DBD" wp14:paraId="1982EAC4" wp14:textId="38185478">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Overall, Burberry’s in</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vestor p</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osition has weakened significantly. The shift from positive to negative EPS, combined with the loss of dividend cover, </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indicates</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reduced returns to shareholders and increa</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sed uncer</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tainty </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regarding</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future dividend pol</w:t>
      </w:r>
      <w:r w:rsidRPr="37E63DBD"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icy. </w:t>
      </w:r>
    </w:p>
    <w:p xmlns:wp14="http://schemas.microsoft.com/office/word/2010/wordml" w:rsidP="32E1AE9F" wp14:paraId="676D1226" wp14:textId="38D9D09F">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2E1AE9F"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This aligns with earlier findings of declining profitability and rising financial risk, suggesting a broader deterioration in overall financial performance during 2025</w:t>
      </w:r>
      <w:r w:rsidRPr="32E1AE9F" w:rsidR="6B7D0EC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703436A2" wp14:textId="7ED509DB">
      <w:pPr>
        <w:pStyle w:val="ListParagraph"/>
        <w:numPr>
          <w:ilvl w:val="0"/>
          <w:numId w:val="2"/>
        </w:numPr>
        <w:spacing w:line="360" w:lineRule="auto"/>
        <w:jc w:val="both"/>
        <w:rPr>
          <w:rFonts w:ascii="Arial" w:hAnsi="Arial" w:eastAsia="Arial" w:cs="Arial" w:asciiTheme="minorAscii" w:hAnsiTheme="minorAscii" w:eastAsiaTheme="minorAscii" w:cstheme="minorAscii"/>
          <w:b w:val="1"/>
          <w:bCs w:val="1"/>
          <w:sz w:val="22"/>
          <w:szCs w:val="22"/>
        </w:rPr>
      </w:pPr>
      <w:r w:rsidRPr="37E63DBD" w:rsidR="73918BDA">
        <w:rPr>
          <w:rFonts w:ascii="Arial" w:hAnsi="Arial" w:eastAsia="Arial" w:cs="Arial" w:asciiTheme="minorAscii" w:hAnsiTheme="minorAscii" w:eastAsiaTheme="minorAscii" w:cstheme="minorAscii"/>
          <w:b w:val="1"/>
          <w:bCs w:val="1"/>
          <w:sz w:val="22"/>
          <w:szCs w:val="22"/>
        </w:rPr>
        <w:t>Critical evaluation of financial performance</w:t>
      </w:r>
    </w:p>
    <w:p xmlns:wp14="http://schemas.microsoft.com/office/word/2010/wordml" w:rsidP="32E1AE9F" wp14:paraId="038D3415" wp14:textId="1C23623E">
      <w:pPr>
        <w:pStyle w:val="Normal"/>
        <w:spacing w:line="360" w:lineRule="auto"/>
        <w:jc w:val="both"/>
        <w:rPr>
          <w:rFonts w:ascii="Arial" w:hAnsi="Arial" w:eastAsia="Arial" w:cs="Arial" w:asciiTheme="minorAscii" w:hAnsiTheme="minorAscii" w:eastAsiaTheme="minorAscii" w:cstheme="minorAscii"/>
          <w:sz w:val="22"/>
          <w:szCs w:val="22"/>
        </w:rPr>
      </w:pPr>
      <w:r w:rsidRPr="37E63DBD" w:rsidR="73918BDA">
        <w:rPr>
          <w:rFonts w:ascii="Arial" w:hAnsi="Arial" w:eastAsia="Arial" w:cs="Arial" w:asciiTheme="minorAscii" w:hAnsiTheme="minorAscii" w:eastAsiaTheme="minorAscii" w:cstheme="minorAscii"/>
          <w:sz w:val="22"/>
          <w:szCs w:val="22"/>
        </w:rPr>
        <w:t xml:space="preserve">Overall, Burberry Group plc </w:t>
      </w:r>
      <w:r w:rsidRPr="37E63DBD" w:rsidR="73918BDA">
        <w:rPr>
          <w:rFonts w:ascii="Arial" w:hAnsi="Arial" w:eastAsia="Arial" w:cs="Arial" w:asciiTheme="minorAscii" w:hAnsiTheme="minorAscii" w:eastAsiaTheme="minorAscii" w:cstheme="minorAscii"/>
          <w:sz w:val="22"/>
          <w:szCs w:val="22"/>
        </w:rPr>
        <w:t>demonst</w:t>
      </w:r>
      <w:r w:rsidRPr="37E63DBD" w:rsidR="73918BDA">
        <w:rPr>
          <w:rFonts w:ascii="Arial" w:hAnsi="Arial" w:eastAsia="Arial" w:cs="Arial" w:asciiTheme="minorAscii" w:hAnsiTheme="minorAscii" w:eastAsiaTheme="minorAscii" w:cstheme="minorAscii"/>
          <w:sz w:val="22"/>
          <w:szCs w:val="22"/>
        </w:rPr>
        <w:t>rates</w:t>
      </w:r>
      <w:r w:rsidRPr="37E63DBD" w:rsidR="73918BDA">
        <w:rPr>
          <w:rFonts w:ascii="Arial" w:hAnsi="Arial" w:eastAsia="Arial" w:cs="Arial" w:asciiTheme="minorAscii" w:hAnsiTheme="minorAscii" w:eastAsiaTheme="minorAscii" w:cstheme="minorAscii"/>
          <w:sz w:val="22"/>
          <w:szCs w:val="22"/>
        </w:rPr>
        <w:t xml:space="preserve"> a de</w:t>
      </w:r>
      <w:r w:rsidRPr="37E63DBD" w:rsidR="73918BDA">
        <w:rPr>
          <w:rFonts w:ascii="Arial" w:hAnsi="Arial" w:eastAsia="Arial" w:cs="Arial" w:asciiTheme="minorAscii" w:hAnsiTheme="minorAscii" w:eastAsiaTheme="minorAscii" w:cstheme="minorAscii"/>
          <w:sz w:val="22"/>
          <w:szCs w:val="22"/>
        </w:rPr>
        <w:t>terioration in financial performance between</w:t>
      </w:r>
      <w:r w:rsidRPr="37E63DBD" w:rsidR="73918BDA">
        <w:rPr>
          <w:rFonts w:ascii="Arial" w:hAnsi="Arial" w:eastAsia="Arial" w:cs="Arial" w:asciiTheme="minorAscii" w:hAnsiTheme="minorAscii" w:eastAsiaTheme="minorAscii" w:cstheme="minorAscii"/>
          <w:sz w:val="22"/>
          <w:szCs w:val="22"/>
        </w:rPr>
        <w:t xml:space="preserve"> 2024 and </w:t>
      </w:r>
      <w:r w:rsidRPr="37E63DBD" w:rsidR="73918BDA">
        <w:rPr>
          <w:rFonts w:ascii="Arial" w:hAnsi="Arial" w:eastAsia="Arial" w:cs="Arial" w:asciiTheme="minorAscii" w:hAnsiTheme="minorAscii" w:eastAsiaTheme="minorAscii" w:cstheme="minorAscii"/>
          <w:sz w:val="22"/>
          <w:szCs w:val="22"/>
        </w:rPr>
        <w:t xml:space="preserve">2025. The ratio analysis </w:t>
      </w:r>
      <w:r w:rsidRPr="37E63DBD" w:rsidR="73918BDA">
        <w:rPr>
          <w:rFonts w:ascii="Arial" w:hAnsi="Arial" w:eastAsia="Arial" w:cs="Arial" w:asciiTheme="minorAscii" w:hAnsiTheme="minorAscii" w:eastAsiaTheme="minorAscii" w:cstheme="minorAscii"/>
          <w:sz w:val="22"/>
          <w:szCs w:val="22"/>
        </w:rPr>
        <w:t>indicates</w:t>
      </w:r>
      <w:r w:rsidRPr="37E63DBD" w:rsidR="73918BDA">
        <w:rPr>
          <w:rFonts w:ascii="Arial" w:hAnsi="Arial" w:eastAsia="Arial" w:cs="Arial" w:asciiTheme="minorAscii" w:hAnsiTheme="minorAscii" w:eastAsiaTheme="minorAscii" w:cstheme="minorAscii"/>
          <w:sz w:val="22"/>
          <w:szCs w:val="22"/>
        </w:rPr>
        <w:t xml:space="preserve"> a clear weakening in profitability, alongside mixed signals from liquidity, efficiency, and geari</w:t>
      </w:r>
      <w:r w:rsidRPr="37E63DBD" w:rsidR="73918BDA">
        <w:rPr>
          <w:rFonts w:ascii="Arial" w:hAnsi="Arial" w:eastAsia="Arial" w:cs="Arial" w:asciiTheme="minorAscii" w:hAnsiTheme="minorAscii" w:eastAsiaTheme="minorAscii" w:cstheme="minorAscii"/>
          <w:sz w:val="22"/>
          <w:szCs w:val="22"/>
        </w:rPr>
        <w:t xml:space="preserve">ng. When </w:t>
      </w:r>
      <w:r w:rsidRPr="37E63DBD" w:rsidR="73918BDA">
        <w:rPr>
          <w:rFonts w:ascii="Arial" w:hAnsi="Arial" w:eastAsia="Arial" w:cs="Arial" w:asciiTheme="minorAscii" w:hAnsiTheme="minorAscii" w:eastAsiaTheme="minorAscii" w:cstheme="minorAscii"/>
          <w:sz w:val="22"/>
          <w:szCs w:val="22"/>
        </w:rPr>
        <w:t>assessed collectively, the r</w:t>
      </w:r>
      <w:r w:rsidRPr="37E63DBD" w:rsidR="585805EC">
        <w:rPr>
          <w:rFonts w:ascii="Arial" w:hAnsi="Arial" w:eastAsia="Arial" w:cs="Arial" w:asciiTheme="minorAscii" w:hAnsiTheme="minorAscii" w:eastAsiaTheme="minorAscii" w:cstheme="minorAscii"/>
          <w:sz w:val="22"/>
          <w:szCs w:val="22"/>
        </w:rPr>
        <w:t>esults</w:t>
      </w:r>
      <w:r w:rsidRPr="37E63DBD" w:rsidR="585805EC">
        <w:rPr>
          <w:rFonts w:ascii="Arial" w:hAnsi="Arial" w:eastAsia="Arial" w:cs="Arial" w:asciiTheme="minorAscii" w:hAnsiTheme="minorAscii" w:eastAsiaTheme="minorAscii" w:cstheme="minorAscii"/>
          <w:sz w:val="22"/>
          <w:szCs w:val="22"/>
        </w:rPr>
        <w:t xml:space="preserve"> suggest t</w:t>
      </w:r>
      <w:r w:rsidRPr="37E63DBD" w:rsidR="585805EC">
        <w:rPr>
          <w:rFonts w:ascii="Arial" w:hAnsi="Arial" w:eastAsia="Arial" w:cs="Arial" w:asciiTheme="minorAscii" w:hAnsiTheme="minorAscii" w:eastAsiaTheme="minorAscii" w:cstheme="minorAscii"/>
          <w:sz w:val="22"/>
          <w:szCs w:val="22"/>
        </w:rPr>
        <w:t xml:space="preserve">hat operational and external pressures are beginning to affect overall financial </w:t>
      </w:r>
      <w:r w:rsidRPr="37E63DBD" w:rsidR="6F3AD72E">
        <w:rPr>
          <w:rFonts w:ascii="Arial" w:hAnsi="Arial" w:eastAsia="Arial" w:cs="Arial" w:asciiTheme="minorAscii" w:hAnsiTheme="minorAscii" w:eastAsiaTheme="minorAscii" w:cstheme="minorAscii"/>
          <w:sz w:val="22"/>
          <w:szCs w:val="22"/>
        </w:rPr>
        <w:t>stability</w:t>
      </w:r>
      <w:r w:rsidRPr="37E63DBD" w:rsidR="585805EC">
        <w:rPr>
          <w:rFonts w:ascii="Arial" w:hAnsi="Arial" w:eastAsia="Arial" w:cs="Arial" w:asciiTheme="minorAscii" w:hAnsiTheme="minorAscii" w:eastAsiaTheme="minorAscii" w:cstheme="minorAscii"/>
          <w:sz w:val="22"/>
          <w:szCs w:val="22"/>
        </w:rPr>
        <w:t xml:space="preserve"> and shareholder returns.  and shareholder returns. </w:t>
      </w:r>
    </w:p>
    <w:p xmlns:wp14="http://schemas.microsoft.com/office/word/2010/wordml" w:rsidP="37E63DBD" wp14:paraId="24BBFDCF" wp14:textId="0F55D24B">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585805EC">
        <w:rPr>
          <w:rFonts w:ascii="Arial" w:hAnsi="Arial" w:eastAsia="Arial" w:cs="Arial" w:asciiTheme="minorAscii" w:hAnsiTheme="minorAscii" w:eastAsiaTheme="minorAscii" w:cstheme="minorAscii"/>
          <w:b w:val="1"/>
          <w:bCs w:val="1"/>
          <w:sz w:val="22"/>
          <w:szCs w:val="22"/>
        </w:rPr>
        <w:t>6.1 Profitability Performance</w:t>
      </w:r>
    </w:p>
    <w:p xmlns:wp14="http://schemas.microsoft.com/office/word/2010/wordml" w:rsidP="32E1AE9F" wp14:paraId="2A29FAAE" wp14:textId="3C89AE25">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85805EC">
        <w:rPr>
          <w:rFonts w:ascii="Arial" w:hAnsi="Arial" w:eastAsia="Arial" w:cs="Arial" w:asciiTheme="minorAscii" w:hAnsiTheme="minorAscii" w:eastAsiaTheme="minorAscii" w:cstheme="minorAscii"/>
          <w:sz w:val="22"/>
          <w:szCs w:val="22"/>
        </w:rPr>
        <w:t>The most significant movement in the analysis is the sharp decline in profitability, with operating performance moving from a</w:t>
      </w:r>
      <w:r w:rsidRPr="37E63DBD" w:rsidR="585805EC">
        <w:rPr>
          <w:rFonts w:ascii="Arial" w:hAnsi="Arial" w:eastAsia="Arial" w:cs="Arial" w:asciiTheme="minorAscii" w:hAnsiTheme="minorAscii" w:eastAsiaTheme="minorAscii" w:cstheme="minorAscii"/>
          <w:sz w:val="22"/>
          <w:szCs w:val="22"/>
        </w:rPr>
        <w:t xml:space="preserve"> positi</w:t>
      </w:r>
      <w:r w:rsidRPr="37E63DBD" w:rsidR="585805EC">
        <w:rPr>
          <w:rFonts w:ascii="Arial" w:hAnsi="Arial" w:eastAsia="Arial" w:cs="Arial" w:asciiTheme="minorAscii" w:hAnsiTheme="minorAscii" w:eastAsiaTheme="minorAscii" w:cstheme="minorAscii"/>
          <w:sz w:val="22"/>
          <w:szCs w:val="22"/>
        </w:rPr>
        <w:t xml:space="preserve">ve position in 2024 to a loss in 2025. This is reflected across gross profit margins and ROCE, </w:t>
      </w:r>
      <w:r w:rsidRPr="37E63DBD" w:rsidR="12E0E673">
        <w:rPr>
          <w:rFonts w:ascii="Arial" w:hAnsi="Arial" w:eastAsia="Arial" w:cs="Arial" w:asciiTheme="minorAscii" w:hAnsiTheme="minorAscii" w:eastAsiaTheme="minorAscii" w:cstheme="minorAscii"/>
          <w:sz w:val="22"/>
          <w:szCs w:val="22"/>
        </w:rPr>
        <w:t>indicating</w:t>
      </w:r>
      <w:r w:rsidRPr="37E63DBD" w:rsidR="585805EC">
        <w:rPr>
          <w:rFonts w:ascii="Arial" w:hAnsi="Arial" w:eastAsia="Arial" w:cs="Arial" w:asciiTheme="minorAscii" w:hAnsiTheme="minorAscii" w:eastAsiaTheme="minorAscii" w:cstheme="minorAscii"/>
          <w:sz w:val="22"/>
          <w:szCs w:val="22"/>
        </w:rPr>
        <w:t xml:space="preserve"> both margin pressure and reduced efficiency</w:t>
      </w:r>
      <w:r w:rsidRPr="37E63DBD" w:rsidR="076E32FE">
        <w:rPr>
          <w:rFonts w:ascii="Arial" w:hAnsi="Arial" w:eastAsia="Arial" w:cs="Arial" w:asciiTheme="minorAscii" w:hAnsiTheme="minorAscii" w:eastAsiaTheme="minorAscii" w:cstheme="minorAscii"/>
          <w:sz w:val="22"/>
          <w:szCs w:val="22"/>
        </w:rPr>
        <w:t xml:space="preserve"> in generating returns from invested capital.</w:t>
      </w:r>
    </w:p>
    <w:p xmlns:wp14="http://schemas.microsoft.com/office/word/2010/wordml" w:rsidP="32E1AE9F" wp14:paraId="3511D701" wp14:textId="74F8704B">
      <w:pPr>
        <w:pStyle w:val="Normal"/>
        <w:spacing w:line="360" w:lineRule="auto"/>
        <w:jc w:val="both"/>
        <w:rPr>
          <w:rFonts w:ascii="Arial" w:hAnsi="Arial" w:eastAsia="Arial" w:cs="Arial" w:asciiTheme="minorAscii" w:hAnsiTheme="minorAscii" w:eastAsiaTheme="minorAscii" w:cstheme="minorAscii"/>
          <w:sz w:val="22"/>
          <w:szCs w:val="22"/>
        </w:rPr>
      </w:pPr>
      <w:r w:rsidRPr="37E63DBD" w:rsidR="076E32FE">
        <w:rPr>
          <w:rFonts w:ascii="Arial" w:hAnsi="Arial" w:eastAsia="Arial" w:cs="Arial" w:asciiTheme="minorAscii" w:hAnsiTheme="minorAscii" w:eastAsiaTheme="minorAscii" w:cstheme="minorAscii"/>
          <w:sz w:val="22"/>
          <w:szCs w:val="22"/>
        </w:rPr>
        <w:t>Academic literature suggests that sustained declines in profitability are often indicative of wider structural or market-related challenges rather than isolated operational inefficiencies (</w:t>
      </w:r>
      <w:r w:rsidRPr="37E63DBD" w:rsidR="7CAABF02">
        <w:rPr>
          <w:rFonts w:ascii="Arial" w:hAnsi="Arial" w:eastAsia="Arial" w:cs="Arial" w:asciiTheme="minorAscii" w:hAnsiTheme="minorAscii" w:eastAsiaTheme="minorAscii" w:cstheme="minorAscii"/>
          <w:sz w:val="22"/>
          <w:szCs w:val="22"/>
        </w:rPr>
        <w:t xml:space="preserve">Baby, Mia &amp; </w:t>
      </w:r>
      <w:r w:rsidRPr="37E63DBD" w:rsidR="7CAABF02">
        <w:rPr>
          <w:rFonts w:ascii="Arial" w:hAnsi="Arial" w:eastAsia="Arial" w:cs="Arial" w:asciiTheme="minorAscii" w:hAnsiTheme="minorAscii" w:eastAsiaTheme="minorAscii" w:cstheme="minorAscii"/>
          <w:sz w:val="22"/>
          <w:szCs w:val="22"/>
        </w:rPr>
        <w:t>Pitchay</w:t>
      </w:r>
      <w:r w:rsidRPr="37E63DBD" w:rsidR="7CAABF02">
        <w:rPr>
          <w:rFonts w:ascii="Arial" w:hAnsi="Arial" w:eastAsia="Arial" w:cs="Arial" w:asciiTheme="minorAscii" w:hAnsiTheme="minorAscii" w:eastAsiaTheme="minorAscii" w:cstheme="minorAscii"/>
          <w:sz w:val="22"/>
          <w:szCs w:val="22"/>
        </w:rPr>
        <w:t>, 2024</w:t>
      </w:r>
      <w:r w:rsidRPr="37E63DBD" w:rsidR="076E32FE">
        <w:rPr>
          <w:rFonts w:ascii="Arial" w:hAnsi="Arial" w:eastAsia="Arial" w:cs="Arial" w:asciiTheme="minorAscii" w:hAnsiTheme="minorAscii" w:eastAsiaTheme="minorAscii" w:cstheme="minorAscii"/>
          <w:sz w:val="22"/>
          <w:szCs w:val="22"/>
        </w:rPr>
        <w:t>). In Burberry’s case, this may reflect in</w:t>
      </w:r>
      <w:r w:rsidRPr="37E63DBD" w:rsidR="076E32FE">
        <w:rPr>
          <w:rFonts w:ascii="Arial" w:hAnsi="Arial" w:eastAsia="Arial" w:cs="Arial" w:asciiTheme="minorAscii" w:hAnsiTheme="minorAscii" w:eastAsiaTheme="minorAscii" w:cstheme="minorAscii"/>
          <w:sz w:val="22"/>
          <w:szCs w:val="22"/>
        </w:rPr>
        <w:t xml:space="preserve">creased </w:t>
      </w:r>
      <w:r w:rsidRPr="37E63DBD" w:rsidR="076E32FE">
        <w:rPr>
          <w:rFonts w:ascii="Arial" w:hAnsi="Arial" w:eastAsia="Arial" w:cs="Arial" w:asciiTheme="minorAscii" w:hAnsiTheme="minorAscii" w:eastAsiaTheme="minorAscii" w:cstheme="minorAscii"/>
          <w:sz w:val="22"/>
          <w:szCs w:val="22"/>
        </w:rPr>
        <w:t>cost pressures, inflationary impact</w:t>
      </w:r>
      <w:r w:rsidRPr="37E63DBD" w:rsidR="729FB60D">
        <w:rPr>
          <w:rFonts w:ascii="Arial" w:hAnsi="Arial" w:eastAsia="Arial" w:cs="Arial" w:asciiTheme="minorAscii" w:hAnsiTheme="minorAscii" w:eastAsiaTheme="minorAscii" w:cstheme="minorAscii"/>
          <w:sz w:val="22"/>
          <w:szCs w:val="22"/>
        </w:rPr>
        <w:t xml:space="preserve">s, or reduced demand within the luxury retail sector. </w:t>
      </w:r>
    </w:p>
    <w:p xmlns:wp14="http://schemas.microsoft.com/office/word/2010/wordml" w:rsidP="37E63DBD" wp14:paraId="11D007B3" wp14:textId="5F20E259">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729FB60D">
        <w:rPr>
          <w:rFonts w:ascii="Arial" w:hAnsi="Arial" w:eastAsia="Arial" w:cs="Arial" w:asciiTheme="minorAscii" w:hAnsiTheme="minorAscii" w:eastAsiaTheme="minorAscii" w:cstheme="minorAscii"/>
          <w:b w:val="1"/>
          <w:bCs w:val="1"/>
          <w:sz w:val="22"/>
          <w:szCs w:val="22"/>
        </w:rPr>
        <w:t>6.2 Liquidity Position</w:t>
      </w:r>
    </w:p>
    <w:p xmlns:wp14="http://schemas.microsoft.com/office/word/2010/wordml" w:rsidP="32E1AE9F" wp14:paraId="6779D333" wp14:textId="5A975FC3">
      <w:pPr>
        <w:pStyle w:val="Normal"/>
        <w:spacing w:line="360" w:lineRule="auto"/>
        <w:jc w:val="both"/>
        <w:rPr>
          <w:rFonts w:ascii="Arial" w:hAnsi="Arial" w:eastAsia="Arial" w:cs="Arial" w:asciiTheme="minorAscii" w:hAnsiTheme="minorAscii" w:eastAsiaTheme="minorAscii" w:cstheme="minorAscii"/>
          <w:sz w:val="22"/>
          <w:szCs w:val="22"/>
        </w:rPr>
      </w:pPr>
      <w:r w:rsidRPr="37E63DBD" w:rsidR="1CBF12F5">
        <w:rPr>
          <w:rFonts w:ascii="Arial" w:hAnsi="Arial" w:eastAsia="Arial" w:cs="Arial" w:asciiTheme="minorAscii" w:hAnsiTheme="minorAscii" w:eastAsiaTheme="minorAscii" w:cstheme="minorAscii"/>
          <w:sz w:val="22"/>
          <w:szCs w:val="22"/>
        </w:rPr>
        <w:t>Liquidity</w:t>
      </w:r>
      <w:r w:rsidRPr="37E63DBD" w:rsidR="729FB60D">
        <w:rPr>
          <w:rFonts w:ascii="Arial" w:hAnsi="Arial" w:eastAsia="Arial" w:cs="Arial" w:asciiTheme="minorAscii" w:hAnsiTheme="minorAscii" w:eastAsiaTheme="minorAscii" w:cstheme="minorAscii"/>
          <w:sz w:val="22"/>
          <w:szCs w:val="22"/>
        </w:rPr>
        <w:t xml:space="preserve"> ratios present a </w:t>
      </w:r>
      <w:r w:rsidRPr="37E63DBD" w:rsidR="729FB60D">
        <w:rPr>
          <w:rFonts w:ascii="Arial" w:hAnsi="Arial" w:eastAsia="Arial" w:cs="Arial" w:asciiTheme="minorAscii" w:hAnsiTheme="minorAscii" w:eastAsiaTheme="minorAscii" w:cstheme="minorAscii"/>
          <w:sz w:val="22"/>
          <w:szCs w:val="22"/>
        </w:rPr>
        <w:t>relatively stable</w:t>
      </w:r>
      <w:r w:rsidRPr="37E63DBD" w:rsidR="729FB60D">
        <w:rPr>
          <w:rFonts w:ascii="Arial" w:hAnsi="Arial" w:eastAsia="Arial" w:cs="Arial" w:asciiTheme="minorAscii" w:hAnsiTheme="minorAscii" w:eastAsiaTheme="minorAscii" w:cstheme="minorAscii"/>
          <w:sz w:val="22"/>
          <w:szCs w:val="22"/>
        </w:rPr>
        <w:t xml:space="preserve"> picture. The quick </w:t>
      </w:r>
      <w:r w:rsidRPr="37E63DBD" w:rsidR="729FB60D">
        <w:rPr>
          <w:rFonts w:ascii="Arial" w:hAnsi="Arial" w:eastAsia="Arial" w:cs="Arial" w:asciiTheme="minorAscii" w:hAnsiTheme="minorAscii" w:eastAsiaTheme="minorAscii" w:cstheme="minorAscii"/>
          <w:sz w:val="22"/>
          <w:szCs w:val="22"/>
        </w:rPr>
        <w:t xml:space="preserve">ratio </w:t>
      </w:r>
      <w:r w:rsidRPr="37E63DBD" w:rsidR="729FB60D">
        <w:rPr>
          <w:rFonts w:ascii="Arial" w:hAnsi="Arial" w:eastAsia="Arial" w:cs="Arial" w:asciiTheme="minorAscii" w:hAnsiTheme="minorAscii" w:eastAsiaTheme="minorAscii" w:cstheme="minorAscii"/>
          <w:sz w:val="22"/>
          <w:szCs w:val="22"/>
        </w:rPr>
        <w:t>remai</w:t>
      </w:r>
      <w:r w:rsidRPr="37E63DBD" w:rsidR="729FB60D">
        <w:rPr>
          <w:rFonts w:ascii="Arial" w:hAnsi="Arial" w:eastAsia="Arial" w:cs="Arial" w:asciiTheme="minorAscii" w:hAnsiTheme="minorAscii" w:eastAsiaTheme="minorAscii" w:cstheme="minorAscii"/>
          <w:sz w:val="22"/>
          <w:szCs w:val="22"/>
        </w:rPr>
        <w:t>ns</w:t>
      </w:r>
      <w:r w:rsidRPr="37E63DBD" w:rsidR="729FB60D">
        <w:rPr>
          <w:rFonts w:ascii="Arial" w:hAnsi="Arial" w:eastAsia="Arial" w:cs="Arial" w:asciiTheme="minorAscii" w:hAnsiTheme="minorAscii" w:eastAsiaTheme="minorAscii" w:cstheme="minorAscii"/>
          <w:sz w:val="22"/>
          <w:szCs w:val="22"/>
        </w:rPr>
        <w:t xml:space="preserve"> constant across both years, while the current ratio shows only a moderate decline. This </w:t>
      </w:r>
      <w:r w:rsidRPr="37E63DBD" w:rsidR="729FB60D">
        <w:rPr>
          <w:rFonts w:ascii="Arial" w:hAnsi="Arial" w:eastAsia="Arial" w:cs="Arial" w:asciiTheme="minorAscii" w:hAnsiTheme="minorAscii" w:eastAsiaTheme="minorAscii" w:cstheme="minorAscii"/>
          <w:sz w:val="22"/>
          <w:szCs w:val="22"/>
        </w:rPr>
        <w:t>indicates</w:t>
      </w:r>
      <w:r w:rsidRPr="37E63DBD" w:rsidR="729FB60D">
        <w:rPr>
          <w:rFonts w:ascii="Arial" w:hAnsi="Arial" w:eastAsia="Arial" w:cs="Arial" w:asciiTheme="minorAscii" w:hAnsiTheme="minorAscii" w:eastAsiaTheme="minorAscii" w:cstheme="minorAscii"/>
          <w:sz w:val="22"/>
          <w:szCs w:val="22"/>
        </w:rPr>
        <w:t xml:space="preserve"> that Burberry continues to maintain sufficient short-term assets to</w:t>
      </w:r>
      <w:r w:rsidRPr="37E63DBD" w:rsidR="729FB60D">
        <w:rPr>
          <w:rFonts w:ascii="Arial" w:hAnsi="Arial" w:eastAsia="Arial" w:cs="Arial" w:asciiTheme="minorAscii" w:hAnsiTheme="minorAscii" w:eastAsiaTheme="minorAscii" w:cstheme="minorAscii"/>
          <w:sz w:val="22"/>
          <w:szCs w:val="22"/>
        </w:rPr>
        <w:t xml:space="preserve"> meet i</w:t>
      </w:r>
      <w:r w:rsidRPr="37E63DBD" w:rsidR="729FB60D">
        <w:rPr>
          <w:rFonts w:ascii="Arial" w:hAnsi="Arial" w:eastAsia="Arial" w:cs="Arial" w:asciiTheme="minorAscii" w:hAnsiTheme="minorAscii" w:eastAsiaTheme="minorAscii" w:cstheme="minorAscii"/>
          <w:sz w:val="22"/>
          <w:szCs w:val="22"/>
        </w:rPr>
        <w:t>ts liabilities.</w:t>
      </w:r>
      <w:r w:rsidRPr="37E63DBD" w:rsidR="729FB60D">
        <w:rPr>
          <w:rFonts w:ascii="Arial" w:hAnsi="Arial" w:eastAsia="Arial" w:cs="Arial" w:asciiTheme="minorAscii" w:hAnsiTheme="minorAscii" w:eastAsiaTheme="minorAscii" w:cstheme="minorAscii"/>
          <w:sz w:val="22"/>
          <w:szCs w:val="22"/>
        </w:rPr>
        <w:t xml:space="preserve"> </w:t>
      </w:r>
    </w:p>
    <w:p xmlns:wp14="http://schemas.microsoft.com/office/word/2010/wordml" w:rsidP="32E1AE9F" wp14:paraId="52CFF4F6" wp14:textId="365C1F1B">
      <w:pPr>
        <w:pStyle w:val="Normal"/>
        <w:spacing w:line="360" w:lineRule="auto"/>
        <w:jc w:val="both"/>
        <w:rPr>
          <w:rFonts w:ascii="Arial" w:hAnsi="Arial" w:eastAsia="Arial" w:cs="Arial" w:asciiTheme="minorAscii" w:hAnsiTheme="minorAscii" w:eastAsiaTheme="minorAscii" w:cstheme="minorAscii"/>
          <w:sz w:val="22"/>
          <w:szCs w:val="22"/>
        </w:rPr>
      </w:pPr>
      <w:r w:rsidRPr="37E63DBD" w:rsidR="729FB60D">
        <w:rPr>
          <w:rFonts w:ascii="Arial" w:hAnsi="Arial" w:eastAsia="Arial" w:cs="Arial" w:asciiTheme="minorAscii" w:hAnsiTheme="minorAscii" w:eastAsiaTheme="minorAscii" w:cstheme="minorAscii"/>
          <w:sz w:val="22"/>
          <w:szCs w:val="22"/>
        </w:rPr>
        <w:t>However, research highlights that stable liquidity ratios can mask underlying financial stress when profitability declines, as weaker earnings reduce internal cash generation capac</w:t>
      </w:r>
      <w:r w:rsidRPr="37E63DBD" w:rsidR="729FB60D">
        <w:rPr>
          <w:rFonts w:ascii="Arial" w:hAnsi="Arial" w:eastAsia="Arial" w:cs="Arial" w:asciiTheme="minorAscii" w:hAnsiTheme="minorAscii" w:eastAsiaTheme="minorAscii" w:cstheme="minorAscii"/>
          <w:sz w:val="22"/>
          <w:szCs w:val="22"/>
        </w:rPr>
        <w:t>ity (</w:t>
      </w:r>
      <w:r w:rsidRPr="37E63DBD" w:rsidR="735D5A21">
        <w:rPr>
          <w:rFonts w:ascii="Arial" w:hAnsi="Arial" w:eastAsia="Arial" w:cs="Arial" w:asciiTheme="minorAscii" w:hAnsiTheme="minorAscii" w:eastAsiaTheme="minorAscii" w:cstheme="minorAscii"/>
          <w:sz w:val="22"/>
          <w:szCs w:val="22"/>
        </w:rPr>
        <w:t>Marg</w:t>
      </w:r>
      <w:r w:rsidRPr="37E63DBD" w:rsidR="735D5A21">
        <w:rPr>
          <w:rFonts w:ascii="Arial" w:hAnsi="Arial" w:eastAsia="Arial" w:cs="Arial" w:asciiTheme="minorAscii" w:hAnsiTheme="minorAscii" w:eastAsiaTheme="minorAscii" w:cstheme="minorAscii"/>
          <w:sz w:val="22"/>
          <w:szCs w:val="22"/>
        </w:rPr>
        <w:t>iningsih</w:t>
      </w:r>
      <w:r w:rsidRPr="37E63DBD" w:rsidR="6C6BDB3A">
        <w:rPr>
          <w:rFonts w:ascii="Arial" w:hAnsi="Arial" w:eastAsia="Arial" w:cs="Arial" w:asciiTheme="minorAscii" w:hAnsiTheme="minorAscii" w:eastAsiaTheme="minorAscii" w:cstheme="minorAscii"/>
          <w:sz w:val="22"/>
          <w:szCs w:val="22"/>
        </w:rPr>
        <w:t xml:space="preserve"> et al.</w:t>
      </w:r>
      <w:r w:rsidRPr="37E63DBD" w:rsidR="56F6480E">
        <w:rPr>
          <w:rFonts w:ascii="Arial" w:hAnsi="Arial" w:eastAsia="Arial" w:cs="Arial" w:asciiTheme="minorAscii" w:hAnsiTheme="minorAscii" w:eastAsiaTheme="minorAscii" w:cstheme="minorAscii"/>
          <w:sz w:val="22"/>
          <w:szCs w:val="22"/>
        </w:rPr>
        <w:t>, 2024</w:t>
      </w:r>
      <w:r w:rsidRPr="37E63DBD" w:rsidR="729FB60D">
        <w:rPr>
          <w:rFonts w:ascii="Arial" w:hAnsi="Arial" w:eastAsia="Arial" w:cs="Arial" w:asciiTheme="minorAscii" w:hAnsiTheme="minorAscii" w:eastAsiaTheme="minorAscii" w:cstheme="minorAscii"/>
          <w:sz w:val="22"/>
          <w:szCs w:val="22"/>
        </w:rPr>
        <w:t>). As a result, although liquidi</w:t>
      </w:r>
      <w:r w:rsidRPr="37E63DBD" w:rsidR="729FB60D">
        <w:rPr>
          <w:rFonts w:ascii="Arial" w:hAnsi="Arial" w:eastAsia="Arial" w:cs="Arial" w:asciiTheme="minorAscii" w:hAnsiTheme="minorAscii" w:eastAsiaTheme="minorAscii" w:cstheme="minorAscii"/>
          <w:sz w:val="22"/>
          <w:szCs w:val="22"/>
        </w:rPr>
        <w:t xml:space="preserve">ty appears </w:t>
      </w:r>
      <w:r w:rsidRPr="37E63DBD" w:rsidR="729FB60D">
        <w:rPr>
          <w:rFonts w:ascii="Arial" w:hAnsi="Arial" w:eastAsia="Arial" w:cs="Arial" w:asciiTheme="minorAscii" w:hAnsiTheme="minorAscii" w:eastAsiaTheme="minorAscii" w:cstheme="minorAscii"/>
          <w:sz w:val="22"/>
          <w:szCs w:val="22"/>
        </w:rPr>
        <w:t>stable in the short term</w:t>
      </w:r>
      <w:r w:rsidRPr="37E63DBD" w:rsidR="676809EE">
        <w:rPr>
          <w:rFonts w:ascii="Arial" w:hAnsi="Arial" w:eastAsia="Arial" w:cs="Arial" w:asciiTheme="minorAscii" w:hAnsiTheme="minorAscii" w:eastAsiaTheme="minorAscii" w:cstheme="minorAscii"/>
          <w:sz w:val="22"/>
          <w:szCs w:val="22"/>
        </w:rPr>
        <w:t xml:space="preserve">, future pressure may </w:t>
      </w:r>
      <w:r w:rsidRPr="37E63DBD" w:rsidR="676809EE">
        <w:rPr>
          <w:rFonts w:ascii="Arial" w:hAnsi="Arial" w:eastAsia="Arial" w:cs="Arial" w:asciiTheme="minorAscii" w:hAnsiTheme="minorAscii" w:eastAsiaTheme="minorAscii" w:cstheme="minorAscii"/>
          <w:sz w:val="22"/>
          <w:szCs w:val="22"/>
        </w:rPr>
        <w:t>emerge</w:t>
      </w:r>
      <w:r w:rsidRPr="37E63DBD" w:rsidR="676809EE">
        <w:rPr>
          <w:rFonts w:ascii="Arial" w:hAnsi="Arial" w:eastAsia="Arial" w:cs="Arial" w:asciiTheme="minorAscii" w:hAnsiTheme="minorAscii" w:eastAsiaTheme="minorAscii" w:cstheme="minorAscii"/>
          <w:sz w:val="22"/>
          <w:szCs w:val="22"/>
        </w:rPr>
        <w:t xml:space="preserve"> if profitability does not recover. </w:t>
      </w:r>
    </w:p>
    <w:p xmlns:wp14="http://schemas.microsoft.com/office/word/2010/wordml" w:rsidP="37E63DBD" wp14:paraId="6B9E9C9B" wp14:textId="06674553">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676809EE">
        <w:rPr>
          <w:rFonts w:ascii="Arial" w:hAnsi="Arial" w:eastAsia="Arial" w:cs="Arial" w:asciiTheme="minorAscii" w:hAnsiTheme="minorAscii" w:eastAsiaTheme="minorAscii" w:cstheme="minorAscii"/>
          <w:b w:val="1"/>
          <w:bCs w:val="1"/>
          <w:sz w:val="22"/>
          <w:szCs w:val="22"/>
        </w:rPr>
        <w:t>6.3 Efficiency Performance</w:t>
      </w:r>
    </w:p>
    <w:p xmlns:wp14="http://schemas.microsoft.com/office/word/2010/wordml" w:rsidP="32E1AE9F" wp14:paraId="5450B8BA" wp14:textId="041EFBEB">
      <w:pPr>
        <w:pStyle w:val="Normal"/>
        <w:spacing w:line="360" w:lineRule="auto"/>
        <w:jc w:val="both"/>
        <w:rPr>
          <w:rFonts w:ascii="Arial" w:hAnsi="Arial" w:eastAsia="Arial" w:cs="Arial" w:asciiTheme="minorAscii" w:hAnsiTheme="minorAscii" w:eastAsiaTheme="minorAscii" w:cstheme="minorAscii"/>
          <w:sz w:val="22"/>
          <w:szCs w:val="22"/>
        </w:rPr>
      </w:pPr>
      <w:r w:rsidRPr="37E63DBD" w:rsidR="0D504ED3">
        <w:rPr>
          <w:rFonts w:ascii="Arial" w:hAnsi="Arial" w:eastAsia="Arial" w:cs="Arial" w:asciiTheme="minorAscii" w:hAnsiTheme="minorAscii" w:eastAsiaTheme="minorAscii" w:cstheme="minorAscii"/>
          <w:sz w:val="22"/>
          <w:szCs w:val="22"/>
        </w:rPr>
        <w:t>Efficiency</w:t>
      </w:r>
      <w:r w:rsidRPr="37E63DBD" w:rsidR="676809EE">
        <w:rPr>
          <w:rFonts w:ascii="Arial" w:hAnsi="Arial" w:eastAsia="Arial" w:cs="Arial" w:asciiTheme="minorAscii" w:hAnsiTheme="minorAscii" w:eastAsiaTheme="minorAscii" w:cstheme="minorAscii"/>
          <w:sz w:val="22"/>
          <w:szCs w:val="22"/>
        </w:rPr>
        <w:t xml:space="preserve"> ratios show a broadly positive trend, particularly in relation to inventory management. The increase in inventory turnover and the significant reduction in </w:t>
      </w:r>
      <w:r w:rsidRPr="37E63DBD" w:rsidR="676809EE">
        <w:rPr>
          <w:rFonts w:ascii="Arial" w:hAnsi="Arial" w:eastAsia="Arial" w:cs="Arial" w:asciiTheme="minorAscii" w:hAnsiTheme="minorAscii" w:eastAsiaTheme="minorAscii" w:cstheme="minorAscii"/>
          <w:sz w:val="22"/>
          <w:szCs w:val="22"/>
        </w:rPr>
        <w:t>stock days</w:t>
      </w:r>
      <w:r w:rsidRPr="37E63DBD" w:rsidR="676809EE">
        <w:rPr>
          <w:rFonts w:ascii="Arial" w:hAnsi="Arial" w:eastAsia="Arial" w:cs="Arial" w:asciiTheme="minorAscii" w:hAnsiTheme="minorAscii" w:eastAsiaTheme="minorAscii" w:cstheme="minorAscii"/>
          <w:sz w:val="22"/>
          <w:szCs w:val="22"/>
        </w:rPr>
        <w:t xml:space="preserve"> </w:t>
      </w:r>
      <w:r w:rsidRPr="37E63DBD" w:rsidR="676809EE">
        <w:rPr>
          <w:rFonts w:ascii="Arial" w:hAnsi="Arial" w:eastAsia="Arial" w:cs="Arial" w:asciiTheme="minorAscii" w:hAnsiTheme="minorAscii" w:eastAsiaTheme="minorAscii" w:cstheme="minorAscii"/>
          <w:sz w:val="22"/>
          <w:szCs w:val="22"/>
        </w:rPr>
        <w:t>indicate</w:t>
      </w:r>
      <w:r w:rsidRPr="37E63DBD" w:rsidR="676809EE">
        <w:rPr>
          <w:rFonts w:ascii="Arial" w:hAnsi="Arial" w:eastAsia="Arial" w:cs="Arial" w:asciiTheme="minorAscii" w:hAnsiTheme="minorAscii" w:eastAsiaTheme="minorAscii" w:cstheme="minorAscii"/>
          <w:sz w:val="22"/>
          <w:szCs w:val="22"/>
        </w:rPr>
        <w:t xml:space="preserve"> improved operational control and faster movement of goods through the supply chain. Debtor management also shows marginal improvement. </w:t>
      </w:r>
    </w:p>
    <w:p xmlns:wp14="http://schemas.microsoft.com/office/word/2010/wordml" w:rsidP="32E1AE9F" wp14:paraId="5ED995F3" wp14:textId="002A5C37">
      <w:pPr>
        <w:pStyle w:val="Normal"/>
        <w:spacing w:line="360" w:lineRule="auto"/>
        <w:jc w:val="both"/>
        <w:rPr>
          <w:rFonts w:ascii="Arial" w:hAnsi="Arial" w:eastAsia="Arial" w:cs="Arial" w:asciiTheme="minorAscii" w:hAnsiTheme="minorAscii" w:eastAsiaTheme="minorAscii" w:cstheme="minorAscii"/>
          <w:sz w:val="22"/>
          <w:szCs w:val="22"/>
        </w:rPr>
      </w:pPr>
      <w:r w:rsidRPr="32E1AE9F" w:rsidR="676809EE">
        <w:rPr>
          <w:rFonts w:ascii="Arial" w:hAnsi="Arial" w:eastAsia="Arial" w:cs="Arial" w:asciiTheme="minorAscii" w:hAnsiTheme="minorAscii" w:eastAsiaTheme="minorAscii" w:cstheme="minorAscii"/>
          <w:sz w:val="22"/>
          <w:szCs w:val="22"/>
        </w:rPr>
        <w:t>However, academic evidence suggests that efficiency improvements do not necessarily translate into improved profitability if they are offset by pricing pressure or rising operating costs (Baños-C</w:t>
      </w:r>
      <w:r w:rsidRPr="32E1AE9F" w:rsidR="1C946522">
        <w:rPr>
          <w:rFonts w:ascii="Arial" w:hAnsi="Arial" w:eastAsia="Arial" w:cs="Arial" w:asciiTheme="minorAscii" w:hAnsiTheme="minorAscii" w:eastAsiaTheme="minorAscii" w:cstheme="minorAscii"/>
          <w:sz w:val="22"/>
          <w:szCs w:val="22"/>
        </w:rPr>
        <w:t>aballero et al., 20</w:t>
      </w:r>
      <w:r w:rsidRPr="32E1AE9F" w:rsidR="1688C284">
        <w:rPr>
          <w:rFonts w:ascii="Arial" w:hAnsi="Arial" w:eastAsia="Arial" w:cs="Arial" w:asciiTheme="minorAscii" w:hAnsiTheme="minorAscii" w:eastAsiaTheme="minorAscii" w:cstheme="minorAscii"/>
          <w:sz w:val="22"/>
          <w:szCs w:val="22"/>
        </w:rPr>
        <w:t>14</w:t>
      </w:r>
      <w:r w:rsidRPr="32E1AE9F" w:rsidR="1C946522">
        <w:rPr>
          <w:rFonts w:ascii="Arial" w:hAnsi="Arial" w:eastAsia="Arial" w:cs="Arial" w:asciiTheme="minorAscii" w:hAnsiTheme="minorAscii" w:eastAsiaTheme="minorAscii" w:cstheme="minorAscii"/>
          <w:sz w:val="22"/>
          <w:szCs w:val="22"/>
        </w:rPr>
        <w:t>). This appears consistent with Burberry’s results, where operational improvements have not prevented a decline in overall profitability.</w:t>
      </w:r>
    </w:p>
    <w:p xmlns:wp14="http://schemas.microsoft.com/office/word/2010/wordml" w:rsidP="37E63DBD" wp14:paraId="68F24067" wp14:textId="02E6017C">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1C946522">
        <w:rPr>
          <w:rFonts w:ascii="Arial" w:hAnsi="Arial" w:eastAsia="Arial" w:cs="Arial" w:asciiTheme="minorAscii" w:hAnsiTheme="minorAscii" w:eastAsiaTheme="minorAscii" w:cstheme="minorAscii"/>
          <w:b w:val="1"/>
          <w:bCs w:val="1"/>
          <w:sz w:val="22"/>
          <w:szCs w:val="22"/>
        </w:rPr>
        <w:t>6.4 Gearing and Financial risk</w:t>
      </w:r>
    </w:p>
    <w:p xmlns:wp14="http://schemas.microsoft.com/office/word/2010/wordml" w:rsidP="32E1AE9F" wp14:paraId="7F1367FA" wp14:textId="3496037A">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2F0D039">
        <w:rPr>
          <w:rFonts w:ascii="Arial" w:hAnsi="Arial" w:eastAsia="Arial" w:cs="Arial" w:asciiTheme="minorAscii" w:hAnsiTheme="minorAscii" w:eastAsiaTheme="minorAscii" w:cstheme="minorAscii"/>
          <w:sz w:val="22"/>
          <w:szCs w:val="22"/>
        </w:rPr>
        <w:t>T</w:t>
      </w:r>
      <w:r w:rsidRPr="37E63DBD" w:rsidR="1C946522">
        <w:rPr>
          <w:rFonts w:ascii="Arial" w:hAnsi="Arial" w:eastAsia="Arial" w:cs="Arial" w:asciiTheme="minorAscii" w:hAnsiTheme="minorAscii" w:eastAsiaTheme="minorAscii" w:cstheme="minorAscii"/>
          <w:sz w:val="22"/>
          <w:szCs w:val="22"/>
        </w:rPr>
        <w:t xml:space="preserve">he gearing position presents a mixed picture, with one measure increasing </w:t>
      </w:r>
      <w:r w:rsidRPr="37E63DBD" w:rsidR="0E297638">
        <w:rPr>
          <w:rFonts w:ascii="Arial" w:hAnsi="Arial" w:eastAsia="Arial" w:cs="Arial" w:asciiTheme="minorAscii" w:hAnsiTheme="minorAscii" w:eastAsiaTheme="minorAscii" w:cstheme="minorAscii"/>
          <w:sz w:val="22"/>
          <w:szCs w:val="22"/>
        </w:rPr>
        <w:t>significantly</w:t>
      </w:r>
      <w:r w:rsidRPr="37E63DBD" w:rsidR="1C946522">
        <w:rPr>
          <w:rFonts w:ascii="Arial" w:hAnsi="Arial" w:eastAsia="Arial" w:cs="Arial" w:asciiTheme="minorAscii" w:hAnsiTheme="minorAscii" w:eastAsiaTheme="minorAscii" w:cstheme="minorAscii"/>
          <w:sz w:val="22"/>
          <w:szCs w:val="22"/>
        </w:rPr>
        <w:t xml:space="preserve"> while</w:t>
      </w:r>
      <w:r w:rsidRPr="37E63DBD" w:rsidR="1C946522">
        <w:rPr>
          <w:rFonts w:ascii="Arial" w:hAnsi="Arial" w:eastAsia="Arial" w:cs="Arial" w:asciiTheme="minorAscii" w:hAnsiTheme="minorAscii" w:eastAsiaTheme="minorAscii" w:cstheme="minorAscii"/>
          <w:sz w:val="22"/>
          <w:szCs w:val="22"/>
        </w:rPr>
        <w:t xml:space="preserve"> anoth</w:t>
      </w:r>
      <w:r w:rsidRPr="37E63DBD" w:rsidR="1C946522">
        <w:rPr>
          <w:rFonts w:ascii="Arial" w:hAnsi="Arial" w:eastAsia="Arial" w:cs="Arial" w:asciiTheme="minorAscii" w:hAnsiTheme="minorAscii" w:eastAsiaTheme="minorAscii" w:cstheme="minorAscii"/>
          <w:sz w:val="22"/>
          <w:szCs w:val="22"/>
        </w:rPr>
        <w:t xml:space="preserve">er declines. This </w:t>
      </w:r>
      <w:r w:rsidRPr="37E63DBD" w:rsidR="1C946522">
        <w:rPr>
          <w:rFonts w:ascii="Arial" w:hAnsi="Arial" w:eastAsia="Arial" w:cs="Arial" w:asciiTheme="minorAscii" w:hAnsiTheme="minorAscii" w:eastAsiaTheme="minorAscii" w:cstheme="minorAscii"/>
          <w:sz w:val="22"/>
          <w:szCs w:val="22"/>
        </w:rPr>
        <w:t>indicates</w:t>
      </w:r>
      <w:r w:rsidRPr="37E63DBD" w:rsidR="1C946522">
        <w:rPr>
          <w:rFonts w:ascii="Arial" w:hAnsi="Arial" w:eastAsia="Arial" w:cs="Arial" w:asciiTheme="minorAscii" w:hAnsiTheme="minorAscii" w:eastAsiaTheme="minorAscii" w:cstheme="minorAscii"/>
          <w:sz w:val="22"/>
          <w:szCs w:val="22"/>
        </w:rPr>
        <w:t xml:space="preserve"> a change in capital structure composition rather than a consistent deleveraging or </w:t>
      </w:r>
      <w:r w:rsidRPr="37E63DBD" w:rsidR="1C946522">
        <w:rPr>
          <w:rFonts w:ascii="Arial" w:hAnsi="Arial" w:eastAsia="Arial" w:cs="Arial" w:asciiTheme="minorAscii" w:hAnsiTheme="minorAscii" w:eastAsiaTheme="minorAscii" w:cstheme="minorAscii"/>
          <w:sz w:val="22"/>
          <w:szCs w:val="22"/>
        </w:rPr>
        <w:t>leveraging</w:t>
      </w:r>
      <w:r w:rsidRPr="37E63DBD" w:rsidR="1C946522">
        <w:rPr>
          <w:rFonts w:ascii="Arial" w:hAnsi="Arial" w:eastAsia="Arial" w:cs="Arial" w:asciiTheme="minorAscii" w:hAnsiTheme="minorAscii" w:eastAsiaTheme="minorAscii" w:cstheme="minorAscii"/>
          <w:sz w:val="22"/>
          <w:szCs w:val="22"/>
        </w:rPr>
        <w:t xml:space="preserve"> strategy.</w:t>
      </w:r>
    </w:p>
    <w:p xmlns:wp14="http://schemas.microsoft.com/office/word/2010/wordml" w:rsidP="32E1AE9F" wp14:paraId="2F4937D5" wp14:textId="311C1F2D">
      <w:pPr>
        <w:pStyle w:val="Normal"/>
        <w:spacing w:line="360" w:lineRule="auto"/>
        <w:jc w:val="both"/>
        <w:rPr>
          <w:rFonts w:ascii="Arial" w:hAnsi="Arial" w:eastAsia="Arial" w:cs="Arial" w:asciiTheme="minorAscii" w:hAnsiTheme="minorAscii" w:eastAsiaTheme="minorAscii" w:cstheme="minorAscii"/>
          <w:sz w:val="22"/>
          <w:szCs w:val="22"/>
        </w:rPr>
      </w:pPr>
      <w:r w:rsidRPr="37E63DBD" w:rsidR="1C946522">
        <w:rPr>
          <w:rFonts w:ascii="Arial" w:hAnsi="Arial" w:eastAsia="Arial" w:cs="Arial" w:asciiTheme="minorAscii" w:hAnsiTheme="minorAscii" w:eastAsiaTheme="minorAscii" w:cstheme="minorAscii"/>
          <w:sz w:val="22"/>
          <w:szCs w:val="22"/>
        </w:rPr>
        <w:t>Financi</w:t>
      </w:r>
      <w:r w:rsidRPr="37E63DBD" w:rsidR="1C946522">
        <w:rPr>
          <w:rFonts w:ascii="Arial" w:hAnsi="Arial" w:eastAsia="Arial" w:cs="Arial" w:asciiTheme="minorAscii" w:hAnsiTheme="minorAscii" w:eastAsiaTheme="minorAscii" w:cstheme="minorAscii"/>
          <w:sz w:val="22"/>
          <w:szCs w:val="22"/>
        </w:rPr>
        <w:t xml:space="preserve">al theory suggests that increased leverage </w:t>
      </w:r>
      <w:r w:rsidRPr="37E63DBD" w:rsidR="38283658">
        <w:rPr>
          <w:rFonts w:ascii="Arial" w:hAnsi="Arial" w:eastAsia="Arial" w:cs="Arial" w:asciiTheme="minorAscii" w:hAnsiTheme="minorAscii" w:eastAsiaTheme="minorAscii" w:cstheme="minorAscii"/>
          <w:sz w:val="22"/>
          <w:szCs w:val="22"/>
        </w:rPr>
        <w:t>heighten</w:t>
      </w:r>
      <w:r w:rsidRPr="37E63DBD" w:rsidR="1C946522">
        <w:rPr>
          <w:rFonts w:ascii="Arial" w:hAnsi="Arial" w:eastAsia="Arial" w:cs="Arial" w:asciiTheme="minorAscii" w:hAnsiTheme="minorAscii" w:eastAsiaTheme="minorAscii" w:cstheme="minorAscii"/>
          <w:sz w:val="22"/>
          <w:szCs w:val="22"/>
        </w:rPr>
        <w:t xml:space="preserve"> exposure to earnings </w:t>
      </w:r>
      <w:r w:rsidRPr="37E63DBD" w:rsidR="472AF746">
        <w:rPr>
          <w:rFonts w:ascii="Arial" w:hAnsi="Arial" w:eastAsia="Arial" w:cs="Arial" w:asciiTheme="minorAscii" w:hAnsiTheme="minorAscii" w:eastAsiaTheme="minorAscii" w:cstheme="minorAscii"/>
          <w:sz w:val="22"/>
          <w:szCs w:val="22"/>
        </w:rPr>
        <w:t>volatility</w:t>
      </w:r>
      <w:r w:rsidRPr="37E63DBD" w:rsidR="1C946522">
        <w:rPr>
          <w:rFonts w:ascii="Arial" w:hAnsi="Arial" w:eastAsia="Arial" w:cs="Arial" w:asciiTheme="minorAscii" w:hAnsiTheme="minorAscii" w:eastAsiaTheme="minorAscii" w:cstheme="minorAscii"/>
          <w:sz w:val="22"/>
          <w:szCs w:val="22"/>
        </w:rPr>
        <w:t>, particularly in cyclical industries such as retail and luxury goods (</w:t>
      </w:r>
      <w:r w:rsidRPr="37E63DBD" w:rsidR="090CC34B">
        <w:rPr>
          <w:rFonts w:ascii="Arial" w:hAnsi="Arial" w:eastAsia="Arial" w:cs="Arial" w:asciiTheme="minorAscii" w:hAnsiTheme="minorAscii" w:eastAsiaTheme="minorAscii" w:cstheme="minorAscii"/>
          <w:sz w:val="22"/>
          <w:szCs w:val="22"/>
        </w:rPr>
        <w:t>Liu &amp; Xu</w:t>
      </w:r>
      <w:r w:rsidRPr="37E63DBD" w:rsidR="1C946522">
        <w:rPr>
          <w:rFonts w:ascii="Arial" w:hAnsi="Arial" w:eastAsia="Arial" w:cs="Arial" w:asciiTheme="minorAscii" w:hAnsiTheme="minorAscii" w:eastAsiaTheme="minorAscii" w:cstheme="minorAscii"/>
          <w:sz w:val="22"/>
          <w:szCs w:val="22"/>
        </w:rPr>
        <w:t>, 202</w:t>
      </w:r>
      <w:r w:rsidRPr="37E63DBD" w:rsidR="6B43D71D">
        <w:rPr>
          <w:rFonts w:ascii="Arial" w:hAnsi="Arial" w:eastAsia="Arial" w:cs="Arial" w:asciiTheme="minorAscii" w:hAnsiTheme="minorAscii" w:eastAsiaTheme="minorAscii" w:cstheme="minorAscii"/>
          <w:sz w:val="22"/>
          <w:szCs w:val="22"/>
        </w:rPr>
        <w:t>5</w:t>
      </w:r>
      <w:r w:rsidRPr="37E63DBD" w:rsidR="1C946522">
        <w:rPr>
          <w:rFonts w:ascii="Arial" w:hAnsi="Arial" w:eastAsia="Arial" w:cs="Arial" w:asciiTheme="minorAscii" w:hAnsiTheme="minorAscii" w:eastAsiaTheme="minorAscii" w:cstheme="minorAscii"/>
          <w:sz w:val="22"/>
          <w:szCs w:val="22"/>
        </w:rPr>
        <w:t xml:space="preserve">). Given the decline in profitability, rising financial risk may place </w:t>
      </w:r>
      <w:r w:rsidRPr="37E63DBD" w:rsidR="1C946522">
        <w:rPr>
          <w:rFonts w:ascii="Arial" w:hAnsi="Arial" w:eastAsia="Arial" w:cs="Arial" w:asciiTheme="minorAscii" w:hAnsiTheme="minorAscii" w:eastAsiaTheme="minorAscii" w:cstheme="minorAscii"/>
          <w:sz w:val="22"/>
          <w:szCs w:val="22"/>
        </w:rPr>
        <w:t>additional</w:t>
      </w:r>
      <w:r w:rsidRPr="37E63DBD" w:rsidR="1C946522">
        <w:rPr>
          <w:rFonts w:ascii="Arial" w:hAnsi="Arial" w:eastAsia="Arial" w:cs="Arial" w:asciiTheme="minorAscii" w:hAnsiTheme="minorAscii" w:eastAsiaTheme="minorAscii" w:cstheme="minorAscii"/>
          <w:sz w:val="22"/>
          <w:szCs w:val="22"/>
        </w:rPr>
        <w:t xml:space="preserve"> pressure on f</w:t>
      </w:r>
      <w:r w:rsidRPr="37E63DBD" w:rsidR="0490A2CD">
        <w:rPr>
          <w:rFonts w:ascii="Arial" w:hAnsi="Arial" w:eastAsia="Arial" w:cs="Arial" w:asciiTheme="minorAscii" w:hAnsiTheme="minorAscii" w:eastAsiaTheme="minorAscii" w:cstheme="minorAscii"/>
          <w:sz w:val="22"/>
          <w:szCs w:val="22"/>
        </w:rPr>
        <w:t xml:space="preserve">uture financial </w:t>
      </w:r>
      <w:r w:rsidRPr="37E63DBD" w:rsidR="561CB09A">
        <w:rPr>
          <w:rFonts w:ascii="Arial" w:hAnsi="Arial" w:eastAsia="Arial" w:cs="Arial" w:asciiTheme="minorAscii" w:hAnsiTheme="minorAscii" w:eastAsiaTheme="minorAscii" w:cstheme="minorAscii"/>
          <w:sz w:val="22"/>
          <w:szCs w:val="22"/>
        </w:rPr>
        <w:t>flexibility</w:t>
      </w:r>
      <w:r w:rsidRPr="37E63DBD" w:rsidR="0490A2CD">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699BA0D4" wp14:textId="33415503">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54506E4E">
        <w:rPr>
          <w:rFonts w:ascii="Arial" w:hAnsi="Arial" w:eastAsia="Arial" w:cs="Arial" w:asciiTheme="minorAscii" w:hAnsiTheme="minorAscii" w:eastAsiaTheme="minorAscii" w:cstheme="minorAscii"/>
          <w:b w:val="1"/>
          <w:bCs w:val="1"/>
          <w:sz w:val="22"/>
          <w:szCs w:val="22"/>
        </w:rPr>
        <w:t>6.5 Integrated Assessment</w:t>
      </w:r>
    </w:p>
    <w:p xmlns:wp14="http://schemas.microsoft.com/office/word/2010/wordml" w:rsidP="32E1AE9F" wp14:paraId="28031CD4" wp14:textId="3FA4C1CF">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4506E4E">
        <w:rPr>
          <w:rFonts w:ascii="Arial" w:hAnsi="Arial" w:eastAsia="Arial" w:cs="Arial" w:asciiTheme="minorAscii" w:hAnsiTheme="minorAscii" w:eastAsiaTheme="minorAscii" w:cstheme="minorAscii"/>
          <w:sz w:val="22"/>
          <w:szCs w:val="22"/>
        </w:rPr>
        <w:t>When asse</w:t>
      </w:r>
      <w:r w:rsidRPr="37E63DBD" w:rsidR="54506E4E">
        <w:rPr>
          <w:rFonts w:ascii="Arial" w:hAnsi="Arial" w:eastAsia="Arial" w:cs="Arial" w:asciiTheme="minorAscii" w:hAnsiTheme="minorAscii" w:eastAsiaTheme="minorAscii" w:cstheme="minorAscii"/>
          <w:sz w:val="22"/>
          <w:szCs w:val="22"/>
        </w:rPr>
        <w:t>ssed c</w:t>
      </w:r>
      <w:r w:rsidRPr="37E63DBD" w:rsidR="54506E4E">
        <w:rPr>
          <w:rFonts w:ascii="Arial" w:hAnsi="Arial" w:eastAsia="Arial" w:cs="Arial" w:asciiTheme="minorAscii" w:hAnsiTheme="minorAscii" w:eastAsiaTheme="minorAscii" w:cstheme="minorAscii"/>
          <w:sz w:val="22"/>
          <w:szCs w:val="22"/>
        </w:rPr>
        <w:t>o</w:t>
      </w:r>
      <w:r w:rsidRPr="37E63DBD" w:rsidR="54506E4E">
        <w:rPr>
          <w:rFonts w:ascii="Arial" w:hAnsi="Arial" w:eastAsia="Arial" w:cs="Arial" w:asciiTheme="minorAscii" w:hAnsiTheme="minorAscii" w:eastAsiaTheme="minorAscii" w:cstheme="minorAscii"/>
          <w:sz w:val="22"/>
          <w:szCs w:val="22"/>
        </w:rPr>
        <w:t>llecti</w:t>
      </w:r>
      <w:r w:rsidRPr="37E63DBD" w:rsidR="54506E4E">
        <w:rPr>
          <w:rFonts w:ascii="Arial" w:hAnsi="Arial" w:eastAsia="Arial" w:cs="Arial" w:asciiTheme="minorAscii" w:hAnsiTheme="minorAscii" w:eastAsiaTheme="minorAscii" w:cstheme="minorAscii"/>
          <w:sz w:val="22"/>
          <w:szCs w:val="22"/>
        </w:rPr>
        <w:t>vely</w:t>
      </w:r>
      <w:r w:rsidRPr="37E63DBD" w:rsidR="54506E4E">
        <w:rPr>
          <w:rFonts w:ascii="Arial" w:hAnsi="Arial" w:eastAsia="Arial" w:cs="Arial" w:asciiTheme="minorAscii" w:hAnsiTheme="minorAscii" w:eastAsiaTheme="minorAscii" w:cstheme="minorAscii"/>
          <w:sz w:val="22"/>
          <w:szCs w:val="22"/>
        </w:rPr>
        <w:t>, the ratio</w:t>
      </w:r>
      <w:r w:rsidRPr="37E63DBD" w:rsidR="51D5F94E">
        <w:rPr>
          <w:rFonts w:ascii="Arial" w:hAnsi="Arial" w:eastAsia="Arial" w:cs="Arial" w:asciiTheme="minorAscii" w:hAnsiTheme="minorAscii" w:eastAsiaTheme="minorAscii" w:cstheme="minorAscii"/>
          <w:sz w:val="22"/>
          <w:szCs w:val="22"/>
        </w:rPr>
        <w:t xml:space="preserve"> analysis presents a clear </w:t>
      </w:r>
      <w:r w:rsidRPr="37E63DBD" w:rsidR="51D5F94E">
        <w:rPr>
          <w:rFonts w:ascii="Arial" w:hAnsi="Arial" w:eastAsia="Arial" w:cs="Arial" w:asciiTheme="minorAscii" w:hAnsiTheme="minorAscii" w:eastAsiaTheme="minorAscii" w:cstheme="minorAscii"/>
          <w:sz w:val="22"/>
          <w:szCs w:val="22"/>
        </w:rPr>
        <w:t>an</w:t>
      </w:r>
      <w:r w:rsidRPr="37E63DBD" w:rsidR="51D5F94E">
        <w:rPr>
          <w:rFonts w:ascii="Arial" w:hAnsi="Arial" w:eastAsia="Arial" w:cs="Arial" w:asciiTheme="minorAscii" w:hAnsiTheme="minorAscii" w:eastAsiaTheme="minorAscii" w:cstheme="minorAscii"/>
          <w:sz w:val="22"/>
          <w:szCs w:val="22"/>
        </w:rPr>
        <w:t>d consistent narrative of Bu</w:t>
      </w:r>
      <w:r w:rsidRPr="37E63DBD" w:rsidR="51D5F94E">
        <w:rPr>
          <w:rFonts w:ascii="Arial" w:hAnsi="Arial" w:eastAsia="Arial" w:cs="Arial" w:asciiTheme="minorAscii" w:hAnsiTheme="minorAscii" w:eastAsiaTheme="minorAscii" w:cstheme="minorAscii"/>
          <w:sz w:val="22"/>
          <w:szCs w:val="22"/>
        </w:rPr>
        <w:t>rb</w:t>
      </w:r>
      <w:r w:rsidRPr="37E63DBD" w:rsidR="51D5F94E">
        <w:rPr>
          <w:rFonts w:ascii="Arial" w:hAnsi="Arial" w:eastAsia="Arial" w:cs="Arial" w:asciiTheme="minorAscii" w:hAnsiTheme="minorAscii" w:eastAsiaTheme="minorAscii" w:cstheme="minorAscii"/>
          <w:sz w:val="22"/>
          <w:szCs w:val="22"/>
        </w:rPr>
        <w:t>erry’s finan</w:t>
      </w:r>
      <w:r w:rsidRPr="37E63DBD" w:rsidR="51D5F94E">
        <w:rPr>
          <w:rFonts w:ascii="Arial" w:hAnsi="Arial" w:eastAsia="Arial" w:cs="Arial" w:asciiTheme="minorAscii" w:hAnsiTheme="minorAscii" w:eastAsiaTheme="minorAscii" w:cstheme="minorAscii"/>
          <w:sz w:val="22"/>
          <w:szCs w:val="22"/>
        </w:rPr>
        <w:t>cial per</w:t>
      </w:r>
      <w:r w:rsidRPr="37E63DBD" w:rsidR="51D5F94E">
        <w:rPr>
          <w:rFonts w:ascii="Arial" w:hAnsi="Arial" w:eastAsia="Arial" w:cs="Arial" w:asciiTheme="minorAscii" w:hAnsiTheme="minorAscii" w:eastAsiaTheme="minorAscii" w:cstheme="minorAscii"/>
          <w:sz w:val="22"/>
          <w:szCs w:val="22"/>
        </w:rPr>
        <w:t>formance over the period. Profitability has declined</w:t>
      </w:r>
      <w:r w:rsidRPr="37E63DBD" w:rsidR="51D5F94E">
        <w:rPr>
          <w:rFonts w:ascii="Arial" w:hAnsi="Arial" w:eastAsia="Arial" w:cs="Arial" w:asciiTheme="minorAscii" w:hAnsiTheme="minorAscii" w:eastAsiaTheme="minorAscii" w:cstheme="minorAscii"/>
          <w:sz w:val="22"/>
          <w:szCs w:val="22"/>
        </w:rPr>
        <w:t xml:space="preserve"> s</w:t>
      </w:r>
      <w:r w:rsidRPr="37E63DBD" w:rsidR="51D5F94E">
        <w:rPr>
          <w:rFonts w:ascii="Arial" w:hAnsi="Arial" w:eastAsia="Arial" w:cs="Arial" w:asciiTheme="minorAscii" w:hAnsiTheme="minorAscii" w:eastAsiaTheme="minorAscii" w:cstheme="minorAscii"/>
          <w:sz w:val="22"/>
          <w:szCs w:val="22"/>
        </w:rPr>
        <w:t xml:space="preserve">ignificantly, </w:t>
      </w:r>
      <w:r w:rsidRPr="37E63DBD" w:rsidR="51D5F94E">
        <w:rPr>
          <w:rFonts w:ascii="Arial" w:hAnsi="Arial" w:eastAsia="Arial" w:cs="Arial" w:asciiTheme="minorAscii" w:hAnsiTheme="minorAscii" w:eastAsiaTheme="minorAscii" w:cstheme="minorAscii"/>
          <w:sz w:val="22"/>
          <w:szCs w:val="22"/>
        </w:rPr>
        <w:t>representing</w:t>
      </w:r>
      <w:r w:rsidRPr="37E63DBD" w:rsidR="51D5F94E">
        <w:rPr>
          <w:rFonts w:ascii="Arial" w:hAnsi="Arial" w:eastAsia="Arial" w:cs="Arial" w:asciiTheme="minorAscii" w:hAnsiTheme="minorAscii" w:eastAsiaTheme="minorAscii" w:cstheme="minorAscii"/>
          <w:sz w:val="22"/>
          <w:szCs w:val="22"/>
        </w:rPr>
        <w:t xml:space="preserve"> the most critical issue, while liquidity </w:t>
      </w:r>
      <w:r w:rsidRPr="37E63DBD" w:rsidR="51D5F94E">
        <w:rPr>
          <w:rFonts w:ascii="Arial" w:hAnsi="Arial" w:eastAsia="Arial" w:cs="Arial" w:asciiTheme="minorAscii" w:hAnsiTheme="minorAscii" w:eastAsiaTheme="minorAscii" w:cstheme="minorAscii"/>
          <w:sz w:val="22"/>
          <w:szCs w:val="22"/>
        </w:rPr>
        <w:t>remains</w:t>
      </w:r>
      <w:r w:rsidRPr="37E63DBD" w:rsidR="51D5F94E">
        <w:rPr>
          <w:rFonts w:ascii="Arial" w:hAnsi="Arial" w:eastAsia="Arial" w:cs="Arial" w:asciiTheme="minorAscii" w:hAnsiTheme="minorAscii" w:eastAsiaTheme="minorAscii" w:cstheme="minorAscii"/>
          <w:sz w:val="22"/>
          <w:szCs w:val="22"/>
        </w:rPr>
        <w:t xml:space="preserve"> </w:t>
      </w:r>
      <w:r w:rsidRPr="37E63DBD" w:rsidR="51D5F94E">
        <w:rPr>
          <w:rFonts w:ascii="Arial" w:hAnsi="Arial" w:eastAsia="Arial" w:cs="Arial" w:asciiTheme="minorAscii" w:hAnsiTheme="minorAscii" w:eastAsiaTheme="minorAscii" w:cstheme="minorAscii"/>
          <w:sz w:val="22"/>
          <w:szCs w:val="22"/>
        </w:rPr>
        <w:t>relatively stable</w:t>
      </w:r>
      <w:r w:rsidRPr="37E63DBD" w:rsidR="51D5F94E">
        <w:rPr>
          <w:rFonts w:ascii="Arial" w:hAnsi="Arial" w:eastAsia="Arial" w:cs="Arial" w:asciiTheme="minorAscii" w:hAnsiTheme="minorAscii" w:eastAsiaTheme="minorAscii" w:cstheme="minorAscii"/>
          <w:sz w:val="22"/>
          <w:szCs w:val="22"/>
        </w:rPr>
        <w:t xml:space="preserve"> but may come under increasing pressure if earnings do not recover. </w:t>
      </w:r>
      <w:r w:rsidRPr="37E63DBD" w:rsidR="0A207725">
        <w:rPr>
          <w:rFonts w:ascii="Arial" w:hAnsi="Arial" w:eastAsia="Arial" w:cs="Arial" w:asciiTheme="minorAscii" w:hAnsiTheme="minorAscii" w:eastAsiaTheme="minorAscii" w:cstheme="minorAscii"/>
          <w:sz w:val="22"/>
          <w:szCs w:val="22"/>
        </w:rPr>
        <w:t xml:space="preserve">Efficiency improvements, particularly in inventory management and receivables collection, </w:t>
      </w:r>
      <w:r w:rsidRPr="37E63DBD" w:rsidR="0A207725">
        <w:rPr>
          <w:rFonts w:ascii="Arial" w:hAnsi="Arial" w:eastAsia="Arial" w:cs="Arial" w:asciiTheme="minorAscii" w:hAnsiTheme="minorAscii" w:eastAsiaTheme="minorAscii" w:cstheme="minorAscii"/>
          <w:sz w:val="22"/>
          <w:szCs w:val="22"/>
        </w:rPr>
        <w:t>indicate</w:t>
      </w:r>
      <w:r w:rsidRPr="37E63DBD" w:rsidR="0A207725">
        <w:rPr>
          <w:rFonts w:ascii="Arial" w:hAnsi="Arial" w:eastAsia="Arial" w:cs="Arial" w:asciiTheme="minorAscii" w:hAnsiTheme="minorAscii" w:eastAsiaTheme="minorAscii" w:cstheme="minorAscii"/>
          <w:sz w:val="22"/>
          <w:szCs w:val="22"/>
        </w:rPr>
        <w:t xml:space="preserve"> stronger operational control; however, these gains have not translated into improved profitability. At the same time, gearing levels suggest increased exposure to financial risk, reflecting chang</w:t>
      </w:r>
      <w:r w:rsidRPr="37E63DBD" w:rsidR="0EE2F2E9">
        <w:rPr>
          <w:rFonts w:ascii="Arial" w:hAnsi="Arial" w:eastAsia="Arial" w:cs="Arial" w:asciiTheme="minorAscii" w:hAnsiTheme="minorAscii" w:eastAsiaTheme="minorAscii" w:cstheme="minorAscii"/>
          <w:sz w:val="22"/>
          <w:szCs w:val="22"/>
        </w:rPr>
        <w:t xml:space="preserve">es in capital structure and a greater reliance on debt under certain measures. This is further reinforced by the deterioration in investor returns, with negative earnings per share and the </w:t>
      </w:r>
      <w:r w:rsidRPr="37E63DBD" w:rsidR="3B8562CB">
        <w:rPr>
          <w:rFonts w:ascii="Arial" w:hAnsi="Arial" w:eastAsia="Arial" w:cs="Arial" w:asciiTheme="minorAscii" w:hAnsiTheme="minorAscii" w:eastAsiaTheme="minorAscii" w:cstheme="minorAscii"/>
          <w:sz w:val="22"/>
          <w:szCs w:val="22"/>
        </w:rPr>
        <w:t>absence</w:t>
      </w:r>
      <w:r w:rsidRPr="37E63DBD" w:rsidR="0EE2F2E9">
        <w:rPr>
          <w:rFonts w:ascii="Arial" w:hAnsi="Arial" w:eastAsia="Arial" w:cs="Arial" w:asciiTheme="minorAscii" w:hAnsiTheme="minorAscii" w:eastAsiaTheme="minorAscii" w:cstheme="minorAscii"/>
          <w:sz w:val="22"/>
          <w:szCs w:val="22"/>
        </w:rPr>
        <w:t xml:space="preserve"> of dividend cover </w:t>
      </w:r>
      <w:r w:rsidRPr="37E63DBD" w:rsidR="0EE2F2E9">
        <w:rPr>
          <w:rFonts w:ascii="Arial" w:hAnsi="Arial" w:eastAsia="Arial" w:cs="Arial" w:asciiTheme="minorAscii" w:hAnsiTheme="minorAscii" w:eastAsiaTheme="minorAscii" w:cstheme="minorAscii"/>
          <w:sz w:val="22"/>
          <w:szCs w:val="22"/>
        </w:rPr>
        <w:t>indicating</w:t>
      </w:r>
      <w:r w:rsidRPr="37E63DBD" w:rsidR="0EE2F2E9">
        <w:rPr>
          <w:rFonts w:ascii="Arial" w:hAnsi="Arial" w:eastAsia="Arial" w:cs="Arial" w:asciiTheme="minorAscii" w:hAnsiTheme="minorAscii" w:eastAsiaTheme="minorAscii" w:cstheme="minorAscii"/>
          <w:sz w:val="22"/>
          <w:szCs w:val="22"/>
        </w:rPr>
        <w:t xml:space="preserve"> reduced shareholder value. Overall, these trends suggest that Burberry’s pe</w:t>
      </w:r>
      <w:r w:rsidRPr="37E63DBD" w:rsidR="213B8F33">
        <w:rPr>
          <w:rFonts w:ascii="Arial" w:hAnsi="Arial" w:eastAsia="Arial" w:cs="Arial" w:asciiTheme="minorAscii" w:hAnsiTheme="minorAscii" w:eastAsiaTheme="minorAscii" w:cstheme="minorAscii"/>
          <w:sz w:val="22"/>
          <w:szCs w:val="22"/>
        </w:rPr>
        <w:t xml:space="preserve">rformance challenges are not isolated but instead reflect broader structural pressures, </w:t>
      </w:r>
      <w:r w:rsidRPr="37E63DBD" w:rsidR="213B8F33">
        <w:rPr>
          <w:rFonts w:ascii="Arial" w:hAnsi="Arial" w:eastAsia="Arial" w:cs="Arial" w:asciiTheme="minorAscii" w:hAnsiTheme="minorAscii" w:eastAsiaTheme="minorAscii" w:cstheme="minorAscii"/>
          <w:sz w:val="22"/>
          <w:szCs w:val="22"/>
        </w:rPr>
        <w:t>likely linked</w:t>
      </w:r>
      <w:r w:rsidRPr="37E63DBD" w:rsidR="213B8F33">
        <w:rPr>
          <w:rFonts w:ascii="Arial" w:hAnsi="Arial" w:eastAsia="Arial" w:cs="Arial" w:asciiTheme="minorAscii" w:hAnsiTheme="minorAscii" w:eastAsiaTheme="minorAscii" w:cstheme="minorAscii"/>
          <w:sz w:val="22"/>
          <w:szCs w:val="22"/>
        </w:rPr>
        <w:t xml:space="preserve"> to market conditions within the luxury retail sector, rising costs, and reduced earnings efficiency. </w:t>
      </w:r>
    </w:p>
    <w:p xmlns:wp14="http://schemas.microsoft.com/office/word/2010/wordml" w:rsidP="37E63DBD" wp14:paraId="73212FB5" wp14:textId="1C4F7400">
      <w:pPr>
        <w:pStyle w:val="ListParagraph"/>
        <w:numPr>
          <w:ilvl w:val="0"/>
          <w:numId w:val="2"/>
        </w:numPr>
        <w:spacing w:line="360" w:lineRule="auto"/>
        <w:jc w:val="both"/>
        <w:rPr>
          <w:rFonts w:ascii="Arial" w:hAnsi="Arial" w:eastAsia="Arial" w:cs="Arial" w:asciiTheme="minorAscii" w:hAnsiTheme="minorAscii" w:eastAsiaTheme="minorAscii" w:cstheme="minorAscii"/>
          <w:b w:val="1"/>
          <w:bCs w:val="1"/>
          <w:sz w:val="22"/>
          <w:szCs w:val="22"/>
        </w:rPr>
      </w:pPr>
      <w:r w:rsidRPr="37E63DBD" w:rsidR="5740EAF1">
        <w:rPr>
          <w:rFonts w:ascii="Arial" w:hAnsi="Arial" w:eastAsia="Arial" w:cs="Arial" w:asciiTheme="minorAscii" w:hAnsiTheme="minorAscii" w:eastAsiaTheme="minorAscii" w:cstheme="minorAscii"/>
          <w:b w:val="1"/>
          <w:bCs w:val="1"/>
          <w:sz w:val="22"/>
          <w:szCs w:val="22"/>
        </w:rPr>
        <w:t>Recommendations</w:t>
      </w:r>
    </w:p>
    <w:p xmlns:wp14="http://schemas.microsoft.com/office/word/2010/wordml" w:rsidP="32E1AE9F" wp14:paraId="7A147F08" wp14:textId="4F362519">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740EAF1">
        <w:rPr>
          <w:rFonts w:ascii="Arial" w:hAnsi="Arial" w:eastAsia="Arial" w:cs="Arial" w:asciiTheme="minorAscii" w:hAnsiTheme="minorAscii" w:eastAsiaTheme="minorAscii" w:cstheme="minorAscii"/>
          <w:sz w:val="22"/>
          <w:szCs w:val="22"/>
        </w:rPr>
        <w:t>Based on the ratio analysis and critical evaluation, Burberry’s financial performance has been most significantly affect</w:t>
      </w:r>
      <w:r w:rsidRPr="37E63DBD" w:rsidR="5740EAF1">
        <w:rPr>
          <w:rFonts w:ascii="Arial" w:hAnsi="Arial" w:eastAsia="Arial" w:cs="Arial" w:asciiTheme="minorAscii" w:hAnsiTheme="minorAscii" w:eastAsiaTheme="minorAscii" w:cstheme="minorAscii"/>
          <w:sz w:val="22"/>
          <w:szCs w:val="22"/>
        </w:rPr>
        <w:t xml:space="preserve">ed by declining </w:t>
      </w:r>
      <w:r w:rsidRPr="37E63DBD" w:rsidR="35A38478">
        <w:rPr>
          <w:rFonts w:ascii="Arial" w:hAnsi="Arial" w:eastAsia="Arial" w:cs="Arial" w:asciiTheme="minorAscii" w:hAnsiTheme="minorAscii" w:eastAsiaTheme="minorAscii" w:cstheme="minorAscii"/>
          <w:sz w:val="22"/>
          <w:szCs w:val="22"/>
        </w:rPr>
        <w:t>pro</w:t>
      </w:r>
      <w:r w:rsidRPr="37E63DBD" w:rsidR="35A38478">
        <w:rPr>
          <w:rFonts w:ascii="Arial" w:hAnsi="Arial" w:eastAsia="Arial" w:cs="Arial" w:asciiTheme="minorAscii" w:hAnsiTheme="minorAscii" w:eastAsiaTheme="minorAscii" w:cstheme="minorAscii"/>
          <w:sz w:val="22"/>
          <w:szCs w:val="22"/>
        </w:rPr>
        <w:t>fita</w:t>
      </w:r>
      <w:r w:rsidRPr="37E63DBD" w:rsidR="5740EAF1">
        <w:rPr>
          <w:rFonts w:ascii="Arial" w:hAnsi="Arial" w:eastAsia="Arial" w:cs="Arial" w:asciiTheme="minorAscii" w:hAnsiTheme="minorAscii" w:eastAsiaTheme="minorAscii" w:cstheme="minorAscii"/>
          <w:sz w:val="22"/>
          <w:szCs w:val="22"/>
        </w:rPr>
        <w:t xml:space="preserve">bility, alongside emerging risks in gearing and investor returns. While efficiency improvements are </w:t>
      </w:r>
      <w:r w:rsidRPr="37E63DBD" w:rsidR="5740EAF1">
        <w:rPr>
          <w:rFonts w:ascii="Arial" w:hAnsi="Arial" w:eastAsia="Arial" w:cs="Arial" w:asciiTheme="minorAscii" w:hAnsiTheme="minorAscii" w:eastAsiaTheme="minorAscii" w:cstheme="minorAscii"/>
          <w:sz w:val="22"/>
          <w:szCs w:val="22"/>
        </w:rPr>
        <w:t>evident</w:t>
      </w:r>
      <w:r w:rsidRPr="37E63DBD" w:rsidR="5740EAF1">
        <w:rPr>
          <w:rFonts w:ascii="Arial" w:hAnsi="Arial" w:eastAsia="Arial" w:cs="Arial" w:asciiTheme="minorAscii" w:hAnsiTheme="minorAscii" w:eastAsiaTheme="minorAscii" w:cstheme="minorAscii"/>
          <w:sz w:val="22"/>
          <w:szCs w:val="22"/>
        </w:rPr>
        <w:t>, these have not translated into improved financia</w:t>
      </w:r>
      <w:r w:rsidRPr="37E63DBD" w:rsidR="04B74489">
        <w:rPr>
          <w:rFonts w:ascii="Arial" w:hAnsi="Arial" w:eastAsia="Arial" w:cs="Arial" w:asciiTheme="minorAscii" w:hAnsiTheme="minorAscii" w:eastAsiaTheme="minorAscii" w:cstheme="minorAscii"/>
          <w:sz w:val="22"/>
          <w:szCs w:val="22"/>
        </w:rPr>
        <w:t xml:space="preserve">l outcomes. The following recommendations are therefore focused on improving profitability, strengthening financial stability, and restoring investor confidence. </w:t>
      </w:r>
    </w:p>
    <w:p xmlns:wp14="http://schemas.microsoft.com/office/word/2010/wordml" w:rsidP="32E1AE9F" wp14:paraId="01F9ABF9" wp14:textId="3C210816">
      <w:pPr>
        <w:pStyle w:val="Normal"/>
        <w:spacing w:line="360" w:lineRule="auto"/>
        <w:jc w:val="both"/>
        <w:rPr>
          <w:rFonts w:ascii="Arial" w:hAnsi="Arial" w:eastAsia="Arial" w:cs="Arial" w:asciiTheme="minorAscii" w:hAnsiTheme="minorAscii" w:eastAsiaTheme="minorAscii" w:cstheme="minorAscii"/>
          <w:sz w:val="22"/>
          <w:szCs w:val="22"/>
        </w:rPr>
      </w:pPr>
      <w:r w:rsidRPr="32E1AE9F" w:rsidR="04B74489">
        <w:rPr>
          <w:rFonts w:ascii="Arial" w:hAnsi="Arial" w:eastAsia="Arial" w:cs="Arial" w:asciiTheme="minorAscii" w:hAnsiTheme="minorAscii" w:eastAsiaTheme="minorAscii" w:cstheme="minorAscii"/>
          <w:sz w:val="22"/>
          <w:szCs w:val="22"/>
        </w:rPr>
        <w:t>Given the sharp decline in profitability, Burberry should prioritise tighter cost control and margin management. This may involve reviewing supply</w:t>
      </w:r>
      <w:r w:rsidRPr="32E1AE9F" w:rsidR="6E3495F6">
        <w:rPr>
          <w:rFonts w:ascii="Arial" w:hAnsi="Arial" w:eastAsia="Arial" w:cs="Arial" w:asciiTheme="minorAscii" w:hAnsiTheme="minorAscii" w:eastAsiaTheme="minorAscii" w:cstheme="minorAscii"/>
          <w:sz w:val="22"/>
          <w:szCs w:val="22"/>
        </w:rPr>
        <w:t xml:space="preserve"> chain costs, reducing operational </w:t>
      </w:r>
      <w:r w:rsidRPr="32E1AE9F" w:rsidR="1FBAD3BC">
        <w:rPr>
          <w:rFonts w:ascii="Arial" w:hAnsi="Arial" w:eastAsia="Arial" w:cs="Arial" w:asciiTheme="minorAscii" w:hAnsiTheme="minorAscii" w:eastAsiaTheme="minorAscii" w:cstheme="minorAscii"/>
          <w:sz w:val="22"/>
          <w:szCs w:val="22"/>
        </w:rPr>
        <w:t>inefficiencies</w:t>
      </w:r>
      <w:r w:rsidRPr="32E1AE9F" w:rsidR="6E3495F6">
        <w:rPr>
          <w:rFonts w:ascii="Arial" w:hAnsi="Arial" w:eastAsia="Arial" w:cs="Arial" w:asciiTheme="minorAscii" w:hAnsiTheme="minorAscii" w:eastAsiaTheme="minorAscii" w:cstheme="minorAscii"/>
          <w:sz w:val="22"/>
          <w:szCs w:val="22"/>
        </w:rPr>
        <w:t xml:space="preserve">, and optimising pricing strategies to protect profit margins. </w:t>
      </w:r>
    </w:p>
    <w:p xmlns:wp14="http://schemas.microsoft.com/office/word/2010/wordml" w:rsidP="32E1AE9F" wp14:paraId="3EF49007" wp14:textId="23C75D8B">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sz w:val="22"/>
          <w:szCs w:val="22"/>
        </w:rPr>
      </w:pPr>
      <w:r w:rsidRPr="37E63DBD" w:rsidR="6E3495F6">
        <w:rPr>
          <w:rFonts w:ascii="Arial" w:hAnsi="Arial" w:eastAsia="Arial" w:cs="Arial" w:asciiTheme="minorAscii" w:hAnsiTheme="minorAscii" w:eastAsiaTheme="minorAscii" w:cstheme="minorAscii"/>
          <w:sz w:val="22"/>
          <w:szCs w:val="22"/>
        </w:rPr>
        <w:t xml:space="preserve">Research suggests that effective cost management is critical in </w:t>
      </w:r>
      <w:r w:rsidRPr="37E63DBD" w:rsidR="6E3495F6">
        <w:rPr>
          <w:rFonts w:ascii="Arial" w:hAnsi="Arial" w:eastAsia="Arial" w:cs="Arial" w:asciiTheme="minorAscii" w:hAnsiTheme="minorAscii" w:eastAsiaTheme="minorAscii" w:cstheme="minorAscii"/>
          <w:sz w:val="22"/>
          <w:szCs w:val="22"/>
        </w:rPr>
        <w:t>maintaining</w:t>
      </w:r>
      <w:r w:rsidRPr="37E63DBD" w:rsidR="6E3495F6">
        <w:rPr>
          <w:rFonts w:ascii="Arial" w:hAnsi="Arial" w:eastAsia="Arial" w:cs="Arial" w:asciiTheme="minorAscii" w:hAnsiTheme="minorAscii" w:eastAsiaTheme="minorAscii" w:cstheme="minorAscii"/>
          <w:sz w:val="22"/>
          <w:szCs w:val="22"/>
        </w:rPr>
        <w:t xml:space="preserve"> profitability, particularly in periods of economic uncertainty where revenue growth </w:t>
      </w:r>
      <w:r w:rsidRPr="37E63DBD" w:rsidR="6E3495F6">
        <w:rPr>
          <w:rFonts w:ascii="Arial" w:hAnsi="Arial" w:eastAsia="Arial" w:cs="Arial" w:asciiTheme="minorAscii" w:hAnsiTheme="minorAscii" w:eastAsiaTheme="minorAscii" w:cstheme="minorAscii"/>
          <w:sz w:val="22"/>
          <w:szCs w:val="22"/>
        </w:rPr>
        <w:t>ma</w:t>
      </w:r>
      <w:r w:rsidRPr="37E63DBD" w:rsidR="6E3495F6">
        <w:rPr>
          <w:rFonts w:ascii="Arial" w:hAnsi="Arial" w:eastAsia="Arial" w:cs="Arial" w:asciiTheme="minorAscii" w:hAnsiTheme="minorAscii" w:eastAsiaTheme="minorAscii" w:cstheme="minorAscii"/>
          <w:sz w:val="22"/>
          <w:szCs w:val="22"/>
        </w:rPr>
        <w:t>y be constrained (</w:t>
      </w:r>
      <w:r w:rsidRPr="37E63DBD" w:rsidR="7B1411B0">
        <w:rPr>
          <w:rFonts w:ascii="Arial" w:hAnsi="Arial" w:eastAsia="Arial" w:cs="Arial" w:asciiTheme="minorAscii" w:hAnsiTheme="minorAscii" w:eastAsiaTheme="minorAscii" w:cstheme="minorAscii"/>
          <w:sz w:val="22"/>
          <w:szCs w:val="22"/>
        </w:rPr>
        <w:t>D’Arpizio et al., 2024</w:t>
      </w:r>
      <w:r w:rsidRPr="37E63DBD" w:rsidR="6E3495F6">
        <w:rPr>
          <w:rFonts w:ascii="Arial" w:hAnsi="Arial" w:eastAsia="Arial" w:cs="Arial" w:asciiTheme="minorAscii" w:hAnsiTheme="minorAscii" w:eastAsiaTheme="minorAscii" w:cstheme="minorAscii"/>
          <w:sz w:val="22"/>
          <w:szCs w:val="22"/>
        </w:rPr>
        <w:t xml:space="preserve">). For a luxury brand such as Burberry, </w:t>
      </w:r>
      <w:r w:rsidRPr="37E63DBD" w:rsidR="6E3495F6">
        <w:rPr>
          <w:rFonts w:ascii="Arial" w:hAnsi="Arial" w:eastAsia="Arial" w:cs="Arial" w:asciiTheme="minorAscii" w:hAnsiTheme="minorAscii" w:eastAsiaTheme="minorAscii" w:cstheme="minorAscii"/>
          <w:sz w:val="22"/>
          <w:szCs w:val="22"/>
        </w:rPr>
        <w:t>maintaining</w:t>
      </w:r>
      <w:r w:rsidRPr="37E63DBD" w:rsidR="6E3495F6">
        <w:rPr>
          <w:rFonts w:ascii="Arial" w:hAnsi="Arial" w:eastAsia="Arial" w:cs="Arial" w:asciiTheme="minorAscii" w:hAnsiTheme="minorAscii" w:eastAsiaTheme="minorAscii" w:cstheme="minorAscii"/>
          <w:sz w:val="22"/>
          <w:szCs w:val="22"/>
        </w:rPr>
        <w:t xml:space="preserve"> brand value while controlling costs</w:t>
      </w:r>
      <w:r w:rsidRPr="37E63DBD" w:rsidR="1E47ADA7">
        <w:rPr>
          <w:rFonts w:ascii="Arial" w:hAnsi="Arial" w:eastAsia="Arial" w:cs="Arial" w:asciiTheme="minorAscii" w:hAnsiTheme="minorAscii" w:eastAsiaTheme="minorAscii" w:cstheme="minorAscii"/>
          <w:sz w:val="22"/>
          <w:szCs w:val="22"/>
        </w:rPr>
        <w:t xml:space="preserve"> is essential to avoid margin erosion.</w:t>
      </w:r>
    </w:p>
    <w:p xmlns:wp14="http://schemas.microsoft.com/office/word/2010/wordml" w:rsidP="32E1AE9F" wp14:paraId="6138648C" wp14:textId="528B93BE">
      <w:pPr>
        <w:pStyle w:val="Normal"/>
        <w:spacing w:line="360" w:lineRule="auto"/>
        <w:jc w:val="both"/>
        <w:rPr>
          <w:rFonts w:ascii="Arial" w:hAnsi="Arial" w:eastAsia="Arial" w:cs="Arial" w:asciiTheme="minorAscii" w:hAnsiTheme="minorAscii" w:eastAsiaTheme="minorAscii" w:cstheme="minorAscii"/>
          <w:sz w:val="22"/>
          <w:szCs w:val="22"/>
        </w:rPr>
      </w:pPr>
      <w:r w:rsidRPr="32E1AE9F" w:rsidR="453F92E5">
        <w:rPr>
          <w:rFonts w:ascii="Arial" w:hAnsi="Arial" w:eastAsia="Arial" w:cs="Arial" w:asciiTheme="minorAscii" w:hAnsiTheme="minorAscii" w:eastAsiaTheme="minorAscii" w:cstheme="minorAscii"/>
          <w:sz w:val="22"/>
          <w:szCs w:val="22"/>
        </w:rPr>
        <w:t xml:space="preserve">In addition to cost control, </w:t>
      </w:r>
      <w:r w:rsidRPr="32E1AE9F" w:rsidR="007E6491">
        <w:rPr>
          <w:rFonts w:ascii="Arial" w:hAnsi="Arial" w:eastAsia="Arial" w:cs="Arial" w:asciiTheme="minorAscii" w:hAnsiTheme="minorAscii" w:eastAsiaTheme="minorAscii" w:cstheme="minorAscii"/>
          <w:sz w:val="22"/>
          <w:szCs w:val="22"/>
        </w:rPr>
        <w:t>Burberry</w:t>
      </w:r>
      <w:r w:rsidRPr="32E1AE9F" w:rsidR="453F92E5">
        <w:rPr>
          <w:rFonts w:ascii="Arial" w:hAnsi="Arial" w:eastAsia="Arial" w:cs="Arial" w:asciiTheme="minorAscii" w:hAnsiTheme="minorAscii" w:eastAsiaTheme="minorAscii" w:cstheme="minorAscii"/>
          <w:sz w:val="22"/>
          <w:szCs w:val="22"/>
        </w:rPr>
        <w:t xml:space="preserve"> should focus on strengthening revenue streams through enhanced brand positioning and targeted market strategies. This could include expanding into high-growth international markets, increasing digital sales channels, and improving customer engagement. </w:t>
      </w:r>
    </w:p>
    <w:p xmlns:wp14="http://schemas.microsoft.com/office/word/2010/wordml" w:rsidP="32E1AE9F" wp14:paraId="4410B445" wp14:textId="04500415">
      <w:pPr>
        <w:pStyle w:val="Normal"/>
        <w:spacing w:line="360" w:lineRule="auto"/>
        <w:jc w:val="both"/>
        <w:rPr>
          <w:rFonts w:ascii="Arial" w:hAnsi="Arial" w:eastAsia="Arial" w:cs="Arial" w:asciiTheme="minorAscii" w:hAnsiTheme="minorAscii" w:eastAsiaTheme="minorAscii" w:cstheme="minorAscii"/>
          <w:sz w:val="22"/>
          <w:szCs w:val="22"/>
        </w:rPr>
      </w:pPr>
      <w:r w:rsidRPr="32E1AE9F" w:rsidR="453F92E5">
        <w:rPr>
          <w:rFonts w:ascii="Arial" w:hAnsi="Arial" w:eastAsia="Arial" w:cs="Arial" w:asciiTheme="minorAscii" w:hAnsiTheme="minorAscii" w:eastAsiaTheme="minorAscii" w:cstheme="minorAscii"/>
          <w:sz w:val="22"/>
          <w:szCs w:val="22"/>
        </w:rPr>
        <w:t>Academic studies highlight that firms in competitive and discretionary sectors must continuously adapt their market strategies to sustain revenue growth and remain competitive (</w:t>
      </w:r>
      <w:r w:rsidRPr="32E1AE9F" w:rsidR="7B4D3C53">
        <w:rPr>
          <w:rFonts w:ascii="Arial" w:hAnsi="Arial" w:eastAsia="Arial" w:cs="Arial" w:asciiTheme="minorAscii" w:hAnsiTheme="minorAscii" w:eastAsiaTheme="minorAscii" w:cstheme="minorAscii"/>
          <w:sz w:val="22"/>
          <w:szCs w:val="22"/>
        </w:rPr>
        <w:t>Sun et al., 2025</w:t>
      </w:r>
      <w:r w:rsidRPr="32E1AE9F" w:rsidR="453F92E5">
        <w:rPr>
          <w:rFonts w:ascii="Arial" w:hAnsi="Arial" w:eastAsia="Arial" w:cs="Arial" w:asciiTheme="minorAscii" w:hAnsiTheme="minorAscii" w:eastAsiaTheme="minorAscii" w:cstheme="minorAscii"/>
          <w:sz w:val="22"/>
          <w:szCs w:val="22"/>
        </w:rPr>
        <w:t xml:space="preserve">). </w:t>
      </w:r>
    </w:p>
    <w:p xmlns:wp14="http://schemas.microsoft.com/office/word/2010/wordml" w:rsidP="32E1AE9F" wp14:paraId="759FA5B6" wp14:textId="500DEE31">
      <w:pPr>
        <w:pStyle w:val="Normal"/>
        <w:spacing w:line="360" w:lineRule="auto"/>
        <w:jc w:val="both"/>
        <w:rPr>
          <w:rFonts w:ascii="Arial" w:hAnsi="Arial" w:eastAsia="Arial" w:cs="Arial" w:asciiTheme="minorAscii" w:hAnsiTheme="minorAscii" w:eastAsiaTheme="minorAscii" w:cstheme="minorAscii"/>
          <w:sz w:val="22"/>
          <w:szCs w:val="22"/>
        </w:rPr>
      </w:pPr>
      <w:r w:rsidRPr="32E1AE9F" w:rsidR="453F92E5">
        <w:rPr>
          <w:rFonts w:ascii="Arial" w:hAnsi="Arial" w:eastAsia="Arial" w:cs="Arial" w:asciiTheme="minorAscii" w:hAnsiTheme="minorAscii" w:eastAsiaTheme="minorAscii" w:cstheme="minorAscii"/>
          <w:sz w:val="22"/>
          <w:szCs w:val="22"/>
        </w:rPr>
        <w:t>Although efficiency ratios have improved, Burberry should continue to optimise its working capital management, particularly in inventory and receivables. Maintaining efficient inventory turnover while avoiding stock shortages is crucia</w:t>
      </w:r>
      <w:r w:rsidRPr="32E1AE9F" w:rsidR="5437A140">
        <w:rPr>
          <w:rFonts w:ascii="Arial" w:hAnsi="Arial" w:eastAsia="Arial" w:cs="Arial" w:asciiTheme="minorAscii" w:hAnsiTheme="minorAscii" w:eastAsiaTheme="minorAscii" w:cstheme="minorAscii"/>
          <w:sz w:val="22"/>
          <w:szCs w:val="22"/>
        </w:rPr>
        <w:t xml:space="preserve">l in retail operations. Similarly, continued focus on receivables collection will support cash flow stability. Evidence suggests that effective working capital management </w:t>
      </w:r>
      <w:r w:rsidRPr="32E1AE9F" w:rsidR="4ADCB047">
        <w:rPr>
          <w:rFonts w:ascii="Arial" w:hAnsi="Arial" w:eastAsia="Arial" w:cs="Arial" w:asciiTheme="minorAscii" w:hAnsiTheme="minorAscii" w:eastAsiaTheme="minorAscii" w:cstheme="minorAscii"/>
          <w:sz w:val="22"/>
          <w:szCs w:val="22"/>
        </w:rPr>
        <w:t>contributes positively to both liquidity and overall firm performance (</w:t>
      </w:r>
      <w:r w:rsidRPr="32E1AE9F" w:rsidR="073756B5">
        <w:rPr>
          <w:rFonts w:ascii="Arial" w:hAnsi="Arial" w:eastAsia="Arial" w:cs="Arial" w:asciiTheme="minorAscii" w:hAnsiTheme="minorAscii" w:eastAsiaTheme="minorAscii" w:cstheme="minorAscii"/>
          <w:sz w:val="22"/>
          <w:szCs w:val="22"/>
        </w:rPr>
        <w:t>Pratap, 2023</w:t>
      </w:r>
      <w:r w:rsidRPr="32E1AE9F" w:rsidR="4ADCB047">
        <w:rPr>
          <w:rFonts w:ascii="Arial" w:hAnsi="Arial" w:eastAsia="Arial" w:cs="Arial" w:asciiTheme="minorAscii" w:hAnsiTheme="minorAscii" w:eastAsiaTheme="minorAscii" w:cstheme="minorAscii"/>
          <w:sz w:val="22"/>
          <w:szCs w:val="22"/>
        </w:rPr>
        <w:t>).</w:t>
      </w:r>
    </w:p>
    <w:p xmlns:wp14="http://schemas.microsoft.com/office/word/2010/wordml" w:rsidP="32E1AE9F" wp14:paraId="4AD22836" wp14:textId="0278F765">
      <w:pPr>
        <w:pStyle w:val="Normal"/>
        <w:spacing w:line="360" w:lineRule="auto"/>
        <w:jc w:val="both"/>
        <w:rPr>
          <w:rFonts w:ascii="Arial" w:hAnsi="Arial" w:eastAsia="Arial" w:cs="Arial" w:asciiTheme="minorAscii" w:hAnsiTheme="minorAscii" w:eastAsiaTheme="minorAscii" w:cstheme="minorAscii"/>
          <w:sz w:val="22"/>
          <w:szCs w:val="22"/>
        </w:rPr>
      </w:pPr>
      <w:r w:rsidRPr="32E1AE9F" w:rsidR="4ADCB047">
        <w:rPr>
          <w:rFonts w:ascii="Arial" w:hAnsi="Arial" w:eastAsia="Arial" w:cs="Arial" w:asciiTheme="minorAscii" w:hAnsiTheme="minorAscii" w:eastAsiaTheme="minorAscii" w:cstheme="minorAscii"/>
          <w:sz w:val="22"/>
          <w:szCs w:val="22"/>
        </w:rPr>
        <w:t>Given the increase in one of the gearing measures, Burberry should carefully manage its capital structure to avoid excessive financial risk. This may involve limiting additional borrowing, refinancing existing debt under favourable terms, or strengthening equity financing where appropriate.</w:t>
      </w:r>
    </w:p>
    <w:p xmlns:wp14="http://schemas.microsoft.com/office/word/2010/wordml" w:rsidP="32E1AE9F" wp14:paraId="66E6467A" wp14:textId="3859D686">
      <w:pPr>
        <w:pStyle w:val="Normal"/>
        <w:spacing w:line="360" w:lineRule="auto"/>
        <w:jc w:val="both"/>
        <w:rPr>
          <w:rFonts w:ascii="Arial" w:hAnsi="Arial" w:eastAsia="Arial" w:cs="Arial" w:asciiTheme="minorAscii" w:hAnsiTheme="minorAscii" w:eastAsiaTheme="minorAscii" w:cstheme="minorAscii"/>
          <w:sz w:val="22"/>
          <w:szCs w:val="22"/>
        </w:rPr>
      </w:pPr>
      <w:r w:rsidRPr="37E63DBD" w:rsidR="461AD9E3">
        <w:rPr>
          <w:rFonts w:ascii="Arial" w:hAnsi="Arial" w:eastAsia="Arial" w:cs="Arial" w:asciiTheme="minorAscii" w:hAnsiTheme="minorAscii" w:eastAsiaTheme="minorAscii" w:cstheme="minorAscii"/>
          <w:sz w:val="22"/>
          <w:szCs w:val="22"/>
        </w:rPr>
        <w:t xml:space="preserve">Financial research </w:t>
      </w:r>
      <w:r w:rsidRPr="37E63DBD" w:rsidR="461AD9E3">
        <w:rPr>
          <w:rFonts w:ascii="Arial" w:hAnsi="Arial" w:eastAsia="Arial" w:cs="Arial" w:asciiTheme="minorAscii" w:hAnsiTheme="minorAscii" w:eastAsiaTheme="minorAscii" w:cstheme="minorAscii"/>
          <w:sz w:val="22"/>
          <w:szCs w:val="22"/>
        </w:rPr>
        <w:t>indicates</w:t>
      </w:r>
      <w:r w:rsidRPr="37E63DBD" w:rsidR="461AD9E3">
        <w:rPr>
          <w:rFonts w:ascii="Arial" w:hAnsi="Arial" w:eastAsia="Arial" w:cs="Arial" w:asciiTheme="minorAscii" w:hAnsiTheme="minorAscii" w:eastAsiaTheme="minorAscii" w:cstheme="minorAscii"/>
          <w:sz w:val="22"/>
          <w:szCs w:val="22"/>
        </w:rPr>
        <w:t xml:space="preserve"> that maintaining </w:t>
      </w:r>
      <w:r w:rsidRPr="37E63DBD" w:rsidR="461AD9E3">
        <w:rPr>
          <w:rFonts w:ascii="Arial" w:hAnsi="Arial" w:eastAsia="Arial" w:cs="Arial" w:asciiTheme="minorAscii" w:hAnsiTheme="minorAscii" w:eastAsiaTheme="minorAscii" w:cstheme="minorAscii"/>
          <w:sz w:val="22"/>
          <w:szCs w:val="22"/>
        </w:rPr>
        <w:t>an optimal</w:t>
      </w:r>
      <w:r w:rsidRPr="37E63DBD" w:rsidR="461AD9E3">
        <w:rPr>
          <w:rFonts w:ascii="Arial" w:hAnsi="Arial" w:eastAsia="Arial" w:cs="Arial" w:asciiTheme="minorAscii" w:hAnsiTheme="minorAscii" w:eastAsiaTheme="minorAscii" w:cstheme="minorAscii"/>
          <w:sz w:val="22"/>
          <w:szCs w:val="22"/>
        </w:rPr>
        <w:t xml:space="preserve"> balance between debt and equity is essential to minimise financial distress risk while suppo</w:t>
      </w:r>
      <w:r w:rsidRPr="37E63DBD" w:rsidR="461AD9E3">
        <w:rPr>
          <w:rFonts w:ascii="Arial" w:hAnsi="Arial" w:eastAsia="Arial" w:cs="Arial" w:asciiTheme="minorAscii" w:hAnsiTheme="minorAscii" w:eastAsiaTheme="minorAscii" w:cstheme="minorAscii"/>
          <w:sz w:val="22"/>
          <w:szCs w:val="22"/>
        </w:rPr>
        <w:t>rting gro</w:t>
      </w:r>
      <w:r w:rsidRPr="37E63DBD" w:rsidR="461AD9E3">
        <w:rPr>
          <w:rFonts w:ascii="Arial" w:hAnsi="Arial" w:eastAsia="Arial" w:cs="Arial" w:asciiTheme="minorAscii" w:hAnsiTheme="minorAscii" w:eastAsiaTheme="minorAscii" w:cstheme="minorAscii"/>
          <w:sz w:val="22"/>
          <w:szCs w:val="22"/>
        </w:rPr>
        <w:t>wt</w:t>
      </w:r>
      <w:r w:rsidRPr="37E63DBD" w:rsidR="461AD9E3">
        <w:rPr>
          <w:rFonts w:ascii="Arial" w:hAnsi="Arial" w:eastAsia="Arial" w:cs="Arial" w:asciiTheme="minorAscii" w:hAnsiTheme="minorAscii" w:eastAsiaTheme="minorAscii" w:cstheme="minorAscii"/>
          <w:sz w:val="22"/>
          <w:szCs w:val="22"/>
        </w:rPr>
        <w:t>h (</w:t>
      </w:r>
      <w:r w:rsidRPr="37E63DBD" w:rsidR="2CDF6639">
        <w:rPr>
          <w:rFonts w:ascii="Arial" w:hAnsi="Arial" w:eastAsia="Arial" w:cs="Arial" w:asciiTheme="minorAscii" w:hAnsiTheme="minorAscii" w:eastAsiaTheme="minorAscii" w:cstheme="minorAscii"/>
          <w:sz w:val="22"/>
          <w:szCs w:val="22"/>
        </w:rPr>
        <w:t>T</w:t>
      </w:r>
      <w:r w:rsidRPr="37E63DBD" w:rsidR="243F9E17">
        <w:rPr>
          <w:rFonts w:ascii="Arial" w:hAnsi="Arial" w:eastAsia="Arial" w:cs="Arial" w:asciiTheme="minorAscii" w:hAnsiTheme="minorAscii" w:eastAsiaTheme="minorAscii" w:cstheme="minorAscii"/>
          <w:sz w:val="22"/>
          <w:szCs w:val="22"/>
        </w:rPr>
        <w:t>hanh Nguyen, Muni</w:t>
      </w:r>
      <w:r w:rsidRPr="37E63DBD" w:rsidR="243F9E17">
        <w:rPr>
          <w:rFonts w:ascii="Arial" w:hAnsi="Arial" w:eastAsia="Arial" w:cs="Arial" w:asciiTheme="minorAscii" w:hAnsiTheme="minorAscii" w:eastAsiaTheme="minorAscii" w:cstheme="minorAscii"/>
          <w:sz w:val="22"/>
          <w:szCs w:val="22"/>
        </w:rPr>
        <w:t>andy &amp; Henry, 2024</w:t>
      </w:r>
      <w:r w:rsidRPr="37E63DBD" w:rsidR="461AD9E3">
        <w:rPr>
          <w:rFonts w:ascii="Arial" w:hAnsi="Arial" w:eastAsia="Arial" w:cs="Arial" w:asciiTheme="minorAscii" w:hAnsiTheme="minorAscii" w:eastAsiaTheme="minorAscii" w:cstheme="minorAscii"/>
          <w:sz w:val="22"/>
          <w:szCs w:val="22"/>
        </w:rPr>
        <w:t xml:space="preserve">). </w:t>
      </w:r>
    </w:p>
    <w:p xmlns:wp14="http://schemas.microsoft.com/office/word/2010/wordml" w:rsidP="32E1AE9F" wp14:paraId="7DF8BFC2" wp14:textId="6C5DA1A6">
      <w:pPr>
        <w:pStyle w:val="Normal"/>
        <w:spacing w:line="360" w:lineRule="auto"/>
        <w:jc w:val="both"/>
        <w:rPr>
          <w:rFonts w:ascii="Arial" w:hAnsi="Arial" w:eastAsia="Arial" w:cs="Arial" w:asciiTheme="minorAscii" w:hAnsiTheme="minorAscii" w:eastAsiaTheme="minorAscii" w:cstheme="minorAscii"/>
          <w:sz w:val="22"/>
          <w:szCs w:val="22"/>
        </w:rPr>
      </w:pPr>
      <w:r w:rsidRPr="32E1AE9F" w:rsidR="461AD9E3">
        <w:rPr>
          <w:rFonts w:ascii="Arial" w:hAnsi="Arial" w:eastAsia="Arial" w:cs="Arial" w:asciiTheme="minorAscii" w:hAnsiTheme="minorAscii" w:eastAsiaTheme="minorAscii" w:cstheme="minorAscii"/>
          <w:sz w:val="22"/>
          <w:szCs w:val="22"/>
        </w:rPr>
        <w:t xml:space="preserve">The decline in EPS and the absence of dividend cover highlights the need to restore investor confidence. Burberry should prioritise transparent financial communication and </w:t>
      </w:r>
      <w:r w:rsidRPr="32E1AE9F" w:rsidR="3E7A1771">
        <w:rPr>
          <w:rFonts w:ascii="Arial" w:hAnsi="Arial" w:eastAsia="Arial" w:cs="Arial" w:asciiTheme="minorAscii" w:hAnsiTheme="minorAscii" w:eastAsiaTheme="minorAscii" w:cstheme="minorAscii"/>
          <w:sz w:val="22"/>
          <w:szCs w:val="22"/>
        </w:rPr>
        <w:t>consider</w:t>
      </w:r>
      <w:r w:rsidRPr="32E1AE9F" w:rsidR="461AD9E3">
        <w:rPr>
          <w:rFonts w:ascii="Arial" w:hAnsi="Arial" w:eastAsia="Arial" w:cs="Arial" w:asciiTheme="minorAscii" w:hAnsiTheme="minorAscii" w:eastAsiaTheme="minorAscii" w:cstheme="minorAscii"/>
          <w:sz w:val="22"/>
          <w:szCs w:val="22"/>
        </w:rPr>
        <w:t xml:space="preserve"> a </w:t>
      </w:r>
      <w:r w:rsidRPr="32E1AE9F" w:rsidR="77479913">
        <w:rPr>
          <w:rFonts w:ascii="Arial" w:hAnsi="Arial" w:eastAsia="Arial" w:cs="Arial" w:asciiTheme="minorAscii" w:hAnsiTheme="minorAscii" w:eastAsiaTheme="minorAscii" w:cstheme="minorAscii"/>
          <w:sz w:val="22"/>
          <w:szCs w:val="22"/>
        </w:rPr>
        <w:t>sustainable</w:t>
      </w:r>
      <w:r w:rsidRPr="32E1AE9F" w:rsidR="461AD9E3">
        <w:rPr>
          <w:rFonts w:ascii="Arial" w:hAnsi="Arial" w:eastAsia="Arial" w:cs="Arial" w:asciiTheme="minorAscii" w:hAnsiTheme="minorAscii" w:eastAsiaTheme="minorAscii" w:cstheme="minorAscii"/>
          <w:sz w:val="22"/>
          <w:szCs w:val="22"/>
        </w:rPr>
        <w:t xml:space="preserve"> dividend policy aligned with earnings recovery. </w:t>
      </w:r>
    </w:p>
    <w:p xmlns:wp14="http://schemas.microsoft.com/office/word/2010/wordml" w:rsidP="32E1AE9F" wp14:paraId="6E75235C" wp14:textId="36C073D1">
      <w:pPr>
        <w:pStyle w:val="Normal"/>
        <w:spacing w:line="360" w:lineRule="auto"/>
        <w:jc w:val="both"/>
        <w:rPr>
          <w:rFonts w:ascii="Arial" w:hAnsi="Arial" w:eastAsia="Arial" w:cs="Arial" w:asciiTheme="minorAscii" w:hAnsiTheme="minorAscii" w:eastAsiaTheme="minorAscii" w:cstheme="minorAscii"/>
          <w:sz w:val="22"/>
          <w:szCs w:val="22"/>
        </w:rPr>
      </w:pPr>
      <w:r w:rsidRPr="37E63DBD" w:rsidR="461AD9E3">
        <w:rPr>
          <w:rFonts w:ascii="Arial" w:hAnsi="Arial" w:eastAsia="Arial" w:cs="Arial" w:asciiTheme="minorAscii" w:hAnsiTheme="minorAscii" w:eastAsiaTheme="minorAscii" w:cstheme="minorAscii"/>
          <w:sz w:val="22"/>
          <w:szCs w:val="22"/>
        </w:rPr>
        <w:t>Studies show that consistent earnings performance and clear dividend policies play a key role in maintaining investor confidence and supporting share value (</w:t>
      </w:r>
      <w:r w:rsidRPr="37E63DBD" w:rsidR="1728A799">
        <w:rPr>
          <w:rFonts w:ascii="Arial" w:hAnsi="Arial" w:eastAsia="Arial" w:cs="Arial" w:asciiTheme="minorAscii" w:hAnsiTheme="minorAscii" w:eastAsiaTheme="minorAscii" w:cstheme="minorAscii"/>
          <w:sz w:val="22"/>
          <w:szCs w:val="22"/>
        </w:rPr>
        <w:t>Cahaya et al., 2025</w:t>
      </w:r>
      <w:r w:rsidRPr="37E63DBD" w:rsidR="461AD9E3">
        <w:rPr>
          <w:rFonts w:ascii="Arial" w:hAnsi="Arial" w:eastAsia="Arial" w:cs="Arial" w:asciiTheme="minorAscii" w:hAnsiTheme="minorAscii" w:eastAsiaTheme="minorAscii" w:cstheme="minorAscii"/>
          <w:sz w:val="22"/>
          <w:szCs w:val="22"/>
        </w:rPr>
        <w:t>). Rebuilding trust with investors will b</w:t>
      </w:r>
      <w:r w:rsidRPr="37E63DBD" w:rsidR="461AD9E3">
        <w:rPr>
          <w:rFonts w:ascii="Arial" w:hAnsi="Arial" w:eastAsia="Arial" w:cs="Arial" w:asciiTheme="minorAscii" w:hAnsiTheme="minorAscii" w:eastAsiaTheme="minorAscii" w:cstheme="minorAscii"/>
          <w:sz w:val="22"/>
          <w:szCs w:val="22"/>
        </w:rPr>
        <w:t>e critica</w:t>
      </w:r>
      <w:r w:rsidRPr="37E63DBD" w:rsidR="461AD9E3">
        <w:rPr>
          <w:rFonts w:ascii="Arial" w:hAnsi="Arial" w:eastAsia="Arial" w:cs="Arial" w:asciiTheme="minorAscii" w:hAnsiTheme="minorAscii" w:eastAsiaTheme="minorAscii" w:cstheme="minorAscii"/>
          <w:sz w:val="22"/>
          <w:szCs w:val="22"/>
        </w:rPr>
        <w:t>l for long-term financial stability.</w:t>
      </w:r>
    </w:p>
    <w:p xmlns:wp14="http://schemas.microsoft.com/office/word/2010/wordml" w:rsidP="32E1AE9F" wp14:paraId="12FF8726" wp14:textId="6A7F791B">
      <w:pPr>
        <w:pStyle w:val="Normal"/>
        <w:spacing w:line="360" w:lineRule="auto"/>
        <w:jc w:val="both"/>
        <w:rPr>
          <w:rFonts w:ascii="Arial" w:hAnsi="Arial" w:eastAsia="Arial" w:cs="Arial" w:asciiTheme="minorAscii" w:hAnsiTheme="minorAscii" w:eastAsiaTheme="minorAscii" w:cstheme="minorAscii"/>
          <w:sz w:val="22"/>
          <w:szCs w:val="22"/>
        </w:rPr>
      </w:pPr>
      <w:r w:rsidRPr="37E63DBD" w:rsidR="461AD9E3">
        <w:rPr>
          <w:rFonts w:ascii="Arial" w:hAnsi="Arial" w:eastAsia="Arial" w:cs="Arial" w:asciiTheme="minorAscii" w:hAnsiTheme="minorAscii" w:eastAsiaTheme="minorAscii" w:cstheme="minorAscii"/>
          <w:sz w:val="22"/>
          <w:szCs w:val="22"/>
        </w:rPr>
        <w:t>Overall, Burberry should ado</w:t>
      </w:r>
      <w:r w:rsidRPr="37E63DBD" w:rsidR="461AD9E3">
        <w:rPr>
          <w:rFonts w:ascii="Arial" w:hAnsi="Arial" w:eastAsia="Arial" w:cs="Arial" w:asciiTheme="minorAscii" w:hAnsiTheme="minorAscii" w:eastAsiaTheme="minorAscii" w:cstheme="minorAscii"/>
          <w:sz w:val="22"/>
          <w:szCs w:val="22"/>
        </w:rPr>
        <w:t>pt a balance</w:t>
      </w:r>
      <w:r w:rsidRPr="37E63DBD" w:rsidR="461AD9E3">
        <w:rPr>
          <w:rFonts w:ascii="Arial" w:hAnsi="Arial" w:eastAsia="Arial" w:cs="Arial" w:asciiTheme="minorAscii" w:hAnsiTheme="minorAscii" w:eastAsiaTheme="minorAscii" w:cstheme="minorAscii"/>
          <w:sz w:val="22"/>
          <w:szCs w:val="22"/>
        </w:rPr>
        <w:t xml:space="preserve">d financial strategy that focuses on </w:t>
      </w:r>
      <w:r w:rsidRPr="37E63DBD" w:rsidR="2E7CDABB">
        <w:rPr>
          <w:rFonts w:ascii="Arial" w:hAnsi="Arial" w:eastAsia="Arial" w:cs="Arial" w:asciiTheme="minorAscii" w:hAnsiTheme="minorAscii" w:eastAsiaTheme="minorAscii" w:cstheme="minorAscii"/>
          <w:sz w:val="22"/>
          <w:szCs w:val="22"/>
        </w:rPr>
        <w:t>restoring</w:t>
      </w:r>
      <w:r w:rsidRPr="37E63DBD" w:rsidR="461AD9E3">
        <w:rPr>
          <w:rFonts w:ascii="Arial" w:hAnsi="Arial" w:eastAsia="Arial" w:cs="Arial" w:asciiTheme="minorAscii" w:hAnsiTheme="minorAscii" w:eastAsiaTheme="minorAscii" w:cstheme="minorAscii"/>
          <w:sz w:val="22"/>
          <w:szCs w:val="22"/>
        </w:rPr>
        <w:t xml:space="preserve"> profitability while </w:t>
      </w:r>
      <w:r w:rsidRPr="37E63DBD" w:rsidR="461AD9E3">
        <w:rPr>
          <w:rFonts w:ascii="Arial" w:hAnsi="Arial" w:eastAsia="Arial" w:cs="Arial" w:asciiTheme="minorAscii" w:hAnsiTheme="minorAscii" w:eastAsiaTheme="minorAscii" w:cstheme="minorAscii"/>
          <w:sz w:val="22"/>
          <w:szCs w:val="22"/>
        </w:rPr>
        <w:t>maintaining</w:t>
      </w:r>
      <w:r w:rsidRPr="37E63DBD" w:rsidR="461AD9E3">
        <w:rPr>
          <w:rFonts w:ascii="Arial" w:hAnsi="Arial" w:eastAsia="Arial" w:cs="Arial" w:asciiTheme="minorAscii" w:hAnsiTheme="minorAscii" w:eastAsiaTheme="minorAscii" w:cstheme="minorAscii"/>
          <w:sz w:val="22"/>
          <w:szCs w:val="22"/>
        </w:rPr>
        <w:t xml:space="preserve"> operational efficiency and controlling financial risk. By addressing both operational and financial challenges, the company will be better positioned to improve performance and deliver sustainable value to shareholders. </w:t>
      </w:r>
    </w:p>
    <w:p xmlns:wp14="http://schemas.microsoft.com/office/word/2010/wordml" w:rsidP="37E63DBD" wp14:paraId="057CC706" wp14:textId="32CD9D3A">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7EFB1258" wp14:textId="05904CDD">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1E3792E8" wp14:textId="67E02B5E">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9A0DAF7" wp14:textId="6EDB0113">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63A6992B" wp14:textId="6BB18B4C">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035826C6" wp14:textId="536044E6">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18B29674" wp14:textId="70C15C4F">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179AED6B" wp14:textId="26CC976D">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7107C171" wp14:textId="22B01B44">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23959E68" wp14:textId="03536EFB">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2B7FE85" wp14:textId="5C9466E6">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07D72D7C" wp14:textId="7037473B">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517FB8EC" wp14:textId="578B7822">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02C9A7BE" wp14:textId="5329CC5A">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DC45FE3" wp14:textId="60457BFA">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2AA3443C" wp14:textId="1D2963EE">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DC689A5" wp14:textId="3DE93AC7">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5B961D62" wp14:textId="4580E41C">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D6F567F" wp14:textId="496B8A12">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35D9A327" wp14:textId="6663A35A">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4A4EDFEE" wp14:textId="44B3B15B">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0F3B9992" wp14:textId="5B356729">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66C31CEF" wp14:textId="44E55CFC">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0C9DA2A2" wp14:textId="2AA6EA26">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24C63C03" wp14:textId="32C262EA">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6335A7FC" wp14:textId="144C2621">
      <w:pPr>
        <w:pStyle w:val="Normal"/>
        <w:rPr>
          <w:noProof w:val="0"/>
          <w:lang w:val="en-GB"/>
        </w:rPr>
      </w:pPr>
    </w:p>
    <w:p xmlns:wp14="http://schemas.microsoft.com/office/word/2010/wordml" w:rsidP="37E63DBD" wp14:paraId="53B955C8" wp14:textId="5F9BC98F">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p>
    <w:p xmlns:wp14="http://schemas.microsoft.com/office/word/2010/wordml" w:rsidP="37E63DBD" wp14:paraId="14D10169" wp14:textId="28134748">
      <w:pPr>
        <w:pStyle w:val="Heading2"/>
        <w:spacing w:before="40" w:beforeAutospacing="off" w:after="0" w:afterAutospacing="off"/>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bookmarkStart w:name="_Toc2020406226" w:id="1282673910"/>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t>Task 2</w:t>
      </w:r>
      <w:bookmarkEnd w:id="1282673910"/>
    </w:p>
    <w:p xmlns:wp14="http://schemas.microsoft.com/office/word/2010/wordml" w:rsidP="37E63DBD" wp14:paraId="052E1DDF" wp14:textId="5039E64F">
      <w:pPr>
        <w:pStyle w:val="Normal"/>
        <w:rPr>
          <w:rFonts w:ascii="Arial" w:hAnsi="Arial" w:eastAsia="Arial" w:cs="Arial" w:asciiTheme="minorAscii" w:hAnsiTheme="minorAscii" w:eastAsiaTheme="minorAscii" w:cstheme="minorAscii"/>
          <w:noProof w:val="0"/>
          <w:sz w:val="22"/>
          <w:szCs w:val="22"/>
          <w:lang w:val="en-GB"/>
        </w:rPr>
      </w:pPr>
    </w:p>
    <w:p xmlns:wp14="http://schemas.microsoft.com/office/word/2010/wordml" w:rsidP="37E63DBD" wp14:paraId="52411C45" wp14:textId="14CD8D98">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02EC1219">
        <w:rPr>
          <w:rFonts w:ascii="Arial" w:hAnsi="Arial" w:eastAsia="Arial" w:cs="Arial" w:asciiTheme="minorAscii" w:hAnsiTheme="minorAscii" w:eastAsiaTheme="minorAscii" w:cstheme="minorAscii"/>
          <w:b w:val="1"/>
          <w:bCs w:val="1"/>
          <w:sz w:val="22"/>
          <w:szCs w:val="22"/>
        </w:rPr>
        <w:t xml:space="preserve">1. </w:t>
      </w:r>
      <w:r w:rsidRPr="37E63DBD" w:rsidR="46B93A57">
        <w:rPr>
          <w:rFonts w:ascii="Arial" w:hAnsi="Arial" w:eastAsia="Arial" w:cs="Arial" w:asciiTheme="minorAscii" w:hAnsiTheme="minorAscii" w:eastAsiaTheme="minorAscii" w:cstheme="minorAscii"/>
          <w:b w:val="1"/>
          <w:bCs w:val="1"/>
          <w:sz w:val="22"/>
          <w:szCs w:val="22"/>
        </w:rPr>
        <w:t>Methodological</w:t>
      </w:r>
      <w:r w:rsidRPr="37E63DBD" w:rsidR="02EC1219">
        <w:rPr>
          <w:rFonts w:ascii="Arial" w:hAnsi="Arial" w:eastAsia="Arial" w:cs="Arial" w:asciiTheme="minorAscii" w:hAnsiTheme="minorAscii" w:eastAsiaTheme="minorAscii" w:cstheme="minorAscii"/>
          <w:b w:val="1"/>
          <w:bCs w:val="1"/>
          <w:sz w:val="22"/>
          <w:szCs w:val="22"/>
        </w:rPr>
        <w:t xml:space="preserve"> Approach to </w:t>
      </w:r>
      <w:r w:rsidRPr="37E63DBD" w:rsidR="3847FC2C">
        <w:rPr>
          <w:rFonts w:ascii="Arial" w:hAnsi="Arial" w:eastAsia="Arial" w:cs="Arial" w:asciiTheme="minorAscii" w:hAnsiTheme="minorAscii" w:eastAsiaTheme="minorAscii" w:cstheme="minorAscii"/>
          <w:b w:val="1"/>
          <w:bCs w:val="1"/>
          <w:sz w:val="22"/>
          <w:szCs w:val="22"/>
        </w:rPr>
        <w:t>Investment</w:t>
      </w:r>
      <w:r w:rsidRPr="37E63DBD" w:rsidR="02EC1219">
        <w:rPr>
          <w:rFonts w:ascii="Arial" w:hAnsi="Arial" w:eastAsia="Arial" w:cs="Arial" w:asciiTheme="minorAscii" w:hAnsiTheme="minorAscii" w:eastAsiaTheme="minorAscii" w:cstheme="minorAscii"/>
          <w:b w:val="1"/>
          <w:bCs w:val="1"/>
          <w:sz w:val="22"/>
          <w:szCs w:val="22"/>
        </w:rPr>
        <w:t xml:space="preserve"> Appraisal</w:t>
      </w:r>
    </w:p>
    <w:p xmlns:wp14="http://schemas.microsoft.com/office/word/2010/wordml" w:rsidP="37E63DBD" wp14:paraId="45FC1091" wp14:textId="2EA33187">
      <w:pPr>
        <w:spacing w:line="360" w:lineRule="auto"/>
        <w:jc w:val="both"/>
        <w:rPr>
          <w:rFonts w:ascii="Arial" w:hAnsi="Arial" w:eastAsia="Arial" w:cs="Arial" w:asciiTheme="minorAscii" w:hAnsiTheme="minorAscii" w:eastAsiaTheme="minorAscii" w:cstheme="minorAscii"/>
          <w:sz w:val="22"/>
          <w:szCs w:val="22"/>
        </w:rPr>
      </w:pPr>
      <w:r w:rsidRPr="37E63DBD" w:rsidR="02EC1219">
        <w:rPr>
          <w:rFonts w:ascii="Arial" w:hAnsi="Arial" w:eastAsia="Arial" w:cs="Arial" w:asciiTheme="minorAscii" w:hAnsiTheme="minorAscii" w:eastAsiaTheme="minorAscii" w:cstheme="minorAscii"/>
          <w:sz w:val="22"/>
          <w:szCs w:val="22"/>
        </w:rPr>
        <w:t xml:space="preserve">Recent empirical research strongly supports the dominance of NPV as a </w:t>
      </w:r>
      <w:r w:rsidRPr="37E63DBD" w:rsidR="5CF6F65D">
        <w:rPr>
          <w:rFonts w:ascii="Arial" w:hAnsi="Arial" w:eastAsia="Arial" w:cs="Arial" w:asciiTheme="minorAscii" w:hAnsiTheme="minorAscii" w:eastAsiaTheme="minorAscii" w:cstheme="minorAscii"/>
          <w:sz w:val="22"/>
          <w:szCs w:val="22"/>
        </w:rPr>
        <w:t>decision</w:t>
      </w:r>
      <w:r w:rsidRPr="37E63DBD" w:rsidR="02EC1219">
        <w:rPr>
          <w:rFonts w:ascii="Arial" w:hAnsi="Arial" w:eastAsia="Arial" w:cs="Arial" w:asciiTheme="minorAscii" w:hAnsiTheme="minorAscii" w:eastAsiaTheme="minorAscii" w:cstheme="minorAscii"/>
          <w:sz w:val="22"/>
          <w:szCs w:val="22"/>
        </w:rPr>
        <w:t>-making tool in corporate finance, particularl</w:t>
      </w:r>
      <w:r w:rsidRPr="37E63DBD" w:rsidR="02EC1219">
        <w:rPr>
          <w:rFonts w:ascii="Arial" w:hAnsi="Arial" w:eastAsia="Arial" w:cs="Arial" w:asciiTheme="minorAscii" w:hAnsiTheme="minorAscii" w:eastAsiaTheme="minorAscii" w:cstheme="minorAscii"/>
          <w:sz w:val="22"/>
          <w:szCs w:val="22"/>
        </w:rPr>
        <w:t>y in capi</w:t>
      </w:r>
      <w:r w:rsidRPr="37E63DBD" w:rsidR="02EC1219">
        <w:rPr>
          <w:rFonts w:ascii="Arial" w:hAnsi="Arial" w:eastAsia="Arial" w:cs="Arial" w:asciiTheme="minorAscii" w:hAnsiTheme="minorAscii" w:eastAsiaTheme="minorAscii" w:cstheme="minorAscii"/>
          <w:sz w:val="22"/>
          <w:szCs w:val="22"/>
        </w:rPr>
        <w:t>tal budgeting contexts where shareholder wealth maximisation is the primary objective (</w:t>
      </w:r>
      <w:r w:rsidRPr="37E63DBD" w:rsidR="7EAF3BBA">
        <w:rPr>
          <w:rFonts w:ascii="Arial" w:hAnsi="Arial" w:eastAsia="Arial" w:cs="Arial" w:asciiTheme="minorAscii" w:hAnsiTheme="minorAscii" w:eastAsiaTheme="minorAscii" w:cstheme="minorAscii"/>
          <w:sz w:val="22"/>
          <w:szCs w:val="22"/>
        </w:rPr>
        <w:t>B</w:t>
      </w:r>
      <w:r w:rsidRPr="37E63DBD" w:rsidR="02EC1219">
        <w:rPr>
          <w:rFonts w:ascii="Arial" w:hAnsi="Arial" w:eastAsia="Arial" w:cs="Arial" w:asciiTheme="minorAscii" w:hAnsiTheme="minorAscii" w:eastAsiaTheme="minorAscii" w:cstheme="minorAscii"/>
          <w:sz w:val="22"/>
          <w:szCs w:val="22"/>
        </w:rPr>
        <w:t>aker &amp; English, 2021)</w:t>
      </w:r>
      <w:r w:rsidRPr="37E63DBD" w:rsidR="7AB223C1">
        <w:rPr>
          <w:rFonts w:ascii="Arial" w:hAnsi="Arial" w:eastAsia="Arial" w:cs="Arial" w:asciiTheme="minorAscii" w:hAnsiTheme="minorAscii" w:eastAsiaTheme="minorAscii" w:cstheme="minorAscii"/>
          <w:sz w:val="22"/>
          <w:szCs w:val="22"/>
        </w:rPr>
        <w:t>. NPV evaluates projects by discounting future cash flows at the firm’s cost of capital, ensuring that all investment decisions are assessed in present-value terms. This approach aligns with modern financial theory, which prioritises value creation over accounting-based performance measures (</w:t>
      </w:r>
      <w:r w:rsidRPr="37E63DBD" w:rsidR="673039CB">
        <w:rPr>
          <w:rFonts w:ascii="Arial" w:hAnsi="Arial" w:eastAsia="Arial" w:cs="Arial" w:asciiTheme="minorAscii" w:hAnsiTheme="minorAscii" w:eastAsiaTheme="minorAscii" w:cstheme="minorAscii"/>
          <w:sz w:val="22"/>
          <w:szCs w:val="22"/>
        </w:rPr>
        <w:t>Magni, 2009</w:t>
      </w:r>
      <w:r w:rsidRPr="37E63DBD" w:rsidR="7AB223C1">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62F1ED5D" wp14:textId="3A72CDC9">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7AB223C1">
        <w:rPr>
          <w:rFonts w:ascii="Arial" w:hAnsi="Arial" w:eastAsia="Arial" w:cs="Arial" w:asciiTheme="minorAscii" w:hAnsiTheme="minorAscii" w:eastAsiaTheme="minorAscii" w:cstheme="minorAscii"/>
          <w:b w:val="1"/>
          <w:bCs w:val="1"/>
          <w:sz w:val="22"/>
          <w:szCs w:val="22"/>
        </w:rPr>
        <w:t>1.1 Net Present Value Evaluation</w:t>
      </w:r>
    </w:p>
    <w:p xmlns:wp14="http://schemas.microsoft.com/office/word/2010/wordml" w:rsidP="37E63DBD" wp14:paraId="30344569" wp14:textId="0EDCAB43">
      <w:pPr>
        <w:spacing w:line="360" w:lineRule="auto"/>
        <w:jc w:val="both"/>
        <w:rPr>
          <w:rFonts w:ascii="Arial" w:hAnsi="Arial" w:eastAsia="Arial" w:cs="Arial" w:asciiTheme="minorAscii" w:hAnsiTheme="minorAscii" w:eastAsiaTheme="minorAscii" w:cstheme="minorAscii"/>
          <w:sz w:val="22"/>
          <w:szCs w:val="22"/>
        </w:rPr>
      </w:pPr>
      <w:r w:rsidRPr="37E63DBD" w:rsidR="7AB223C1">
        <w:rPr>
          <w:rFonts w:ascii="Arial" w:hAnsi="Arial" w:eastAsia="Arial" w:cs="Arial" w:asciiTheme="minorAscii" w:hAnsiTheme="minorAscii" w:eastAsiaTheme="minorAscii" w:cstheme="minorAscii"/>
          <w:sz w:val="22"/>
          <w:szCs w:val="22"/>
        </w:rPr>
        <w:t>The NPV of each project has been calculated using a 5% cost of capital</w:t>
      </w:r>
      <w:r w:rsidRPr="37E63DBD" w:rsidR="10405017">
        <w:rPr>
          <w:rFonts w:ascii="Arial" w:hAnsi="Arial" w:eastAsia="Arial" w:cs="Arial" w:asciiTheme="minorAscii" w:hAnsiTheme="minorAscii" w:eastAsiaTheme="minorAscii" w:cstheme="minorAscii"/>
          <w:sz w:val="22"/>
          <w:szCs w:val="22"/>
        </w:rPr>
        <w:t xml:space="preserve"> with the results </w:t>
      </w:r>
      <w:r w:rsidRPr="37E63DBD" w:rsidR="10405017">
        <w:rPr>
          <w:rFonts w:ascii="Arial" w:hAnsi="Arial" w:eastAsia="Arial" w:cs="Arial" w:asciiTheme="minorAscii" w:hAnsiTheme="minorAscii" w:eastAsiaTheme="minorAscii" w:cstheme="minorAscii"/>
          <w:sz w:val="22"/>
          <w:szCs w:val="22"/>
        </w:rPr>
        <w:t>summaris</w:t>
      </w:r>
      <w:r w:rsidRPr="37E63DBD" w:rsidR="10405017">
        <w:rPr>
          <w:rFonts w:ascii="Arial" w:hAnsi="Arial" w:eastAsia="Arial" w:cs="Arial" w:asciiTheme="minorAscii" w:hAnsiTheme="minorAscii" w:eastAsiaTheme="minorAscii" w:cstheme="minorAscii"/>
          <w:sz w:val="22"/>
          <w:szCs w:val="22"/>
        </w:rPr>
        <w:t>ed as:</w:t>
      </w:r>
    </w:p>
    <w:p xmlns:wp14="http://schemas.microsoft.com/office/word/2010/wordml" w:rsidP="37E63DBD" wp14:paraId="4C609CDA" wp14:textId="2B3452E3">
      <w:pPr>
        <w:spacing w:line="360" w:lineRule="auto"/>
        <w:jc w:val="both"/>
        <w:rPr>
          <w:rFonts w:ascii="Arial" w:hAnsi="Arial" w:eastAsia="Arial" w:cs="Arial" w:asciiTheme="minorAscii" w:hAnsiTheme="minorAscii" w:eastAsiaTheme="minorAscii" w:cstheme="minorAscii"/>
          <w:sz w:val="22"/>
          <w:szCs w:val="22"/>
        </w:rPr>
      </w:pPr>
      <w:r w:rsidRPr="37E63DBD" w:rsidR="387B8AEA">
        <w:rPr>
          <w:rFonts w:ascii="Arial" w:hAnsi="Arial" w:eastAsia="Arial" w:cs="Arial" w:asciiTheme="minorAscii" w:hAnsiTheme="minorAscii" w:eastAsiaTheme="minorAscii" w:cstheme="minorAscii"/>
          <w:sz w:val="22"/>
          <w:szCs w:val="22"/>
        </w:rPr>
        <w:t xml:space="preserve">* </w:t>
      </w:r>
      <w:r w:rsidRPr="37E63DBD" w:rsidR="10405017">
        <w:rPr>
          <w:rFonts w:ascii="Arial" w:hAnsi="Arial" w:eastAsia="Arial" w:cs="Arial" w:asciiTheme="minorAscii" w:hAnsiTheme="minorAscii" w:eastAsiaTheme="minorAscii" w:cstheme="minorAscii"/>
          <w:sz w:val="22"/>
          <w:szCs w:val="22"/>
        </w:rPr>
        <w:t>Project A: -£7,962</w:t>
      </w:r>
      <w:r w:rsidRPr="37E63DBD" w:rsidR="4F274A97">
        <w:rPr>
          <w:rFonts w:ascii="Arial" w:hAnsi="Arial" w:eastAsia="Arial" w:cs="Arial" w:asciiTheme="minorAscii" w:hAnsiTheme="minorAscii" w:eastAsiaTheme="minorAscii" w:cstheme="minorAscii"/>
          <w:sz w:val="22"/>
          <w:szCs w:val="22"/>
        </w:rPr>
        <w:t xml:space="preserve"> (</w:t>
      </w:r>
      <w:r w:rsidRPr="37E63DBD" w:rsidR="497A428A">
        <w:rPr>
          <w:rFonts w:ascii="Arial" w:hAnsi="Arial" w:eastAsia="Arial" w:cs="Arial" w:asciiTheme="minorAscii" w:hAnsiTheme="minorAscii" w:eastAsiaTheme="minorAscii" w:cstheme="minorAscii"/>
          <w:sz w:val="22"/>
          <w:szCs w:val="22"/>
        </w:rPr>
        <w:t>Appendix 27)</w:t>
      </w:r>
    </w:p>
    <w:p xmlns:wp14="http://schemas.microsoft.com/office/word/2010/wordml" w:rsidP="37E63DBD" wp14:paraId="2879AADC" wp14:textId="21DE537E">
      <w:pPr>
        <w:spacing w:line="360" w:lineRule="auto"/>
        <w:jc w:val="both"/>
        <w:rPr>
          <w:rFonts w:ascii="Arial" w:hAnsi="Arial" w:eastAsia="Arial" w:cs="Arial" w:asciiTheme="minorAscii" w:hAnsiTheme="minorAscii" w:eastAsiaTheme="minorAscii" w:cstheme="minorAscii"/>
          <w:sz w:val="22"/>
          <w:szCs w:val="22"/>
        </w:rPr>
      </w:pPr>
      <w:r w:rsidRPr="37E63DBD" w:rsidR="10405017">
        <w:rPr>
          <w:rFonts w:ascii="Arial" w:hAnsi="Arial" w:eastAsia="Arial" w:cs="Arial" w:asciiTheme="minorAscii" w:hAnsiTheme="minorAscii" w:eastAsiaTheme="minorAscii" w:cstheme="minorAscii"/>
          <w:sz w:val="22"/>
          <w:szCs w:val="22"/>
        </w:rPr>
        <w:t>* Project B: +£186, 014</w:t>
      </w:r>
      <w:r w:rsidRPr="37E63DBD" w:rsidR="3A3ECF85">
        <w:rPr>
          <w:rFonts w:ascii="Arial" w:hAnsi="Arial" w:eastAsia="Arial" w:cs="Arial" w:asciiTheme="minorAscii" w:hAnsiTheme="minorAscii" w:eastAsiaTheme="minorAscii" w:cstheme="minorAscii"/>
          <w:sz w:val="22"/>
          <w:szCs w:val="22"/>
        </w:rPr>
        <w:t xml:space="preserve"> (</w:t>
      </w:r>
      <w:r w:rsidRPr="37E63DBD" w:rsidR="3D8F18C4">
        <w:rPr>
          <w:rFonts w:ascii="Arial" w:hAnsi="Arial" w:eastAsia="Arial" w:cs="Arial" w:asciiTheme="minorAscii" w:hAnsiTheme="minorAscii" w:eastAsiaTheme="minorAscii" w:cstheme="minorAscii"/>
          <w:sz w:val="22"/>
          <w:szCs w:val="22"/>
        </w:rPr>
        <w:t>Appendix 28</w:t>
      </w:r>
      <w:r w:rsidRPr="37E63DBD" w:rsidR="3A3ECF85">
        <w:rPr>
          <w:rFonts w:ascii="Arial" w:hAnsi="Arial" w:eastAsia="Arial" w:cs="Arial" w:asciiTheme="minorAscii" w:hAnsiTheme="minorAscii" w:eastAsiaTheme="minorAscii" w:cstheme="minorAscii"/>
          <w:sz w:val="22"/>
          <w:szCs w:val="22"/>
        </w:rPr>
        <w:t>)</w:t>
      </w:r>
    </w:p>
    <w:p xmlns:wp14="http://schemas.microsoft.com/office/word/2010/wordml" w:rsidP="37E63DBD" wp14:paraId="7924B200" wp14:textId="07357C07">
      <w:pPr>
        <w:spacing w:line="360" w:lineRule="auto"/>
        <w:jc w:val="both"/>
        <w:rPr>
          <w:rFonts w:ascii="Arial" w:hAnsi="Arial" w:eastAsia="Arial" w:cs="Arial" w:asciiTheme="minorAscii" w:hAnsiTheme="minorAscii" w:eastAsiaTheme="minorAscii" w:cstheme="minorAscii"/>
          <w:sz w:val="22"/>
          <w:szCs w:val="22"/>
        </w:rPr>
      </w:pPr>
      <w:r w:rsidRPr="37E63DBD" w:rsidR="10405017">
        <w:rPr>
          <w:rFonts w:ascii="Arial" w:hAnsi="Arial" w:eastAsia="Arial" w:cs="Arial" w:asciiTheme="minorAscii" w:hAnsiTheme="minorAscii" w:eastAsiaTheme="minorAscii" w:cstheme="minorAscii"/>
          <w:sz w:val="22"/>
          <w:szCs w:val="22"/>
        </w:rPr>
        <w:t>* Project C: +£219,755</w:t>
      </w:r>
      <w:r w:rsidRPr="37E63DBD" w:rsidR="7051A25F">
        <w:rPr>
          <w:rFonts w:ascii="Arial" w:hAnsi="Arial" w:eastAsia="Arial" w:cs="Arial" w:asciiTheme="minorAscii" w:hAnsiTheme="minorAscii" w:eastAsiaTheme="minorAscii" w:cstheme="minorAscii"/>
          <w:sz w:val="22"/>
          <w:szCs w:val="22"/>
        </w:rPr>
        <w:t xml:space="preserve"> (</w:t>
      </w:r>
      <w:r w:rsidRPr="37E63DBD" w:rsidR="47061A19">
        <w:rPr>
          <w:rFonts w:ascii="Arial" w:hAnsi="Arial" w:eastAsia="Arial" w:cs="Arial" w:asciiTheme="minorAscii" w:hAnsiTheme="minorAscii" w:eastAsiaTheme="minorAscii" w:cstheme="minorAscii"/>
          <w:sz w:val="22"/>
          <w:szCs w:val="22"/>
        </w:rPr>
        <w:t>Appendix 29)</w:t>
      </w:r>
    </w:p>
    <w:p xmlns:wp14="http://schemas.microsoft.com/office/word/2010/wordml" w:rsidP="37E63DBD" wp14:paraId="4FE3FD00" wp14:textId="65AB4690">
      <w:pPr>
        <w:spacing w:line="360" w:lineRule="auto"/>
        <w:jc w:val="both"/>
        <w:rPr>
          <w:rFonts w:ascii="Arial" w:hAnsi="Arial" w:eastAsia="Arial" w:cs="Arial" w:asciiTheme="minorAscii" w:hAnsiTheme="minorAscii" w:eastAsiaTheme="minorAscii" w:cstheme="minorAscii"/>
          <w:sz w:val="22"/>
          <w:szCs w:val="22"/>
        </w:rPr>
      </w:pPr>
      <w:r w:rsidRPr="37E63DBD" w:rsidR="10405017">
        <w:rPr>
          <w:rFonts w:ascii="Arial" w:hAnsi="Arial" w:eastAsia="Arial" w:cs="Arial" w:asciiTheme="minorAscii" w:hAnsiTheme="minorAscii" w:eastAsiaTheme="minorAscii" w:cstheme="minorAscii"/>
          <w:sz w:val="22"/>
          <w:szCs w:val="22"/>
        </w:rPr>
        <w:t xml:space="preserve">Project A produces </w:t>
      </w:r>
      <w:r w:rsidRPr="37E63DBD" w:rsidR="10405017">
        <w:rPr>
          <w:rFonts w:ascii="Arial" w:hAnsi="Arial" w:eastAsia="Arial" w:cs="Arial" w:asciiTheme="minorAscii" w:hAnsiTheme="minorAscii" w:eastAsiaTheme="minorAscii" w:cstheme="minorAscii"/>
          <w:sz w:val="22"/>
          <w:szCs w:val="22"/>
        </w:rPr>
        <w:t>a negativ</w:t>
      </w:r>
      <w:r w:rsidRPr="37E63DBD" w:rsidR="10405017">
        <w:rPr>
          <w:rFonts w:ascii="Arial" w:hAnsi="Arial" w:eastAsia="Arial" w:cs="Arial" w:asciiTheme="minorAscii" w:hAnsiTheme="minorAscii" w:eastAsiaTheme="minorAscii" w:cstheme="minorAscii"/>
          <w:sz w:val="22"/>
          <w:szCs w:val="22"/>
        </w:rPr>
        <w:t xml:space="preserve">e NPV, </w:t>
      </w:r>
      <w:r w:rsidRPr="37E63DBD" w:rsidR="3AB4642D">
        <w:rPr>
          <w:rFonts w:ascii="Arial" w:hAnsi="Arial" w:eastAsia="Arial" w:cs="Arial" w:asciiTheme="minorAscii" w:hAnsiTheme="minorAscii" w:eastAsiaTheme="minorAscii" w:cstheme="minorAscii"/>
          <w:sz w:val="22"/>
          <w:szCs w:val="22"/>
        </w:rPr>
        <w:t>i</w:t>
      </w:r>
      <w:r w:rsidRPr="37E63DBD" w:rsidR="3AB4642D">
        <w:rPr>
          <w:rFonts w:ascii="Arial" w:hAnsi="Arial" w:eastAsia="Arial" w:cs="Arial" w:asciiTheme="minorAscii" w:hAnsiTheme="minorAscii" w:eastAsiaTheme="minorAscii" w:cstheme="minorAscii"/>
          <w:sz w:val="22"/>
          <w:szCs w:val="22"/>
        </w:rPr>
        <w:t>ndicatin</w:t>
      </w:r>
      <w:r w:rsidRPr="37E63DBD" w:rsidR="3AB4642D">
        <w:rPr>
          <w:rFonts w:ascii="Arial" w:hAnsi="Arial" w:eastAsia="Arial" w:cs="Arial" w:asciiTheme="minorAscii" w:hAnsiTheme="minorAscii" w:eastAsiaTheme="minorAscii" w:cstheme="minorAscii"/>
          <w:sz w:val="22"/>
          <w:szCs w:val="22"/>
        </w:rPr>
        <w:t>g</w:t>
      </w:r>
      <w:r w:rsidRPr="37E63DBD" w:rsidR="10405017">
        <w:rPr>
          <w:rFonts w:ascii="Arial" w:hAnsi="Arial" w:eastAsia="Arial" w:cs="Arial" w:asciiTheme="minorAscii" w:hAnsiTheme="minorAscii" w:eastAsiaTheme="minorAscii" w:cstheme="minorAscii"/>
          <w:sz w:val="22"/>
          <w:szCs w:val="22"/>
        </w:rPr>
        <w:t xml:space="preserve"> that the present value of expected cash inflo</w:t>
      </w:r>
      <w:r w:rsidRPr="37E63DBD" w:rsidR="10405017">
        <w:rPr>
          <w:rFonts w:ascii="Arial" w:hAnsi="Arial" w:eastAsia="Arial" w:cs="Arial" w:asciiTheme="minorAscii" w:hAnsiTheme="minorAscii" w:eastAsiaTheme="minorAscii" w:cstheme="minorAscii"/>
          <w:sz w:val="22"/>
          <w:szCs w:val="22"/>
        </w:rPr>
        <w:t>ws is insu</w:t>
      </w:r>
      <w:r w:rsidRPr="37E63DBD" w:rsidR="10405017">
        <w:rPr>
          <w:rFonts w:ascii="Arial" w:hAnsi="Arial" w:eastAsia="Arial" w:cs="Arial" w:asciiTheme="minorAscii" w:hAnsiTheme="minorAscii" w:eastAsiaTheme="minorAscii" w:cstheme="minorAscii"/>
          <w:sz w:val="22"/>
          <w:szCs w:val="22"/>
        </w:rPr>
        <w:t xml:space="preserve">fficient to recover the </w:t>
      </w:r>
      <w:r w:rsidRPr="37E63DBD" w:rsidR="10405017">
        <w:rPr>
          <w:rFonts w:ascii="Arial" w:hAnsi="Arial" w:eastAsia="Arial" w:cs="Arial" w:asciiTheme="minorAscii" w:hAnsiTheme="minorAscii" w:eastAsiaTheme="minorAscii" w:cstheme="minorAscii"/>
          <w:sz w:val="22"/>
          <w:szCs w:val="22"/>
        </w:rPr>
        <w:t>initial</w:t>
      </w:r>
      <w:r w:rsidRPr="37E63DBD" w:rsidR="10405017">
        <w:rPr>
          <w:rFonts w:ascii="Arial" w:hAnsi="Arial" w:eastAsia="Arial" w:cs="Arial" w:asciiTheme="minorAscii" w:hAnsiTheme="minorAscii" w:eastAsiaTheme="minorAscii" w:cstheme="minorAscii"/>
          <w:sz w:val="22"/>
          <w:szCs w:val="22"/>
        </w:rPr>
        <w:t xml:space="preserve"> investment and required return. According to modern capital budgeting theory, projects with negative NPVs should be rejected as they reduce shareholder wealth</w:t>
      </w:r>
      <w:r w:rsidRPr="37E63DBD" w:rsidR="19077CC1">
        <w:rPr>
          <w:rFonts w:ascii="Arial" w:hAnsi="Arial" w:eastAsia="Arial" w:cs="Arial" w:asciiTheme="minorAscii" w:hAnsiTheme="minorAscii" w:eastAsiaTheme="minorAscii" w:cstheme="minorAscii"/>
          <w:sz w:val="22"/>
          <w:szCs w:val="22"/>
        </w:rPr>
        <w:t xml:space="preserve"> (</w:t>
      </w:r>
      <w:r w:rsidRPr="37E63DBD" w:rsidR="2720A185">
        <w:rPr>
          <w:rFonts w:ascii="Arial" w:hAnsi="Arial" w:eastAsia="Arial" w:cs="Arial" w:asciiTheme="minorAscii" w:hAnsiTheme="minorAscii" w:eastAsiaTheme="minorAscii" w:cstheme="minorAscii"/>
          <w:sz w:val="22"/>
          <w:szCs w:val="22"/>
        </w:rPr>
        <w:t>Sekhar, 2025</w:t>
      </w:r>
      <w:r w:rsidRPr="37E63DBD" w:rsidR="19077CC1">
        <w:rPr>
          <w:rFonts w:ascii="Arial" w:hAnsi="Arial" w:eastAsia="Arial" w:cs="Arial" w:asciiTheme="minorAscii" w:hAnsiTheme="minorAscii" w:eastAsiaTheme="minorAscii" w:cstheme="minorAscii"/>
          <w:sz w:val="22"/>
          <w:szCs w:val="22"/>
        </w:rPr>
        <w:t xml:space="preserve">). Therefore, Project A is not financially </w:t>
      </w:r>
      <w:r w:rsidRPr="37E63DBD" w:rsidR="19077CC1">
        <w:rPr>
          <w:rFonts w:ascii="Arial" w:hAnsi="Arial" w:eastAsia="Arial" w:cs="Arial" w:asciiTheme="minorAscii" w:hAnsiTheme="minorAscii" w:eastAsiaTheme="minorAscii" w:cstheme="minorAscii"/>
          <w:sz w:val="22"/>
          <w:szCs w:val="22"/>
        </w:rPr>
        <w:t>v</w:t>
      </w:r>
      <w:r w:rsidRPr="37E63DBD" w:rsidR="19077CC1">
        <w:rPr>
          <w:rFonts w:ascii="Arial" w:hAnsi="Arial" w:eastAsia="Arial" w:cs="Arial" w:asciiTheme="minorAscii" w:hAnsiTheme="minorAscii" w:eastAsiaTheme="minorAscii" w:cstheme="minorAscii"/>
          <w:sz w:val="22"/>
          <w:szCs w:val="22"/>
        </w:rPr>
        <w:t>iable</w:t>
      </w:r>
      <w:r w:rsidRPr="37E63DBD" w:rsidR="19077CC1">
        <w:rPr>
          <w:rFonts w:ascii="Arial" w:hAnsi="Arial" w:eastAsia="Arial" w:cs="Arial" w:asciiTheme="minorAscii" w:hAnsiTheme="minorAscii" w:eastAsiaTheme="minorAscii" w:cstheme="minorAscii"/>
          <w:sz w:val="22"/>
          <w:szCs w:val="22"/>
        </w:rPr>
        <w:t>.</w:t>
      </w:r>
      <w:r w:rsidRPr="37E63DBD" w:rsidR="19077CC1">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76F35E3F" wp14:textId="2C4126A9">
      <w:pPr>
        <w:spacing w:line="360" w:lineRule="auto"/>
        <w:jc w:val="both"/>
        <w:rPr>
          <w:rFonts w:ascii="Arial" w:hAnsi="Arial" w:eastAsia="Arial" w:cs="Arial" w:asciiTheme="minorAscii" w:hAnsiTheme="minorAscii" w:eastAsiaTheme="minorAscii" w:cstheme="minorAscii"/>
          <w:sz w:val="22"/>
          <w:szCs w:val="22"/>
        </w:rPr>
      </w:pPr>
      <w:r w:rsidRPr="37E63DBD" w:rsidR="19077CC1">
        <w:rPr>
          <w:rFonts w:ascii="Arial" w:hAnsi="Arial" w:eastAsia="Arial" w:cs="Arial" w:asciiTheme="minorAscii" w:hAnsiTheme="minorAscii" w:eastAsiaTheme="minorAscii" w:cstheme="minorAscii"/>
          <w:sz w:val="22"/>
          <w:szCs w:val="22"/>
        </w:rPr>
        <w:t>Project B generates a positive NPV of £186,014</w:t>
      </w:r>
      <w:r w:rsidRPr="37E63DBD" w:rsidR="19077CC1">
        <w:rPr>
          <w:rFonts w:ascii="Arial" w:hAnsi="Arial" w:eastAsia="Arial" w:cs="Arial" w:asciiTheme="minorAscii" w:hAnsiTheme="minorAscii" w:eastAsiaTheme="minorAscii" w:cstheme="minorAscii"/>
          <w:sz w:val="22"/>
          <w:szCs w:val="22"/>
        </w:rPr>
        <w:t xml:space="preserve">, </w:t>
      </w:r>
      <w:r w:rsidRPr="37E63DBD" w:rsidR="19077CC1">
        <w:rPr>
          <w:rFonts w:ascii="Arial" w:hAnsi="Arial" w:eastAsia="Arial" w:cs="Arial" w:asciiTheme="minorAscii" w:hAnsiTheme="minorAscii" w:eastAsiaTheme="minorAscii" w:cstheme="minorAscii"/>
          <w:sz w:val="22"/>
          <w:szCs w:val="22"/>
        </w:rPr>
        <w:t>indicati</w:t>
      </w:r>
      <w:r w:rsidRPr="37E63DBD" w:rsidR="19077CC1">
        <w:rPr>
          <w:rFonts w:ascii="Arial" w:hAnsi="Arial" w:eastAsia="Arial" w:cs="Arial" w:asciiTheme="minorAscii" w:hAnsiTheme="minorAscii" w:eastAsiaTheme="minorAscii" w:cstheme="minorAscii"/>
          <w:sz w:val="22"/>
          <w:szCs w:val="22"/>
        </w:rPr>
        <w:t>ng</w:t>
      </w:r>
      <w:r w:rsidRPr="37E63DBD" w:rsidR="19077CC1">
        <w:rPr>
          <w:rFonts w:ascii="Arial" w:hAnsi="Arial" w:eastAsia="Arial" w:cs="Arial" w:asciiTheme="minorAscii" w:hAnsiTheme="minorAscii" w:eastAsiaTheme="minorAscii" w:cstheme="minorAscii"/>
          <w:sz w:val="22"/>
          <w:szCs w:val="22"/>
        </w:rPr>
        <w:t xml:space="preserve"> that it adds value to the firm. The gr</w:t>
      </w:r>
      <w:r w:rsidRPr="37E63DBD" w:rsidR="19077CC1">
        <w:rPr>
          <w:rFonts w:ascii="Arial" w:hAnsi="Arial" w:eastAsia="Arial" w:cs="Arial" w:asciiTheme="minorAscii" w:hAnsiTheme="minorAscii" w:eastAsiaTheme="minorAscii" w:cstheme="minorAscii"/>
          <w:sz w:val="22"/>
          <w:szCs w:val="22"/>
        </w:rPr>
        <w:t>owth of dig</w:t>
      </w:r>
      <w:r w:rsidRPr="37E63DBD" w:rsidR="19077CC1">
        <w:rPr>
          <w:rFonts w:ascii="Arial" w:hAnsi="Arial" w:eastAsia="Arial" w:cs="Arial" w:asciiTheme="minorAscii" w:hAnsiTheme="minorAscii" w:eastAsiaTheme="minorAscii" w:cstheme="minorAscii"/>
          <w:sz w:val="22"/>
          <w:szCs w:val="22"/>
        </w:rPr>
        <w:t>ital retail channels has been widely supported in recent literature, with online diversification often associated with improved scalability and long-term revenue g</w:t>
      </w:r>
      <w:r w:rsidRPr="37E63DBD" w:rsidR="23508B14">
        <w:rPr>
          <w:rFonts w:ascii="Arial" w:hAnsi="Arial" w:eastAsia="Arial" w:cs="Arial" w:asciiTheme="minorAscii" w:hAnsiTheme="minorAscii" w:eastAsiaTheme="minorAscii" w:cstheme="minorAscii"/>
          <w:sz w:val="22"/>
          <w:szCs w:val="22"/>
        </w:rPr>
        <w:t>rowth</w:t>
      </w:r>
      <w:r w:rsidRPr="37E63DBD" w:rsidR="3CFB504A">
        <w:rPr>
          <w:rFonts w:ascii="Arial" w:hAnsi="Arial" w:eastAsia="Arial" w:cs="Arial" w:asciiTheme="minorAscii" w:hAnsiTheme="minorAscii" w:eastAsiaTheme="minorAscii" w:cstheme="minorAscii"/>
          <w:sz w:val="22"/>
          <w:szCs w:val="22"/>
        </w:rPr>
        <w:t xml:space="preserve"> (</w:t>
      </w:r>
      <w:r w:rsidRPr="37E63DBD" w:rsidR="10F5C16C">
        <w:rPr>
          <w:rFonts w:ascii="Arial" w:hAnsi="Arial" w:eastAsia="Arial" w:cs="Arial" w:asciiTheme="minorAscii" w:hAnsiTheme="minorAscii" w:eastAsiaTheme="minorAscii" w:cstheme="minorAscii"/>
          <w:sz w:val="22"/>
          <w:szCs w:val="22"/>
        </w:rPr>
        <w:t>Verhoef et al., 2021</w:t>
      </w:r>
      <w:r w:rsidRPr="37E63DBD" w:rsidR="23508B14">
        <w:rPr>
          <w:rFonts w:ascii="Arial" w:hAnsi="Arial" w:eastAsia="Arial" w:cs="Arial" w:asciiTheme="minorAscii" w:hAnsiTheme="minorAscii" w:eastAsiaTheme="minorAscii" w:cstheme="minorAscii"/>
          <w:sz w:val="22"/>
          <w:szCs w:val="22"/>
        </w:rPr>
        <w:t xml:space="preserve">). However, while financially </w:t>
      </w:r>
      <w:r w:rsidRPr="37E63DBD" w:rsidR="23508B14">
        <w:rPr>
          <w:rFonts w:ascii="Arial" w:hAnsi="Arial" w:eastAsia="Arial" w:cs="Arial" w:asciiTheme="minorAscii" w:hAnsiTheme="minorAscii" w:eastAsiaTheme="minorAscii" w:cstheme="minorAscii"/>
          <w:sz w:val="22"/>
          <w:szCs w:val="22"/>
        </w:rPr>
        <w:t>viable</w:t>
      </w:r>
      <w:r w:rsidRPr="37E63DBD" w:rsidR="23508B14">
        <w:rPr>
          <w:rFonts w:ascii="Arial" w:hAnsi="Arial" w:eastAsia="Arial" w:cs="Arial" w:asciiTheme="minorAscii" w:hAnsiTheme="minorAscii" w:eastAsiaTheme="minorAscii" w:cstheme="minorAscii"/>
          <w:sz w:val="22"/>
          <w:szCs w:val="22"/>
        </w:rPr>
        <w:t xml:space="preserve">, it does not maximise value compared to alternative options. </w:t>
      </w:r>
    </w:p>
    <w:p xmlns:wp14="http://schemas.microsoft.com/office/word/2010/wordml" w:rsidP="37E63DBD" wp14:paraId="310368FA" wp14:textId="5014A19A">
      <w:pPr>
        <w:spacing w:line="360" w:lineRule="auto"/>
        <w:jc w:val="both"/>
        <w:rPr>
          <w:rFonts w:ascii="Arial" w:hAnsi="Arial" w:eastAsia="Arial" w:cs="Arial" w:asciiTheme="minorAscii" w:hAnsiTheme="minorAscii" w:eastAsiaTheme="minorAscii" w:cstheme="minorAscii"/>
          <w:sz w:val="22"/>
          <w:szCs w:val="22"/>
        </w:rPr>
      </w:pPr>
      <w:r w:rsidRPr="37E63DBD" w:rsidR="23508B14">
        <w:rPr>
          <w:rFonts w:ascii="Arial" w:hAnsi="Arial" w:eastAsia="Arial" w:cs="Arial" w:asciiTheme="minorAscii" w:hAnsiTheme="minorAscii" w:eastAsiaTheme="minorAscii" w:cstheme="minorAscii"/>
          <w:sz w:val="22"/>
          <w:szCs w:val="22"/>
        </w:rPr>
        <w:t xml:space="preserve">Project C produces the highest NPV at £219, 755, making it the most financially attractive </w:t>
      </w:r>
      <w:r w:rsidRPr="37E63DBD" w:rsidR="23508B14">
        <w:rPr>
          <w:rFonts w:ascii="Arial" w:hAnsi="Arial" w:eastAsia="Arial" w:cs="Arial" w:asciiTheme="minorAscii" w:hAnsiTheme="minorAscii" w:eastAsiaTheme="minorAscii" w:cstheme="minorAscii"/>
          <w:sz w:val="22"/>
          <w:szCs w:val="22"/>
        </w:rPr>
        <w:t>option</w:t>
      </w:r>
      <w:r w:rsidRPr="37E63DBD" w:rsidR="23508B14">
        <w:rPr>
          <w:rFonts w:ascii="Arial" w:hAnsi="Arial" w:eastAsia="Arial" w:cs="Arial" w:asciiTheme="minorAscii" w:hAnsiTheme="minorAscii" w:eastAsiaTheme="minorAscii" w:cstheme="minorAscii"/>
          <w:sz w:val="22"/>
          <w:szCs w:val="22"/>
        </w:rPr>
        <w:t>. This s</w:t>
      </w:r>
      <w:r w:rsidRPr="37E63DBD" w:rsidR="7D066194">
        <w:rPr>
          <w:rFonts w:ascii="Arial" w:hAnsi="Arial" w:eastAsia="Arial" w:cs="Arial" w:asciiTheme="minorAscii" w:hAnsiTheme="minorAscii" w:eastAsiaTheme="minorAscii" w:cstheme="minorAscii"/>
          <w:sz w:val="22"/>
          <w:szCs w:val="22"/>
        </w:rPr>
        <w:t>ug</w:t>
      </w:r>
      <w:r w:rsidRPr="37E63DBD" w:rsidR="7D066194">
        <w:rPr>
          <w:rFonts w:ascii="Arial" w:hAnsi="Arial" w:eastAsia="Arial" w:cs="Arial" w:asciiTheme="minorAscii" w:hAnsiTheme="minorAscii" w:eastAsiaTheme="minorAscii" w:cstheme="minorAscii"/>
          <w:sz w:val="22"/>
          <w:szCs w:val="22"/>
        </w:rPr>
        <w:t xml:space="preserve">gests </w:t>
      </w:r>
      <w:r w:rsidRPr="37E63DBD" w:rsidR="23508B14">
        <w:rPr>
          <w:rFonts w:ascii="Arial" w:hAnsi="Arial" w:eastAsia="Arial" w:cs="Arial" w:asciiTheme="minorAscii" w:hAnsiTheme="minorAscii" w:eastAsiaTheme="minorAscii" w:cstheme="minorAscii"/>
          <w:sz w:val="22"/>
          <w:szCs w:val="22"/>
        </w:rPr>
        <w:t>it ge</w:t>
      </w:r>
      <w:r w:rsidRPr="37E63DBD" w:rsidR="23508B14">
        <w:rPr>
          <w:rFonts w:ascii="Arial" w:hAnsi="Arial" w:eastAsia="Arial" w:cs="Arial" w:asciiTheme="minorAscii" w:hAnsiTheme="minorAscii" w:eastAsiaTheme="minorAscii" w:cstheme="minorAscii"/>
          <w:sz w:val="22"/>
          <w:szCs w:val="22"/>
        </w:rPr>
        <w:t xml:space="preserve">nerates the greatest surplus value over the required return. Research by </w:t>
      </w:r>
      <w:r w:rsidRPr="37E63DBD" w:rsidR="39983E0F">
        <w:rPr>
          <w:rFonts w:ascii="Arial" w:hAnsi="Arial" w:eastAsia="Arial" w:cs="Arial" w:asciiTheme="minorAscii" w:hAnsiTheme="minorAscii" w:eastAsiaTheme="minorAscii" w:cstheme="minorAscii"/>
          <w:sz w:val="22"/>
          <w:szCs w:val="22"/>
        </w:rPr>
        <w:t>(</w:t>
      </w:r>
      <w:r w:rsidRPr="37E63DBD" w:rsidR="4BBD6029">
        <w:rPr>
          <w:rFonts w:ascii="Arial" w:hAnsi="Arial" w:eastAsia="Arial" w:cs="Arial" w:asciiTheme="minorAscii" w:hAnsiTheme="minorAscii" w:eastAsiaTheme="minorAscii" w:cstheme="minorAscii"/>
          <w:sz w:val="22"/>
          <w:szCs w:val="22"/>
        </w:rPr>
        <w:t xml:space="preserve">Mellichamp, 2019) </w:t>
      </w:r>
      <w:r w:rsidRPr="37E63DBD" w:rsidR="23508B14">
        <w:rPr>
          <w:rFonts w:ascii="Arial" w:hAnsi="Arial" w:eastAsia="Arial" w:cs="Arial" w:asciiTheme="minorAscii" w:hAnsiTheme="minorAscii" w:eastAsiaTheme="minorAscii" w:cstheme="minorAscii"/>
          <w:sz w:val="22"/>
          <w:szCs w:val="22"/>
        </w:rPr>
        <w:t xml:space="preserve">highlights that firms tend to prioritise projects with the highest NPV under </w:t>
      </w:r>
      <w:r w:rsidRPr="37E63DBD" w:rsidR="1C78EC68">
        <w:rPr>
          <w:rFonts w:ascii="Arial" w:hAnsi="Arial" w:eastAsia="Arial" w:cs="Arial" w:asciiTheme="minorAscii" w:hAnsiTheme="minorAscii" w:eastAsiaTheme="minorAscii" w:cstheme="minorAscii"/>
          <w:sz w:val="22"/>
          <w:szCs w:val="22"/>
        </w:rPr>
        <w:t>capital</w:t>
      </w:r>
      <w:r w:rsidRPr="37E63DBD" w:rsidR="79398E3A">
        <w:rPr>
          <w:rFonts w:ascii="Arial" w:hAnsi="Arial" w:eastAsia="Arial" w:cs="Arial" w:asciiTheme="minorAscii" w:hAnsiTheme="minorAscii" w:eastAsiaTheme="minorAscii" w:cstheme="minorAscii"/>
          <w:sz w:val="22"/>
          <w:szCs w:val="22"/>
        </w:rPr>
        <w:t xml:space="preserve"> </w:t>
      </w:r>
      <w:r w:rsidRPr="37E63DBD" w:rsidR="25C714D8">
        <w:rPr>
          <w:rFonts w:ascii="Arial" w:hAnsi="Arial" w:eastAsia="Arial" w:cs="Arial" w:asciiTheme="minorAscii" w:hAnsiTheme="minorAscii" w:eastAsiaTheme="minorAscii" w:cstheme="minorAscii"/>
          <w:sz w:val="22"/>
          <w:szCs w:val="22"/>
        </w:rPr>
        <w:t>rationing</w:t>
      </w:r>
      <w:r w:rsidRPr="37E63DBD" w:rsidR="79398E3A">
        <w:rPr>
          <w:rFonts w:ascii="Arial" w:hAnsi="Arial" w:eastAsia="Arial" w:cs="Arial" w:asciiTheme="minorAscii" w:hAnsiTheme="minorAscii" w:eastAsiaTheme="minorAscii" w:cstheme="minorAscii"/>
          <w:sz w:val="22"/>
          <w:szCs w:val="22"/>
        </w:rPr>
        <w:t xml:space="preserve"> conditions, as </w:t>
      </w:r>
      <w:r w:rsidRPr="37E63DBD" w:rsidR="79398E3A">
        <w:rPr>
          <w:rFonts w:ascii="Arial" w:hAnsi="Arial" w:eastAsia="Arial" w:cs="Arial" w:asciiTheme="minorAscii" w:hAnsiTheme="minorAscii" w:eastAsiaTheme="minorAscii" w:cstheme="minorAscii"/>
          <w:sz w:val="22"/>
          <w:szCs w:val="22"/>
        </w:rPr>
        <w:t>this m</w:t>
      </w:r>
      <w:r w:rsidRPr="37E63DBD" w:rsidR="79398E3A">
        <w:rPr>
          <w:rFonts w:ascii="Arial" w:hAnsi="Arial" w:eastAsia="Arial" w:cs="Arial" w:asciiTheme="minorAscii" w:hAnsiTheme="minorAscii" w:eastAsiaTheme="minorAscii" w:cstheme="minorAscii"/>
          <w:sz w:val="22"/>
          <w:szCs w:val="22"/>
        </w:rPr>
        <w:t>aximises total firm value.</w:t>
      </w:r>
    </w:p>
    <w:p xmlns:wp14="http://schemas.microsoft.com/office/word/2010/wordml" w:rsidP="37E63DBD" wp14:paraId="580990F3" wp14:textId="7D92054D">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3DB0198E">
        <w:rPr>
          <w:rFonts w:ascii="Arial" w:hAnsi="Arial" w:eastAsia="Arial" w:cs="Arial" w:asciiTheme="minorAscii" w:hAnsiTheme="minorAscii" w:eastAsiaTheme="minorAscii" w:cstheme="minorAscii"/>
          <w:b w:val="1"/>
          <w:bCs w:val="1"/>
          <w:sz w:val="22"/>
          <w:szCs w:val="22"/>
        </w:rPr>
        <w:t>1.2 Justification</w:t>
      </w:r>
    </w:p>
    <w:p xmlns:wp14="http://schemas.microsoft.com/office/word/2010/wordml" w:rsidP="37E63DBD" wp14:paraId="5933BC9F" wp14:textId="3DFCCAAB">
      <w:pPr>
        <w:spacing w:line="360" w:lineRule="auto"/>
        <w:jc w:val="both"/>
        <w:rPr>
          <w:rFonts w:ascii="Arial" w:hAnsi="Arial" w:eastAsia="Arial" w:cs="Arial" w:asciiTheme="minorAscii" w:hAnsiTheme="minorAscii" w:eastAsiaTheme="minorAscii" w:cstheme="minorAscii"/>
          <w:sz w:val="22"/>
          <w:szCs w:val="22"/>
        </w:rPr>
      </w:pPr>
      <w:r w:rsidRPr="37E63DBD" w:rsidR="3DB0198E">
        <w:rPr>
          <w:rFonts w:ascii="Arial" w:hAnsi="Arial" w:eastAsia="Arial" w:cs="Arial" w:asciiTheme="minorAscii" w:hAnsiTheme="minorAscii" w:eastAsiaTheme="minorAscii" w:cstheme="minorAscii"/>
          <w:sz w:val="22"/>
          <w:szCs w:val="22"/>
        </w:rPr>
        <w:t xml:space="preserve">While both Project B and Project C are acceptable based on their NPVs, C is clearly the superior investment </w:t>
      </w:r>
      <w:r w:rsidRPr="37E63DBD" w:rsidR="3DB0198E">
        <w:rPr>
          <w:rFonts w:ascii="Arial" w:hAnsi="Arial" w:eastAsia="Arial" w:cs="Arial" w:asciiTheme="minorAscii" w:hAnsiTheme="minorAscii" w:eastAsiaTheme="minorAscii" w:cstheme="minorAscii"/>
          <w:sz w:val="22"/>
          <w:szCs w:val="22"/>
        </w:rPr>
        <w:t>option</w:t>
      </w:r>
      <w:r w:rsidRPr="37E63DBD" w:rsidR="3DB0198E">
        <w:rPr>
          <w:rFonts w:ascii="Arial" w:hAnsi="Arial" w:eastAsia="Arial" w:cs="Arial" w:asciiTheme="minorAscii" w:hAnsiTheme="minorAscii" w:eastAsiaTheme="minorAscii" w:cstheme="minorAscii"/>
          <w:sz w:val="22"/>
          <w:szCs w:val="22"/>
        </w:rPr>
        <w:t xml:space="preserve"> as it generates the highest NPV indicating that it contributes</w:t>
      </w:r>
      <w:r w:rsidRPr="37E63DBD" w:rsidR="76A5E5F9">
        <w:rPr>
          <w:rFonts w:ascii="Arial" w:hAnsi="Arial" w:eastAsia="Arial" w:cs="Arial" w:asciiTheme="minorAscii" w:hAnsiTheme="minorAscii" w:eastAsiaTheme="minorAscii" w:cstheme="minorAscii"/>
          <w:sz w:val="22"/>
          <w:szCs w:val="22"/>
        </w:rPr>
        <w:t xml:space="preserve"> a greater absolute increase in shareholder wealth.</w:t>
      </w:r>
    </w:p>
    <w:p xmlns:wp14="http://schemas.microsoft.com/office/word/2010/wordml" w:rsidP="37E63DBD" wp14:paraId="70C13CDF" wp14:textId="6CDE7707">
      <w:pPr>
        <w:spacing w:line="360" w:lineRule="auto"/>
        <w:jc w:val="both"/>
        <w:rPr>
          <w:rFonts w:ascii="Arial" w:hAnsi="Arial" w:eastAsia="Arial" w:cs="Arial" w:asciiTheme="minorAscii" w:hAnsiTheme="minorAscii" w:eastAsiaTheme="minorAscii" w:cstheme="minorAscii"/>
          <w:sz w:val="22"/>
          <w:szCs w:val="22"/>
        </w:rPr>
      </w:pPr>
      <w:r w:rsidRPr="37E63DBD" w:rsidR="4761318E">
        <w:rPr>
          <w:rFonts w:ascii="Arial" w:hAnsi="Arial" w:eastAsia="Arial" w:cs="Arial" w:asciiTheme="minorAscii" w:hAnsiTheme="minorAscii" w:eastAsiaTheme="minorAscii" w:cstheme="minorAscii"/>
          <w:sz w:val="22"/>
          <w:szCs w:val="22"/>
        </w:rPr>
        <w:t>F</w:t>
      </w:r>
      <w:r w:rsidRPr="37E63DBD" w:rsidR="76A5E5F9">
        <w:rPr>
          <w:rFonts w:ascii="Arial" w:hAnsi="Arial" w:eastAsia="Arial" w:cs="Arial" w:asciiTheme="minorAscii" w:hAnsiTheme="minorAscii" w:eastAsiaTheme="minorAscii" w:cstheme="minorAscii"/>
          <w:sz w:val="22"/>
          <w:szCs w:val="22"/>
        </w:rPr>
        <w:t>rom a theoretical perspective, capital budgeting decisions should prioritise projects that maximis</w:t>
      </w:r>
      <w:r w:rsidRPr="37E63DBD" w:rsidR="76A5E5F9">
        <w:rPr>
          <w:rFonts w:ascii="Arial" w:hAnsi="Arial" w:eastAsia="Arial" w:cs="Arial" w:asciiTheme="minorAscii" w:hAnsiTheme="minorAscii" w:eastAsiaTheme="minorAscii" w:cstheme="minorAscii"/>
          <w:sz w:val="22"/>
          <w:szCs w:val="22"/>
        </w:rPr>
        <w:t xml:space="preserve">e NPV, </w:t>
      </w:r>
      <w:r w:rsidRPr="37E63DBD" w:rsidR="76A5E5F9">
        <w:rPr>
          <w:rFonts w:ascii="Arial" w:hAnsi="Arial" w:eastAsia="Arial" w:cs="Arial" w:asciiTheme="minorAscii" w:hAnsiTheme="minorAscii" w:eastAsiaTheme="minorAscii" w:cstheme="minorAscii"/>
          <w:sz w:val="22"/>
          <w:szCs w:val="22"/>
        </w:rPr>
        <w:t xml:space="preserve">as this ensures </w:t>
      </w:r>
      <w:r w:rsidRPr="37E63DBD" w:rsidR="76A5E5F9">
        <w:rPr>
          <w:rFonts w:ascii="Arial" w:hAnsi="Arial" w:eastAsia="Arial" w:cs="Arial" w:asciiTheme="minorAscii" w:hAnsiTheme="minorAscii" w:eastAsiaTheme="minorAscii" w:cstheme="minorAscii"/>
          <w:sz w:val="22"/>
          <w:szCs w:val="22"/>
        </w:rPr>
        <w:t>optimal</w:t>
      </w:r>
      <w:r w:rsidRPr="37E63DBD" w:rsidR="76A5E5F9">
        <w:rPr>
          <w:rFonts w:ascii="Arial" w:hAnsi="Arial" w:eastAsia="Arial" w:cs="Arial" w:asciiTheme="minorAscii" w:hAnsiTheme="minorAscii" w:eastAsiaTheme="minorAscii" w:cstheme="minorAscii"/>
          <w:sz w:val="22"/>
          <w:szCs w:val="22"/>
        </w:rPr>
        <w:t xml:space="preserve"> allocation of financial resources and maximisation of firm value (</w:t>
      </w:r>
      <w:r w:rsidRPr="37E63DBD" w:rsidR="43F11EE9">
        <w:rPr>
          <w:rFonts w:ascii="Arial" w:hAnsi="Arial" w:eastAsia="Arial" w:cs="Arial" w:asciiTheme="minorAscii" w:hAnsiTheme="minorAscii" w:eastAsiaTheme="minorAscii" w:cstheme="minorAscii"/>
          <w:sz w:val="22"/>
          <w:szCs w:val="22"/>
        </w:rPr>
        <w:t>Danielson, Ho</w:t>
      </w:r>
      <w:r w:rsidRPr="37E63DBD" w:rsidR="43F11EE9">
        <w:rPr>
          <w:rFonts w:ascii="Arial" w:hAnsi="Arial" w:eastAsia="Arial" w:cs="Arial" w:asciiTheme="minorAscii" w:hAnsiTheme="minorAscii" w:eastAsiaTheme="minorAscii" w:cstheme="minorAscii"/>
          <w:sz w:val="22"/>
          <w:szCs w:val="22"/>
        </w:rPr>
        <w:t>gan &amp; Ols</w:t>
      </w:r>
      <w:r w:rsidRPr="37E63DBD" w:rsidR="43F11EE9">
        <w:rPr>
          <w:rFonts w:ascii="Arial" w:hAnsi="Arial" w:eastAsia="Arial" w:cs="Arial" w:asciiTheme="minorAscii" w:hAnsiTheme="minorAscii" w:eastAsiaTheme="minorAscii" w:cstheme="minorAscii"/>
          <w:sz w:val="22"/>
          <w:szCs w:val="22"/>
        </w:rPr>
        <w:t>on, 2024</w:t>
      </w:r>
      <w:r w:rsidRPr="37E63DBD" w:rsidR="76A5E5F9">
        <w:rPr>
          <w:rFonts w:ascii="Arial" w:hAnsi="Arial" w:eastAsia="Arial" w:cs="Arial" w:asciiTheme="minorAscii" w:hAnsiTheme="minorAscii" w:eastAsiaTheme="minorAscii" w:cstheme="minorAscii"/>
          <w:sz w:val="22"/>
          <w:szCs w:val="22"/>
        </w:rPr>
        <w:t xml:space="preserve">). Selecting a project with a lower NPV, when a higher </w:t>
      </w:r>
      <w:r w:rsidRPr="37E63DBD" w:rsidR="055127B9">
        <w:rPr>
          <w:rFonts w:ascii="Arial" w:hAnsi="Arial" w:eastAsia="Arial" w:cs="Arial" w:asciiTheme="minorAscii" w:hAnsiTheme="minorAscii" w:eastAsiaTheme="minorAscii" w:cstheme="minorAscii"/>
          <w:sz w:val="22"/>
          <w:szCs w:val="22"/>
        </w:rPr>
        <w:t>alternative</w:t>
      </w:r>
      <w:r w:rsidRPr="37E63DBD" w:rsidR="76A5E5F9">
        <w:rPr>
          <w:rFonts w:ascii="Arial" w:hAnsi="Arial" w:eastAsia="Arial" w:cs="Arial" w:asciiTheme="minorAscii" w:hAnsiTheme="minorAscii" w:eastAsiaTheme="minorAscii" w:cstheme="minorAscii"/>
          <w:sz w:val="22"/>
          <w:szCs w:val="22"/>
        </w:rPr>
        <w:t xml:space="preserve"> exists, woul</w:t>
      </w:r>
      <w:r w:rsidRPr="37E63DBD" w:rsidR="6244DF70">
        <w:rPr>
          <w:rFonts w:ascii="Arial" w:hAnsi="Arial" w:eastAsia="Arial" w:cs="Arial" w:asciiTheme="minorAscii" w:hAnsiTheme="minorAscii" w:eastAsiaTheme="minorAscii" w:cstheme="minorAscii"/>
          <w:sz w:val="22"/>
          <w:szCs w:val="22"/>
        </w:rPr>
        <w:t xml:space="preserve">d </w:t>
      </w:r>
      <w:r w:rsidRPr="37E63DBD" w:rsidR="76A5E5F9">
        <w:rPr>
          <w:rFonts w:ascii="Arial" w:hAnsi="Arial" w:eastAsia="Arial" w:cs="Arial" w:asciiTheme="minorAscii" w:hAnsiTheme="minorAscii" w:eastAsiaTheme="minorAscii" w:cstheme="minorAscii"/>
          <w:sz w:val="22"/>
          <w:szCs w:val="22"/>
        </w:rPr>
        <w:t>result in an opportunity cost in terms of foreg</w:t>
      </w:r>
      <w:r w:rsidRPr="37E63DBD" w:rsidR="4934C1E9">
        <w:rPr>
          <w:rFonts w:ascii="Arial" w:hAnsi="Arial" w:eastAsia="Arial" w:cs="Arial" w:asciiTheme="minorAscii" w:hAnsiTheme="minorAscii" w:eastAsiaTheme="minorAscii" w:cstheme="minorAscii"/>
          <w:sz w:val="22"/>
          <w:szCs w:val="22"/>
        </w:rPr>
        <w:t>o</w:t>
      </w:r>
      <w:r w:rsidRPr="37E63DBD" w:rsidR="76A5E5F9">
        <w:rPr>
          <w:rFonts w:ascii="Arial" w:hAnsi="Arial" w:eastAsia="Arial" w:cs="Arial" w:asciiTheme="minorAscii" w:hAnsiTheme="minorAscii" w:eastAsiaTheme="minorAscii" w:cstheme="minorAscii"/>
          <w:sz w:val="22"/>
          <w:szCs w:val="22"/>
        </w:rPr>
        <w:t xml:space="preserve">ne value creation. </w:t>
      </w:r>
    </w:p>
    <w:p xmlns:wp14="http://schemas.microsoft.com/office/word/2010/wordml" w:rsidP="37E63DBD" wp14:paraId="7BBB3281" wp14:textId="3297B42D">
      <w:pPr>
        <w:spacing w:line="360" w:lineRule="auto"/>
        <w:jc w:val="both"/>
        <w:rPr>
          <w:rFonts w:ascii="Arial" w:hAnsi="Arial" w:eastAsia="Arial" w:cs="Arial" w:asciiTheme="minorAscii" w:hAnsiTheme="minorAscii" w:eastAsiaTheme="minorAscii" w:cstheme="minorAscii"/>
          <w:sz w:val="22"/>
          <w:szCs w:val="22"/>
        </w:rPr>
      </w:pPr>
      <w:r w:rsidRPr="37E63DBD" w:rsidR="2116A6A8">
        <w:rPr>
          <w:rFonts w:ascii="Arial" w:hAnsi="Arial" w:eastAsia="Arial" w:cs="Arial" w:asciiTheme="minorAscii" w:hAnsiTheme="minorAscii" w:eastAsiaTheme="minorAscii" w:cstheme="minorAscii"/>
          <w:sz w:val="22"/>
          <w:szCs w:val="22"/>
        </w:rPr>
        <w:t>Furthermore, recen</w:t>
      </w:r>
      <w:r w:rsidRPr="37E63DBD" w:rsidR="2116A6A8">
        <w:rPr>
          <w:rFonts w:ascii="Arial" w:hAnsi="Arial" w:eastAsia="Arial" w:cs="Arial" w:asciiTheme="minorAscii" w:hAnsiTheme="minorAscii" w:eastAsiaTheme="minorAscii" w:cstheme="minorAscii"/>
          <w:sz w:val="22"/>
          <w:szCs w:val="22"/>
        </w:rPr>
        <w:t>t studies su</w:t>
      </w:r>
      <w:r w:rsidRPr="37E63DBD" w:rsidR="2116A6A8">
        <w:rPr>
          <w:rFonts w:ascii="Arial" w:hAnsi="Arial" w:eastAsia="Arial" w:cs="Arial" w:asciiTheme="minorAscii" w:hAnsiTheme="minorAscii" w:eastAsiaTheme="minorAscii" w:cstheme="minorAscii"/>
          <w:sz w:val="22"/>
          <w:szCs w:val="22"/>
        </w:rPr>
        <w:t xml:space="preserve">ggest that firms </w:t>
      </w:r>
      <w:r w:rsidRPr="37E63DBD" w:rsidR="2116A6A8">
        <w:rPr>
          <w:rFonts w:ascii="Arial" w:hAnsi="Arial" w:eastAsia="Arial" w:cs="Arial" w:asciiTheme="minorAscii" w:hAnsiTheme="minorAscii" w:eastAsiaTheme="minorAscii" w:cstheme="minorAscii"/>
          <w:sz w:val="22"/>
          <w:szCs w:val="22"/>
        </w:rPr>
        <w:t>operating</w:t>
      </w:r>
      <w:r w:rsidRPr="37E63DBD" w:rsidR="2116A6A8">
        <w:rPr>
          <w:rFonts w:ascii="Arial" w:hAnsi="Arial" w:eastAsia="Arial" w:cs="Arial" w:asciiTheme="minorAscii" w:hAnsiTheme="minorAscii" w:eastAsiaTheme="minorAscii" w:cstheme="minorAscii"/>
          <w:sz w:val="22"/>
          <w:szCs w:val="22"/>
        </w:rPr>
        <w:t xml:space="preserve"> under competitive market conditions </w:t>
      </w:r>
      <w:r w:rsidRPr="37E63DBD" w:rsidR="2116A6A8">
        <w:rPr>
          <w:rFonts w:ascii="Arial" w:hAnsi="Arial" w:eastAsia="Arial" w:cs="Arial" w:asciiTheme="minorAscii" w:hAnsiTheme="minorAscii" w:eastAsiaTheme="minorAscii" w:cstheme="minorAscii"/>
          <w:sz w:val="22"/>
          <w:szCs w:val="22"/>
        </w:rPr>
        <w:t>benefit</w:t>
      </w:r>
      <w:r w:rsidRPr="37E63DBD" w:rsidR="2116A6A8">
        <w:rPr>
          <w:rFonts w:ascii="Arial" w:hAnsi="Arial" w:eastAsia="Arial" w:cs="Arial" w:asciiTheme="minorAscii" w:hAnsiTheme="minorAscii" w:eastAsiaTheme="minorAscii" w:cstheme="minorAscii"/>
          <w:sz w:val="22"/>
          <w:szCs w:val="22"/>
        </w:rPr>
        <w:t xml:space="preserve"> from prioritising investments that deliver the highest net e</w:t>
      </w:r>
      <w:r w:rsidRPr="37E63DBD" w:rsidR="2116A6A8">
        <w:rPr>
          <w:rFonts w:ascii="Arial" w:hAnsi="Arial" w:eastAsia="Arial" w:cs="Arial" w:asciiTheme="minorAscii" w:hAnsiTheme="minorAscii" w:eastAsiaTheme="minorAscii" w:cstheme="minorAscii"/>
          <w:sz w:val="22"/>
          <w:szCs w:val="22"/>
        </w:rPr>
        <w:t>conomic v</w:t>
      </w:r>
      <w:r w:rsidRPr="37E63DBD" w:rsidR="2116A6A8">
        <w:rPr>
          <w:rFonts w:ascii="Arial" w:hAnsi="Arial" w:eastAsia="Arial" w:cs="Arial" w:asciiTheme="minorAscii" w:hAnsiTheme="minorAscii" w:eastAsiaTheme="minorAscii" w:cstheme="minorAscii"/>
          <w:sz w:val="22"/>
          <w:szCs w:val="22"/>
        </w:rPr>
        <w:t>alue, p</w:t>
      </w:r>
      <w:r w:rsidRPr="37E63DBD" w:rsidR="2116A6A8">
        <w:rPr>
          <w:rFonts w:ascii="Arial" w:hAnsi="Arial" w:eastAsia="Arial" w:cs="Arial" w:asciiTheme="minorAscii" w:hAnsiTheme="minorAscii" w:eastAsiaTheme="minorAscii" w:cstheme="minorAscii"/>
          <w:sz w:val="22"/>
          <w:szCs w:val="22"/>
        </w:rPr>
        <w:t>articu</w:t>
      </w:r>
      <w:r w:rsidRPr="37E63DBD" w:rsidR="2116A6A8">
        <w:rPr>
          <w:rFonts w:ascii="Arial" w:hAnsi="Arial" w:eastAsia="Arial" w:cs="Arial" w:asciiTheme="minorAscii" w:hAnsiTheme="minorAscii" w:eastAsiaTheme="minorAscii" w:cstheme="minorAscii"/>
          <w:sz w:val="22"/>
          <w:szCs w:val="22"/>
        </w:rPr>
        <w:t>larly when cap</w:t>
      </w:r>
      <w:r w:rsidRPr="37E63DBD" w:rsidR="2116A6A8">
        <w:rPr>
          <w:rFonts w:ascii="Arial" w:hAnsi="Arial" w:eastAsia="Arial" w:cs="Arial" w:asciiTheme="minorAscii" w:hAnsiTheme="minorAscii" w:eastAsiaTheme="minorAscii" w:cstheme="minorAscii"/>
          <w:sz w:val="22"/>
          <w:szCs w:val="22"/>
        </w:rPr>
        <w:t>ital resources are limited (</w:t>
      </w:r>
      <w:r w:rsidRPr="37E63DBD" w:rsidR="2DE6A6EB">
        <w:rPr>
          <w:rFonts w:ascii="Arial" w:hAnsi="Arial" w:eastAsia="Arial" w:cs="Arial" w:asciiTheme="minorAscii" w:hAnsiTheme="minorAscii" w:eastAsiaTheme="minorAscii" w:cstheme="minorAscii"/>
          <w:sz w:val="22"/>
          <w:szCs w:val="22"/>
        </w:rPr>
        <w:t>Batra &amp; Verma, 2017</w:t>
      </w:r>
      <w:r w:rsidRPr="37E63DBD" w:rsidR="2116A6A8">
        <w:rPr>
          <w:rFonts w:ascii="Arial" w:hAnsi="Arial" w:eastAsia="Arial" w:cs="Arial" w:asciiTheme="minorAscii" w:hAnsiTheme="minorAscii" w:eastAsiaTheme="minorAscii" w:cstheme="minorAscii"/>
          <w:sz w:val="22"/>
          <w:szCs w:val="22"/>
        </w:rPr>
        <w:t xml:space="preserve">). in this context, Project C </w:t>
      </w:r>
      <w:r w:rsidRPr="37E63DBD" w:rsidR="2116A6A8">
        <w:rPr>
          <w:rFonts w:ascii="Arial" w:hAnsi="Arial" w:eastAsia="Arial" w:cs="Arial" w:asciiTheme="minorAscii" w:hAnsiTheme="minorAscii" w:eastAsiaTheme="minorAscii" w:cstheme="minorAscii"/>
          <w:sz w:val="22"/>
          <w:szCs w:val="22"/>
        </w:rPr>
        <w:t>repres</w:t>
      </w:r>
      <w:r w:rsidRPr="37E63DBD" w:rsidR="79906D81">
        <w:rPr>
          <w:rFonts w:ascii="Arial" w:hAnsi="Arial" w:eastAsia="Arial" w:cs="Arial" w:asciiTheme="minorAscii" w:hAnsiTheme="minorAscii" w:eastAsiaTheme="minorAscii" w:cstheme="minorAscii"/>
          <w:sz w:val="22"/>
          <w:szCs w:val="22"/>
        </w:rPr>
        <w:t>ents</w:t>
      </w:r>
      <w:r w:rsidRPr="37E63DBD" w:rsidR="79906D81">
        <w:rPr>
          <w:rFonts w:ascii="Arial" w:hAnsi="Arial" w:eastAsia="Arial" w:cs="Arial" w:asciiTheme="minorAscii" w:hAnsiTheme="minorAscii" w:eastAsiaTheme="minorAscii" w:cstheme="minorAscii"/>
          <w:sz w:val="22"/>
          <w:szCs w:val="22"/>
        </w:rPr>
        <w:t xml:space="preserve"> the </w:t>
      </w:r>
      <w:r w:rsidRPr="37E63DBD" w:rsidR="79906D81">
        <w:rPr>
          <w:rFonts w:ascii="Arial" w:hAnsi="Arial" w:eastAsia="Arial" w:cs="Arial" w:asciiTheme="minorAscii" w:hAnsiTheme="minorAscii" w:eastAsiaTheme="minorAscii" w:cstheme="minorAscii"/>
          <w:sz w:val="22"/>
          <w:szCs w:val="22"/>
        </w:rPr>
        <w:t>mos</w:t>
      </w:r>
      <w:r w:rsidRPr="37E63DBD" w:rsidR="1BF9C60D">
        <w:rPr>
          <w:rFonts w:ascii="Arial" w:hAnsi="Arial" w:eastAsia="Arial" w:cs="Arial" w:asciiTheme="minorAscii" w:hAnsiTheme="minorAscii" w:eastAsiaTheme="minorAscii" w:cstheme="minorAscii"/>
          <w:sz w:val="22"/>
          <w:szCs w:val="22"/>
        </w:rPr>
        <w:t>t</w:t>
      </w:r>
      <w:r w:rsidRPr="37E63DBD" w:rsidR="79906D81">
        <w:rPr>
          <w:rFonts w:ascii="Arial" w:hAnsi="Arial" w:eastAsia="Arial" w:cs="Arial" w:asciiTheme="minorAscii" w:hAnsiTheme="minorAscii" w:eastAsiaTheme="minorAscii" w:cstheme="minorAscii"/>
          <w:sz w:val="22"/>
          <w:szCs w:val="22"/>
        </w:rPr>
        <w:t xml:space="preserve"> efficient use of available capital. </w:t>
      </w:r>
    </w:p>
    <w:p xmlns:wp14="http://schemas.microsoft.com/office/word/2010/wordml" w:rsidP="37E63DBD" wp14:paraId="4A5C905A" wp14:textId="525375B4">
      <w:pPr>
        <w:spacing w:line="360" w:lineRule="auto"/>
        <w:jc w:val="both"/>
        <w:rPr>
          <w:rFonts w:ascii="Arial" w:hAnsi="Arial" w:eastAsia="Arial" w:cs="Arial" w:asciiTheme="minorAscii" w:hAnsiTheme="minorAscii" w:eastAsiaTheme="minorAscii" w:cstheme="minorAscii"/>
          <w:sz w:val="22"/>
          <w:szCs w:val="22"/>
        </w:rPr>
      </w:pPr>
      <w:r w:rsidRPr="37E63DBD" w:rsidR="79906D81">
        <w:rPr>
          <w:rFonts w:ascii="Arial" w:hAnsi="Arial" w:eastAsia="Arial" w:cs="Arial" w:asciiTheme="minorAscii" w:hAnsiTheme="minorAscii" w:eastAsiaTheme="minorAscii" w:cstheme="minorAscii"/>
          <w:sz w:val="22"/>
          <w:szCs w:val="22"/>
        </w:rPr>
        <w:t>In addition to its</w:t>
      </w:r>
      <w:r w:rsidRPr="37E63DBD" w:rsidR="79906D81">
        <w:rPr>
          <w:rFonts w:ascii="Arial" w:hAnsi="Arial" w:eastAsia="Arial" w:cs="Arial" w:asciiTheme="minorAscii" w:hAnsiTheme="minorAscii" w:eastAsiaTheme="minorAscii" w:cstheme="minorAscii"/>
          <w:sz w:val="22"/>
          <w:szCs w:val="22"/>
        </w:rPr>
        <w:t xml:space="preserve"> superio</w:t>
      </w:r>
      <w:r w:rsidRPr="37E63DBD" w:rsidR="79906D81">
        <w:rPr>
          <w:rFonts w:ascii="Arial" w:hAnsi="Arial" w:eastAsia="Arial" w:cs="Arial" w:asciiTheme="minorAscii" w:hAnsiTheme="minorAscii" w:eastAsiaTheme="minorAscii" w:cstheme="minorAscii"/>
          <w:sz w:val="22"/>
          <w:szCs w:val="22"/>
        </w:rPr>
        <w:t>r financi</w:t>
      </w:r>
      <w:r w:rsidRPr="37E63DBD" w:rsidR="79906D81">
        <w:rPr>
          <w:rFonts w:ascii="Arial" w:hAnsi="Arial" w:eastAsia="Arial" w:cs="Arial" w:asciiTheme="minorAscii" w:hAnsiTheme="minorAscii" w:eastAsiaTheme="minorAscii" w:cstheme="minorAscii"/>
          <w:sz w:val="22"/>
          <w:szCs w:val="22"/>
        </w:rPr>
        <w:t>al perfo</w:t>
      </w:r>
      <w:r w:rsidRPr="37E63DBD" w:rsidR="79906D81">
        <w:rPr>
          <w:rFonts w:ascii="Arial" w:hAnsi="Arial" w:eastAsia="Arial" w:cs="Arial" w:asciiTheme="minorAscii" w:hAnsiTheme="minorAscii" w:eastAsiaTheme="minorAscii" w:cstheme="minorAscii"/>
          <w:sz w:val="22"/>
          <w:szCs w:val="22"/>
        </w:rPr>
        <w:t xml:space="preserve">rmance, Project C may also </w:t>
      </w:r>
      <w:r w:rsidRPr="37E63DBD" w:rsidR="6FCBD5F2">
        <w:rPr>
          <w:rFonts w:ascii="Arial" w:hAnsi="Arial" w:eastAsia="Arial" w:cs="Arial" w:asciiTheme="minorAscii" w:hAnsiTheme="minorAscii" w:eastAsiaTheme="minorAscii" w:cstheme="minorAscii"/>
          <w:sz w:val="22"/>
          <w:szCs w:val="22"/>
        </w:rPr>
        <w:t>offer</w:t>
      </w:r>
      <w:r w:rsidRPr="37E63DBD" w:rsidR="79906D81">
        <w:rPr>
          <w:rFonts w:ascii="Arial" w:hAnsi="Arial" w:eastAsia="Arial" w:cs="Arial" w:asciiTheme="minorAscii" w:hAnsiTheme="minorAscii" w:eastAsiaTheme="minorAscii" w:cstheme="minorAscii"/>
          <w:sz w:val="22"/>
          <w:szCs w:val="22"/>
        </w:rPr>
        <w:t xml:space="preserve"> st</w:t>
      </w:r>
      <w:r w:rsidRPr="37E63DBD" w:rsidR="0CA2C9AE">
        <w:rPr>
          <w:rFonts w:ascii="Arial" w:hAnsi="Arial" w:eastAsia="Arial" w:cs="Arial" w:asciiTheme="minorAscii" w:hAnsiTheme="minorAscii" w:eastAsiaTheme="minorAscii" w:cstheme="minorAscii"/>
          <w:sz w:val="22"/>
          <w:szCs w:val="22"/>
        </w:rPr>
        <w:t>ra</w:t>
      </w:r>
      <w:r w:rsidRPr="37E63DBD" w:rsidR="79906D81">
        <w:rPr>
          <w:rFonts w:ascii="Arial" w:hAnsi="Arial" w:eastAsia="Arial" w:cs="Arial" w:asciiTheme="minorAscii" w:hAnsiTheme="minorAscii" w:eastAsiaTheme="minorAscii" w:cstheme="minorAscii"/>
          <w:sz w:val="22"/>
          <w:szCs w:val="22"/>
        </w:rPr>
        <w:t xml:space="preserve">tegic advantages through product diversification. Expanding into purses and wallets could strengthen Beard Plc’s market positioning and reduce reliance on </w:t>
      </w:r>
      <w:r w:rsidRPr="37E63DBD" w:rsidR="79906D81">
        <w:rPr>
          <w:rFonts w:ascii="Arial" w:hAnsi="Arial" w:eastAsia="Arial" w:cs="Arial" w:asciiTheme="minorAscii" w:hAnsiTheme="minorAscii" w:eastAsiaTheme="minorAscii" w:cstheme="minorAscii"/>
          <w:sz w:val="22"/>
          <w:szCs w:val="22"/>
        </w:rPr>
        <w:t>a single product</w:t>
      </w:r>
      <w:r w:rsidRPr="37E63DBD" w:rsidR="79906D81">
        <w:rPr>
          <w:rFonts w:ascii="Arial" w:hAnsi="Arial" w:eastAsia="Arial" w:cs="Arial" w:asciiTheme="minorAscii" w:hAnsiTheme="minorAscii" w:eastAsiaTheme="minorAscii" w:cstheme="minorAscii"/>
          <w:sz w:val="22"/>
          <w:szCs w:val="22"/>
        </w:rPr>
        <w:t xml:space="preserve"> category, potentially enhancing long-term revenue stability (</w:t>
      </w:r>
      <w:r w:rsidRPr="37E63DBD" w:rsidR="158F981F">
        <w:rPr>
          <w:rFonts w:ascii="Arial" w:hAnsi="Arial" w:eastAsia="Arial" w:cs="Arial" w:asciiTheme="minorAscii" w:hAnsiTheme="minorAscii" w:eastAsiaTheme="minorAscii" w:cstheme="minorAscii"/>
          <w:sz w:val="22"/>
          <w:szCs w:val="22"/>
        </w:rPr>
        <w:t>Arte &amp; Larimo, 2022</w:t>
      </w:r>
      <w:r w:rsidRPr="37E63DBD" w:rsidR="79906D81">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2B4F1ADD" wp14:textId="1F215401">
      <w:pPr>
        <w:spacing w:line="360" w:lineRule="auto"/>
        <w:jc w:val="both"/>
        <w:rPr>
          <w:rFonts w:ascii="Arial" w:hAnsi="Arial" w:eastAsia="Arial" w:cs="Arial" w:asciiTheme="minorAscii" w:hAnsiTheme="minorAscii" w:eastAsiaTheme="minorAscii" w:cstheme="minorAscii"/>
          <w:sz w:val="22"/>
          <w:szCs w:val="22"/>
        </w:rPr>
      </w:pPr>
      <w:r w:rsidRPr="37E63DBD" w:rsidR="00FBE611">
        <w:rPr>
          <w:rFonts w:ascii="Arial" w:hAnsi="Arial" w:eastAsia="Arial" w:cs="Arial" w:asciiTheme="minorAscii" w:hAnsiTheme="minorAscii" w:eastAsiaTheme="minorAscii" w:cstheme="minorAscii"/>
          <w:sz w:val="22"/>
          <w:szCs w:val="22"/>
        </w:rPr>
        <w:t xml:space="preserve">Therefore, based on both quantitative and strategic considerations, Project C is identified </w:t>
      </w:r>
      <w:r w:rsidRPr="37E63DBD" w:rsidR="00FBE611">
        <w:rPr>
          <w:rFonts w:ascii="Arial" w:hAnsi="Arial" w:eastAsia="Arial" w:cs="Arial" w:asciiTheme="minorAscii" w:hAnsiTheme="minorAscii" w:eastAsiaTheme="minorAscii" w:cstheme="minorAscii"/>
          <w:sz w:val="22"/>
          <w:szCs w:val="22"/>
        </w:rPr>
        <w:t xml:space="preserve">as </w:t>
      </w:r>
      <w:r w:rsidRPr="37E63DBD" w:rsidR="00FBE611">
        <w:rPr>
          <w:rFonts w:ascii="Arial" w:hAnsi="Arial" w:eastAsia="Arial" w:cs="Arial" w:asciiTheme="minorAscii" w:hAnsiTheme="minorAscii" w:eastAsiaTheme="minorAscii" w:cstheme="minorAscii"/>
          <w:sz w:val="22"/>
          <w:szCs w:val="22"/>
        </w:rPr>
        <w:t xml:space="preserve">the optimal investment choice. </w:t>
      </w:r>
    </w:p>
    <w:p xmlns:wp14="http://schemas.microsoft.com/office/word/2010/wordml" w:rsidP="37E63DBD" wp14:paraId="64AAC6E1" wp14:textId="7DB914CB">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02A0BD48">
        <w:rPr>
          <w:rFonts w:ascii="Arial" w:hAnsi="Arial" w:eastAsia="Arial" w:cs="Arial" w:asciiTheme="minorAscii" w:hAnsiTheme="minorAscii" w:eastAsiaTheme="minorAscii" w:cstheme="minorAscii"/>
          <w:b w:val="1"/>
          <w:bCs w:val="1"/>
          <w:sz w:val="22"/>
          <w:szCs w:val="22"/>
        </w:rPr>
        <w:t xml:space="preserve">2. </w:t>
      </w:r>
      <w:r w:rsidRPr="37E63DBD" w:rsidR="40416107">
        <w:rPr>
          <w:rFonts w:ascii="Arial" w:hAnsi="Arial" w:eastAsia="Arial" w:cs="Arial" w:asciiTheme="minorAscii" w:hAnsiTheme="minorAscii" w:eastAsiaTheme="minorAscii" w:cstheme="minorAscii"/>
          <w:b w:val="1"/>
          <w:bCs w:val="1"/>
          <w:sz w:val="22"/>
          <w:szCs w:val="22"/>
        </w:rPr>
        <w:t>Internal</w:t>
      </w:r>
      <w:r w:rsidRPr="37E63DBD" w:rsidR="02A0BD48">
        <w:rPr>
          <w:rFonts w:ascii="Arial" w:hAnsi="Arial" w:eastAsia="Arial" w:cs="Arial" w:asciiTheme="minorAscii" w:hAnsiTheme="minorAscii" w:eastAsiaTheme="minorAscii" w:cstheme="minorAscii"/>
          <w:b w:val="1"/>
          <w:bCs w:val="1"/>
          <w:sz w:val="22"/>
          <w:szCs w:val="22"/>
        </w:rPr>
        <w:t xml:space="preserve"> Rate of Return (IRR) Analysis</w:t>
      </w:r>
    </w:p>
    <w:p xmlns:wp14="http://schemas.microsoft.com/office/word/2010/wordml" w:rsidP="37E63DBD" wp14:paraId="606C36C6" wp14:textId="54D10197">
      <w:pPr>
        <w:spacing w:line="360" w:lineRule="auto"/>
        <w:jc w:val="both"/>
        <w:rPr>
          <w:rFonts w:ascii="Arial" w:hAnsi="Arial" w:eastAsia="Arial" w:cs="Arial" w:asciiTheme="minorAscii" w:hAnsiTheme="minorAscii" w:eastAsiaTheme="minorAscii" w:cstheme="minorAscii"/>
          <w:sz w:val="22"/>
          <w:szCs w:val="22"/>
        </w:rPr>
      </w:pPr>
      <w:r w:rsidRPr="37E63DBD" w:rsidR="02A0BD48">
        <w:rPr>
          <w:rFonts w:ascii="Arial" w:hAnsi="Arial" w:eastAsia="Arial" w:cs="Arial" w:asciiTheme="minorAscii" w:hAnsiTheme="minorAscii" w:eastAsiaTheme="minorAscii" w:cstheme="minorAscii"/>
          <w:sz w:val="22"/>
          <w:szCs w:val="22"/>
        </w:rPr>
        <w:t xml:space="preserve">As Project C has been identifies as the </w:t>
      </w:r>
      <w:r w:rsidRPr="37E63DBD" w:rsidR="79747617">
        <w:rPr>
          <w:rFonts w:ascii="Arial" w:hAnsi="Arial" w:eastAsia="Arial" w:cs="Arial" w:asciiTheme="minorAscii" w:hAnsiTheme="minorAscii" w:eastAsiaTheme="minorAscii" w:cstheme="minorAscii"/>
          <w:sz w:val="22"/>
          <w:szCs w:val="22"/>
        </w:rPr>
        <w:t>preferred</w:t>
      </w:r>
      <w:r w:rsidRPr="37E63DBD" w:rsidR="02A0BD48">
        <w:rPr>
          <w:rFonts w:ascii="Arial" w:hAnsi="Arial" w:eastAsia="Arial" w:cs="Arial" w:asciiTheme="minorAscii" w:hAnsiTheme="minorAscii" w:eastAsiaTheme="minorAscii" w:cstheme="minorAscii"/>
          <w:sz w:val="22"/>
          <w:szCs w:val="22"/>
        </w:rPr>
        <w:t xml:space="preserve"> investment option based on NPV analysis, the Internal Rate of Return (IRR) has been calculated solely for this project. This approach is consistent what capital budgeting pra</w:t>
      </w:r>
      <w:r w:rsidRPr="37E63DBD" w:rsidR="60750010">
        <w:rPr>
          <w:rFonts w:ascii="Arial" w:hAnsi="Arial" w:eastAsia="Arial" w:cs="Arial" w:asciiTheme="minorAscii" w:hAnsiTheme="minorAscii" w:eastAsiaTheme="minorAscii" w:cstheme="minorAscii"/>
          <w:sz w:val="22"/>
          <w:szCs w:val="22"/>
        </w:rPr>
        <w:t>ctice, where IRR is typically used as a supporting metric rather than a primary decision-making tool, particularly when projects are mutually exclusive (</w:t>
      </w:r>
      <w:r w:rsidRPr="37E63DBD" w:rsidR="60750010">
        <w:rPr>
          <w:rFonts w:ascii="Arial" w:hAnsi="Arial" w:eastAsia="Arial" w:cs="Arial" w:asciiTheme="minorAscii" w:hAnsiTheme="minorAscii" w:eastAsiaTheme="minorAscii" w:cstheme="minorAscii"/>
          <w:color w:val="auto"/>
          <w:sz w:val="22"/>
          <w:szCs w:val="22"/>
        </w:rPr>
        <w:t>Peterson &amp; Fabozzi, 20</w:t>
      </w:r>
      <w:r w:rsidRPr="37E63DBD" w:rsidR="5303DE75">
        <w:rPr>
          <w:rFonts w:ascii="Arial" w:hAnsi="Arial" w:eastAsia="Arial" w:cs="Arial" w:asciiTheme="minorAscii" w:hAnsiTheme="minorAscii" w:eastAsiaTheme="minorAscii" w:cstheme="minorAscii"/>
          <w:color w:val="auto"/>
          <w:sz w:val="22"/>
          <w:szCs w:val="22"/>
        </w:rPr>
        <w:t>04</w:t>
      </w:r>
      <w:r w:rsidRPr="37E63DBD" w:rsidR="60750010">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159B6867" wp14:textId="5F0E06C1">
      <w:pPr>
        <w:spacing w:line="360" w:lineRule="auto"/>
        <w:jc w:val="both"/>
        <w:rPr>
          <w:rFonts w:ascii="Arial" w:hAnsi="Arial" w:eastAsia="Arial" w:cs="Arial" w:asciiTheme="minorAscii" w:hAnsiTheme="minorAscii" w:eastAsiaTheme="minorAscii" w:cstheme="minorAscii"/>
          <w:sz w:val="22"/>
          <w:szCs w:val="22"/>
        </w:rPr>
      </w:pPr>
      <w:r w:rsidRPr="37E63DBD" w:rsidR="60750010">
        <w:rPr>
          <w:rFonts w:ascii="Arial" w:hAnsi="Arial" w:eastAsia="Arial" w:cs="Arial" w:asciiTheme="minorAscii" w:hAnsiTheme="minorAscii" w:eastAsiaTheme="minorAscii" w:cstheme="minorAscii"/>
          <w:sz w:val="22"/>
          <w:szCs w:val="22"/>
        </w:rPr>
        <w:t>The Internal Rate of Return for Proje</w:t>
      </w:r>
      <w:r w:rsidRPr="37E63DBD" w:rsidR="60750010">
        <w:rPr>
          <w:rFonts w:ascii="Arial" w:hAnsi="Arial" w:eastAsia="Arial" w:cs="Arial" w:asciiTheme="minorAscii" w:hAnsiTheme="minorAscii" w:eastAsiaTheme="minorAscii" w:cstheme="minorAscii"/>
          <w:sz w:val="22"/>
          <w:szCs w:val="22"/>
        </w:rPr>
        <w:t>ct C is e</w:t>
      </w:r>
      <w:r w:rsidRPr="37E63DBD" w:rsidR="60750010">
        <w:rPr>
          <w:rFonts w:ascii="Arial" w:hAnsi="Arial" w:eastAsia="Arial" w:cs="Arial" w:asciiTheme="minorAscii" w:hAnsiTheme="minorAscii" w:eastAsiaTheme="minorAscii" w:cstheme="minorAscii"/>
          <w:sz w:val="22"/>
          <w:szCs w:val="22"/>
        </w:rPr>
        <w:t xml:space="preserve">stimated at </w:t>
      </w:r>
      <w:r w:rsidRPr="37E63DBD" w:rsidR="60750010">
        <w:rPr>
          <w:rFonts w:ascii="Arial" w:hAnsi="Arial" w:eastAsia="Arial" w:cs="Arial" w:asciiTheme="minorAscii" w:hAnsiTheme="minorAscii" w:eastAsiaTheme="minorAscii" w:cstheme="minorAscii"/>
          <w:sz w:val="22"/>
          <w:szCs w:val="22"/>
        </w:rPr>
        <w:t>approximately 13.3%</w:t>
      </w:r>
      <w:r w:rsidRPr="37E63DBD" w:rsidR="12785483">
        <w:rPr>
          <w:rFonts w:ascii="Arial" w:hAnsi="Arial" w:eastAsia="Arial" w:cs="Arial" w:asciiTheme="minorAscii" w:hAnsiTheme="minorAscii" w:eastAsiaTheme="minorAscii" w:cstheme="minorAscii"/>
          <w:sz w:val="22"/>
          <w:szCs w:val="22"/>
        </w:rPr>
        <w:t xml:space="preserve"> (</w:t>
      </w:r>
      <w:r w:rsidRPr="37E63DBD" w:rsidR="2972A85B">
        <w:rPr>
          <w:rFonts w:ascii="Arial" w:hAnsi="Arial" w:eastAsia="Arial" w:cs="Arial" w:asciiTheme="minorAscii" w:hAnsiTheme="minorAscii" w:eastAsiaTheme="minorAscii" w:cstheme="minorAscii"/>
          <w:sz w:val="22"/>
          <w:szCs w:val="22"/>
        </w:rPr>
        <w:t>Calculated through Excel, (Appendix 30</w:t>
      </w:r>
      <w:r w:rsidRPr="37E63DBD" w:rsidR="2972A85B">
        <w:rPr>
          <w:rFonts w:ascii="Arial" w:hAnsi="Arial" w:eastAsia="Arial" w:cs="Arial" w:asciiTheme="minorAscii" w:hAnsiTheme="minorAscii" w:eastAsiaTheme="minorAscii" w:cstheme="minorAscii"/>
          <w:sz w:val="22"/>
          <w:szCs w:val="22"/>
        </w:rPr>
        <w:t>))</w:t>
      </w:r>
      <w:r w:rsidRPr="37E63DBD" w:rsidR="60750010">
        <w:rPr>
          <w:rFonts w:ascii="Arial" w:hAnsi="Arial" w:eastAsia="Arial" w:cs="Arial" w:asciiTheme="minorAscii" w:hAnsiTheme="minorAscii" w:eastAsiaTheme="minorAscii" w:cstheme="minorAscii"/>
          <w:sz w:val="22"/>
          <w:szCs w:val="22"/>
        </w:rPr>
        <w:t xml:space="preserve">, which is significantly higher </w:t>
      </w:r>
      <w:r w:rsidRPr="37E63DBD" w:rsidR="209BEE86">
        <w:rPr>
          <w:rFonts w:ascii="Arial" w:hAnsi="Arial" w:eastAsia="Arial" w:cs="Arial" w:asciiTheme="minorAscii" w:hAnsiTheme="minorAscii" w:eastAsiaTheme="minorAscii" w:cstheme="minorAscii"/>
          <w:sz w:val="22"/>
          <w:szCs w:val="22"/>
        </w:rPr>
        <w:t>th</w:t>
      </w:r>
      <w:r w:rsidRPr="37E63DBD" w:rsidR="209BEE86">
        <w:rPr>
          <w:rFonts w:ascii="Arial" w:hAnsi="Arial" w:eastAsia="Arial" w:cs="Arial" w:asciiTheme="minorAscii" w:hAnsiTheme="minorAscii" w:eastAsiaTheme="minorAscii" w:cstheme="minorAscii"/>
          <w:sz w:val="22"/>
          <w:szCs w:val="22"/>
        </w:rPr>
        <w:t>an t</w:t>
      </w:r>
      <w:r w:rsidRPr="37E63DBD" w:rsidR="209BEE86">
        <w:rPr>
          <w:rFonts w:ascii="Arial" w:hAnsi="Arial" w:eastAsia="Arial" w:cs="Arial" w:asciiTheme="minorAscii" w:hAnsiTheme="minorAscii" w:eastAsiaTheme="minorAscii" w:cstheme="minorAscii"/>
          <w:sz w:val="22"/>
          <w:szCs w:val="22"/>
        </w:rPr>
        <w:t xml:space="preserve">he firm’s 5% cost of capital. this </w:t>
      </w:r>
      <w:r w:rsidRPr="37E63DBD" w:rsidR="209BEE86">
        <w:rPr>
          <w:rFonts w:ascii="Arial" w:hAnsi="Arial" w:eastAsia="Arial" w:cs="Arial" w:asciiTheme="minorAscii" w:hAnsiTheme="minorAscii" w:eastAsiaTheme="minorAscii" w:cstheme="minorAscii"/>
          <w:sz w:val="22"/>
          <w:szCs w:val="22"/>
        </w:rPr>
        <w:t>indicates</w:t>
      </w:r>
      <w:r w:rsidRPr="37E63DBD" w:rsidR="209BEE86">
        <w:rPr>
          <w:rFonts w:ascii="Arial" w:hAnsi="Arial" w:eastAsia="Arial" w:cs="Arial" w:asciiTheme="minorAscii" w:hAnsiTheme="minorAscii" w:eastAsiaTheme="minorAscii" w:cstheme="minorAscii"/>
          <w:sz w:val="22"/>
          <w:szCs w:val="22"/>
        </w:rPr>
        <w:t xml:space="preserve"> that the </w:t>
      </w:r>
      <w:r w:rsidRPr="37E63DBD" w:rsidR="22C03D7C">
        <w:rPr>
          <w:rFonts w:ascii="Arial" w:hAnsi="Arial" w:eastAsia="Arial" w:cs="Arial" w:asciiTheme="minorAscii" w:hAnsiTheme="minorAscii" w:eastAsiaTheme="minorAscii" w:cstheme="minorAscii"/>
          <w:sz w:val="22"/>
          <w:szCs w:val="22"/>
        </w:rPr>
        <w:t>project</w:t>
      </w:r>
      <w:r w:rsidRPr="37E63DBD" w:rsidR="209BEE86">
        <w:rPr>
          <w:rFonts w:ascii="Arial" w:hAnsi="Arial" w:eastAsia="Arial" w:cs="Arial" w:asciiTheme="minorAscii" w:hAnsiTheme="minorAscii" w:eastAsiaTheme="minorAscii" w:cstheme="minorAscii"/>
          <w:sz w:val="22"/>
          <w:szCs w:val="22"/>
        </w:rPr>
        <w:t xml:space="preserve"> is expected to generate returns well above the minimum required level, further supporting its financial viability.</w:t>
      </w:r>
    </w:p>
    <w:p xmlns:wp14="http://schemas.microsoft.com/office/word/2010/wordml" w:rsidP="37E63DBD" wp14:paraId="20483EEB" wp14:textId="2E8A0219">
      <w:pPr>
        <w:spacing w:line="360" w:lineRule="auto"/>
        <w:jc w:val="both"/>
        <w:rPr>
          <w:rFonts w:ascii="Arial" w:hAnsi="Arial" w:eastAsia="Arial" w:cs="Arial" w:asciiTheme="minorAscii" w:hAnsiTheme="minorAscii" w:eastAsiaTheme="minorAscii" w:cstheme="minorAscii"/>
          <w:sz w:val="22"/>
          <w:szCs w:val="22"/>
        </w:rPr>
      </w:pPr>
      <w:r w:rsidRPr="37E63DBD" w:rsidR="209BEE86">
        <w:rPr>
          <w:rFonts w:ascii="Arial" w:hAnsi="Arial" w:eastAsia="Arial" w:cs="Arial" w:asciiTheme="minorAscii" w:hAnsiTheme="minorAscii" w:eastAsiaTheme="minorAscii" w:cstheme="minorAscii"/>
          <w:sz w:val="22"/>
          <w:szCs w:val="22"/>
        </w:rPr>
        <w:t xml:space="preserve">IRR </w:t>
      </w:r>
      <w:r w:rsidRPr="37E63DBD" w:rsidR="0C8626C1">
        <w:rPr>
          <w:rFonts w:ascii="Arial" w:hAnsi="Arial" w:eastAsia="Arial" w:cs="Arial" w:asciiTheme="minorAscii" w:hAnsiTheme="minorAscii" w:eastAsiaTheme="minorAscii" w:cstheme="minorAscii"/>
          <w:sz w:val="22"/>
          <w:szCs w:val="22"/>
        </w:rPr>
        <w:t>represents</w:t>
      </w:r>
      <w:r w:rsidRPr="37E63DBD" w:rsidR="209BEE86">
        <w:rPr>
          <w:rFonts w:ascii="Arial" w:hAnsi="Arial" w:eastAsia="Arial" w:cs="Arial" w:asciiTheme="minorAscii" w:hAnsiTheme="minorAscii" w:eastAsiaTheme="minorAscii" w:cstheme="minorAscii"/>
          <w:sz w:val="22"/>
          <w:szCs w:val="22"/>
        </w:rPr>
        <w:t xml:space="preserve"> the discount rate at which the N</w:t>
      </w:r>
      <w:r w:rsidRPr="37E63DBD" w:rsidR="311F1150">
        <w:rPr>
          <w:rFonts w:ascii="Arial" w:hAnsi="Arial" w:eastAsia="Arial" w:cs="Arial" w:asciiTheme="minorAscii" w:hAnsiTheme="minorAscii" w:eastAsiaTheme="minorAscii" w:cstheme="minorAscii"/>
          <w:sz w:val="22"/>
          <w:szCs w:val="22"/>
        </w:rPr>
        <w:t>P</w:t>
      </w:r>
      <w:r w:rsidRPr="37E63DBD" w:rsidR="209BEE86">
        <w:rPr>
          <w:rFonts w:ascii="Arial" w:hAnsi="Arial" w:eastAsia="Arial" w:cs="Arial" w:asciiTheme="minorAscii" w:hAnsiTheme="minorAscii" w:eastAsiaTheme="minorAscii" w:cstheme="minorAscii"/>
          <w:sz w:val="22"/>
          <w:szCs w:val="22"/>
        </w:rPr>
        <w:t>V of a project equals zero and is commonly used as a supplementary decision-making tool in investment appraisal. while it provides an intuitive measure of return, it has been noted in the literature</w:t>
      </w:r>
      <w:r w:rsidRPr="37E63DBD" w:rsidR="4204BB92">
        <w:rPr>
          <w:rFonts w:ascii="Arial" w:hAnsi="Arial" w:eastAsia="Arial" w:cs="Arial" w:asciiTheme="minorAscii" w:hAnsiTheme="minorAscii" w:eastAsiaTheme="minorAscii" w:cstheme="minorAscii"/>
          <w:sz w:val="22"/>
          <w:szCs w:val="22"/>
        </w:rPr>
        <w:t xml:space="preserve"> that IRR can produce conflicting rankings when comparing mutually exclusive projects or projects with non-conventional cash flows</w:t>
      </w:r>
      <w:r w:rsidRPr="37E63DBD" w:rsidR="538358C3">
        <w:rPr>
          <w:rFonts w:ascii="Arial" w:hAnsi="Arial" w:eastAsia="Arial" w:cs="Arial" w:asciiTheme="minorAscii" w:hAnsiTheme="minorAscii" w:eastAsiaTheme="minorAscii" w:cstheme="minorAscii"/>
          <w:sz w:val="22"/>
          <w:szCs w:val="22"/>
        </w:rPr>
        <w:t xml:space="preserve"> (</w:t>
      </w:r>
      <w:r w:rsidRPr="37E63DBD" w:rsidR="21480661">
        <w:rPr>
          <w:rFonts w:ascii="Arial" w:hAnsi="Arial" w:eastAsia="Arial" w:cs="Arial" w:asciiTheme="minorAscii" w:hAnsiTheme="minorAscii" w:eastAsiaTheme="minorAscii" w:cstheme="minorAscii"/>
          <w:sz w:val="22"/>
          <w:szCs w:val="22"/>
        </w:rPr>
        <w:t>Lin, 2023</w:t>
      </w:r>
      <w:r w:rsidRPr="37E63DBD" w:rsidR="538358C3">
        <w:rPr>
          <w:rFonts w:ascii="Arial" w:hAnsi="Arial" w:eastAsia="Arial" w:cs="Arial" w:asciiTheme="minorAscii" w:hAnsiTheme="minorAscii" w:eastAsiaTheme="minorAscii" w:cstheme="minorAscii"/>
          <w:sz w:val="22"/>
          <w:szCs w:val="22"/>
        </w:rPr>
        <w:t>)</w:t>
      </w:r>
      <w:r w:rsidRPr="37E63DBD" w:rsidR="4204BB92">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348D41D4" wp14:textId="6DB142AF">
      <w:pPr>
        <w:spacing w:line="360" w:lineRule="auto"/>
        <w:jc w:val="both"/>
        <w:rPr>
          <w:rFonts w:ascii="Arial" w:hAnsi="Arial" w:eastAsia="Arial" w:cs="Arial" w:asciiTheme="minorAscii" w:hAnsiTheme="minorAscii" w:eastAsiaTheme="minorAscii" w:cstheme="minorAscii"/>
          <w:sz w:val="22"/>
          <w:szCs w:val="22"/>
        </w:rPr>
      </w:pPr>
      <w:r w:rsidRPr="37E63DBD" w:rsidR="4204BB92">
        <w:rPr>
          <w:rFonts w:ascii="Arial" w:hAnsi="Arial" w:eastAsia="Arial" w:cs="Arial" w:asciiTheme="minorAscii" w:hAnsiTheme="minorAscii" w:eastAsiaTheme="minorAscii" w:cstheme="minorAscii"/>
          <w:sz w:val="22"/>
          <w:szCs w:val="22"/>
        </w:rPr>
        <w:t xml:space="preserve">Despite these limitations, in this case, the IRR </w:t>
      </w:r>
      <w:r w:rsidRPr="37E63DBD" w:rsidR="2D4E70B5">
        <w:rPr>
          <w:rFonts w:ascii="Arial" w:hAnsi="Arial" w:eastAsia="Arial" w:cs="Arial" w:asciiTheme="minorAscii" w:hAnsiTheme="minorAscii" w:eastAsiaTheme="minorAscii" w:cstheme="minorAscii"/>
          <w:sz w:val="22"/>
          <w:szCs w:val="22"/>
        </w:rPr>
        <w:t>result</w:t>
      </w:r>
      <w:r w:rsidRPr="37E63DBD" w:rsidR="4204BB92">
        <w:rPr>
          <w:rFonts w:ascii="Arial" w:hAnsi="Arial" w:eastAsia="Arial" w:cs="Arial" w:asciiTheme="minorAscii" w:hAnsiTheme="minorAscii" w:eastAsiaTheme="minorAscii" w:cstheme="minorAscii"/>
          <w:sz w:val="22"/>
          <w:szCs w:val="22"/>
        </w:rPr>
        <w:t xml:space="preserve"> is consistent with the N</w:t>
      </w:r>
      <w:r w:rsidRPr="37E63DBD" w:rsidR="2E67839F">
        <w:rPr>
          <w:rFonts w:ascii="Arial" w:hAnsi="Arial" w:eastAsia="Arial" w:cs="Arial" w:asciiTheme="minorAscii" w:hAnsiTheme="minorAscii" w:eastAsiaTheme="minorAscii" w:cstheme="minorAscii"/>
          <w:sz w:val="22"/>
          <w:szCs w:val="22"/>
        </w:rPr>
        <w:t>P</w:t>
      </w:r>
      <w:r w:rsidRPr="37E63DBD" w:rsidR="4204BB92">
        <w:rPr>
          <w:rFonts w:ascii="Arial" w:hAnsi="Arial" w:eastAsia="Arial" w:cs="Arial" w:asciiTheme="minorAscii" w:hAnsiTheme="minorAscii" w:eastAsiaTheme="minorAscii" w:cstheme="minorAscii"/>
          <w:sz w:val="22"/>
          <w:szCs w:val="22"/>
        </w:rPr>
        <w:t xml:space="preserve">V analysis, reinforcing the conclusion that Project C is the most attractive investment </w:t>
      </w:r>
      <w:r w:rsidRPr="37E63DBD" w:rsidR="4204BB92">
        <w:rPr>
          <w:rFonts w:ascii="Arial" w:hAnsi="Arial" w:eastAsia="Arial" w:cs="Arial" w:asciiTheme="minorAscii" w:hAnsiTheme="minorAscii" w:eastAsiaTheme="minorAscii" w:cstheme="minorAscii"/>
          <w:sz w:val="22"/>
          <w:szCs w:val="22"/>
        </w:rPr>
        <w:t>option</w:t>
      </w:r>
      <w:r w:rsidRPr="37E63DBD" w:rsidR="4204BB92">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5A0A9363" wp14:textId="0A202D3A">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54C76393">
        <w:rPr>
          <w:rFonts w:ascii="Arial" w:hAnsi="Arial" w:eastAsia="Arial" w:cs="Arial" w:asciiTheme="minorAscii" w:hAnsiTheme="minorAscii" w:eastAsiaTheme="minorAscii" w:cstheme="minorAscii"/>
          <w:b w:val="1"/>
          <w:bCs w:val="1"/>
          <w:sz w:val="22"/>
          <w:szCs w:val="22"/>
        </w:rPr>
        <w:t xml:space="preserve">3. </w:t>
      </w:r>
      <w:r w:rsidRPr="37E63DBD" w:rsidR="00DCF3BE">
        <w:rPr>
          <w:rFonts w:ascii="Arial" w:hAnsi="Arial" w:eastAsia="Arial" w:cs="Arial" w:asciiTheme="minorAscii" w:hAnsiTheme="minorAscii" w:eastAsiaTheme="minorAscii" w:cstheme="minorAscii"/>
          <w:b w:val="1"/>
          <w:bCs w:val="1"/>
          <w:sz w:val="22"/>
          <w:szCs w:val="22"/>
        </w:rPr>
        <w:t>Theoretical Superiority of NPV</w:t>
      </w:r>
    </w:p>
    <w:p xmlns:wp14="http://schemas.microsoft.com/office/word/2010/wordml" w:rsidP="37E63DBD" wp14:paraId="430399D6" wp14:textId="571592E7">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00DCF3BE">
        <w:rPr>
          <w:rFonts w:ascii="Arial" w:hAnsi="Arial" w:eastAsia="Arial" w:cs="Arial" w:asciiTheme="minorAscii" w:hAnsiTheme="minorAscii" w:eastAsiaTheme="minorAscii" w:cstheme="minorAscii"/>
          <w:sz w:val="22"/>
          <w:szCs w:val="22"/>
        </w:rPr>
        <w:t xml:space="preserve">NPV is widely regarded as the most theoretically sound investment appraisal method due to its alignment with shareholder </w:t>
      </w:r>
      <w:r w:rsidRPr="37E63DBD" w:rsidR="5894B249">
        <w:rPr>
          <w:rFonts w:ascii="Arial" w:hAnsi="Arial" w:eastAsia="Arial" w:cs="Arial" w:asciiTheme="minorAscii" w:hAnsiTheme="minorAscii" w:eastAsiaTheme="minorAscii" w:cstheme="minorAscii"/>
          <w:sz w:val="22"/>
          <w:szCs w:val="22"/>
        </w:rPr>
        <w:t>wealth</w:t>
      </w:r>
      <w:r w:rsidRPr="37E63DBD" w:rsidR="00DCF3BE">
        <w:rPr>
          <w:rFonts w:ascii="Arial" w:hAnsi="Arial" w:eastAsia="Arial" w:cs="Arial" w:asciiTheme="minorAscii" w:hAnsiTheme="minorAscii" w:eastAsiaTheme="minorAscii" w:cstheme="minorAscii"/>
          <w:sz w:val="22"/>
          <w:szCs w:val="22"/>
        </w:rPr>
        <w:t xml:space="preserve"> maximisation. it provides a direct measure of the value added by a project, allowing firms to assess its contribution to overall firm value (</w:t>
      </w:r>
      <w:r w:rsidRPr="37E63DBD" w:rsidR="3C4B7A69">
        <w:rPr>
          <w:rFonts w:ascii="Arial" w:hAnsi="Arial" w:eastAsia="Arial" w:cs="Arial" w:asciiTheme="minorAscii" w:hAnsiTheme="minorAscii" w:eastAsiaTheme="minorAscii" w:cstheme="minorAscii"/>
          <w:sz w:val="22"/>
          <w:szCs w:val="22"/>
        </w:rPr>
        <w:t>Danielson, Holga &amp; Olson</w:t>
      </w:r>
      <w:r w:rsidRPr="37E63DBD" w:rsidR="3C4B7A69">
        <w:rPr>
          <w:rFonts w:ascii="Arial" w:hAnsi="Arial" w:eastAsia="Arial" w:cs="Arial" w:asciiTheme="minorAscii" w:hAnsiTheme="minorAscii" w:eastAsiaTheme="minorAscii" w:cstheme="minorAscii"/>
          <w:sz w:val="22"/>
          <w:szCs w:val="22"/>
        </w:rPr>
        <w:t>, 2024</w:t>
      </w:r>
      <w:r w:rsidRPr="37E63DBD" w:rsidR="00DCF3BE">
        <w:rPr>
          <w:rFonts w:ascii="Arial" w:hAnsi="Arial" w:eastAsia="Arial" w:cs="Arial" w:asciiTheme="minorAscii" w:hAnsiTheme="minorAscii" w:eastAsiaTheme="minorAscii" w:cstheme="minorAscii"/>
          <w:sz w:val="22"/>
          <w:szCs w:val="22"/>
        </w:rPr>
        <w:t>)</w:t>
      </w:r>
      <w:r w:rsidRPr="37E63DBD" w:rsidR="00DCF3BE">
        <w:rPr>
          <w:rFonts w:ascii="Arial" w:hAnsi="Arial" w:eastAsia="Arial" w:cs="Arial" w:asciiTheme="minorAscii" w:hAnsiTheme="minorAscii" w:eastAsiaTheme="minorAscii" w:cstheme="minorAscii"/>
          <w:sz w:val="22"/>
          <w:szCs w:val="22"/>
        </w:rPr>
        <w:t>.</w:t>
      </w:r>
    </w:p>
    <w:p xmlns:wp14="http://schemas.microsoft.com/office/word/2010/wordml" w:rsidP="37E63DBD" wp14:paraId="69416811" wp14:textId="1C4EB70D">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1C4DB832">
        <w:rPr>
          <w:rFonts w:ascii="Arial" w:hAnsi="Arial" w:eastAsia="Arial" w:cs="Arial" w:asciiTheme="minorAscii" w:hAnsiTheme="minorAscii" w:eastAsiaTheme="minorAscii" w:cstheme="minorAscii"/>
          <w:sz w:val="22"/>
          <w:szCs w:val="22"/>
        </w:rPr>
        <w:t>A</w:t>
      </w:r>
      <w:r w:rsidRPr="37E63DBD" w:rsidR="00DCF3BE">
        <w:rPr>
          <w:rFonts w:ascii="Arial" w:hAnsi="Arial" w:eastAsia="Arial" w:cs="Arial" w:asciiTheme="minorAscii" w:hAnsiTheme="minorAscii" w:eastAsiaTheme="minorAscii" w:cstheme="minorAscii"/>
          <w:sz w:val="22"/>
          <w:szCs w:val="22"/>
        </w:rPr>
        <w:t xml:space="preserve"> key str</w:t>
      </w:r>
      <w:r w:rsidRPr="37E63DBD" w:rsidR="00DCF3BE">
        <w:rPr>
          <w:rFonts w:ascii="Arial" w:hAnsi="Arial" w:eastAsia="Arial" w:cs="Arial" w:asciiTheme="minorAscii" w:hAnsiTheme="minorAscii" w:eastAsiaTheme="minorAscii" w:cstheme="minorAscii"/>
          <w:sz w:val="22"/>
          <w:szCs w:val="22"/>
        </w:rPr>
        <w:t>ength of NPV it its incorpor</w:t>
      </w:r>
      <w:r w:rsidRPr="37E63DBD" w:rsidR="00DCF3BE">
        <w:rPr>
          <w:rFonts w:ascii="Arial" w:hAnsi="Arial" w:eastAsia="Arial" w:cs="Arial" w:asciiTheme="minorAscii" w:hAnsiTheme="minorAscii" w:eastAsiaTheme="minorAscii" w:cstheme="minorAscii"/>
          <w:sz w:val="22"/>
          <w:szCs w:val="22"/>
        </w:rPr>
        <w:t xml:space="preserve">ation of </w:t>
      </w:r>
      <w:r w:rsidRPr="37E63DBD" w:rsidR="00DCF3BE">
        <w:rPr>
          <w:rFonts w:ascii="Arial" w:hAnsi="Arial" w:eastAsia="Arial" w:cs="Arial" w:asciiTheme="minorAscii" w:hAnsiTheme="minorAscii" w:eastAsiaTheme="minorAscii" w:cstheme="minorAscii"/>
          <w:sz w:val="22"/>
          <w:szCs w:val="22"/>
        </w:rPr>
        <w:t>the time value of money, ensuring that future cash flows are appropriately discounte</w:t>
      </w:r>
      <w:r w:rsidRPr="37E63DBD" w:rsidR="00DCF3BE">
        <w:rPr>
          <w:rFonts w:ascii="Arial" w:hAnsi="Arial" w:eastAsia="Arial" w:cs="Arial" w:asciiTheme="minorAscii" w:hAnsiTheme="minorAscii" w:eastAsiaTheme="minorAscii" w:cstheme="minorAscii"/>
          <w:sz w:val="22"/>
          <w:szCs w:val="22"/>
        </w:rPr>
        <w:t>d.</w:t>
      </w:r>
      <w:r w:rsidRPr="37E63DBD" w:rsidR="00DCF3BE">
        <w:rPr>
          <w:rFonts w:ascii="Arial" w:hAnsi="Arial" w:eastAsia="Arial" w:cs="Arial" w:asciiTheme="minorAscii" w:hAnsiTheme="minorAscii" w:eastAsiaTheme="minorAscii" w:cstheme="minorAscii"/>
          <w:sz w:val="22"/>
          <w:szCs w:val="22"/>
        </w:rPr>
        <w:t xml:space="preserve"> This is critical in long-term investment decisions, where the timing of returns significantly affects project viability (</w:t>
      </w:r>
      <w:r w:rsidRPr="37E63DBD" w:rsidR="5D7ABFBF">
        <w:rPr>
          <w:rFonts w:ascii="Arial" w:hAnsi="Arial" w:eastAsia="Arial" w:cs="Arial" w:asciiTheme="minorAscii" w:hAnsiTheme="minorAscii" w:eastAsiaTheme="minorAscii" w:cstheme="minorAscii"/>
          <w:sz w:val="22"/>
          <w:szCs w:val="22"/>
        </w:rPr>
        <w:t>Seretidou</w:t>
      </w:r>
      <w:r w:rsidRPr="37E63DBD" w:rsidR="5D7ABFBF">
        <w:rPr>
          <w:rFonts w:ascii="Arial" w:hAnsi="Arial" w:eastAsia="Arial" w:cs="Arial" w:asciiTheme="minorAscii" w:hAnsiTheme="minorAscii" w:eastAsiaTheme="minorAscii" w:cstheme="minorAscii"/>
          <w:sz w:val="22"/>
          <w:szCs w:val="22"/>
        </w:rPr>
        <w:t xml:space="preserve">, </w:t>
      </w:r>
      <w:r w:rsidRPr="37E63DBD" w:rsidR="5D7ABFBF">
        <w:rPr>
          <w:rFonts w:ascii="Arial" w:hAnsi="Arial" w:eastAsia="Arial" w:cs="Arial" w:asciiTheme="minorAscii" w:hAnsiTheme="minorAscii" w:eastAsiaTheme="minorAscii" w:cstheme="minorAscii"/>
          <w:sz w:val="22"/>
          <w:szCs w:val="22"/>
        </w:rPr>
        <w:t>Billios</w:t>
      </w:r>
      <w:r w:rsidRPr="37E63DBD" w:rsidR="5D7ABFBF">
        <w:rPr>
          <w:rFonts w:ascii="Arial" w:hAnsi="Arial" w:eastAsia="Arial" w:cs="Arial" w:asciiTheme="minorAscii" w:hAnsiTheme="minorAscii" w:eastAsiaTheme="minorAscii" w:cstheme="minorAscii"/>
          <w:sz w:val="22"/>
          <w:szCs w:val="22"/>
        </w:rPr>
        <w:t xml:space="preserve"> &amp; </w:t>
      </w:r>
      <w:r w:rsidRPr="37E63DBD" w:rsidR="5D7ABFBF">
        <w:rPr>
          <w:rFonts w:ascii="Arial" w:hAnsi="Arial" w:eastAsia="Arial" w:cs="Arial" w:asciiTheme="minorAscii" w:hAnsiTheme="minorAscii" w:eastAsiaTheme="minorAscii" w:cstheme="minorAscii"/>
          <w:sz w:val="22"/>
          <w:szCs w:val="22"/>
        </w:rPr>
        <w:t>Stavropoulus</w:t>
      </w:r>
      <w:r w:rsidRPr="37E63DBD" w:rsidR="5D7ABFBF">
        <w:rPr>
          <w:rFonts w:ascii="Arial" w:hAnsi="Arial" w:eastAsia="Arial" w:cs="Arial" w:asciiTheme="minorAscii" w:hAnsiTheme="minorAscii" w:eastAsiaTheme="minorAscii" w:cstheme="minorAscii"/>
          <w:sz w:val="22"/>
          <w:szCs w:val="22"/>
        </w:rPr>
        <w:t>, 2025</w:t>
      </w:r>
      <w:r w:rsidRPr="37E63DBD" w:rsidR="00DCF3BE">
        <w:rPr>
          <w:rFonts w:ascii="Arial" w:hAnsi="Arial" w:eastAsia="Arial" w:cs="Arial" w:asciiTheme="minorAscii" w:hAnsiTheme="minorAscii" w:eastAsiaTheme="minorAscii" w:cstheme="minorAscii"/>
          <w:sz w:val="22"/>
          <w:szCs w:val="22"/>
        </w:rPr>
        <w:t>). Empirical evidence suggests that firms using NPV-based decision frame</w:t>
      </w:r>
      <w:r w:rsidRPr="37E63DBD" w:rsidR="60D92046">
        <w:rPr>
          <w:rFonts w:ascii="Arial" w:hAnsi="Arial" w:eastAsia="Arial" w:cs="Arial" w:asciiTheme="minorAscii" w:hAnsiTheme="minorAscii" w:eastAsiaTheme="minorAscii" w:cstheme="minorAscii"/>
          <w:sz w:val="22"/>
          <w:szCs w:val="22"/>
        </w:rPr>
        <w:t>works achieve more efficient capital allocation and improved financial outcomes (</w:t>
      </w:r>
      <w:r w:rsidRPr="37E63DBD" w:rsidR="60D92046">
        <w:rPr>
          <w:rFonts w:ascii="Arial" w:hAnsi="Arial" w:eastAsia="Arial" w:cs="Arial" w:asciiTheme="minorAscii" w:hAnsiTheme="minorAscii" w:eastAsiaTheme="minorAscii" w:cstheme="minorAscii"/>
          <w:sz w:val="22"/>
          <w:szCs w:val="22"/>
        </w:rPr>
        <w:t>Andor</w:t>
      </w:r>
      <w:r w:rsidRPr="37E63DBD" w:rsidR="766CE6D8">
        <w:rPr>
          <w:rFonts w:ascii="Arial" w:hAnsi="Arial" w:eastAsia="Arial" w:cs="Arial" w:asciiTheme="minorAscii" w:hAnsiTheme="minorAscii" w:eastAsiaTheme="minorAscii" w:cstheme="minorAscii"/>
          <w:sz w:val="22"/>
          <w:szCs w:val="22"/>
        </w:rPr>
        <w:t>, Mohanty &amp; Toth, 2015</w:t>
      </w:r>
      <w:r w:rsidRPr="37E63DBD" w:rsidR="60D92046">
        <w:rPr>
          <w:rFonts w:ascii="Arial" w:hAnsi="Arial" w:eastAsia="Arial" w:cs="Arial" w:asciiTheme="minorAscii" w:hAnsiTheme="minorAscii" w:eastAsiaTheme="minorAscii" w:cstheme="minorAscii"/>
          <w:sz w:val="22"/>
          <w:szCs w:val="22"/>
        </w:rPr>
        <w:t>)</w:t>
      </w:r>
    </w:p>
    <w:p xmlns:wp14="http://schemas.microsoft.com/office/word/2010/wordml" w:rsidP="37E63DBD" wp14:paraId="7F7882A3" wp14:textId="638BB075">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489FA7CB">
        <w:rPr>
          <w:rFonts w:ascii="Arial" w:hAnsi="Arial" w:eastAsia="Arial" w:cs="Arial" w:asciiTheme="minorAscii" w:hAnsiTheme="minorAscii" w:eastAsiaTheme="minorAscii" w:cstheme="minorAscii"/>
          <w:sz w:val="22"/>
          <w:szCs w:val="22"/>
        </w:rPr>
        <w:t>A</w:t>
      </w:r>
      <w:r w:rsidRPr="37E63DBD" w:rsidR="31DD0809">
        <w:rPr>
          <w:rFonts w:ascii="Arial" w:hAnsi="Arial" w:eastAsia="Arial" w:cs="Arial" w:asciiTheme="minorAscii" w:hAnsiTheme="minorAscii" w:eastAsiaTheme="minorAscii" w:cstheme="minorAscii"/>
          <w:sz w:val="22"/>
          <w:szCs w:val="22"/>
        </w:rPr>
        <w:t xml:space="preserve">dditionally, NPV considers all cash flows over the life of a project, providing a comprehensive measure of profitability. This contrasts with non-discounting methods, which often ignore longer-term </w:t>
      </w:r>
      <w:r w:rsidRPr="37E63DBD" w:rsidR="35ABFA25">
        <w:rPr>
          <w:rFonts w:ascii="Arial" w:hAnsi="Arial" w:eastAsia="Arial" w:cs="Arial" w:asciiTheme="minorAscii" w:hAnsiTheme="minorAscii" w:eastAsiaTheme="minorAscii" w:cstheme="minorAscii"/>
          <w:sz w:val="22"/>
          <w:szCs w:val="22"/>
        </w:rPr>
        <w:t>benefits</w:t>
      </w:r>
      <w:r w:rsidRPr="37E63DBD" w:rsidR="31DD0809">
        <w:rPr>
          <w:rFonts w:ascii="Arial" w:hAnsi="Arial" w:eastAsia="Arial" w:cs="Arial" w:asciiTheme="minorAscii" w:hAnsiTheme="minorAscii" w:eastAsiaTheme="minorAscii" w:cstheme="minorAscii"/>
          <w:sz w:val="22"/>
          <w:szCs w:val="22"/>
        </w:rPr>
        <w:t xml:space="preserve"> (</w:t>
      </w:r>
      <w:r w:rsidRPr="37E63DBD" w:rsidR="31DD0809">
        <w:rPr>
          <w:rFonts w:ascii="Arial" w:hAnsi="Arial" w:eastAsia="Arial" w:cs="Arial" w:asciiTheme="minorAscii" w:hAnsiTheme="minorAscii" w:eastAsiaTheme="minorAscii" w:cstheme="minorAscii"/>
          <w:sz w:val="22"/>
          <w:szCs w:val="22"/>
        </w:rPr>
        <w:t>Singh</w:t>
      </w:r>
      <w:r w:rsidRPr="37E63DBD" w:rsidR="7A723C1D">
        <w:rPr>
          <w:rFonts w:ascii="Arial" w:hAnsi="Arial" w:eastAsia="Arial" w:cs="Arial" w:asciiTheme="minorAscii" w:hAnsiTheme="minorAscii" w:eastAsiaTheme="minorAscii" w:cstheme="minorAscii"/>
          <w:sz w:val="22"/>
          <w:szCs w:val="22"/>
        </w:rPr>
        <w:t>, Jain &amp; Yadav, 2012</w:t>
      </w:r>
      <w:r w:rsidRPr="37E63DBD" w:rsidR="31DD0809">
        <w:rPr>
          <w:rFonts w:ascii="Arial" w:hAnsi="Arial" w:eastAsia="Arial" w:cs="Arial" w:asciiTheme="minorAscii" w:hAnsiTheme="minorAscii" w:eastAsiaTheme="minorAscii" w:cstheme="minorAscii"/>
          <w:sz w:val="22"/>
          <w:szCs w:val="22"/>
        </w:rPr>
        <w:t>)</w:t>
      </w:r>
    </w:p>
    <w:p xmlns:wp14="http://schemas.microsoft.com/office/word/2010/wordml" w:rsidP="37E63DBD" wp14:paraId="67657FDD" wp14:textId="0EF59DFF">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5CF0947D">
        <w:rPr>
          <w:rFonts w:ascii="Arial" w:hAnsi="Arial" w:eastAsia="Arial" w:cs="Arial" w:asciiTheme="minorAscii" w:hAnsiTheme="minorAscii" w:eastAsiaTheme="minorAscii" w:cstheme="minorAscii"/>
          <w:b w:val="1"/>
          <w:bCs w:val="1"/>
          <w:sz w:val="22"/>
          <w:szCs w:val="22"/>
        </w:rPr>
        <w:t>3</w:t>
      </w:r>
      <w:r w:rsidRPr="37E63DBD" w:rsidR="31DD0809">
        <w:rPr>
          <w:rFonts w:ascii="Arial" w:hAnsi="Arial" w:eastAsia="Arial" w:cs="Arial" w:asciiTheme="minorAscii" w:hAnsiTheme="minorAscii" w:eastAsiaTheme="minorAscii" w:cstheme="minorAscii"/>
          <w:b w:val="1"/>
          <w:bCs w:val="1"/>
          <w:sz w:val="22"/>
          <w:szCs w:val="22"/>
        </w:rPr>
        <w:t>.1 Continued Use of Non-Discounting Techniques</w:t>
      </w:r>
    </w:p>
    <w:p xmlns:wp14="http://schemas.microsoft.com/office/word/2010/wordml" w:rsidP="37E63DBD" wp14:paraId="6AECD5BF" wp14:textId="731A4451">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31DD0809">
        <w:rPr>
          <w:rFonts w:ascii="Arial" w:hAnsi="Arial" w:eastAsia="Arial" w:cs="Arial" w:asciiTheme="minorAscii" w:hAnsiTheme="minorAscii" w:eastAsiaTheme="minorAscii" w:cstheme="minorAscii"/>
          <w:sz w:val="22"/>
          <w:szCs w:val="22"/>
        </w:rPr>
        <w:t>Despite its advantages, non-discounting methods such as Payback Period and</w:t>
      </w:r>
      <w:r w:rsidRPr="37E63DBD" w:rsidR="2F75876B">
        <w:rPr>
          <w:rFonts w:ascii="Arial" w:hAnsi="Arial" w:eastAsia="Arial" w:cs="Arial" w:asciiTheme="minorAscii" w:hAnsiTheme="minorAscii" w:eastAsiaTheme="minorAscii" w:cstheme="minorAscii"/>
          <w:sz w:val="22"/>
          <w:szCs w:val="22"/>
        </w:rPr>
        <w:t xml:space="preserve"> Accounting Rate of Return</w:t>
      </w:r>
      <w:r w:rsidRPr="37E63DBD" w:rsidR="31DD0809">
        <w:rPr>
          <w:rFonts w:ascii="Arial" w:hAnsi="Arial" w:eastAsia="Arial" w:cs="Arial" w:asciiTheme="minorAscii" w:hAnsiTheme="minorAscii" w:eastAsiaTheme="minorAscii" w:cstheme="minorAscii"/>
          <w:sz w:val="22"/>
          <w:szCs w:val="22"/>
        </w:rPr>
        <w:t xml:space="preserve"> ARR remain widely used in practice. One reason for this is their simplicit</w:t>
      </w:r>
      <w:r w:rsidRPr="37E63DBD" w:rsidR="31DD0809">
        <w:rPr>
          <w:rFonts w:ascii="Arial" w:hAnsi="Arial" w:eastAsia="Arial" w:cs="Arial" w:asciiTheme="minorAscii" w:hAnsiTheme="minorAscii" w:eastAsiaTheme="minorAscii" w:cstheme="minorAscii"/>
          <w:sz w:val="22"/>
          <w:szCs w:val="22"/>
        </w:rPr>
        <w:t xml:space="preserve">y and ease of </w:t>
      </w:r>
      <w:r w:rsidRPr="37E63DBD" w:rsidR="01B3B55E">
        <w:rPr>
          <w:rFonts w:ascii="Arial" w:hAnsi="Arial" w:eastAsia="Arial" w:cs="Arial" w:asciiTheme="minorAscii" w:hAnsiTheme="minorAscii" w:eastAsiaTheme="minorAscii" w:cstheme="minorAscii"/>
          <w:sz w:val="22"/>
          <w:szCs w:val="22"/>
        </w:rPr>
        <w:t>interpretation</w:t>
      </w:r>
      <w:r w:rsidRPr="37E63DBD" w:rsidR="31DD0809">
        <w:rPr>
          <w:rFonts w:ascii="Arial" w:hAnsi="Arial" w:eastAsia="Arial" w:cs="Arial" w:asciiTheme="minorAscii" w:hAnsiTheme="minorAscii" w:eastAsiaTheme="minorAscii" w:cstheme="minorAscii"/>
          <w:sz w:val="22"/>
          <w:szCs w:val="22"/>
        </w:rPr>
        <w:t>, which makes them attractive to managers without advan</w:t>
      </w:r>
      <w:r w:rsidRPr="37E63DBD" w:rsidR="31DD0809">
        <w:rPr>
          <w:rFonts w:ascii="Arial" w:hAnsi="Arial" w:eastAsia="Arial" w:cs="Arial" w:asciiTheme="minorAscii" w:hAnsiTheme="minorAscii" w:eastAsiaTheme="minorAscii" w:cstheme="minorAscii"/>
          <w:sz w:val="22"/>
          <w:szCs w:val="22"/>
        </w:rPr>
        <w:t>ced finan</w:t>
      </w:r>
      <w:r w:rsidRPr="37E63DBD" w:rsidR="31DD0809">
        <w:rPr>
          <w:rFonts w:ascii="Arial" w:hAnsi="Arial" w:eastAsia="Arial" w:cs="Arial" w:asciiTheme="minorAscii" w:hAnsiTheme="minorAscii" w:eastAsiaTheme="minorAscii" w:cstheme="minorAscii"/>
          <w:sz w:val="22"/>
          <w:szCs w:val="22"/>
        </w:rPr>
        <w:t xml:space="preserve">cial </w:t>
      </w:r>
      <w:r w:rsidRPr="37E63DBD" w:rsidR="31DD0809">
        <w:rPr>
          <w:rFonts w:ascii="Arial" w:hAnsi="Arial" w:eastAsia="Arial" w:cs="Arial" w:asciiTheme="minorAscii" w:hAnsiTheme="minorAscii" w:eastAsiaTheme="minorAscii" w:cstheme="minorAscii"/>
          <w:sz w:val="22"/>
          <w:szCs w:val="22"/>
        </w:rPr>
        <w:t>expertise</w:t>
      </w:r>
      <w:r w:rsidRPr="37E63DBD" w:rsidR="31DD0809">
        <w:rPr>
          <w:rFonts w:ascii="Arial" w:hAnsi="Arial" w:eastAsia="Arial" w:cs="Arial" w:asciiTheme="minorAscii" w:hAnsiTheme="minorAscii" w:eastAsiaTheme="minorAscii" w:cstheme="minorAscii"/>
          <w:sz w:val="22"/>
          <w:szCs w:val="22"/>
        </w:rPr>
        <w:t xml:space="preserve"> (</w:t>
      </w:r>
      <w:r w:rsidRPr="37E63DBD" w:rsidR="3C84A04E">
        <w:rPr>
          <w:rFonts w:ascii="Arial" w:hAnsi="Arial" w:eastAsia="Arial" w:cs="Arial" w:asciiTheme="minorAscii" w:hAnsiTheme="minorAscii" w:eastAsiaTheme="minorAscii" w:cstheme="minorAscii"/>
          <w:sz w:val="22"/>
          <w:szCs w:val="22"/>
        </w:rPr>
        <w:t>Bennouna</w:t>
      </w:r>
      <w:r w:rsidRPr="37E63DBD" w:rsidR="7D1B448C">
        <w:rPr>
          <w:rFonts w:ascii="Arial" w:hAnsi="Arial" w:eastAsia="Arial" w:cs="Arial" w:asciiTheme="minorAscii" w:hAnsiTheme="minorAscii" w:eastAsiaTheme="minorAscii" w:cstheme="minorAscii"/>
          <w:sz w:val="22"/>
          <w:szCs w:val="22"/>
        </w:rPr>
        <w:t>, Meredith &amp; Marchant, 2010</w:t>
      </w:r>
      <w:r w:rsidRPr="37E63DBD" w:rsidR="3C84A04E">
        <w:rPr>
          <w:rFonts w:ascii="Arial" w:hAnsi="Arial" w:eastAsia="Arial" w:cs="Arial" w:asciiTheme="minorAscii" w:hAnsiTheme="minorAscii" w:eastAsiaTheme="minorAscii" w:cstheme="minorAscii"/>
          <w:sz w:val="22"/>
          <w:szCs w:val="22"/>
        </w:rPr>
        <w:t>)</w:t>
      </w:r>
    </w:p>
    <w:p xmlns:wp14="http://schemas.microsoft.com/office/word/2010/wordml" w:rsidP="37E63DBD" wp14:paraId="2F9F7362" wp14:textId="0FB9388A">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15131EE3">
        <w:rPr>
          <w:rFonts w:ascii="Arial" w:hAnsi="Arial" w:eastAsia="Arial" w:cs="Arial" w:asciiTheme="minorAscii" w:hAnsiTheme="minorAscii" w:eastAsiaTheme="minorAscii" w:cstheme="minorAscii"/>
          <w:sz w:val="22"/>
          <w:szCs w:val="22"/>
        </w:rPr>
        <w:t>Payback</w:t>
      </w:r>
      <w:r w:rsidRPr="37E63DBD" w:rsidR="15131EE3">
        <w:rPr>
          <w:rFonts w:ascii="Arial" w:hAnsi="Arial" w:eastAsia="Arial" w:cs="Arial" w:asciiTheme="minorAscii" w:hAnsiTheme="minorAscii" w:eastAsiaTheme="minorAscii" w:cstheme="minorAscii"/>
          <w:sz w:val="22"/>
          <w:szCs w:val="22"/>
        </w:rPr>
        <w:t xml:space="preserve"> Period is particularly valued for its focus on liquidity and risk, as it </w:t>
      </w:r>
      <w:r w:rsidRPr="37E63DBD" w:rsidR="15131EE3">
        <w:rPr>
          <w:rFonts w:ascii="Arial" w:hAnsi="Arial" w:eastAsia="Arial" w:cs="Arial" w:asciiTheme="minorAscii" w:hAnsiTheme="minorAscii" w:eastAsiaTheme="minorAscii" w:cstheme="minorAscii"/>
          <w:sz w:val="22"/>
          <w:szCs w:val="22"/>
        </w:rPr>
        <w:t>indicates</w:t>
      </w:r>
      <w:r w:rsidRPr="37E63DBD" w:rsidR="15131EE3">
        <w:rPr>
          <w:rFonts w:ascii="Arial" w:hAnsi="Arial" w:eastAsia="Arial" w:cs="Arial" w:asciiTheme="minorAscii" w:hAnsiTheme="minorAscii" w:eastAsiaTheme="minorAscii" w:cstheme="minorAscii"/>
          <w:sz w:val="22"/>
          <w:szCs w:val="22"/>
        </w:rPr>
        <w:t xml:space="preserve"> how</w:t>
      </w:r>
      <w:r w:rsidRPr="37E63DBD" w:rsidR="15131EE3">
        <w:rPr>
          <w:rFonts w:ascii="Arial" w:hAnsi="Arial" w:eastAsia="Arial" w:cs="Arial" w:asciiTheme="minorAscii" w:hAnsiTheme="minorAscii" w:eastAsiaTheme="minorAscii" w:cstheme="minorAscii"/>
          <w:sz w:val="22"/>
          <w:szCs w:val="22"/>
        </w:rPr>
        <w:t xml:space="preserve"> quick</w:t>
      </w:r>
      <w:r w:rsidRPr="37E63DBD" w:rsidR="15131EE3">
        <w:rPr>
          <w:rFonts w:ascii="Arial" w:hAnsi="Arial" w:eastAsia="Arial" w:cs="Arial" w:asciiTheme="minorAscii" w:hAnsiTheme="minorAscii" w:eastAsiaTheme="minorAscii" w:cstheme="minorAscii"/>
          <w:sz w:val="22"/>
          <w:szCs w:val="22"/>
        </w:rPr>
        <w:t>ly an investment can be recovered. This can be useful in uncertain environments where firms prioritise short-</w:t>
      </w:r>
      <w:r w:rsidRPr="37E63DBD" w:rsidR="15131EE3">
        <w:rPr>
          <w:rFonts w:ascii="Arial" w:hAnsi="Arial" w:eastAsia="Arial" w:cs="Arial" w:asciiTheme="minorAscii" w:hAnsiTheme="minorAscii" w:eastAsiaTheme="minorAscii" w:cstheme="minorAscii"/>
          <w:sz w:val="22"/>
          <w:szCs w:val="22"/>
        </w:rPr>
        <w:t>term cash</w:t>
      </w:r>
      <w:r w:rsidRPr="37E63DBD" w:rsidR="15131EE3">
        <w:rPr>
          <w:rFonts w:ascii="Arial" w:hAnsi="Arial" w:eastAsia="Arial" w:cs="Arial" w:asciiTheme="minorAscii" w:hAnsiTheme="minorAscii" w:eastAsiaTheme="minorAscii" w:cstheme="minorAscii"/>
          <w:sz w:val="22"/>
          <w:szCs w:val="22"/>
        </w:rPr>
        <w:t xml:space="preserve"> flow stability (</w:t>
      </w:r>
      <w:r w:rsidRPr="37E63DBD" w:rsidR="15131EE3">
        <w:rPr>
          <w:rFonts w:ascii="Arial" w:hAnsi="Arial" w:eastAsia="Arial" w:cs="Arial" w:asciiTheme="minorAscii" w:hAnsiTheme="minorAscii" w:eastAsiaTheme="minorAscii" w:cstheme="minorAscii"/>
          <w:sz w:val="22"/>
          <w:szCs w:val="22"/>
        </w:rPr>
        <w:t>Alkaraan</w:t>
      </w:r>
      <w:r w:rsidRPr="37E63DBD" w:rsidR="46FDF6B2">
        <w:rPr>
          <w:rFonts w:ascii="Arial" w:hAnsi="Arial" w:eastAsia="Arial" w:cs="Arial" w:asciiTheme="minorAscii" w:hAnsiTheme="minorAscii" w:eastAsiaTheme="minorAscii" w:cstheme="minorAscii"/>
          <w:sz w:val="22"/>
          <w:szCs w:val="22"/>
        </w:rPr>
        <w:t>, 2020</w:t>
      </w:r>
      <w:r w:rsidRPr="37E63DBD" w:rsidR="15131EE3">
        <w:rPr>
          <w:rFonts w:ascii="Arial" w:hAnsi="Arial" w:eastAsia="Arial" w:cs="Arial" w:asciiTheme="minorAscii" w:hAnsiTheme="minorAscii" w:eastAsiaTheme="minorAscii" w:cstheme="minorAscii"/>
          <w:sz w:val="22"/>
          <w:szCs w:val="22"/>
        </w:rPr>
        <w:t>)</w:t>
      </w:r>
      <w:r w:rsidRPr="37E63DBD" w:rsidR="0803E245">
        <w:rPr>
          <w:rFonts w:ascii="Arial" w:hAnsi="Arial" w:eastAsia="Arial" w:cs="Arial" w:asciiTheme="minorAscii" w:hAnsiTheme="minorAscii" w:eastAsiaTheme="minorAscii" w:cstheme="minorAscii"/>
          <w:sz w:val="22"/>
          <w:szCs w:val="22"/>
        </w:rPr>
        <w:t xml:space="preserve"> Project C </w:t>
      </w:r>
      <w:r w:rsidRPr="37E63DBD" w:rsidR="0803E245">
        <w:rPr>
          <w:rFonts w:ascii="Arial" w:hAnsi="Arial" w:eastAsia="Arial" w:cs="Arial" w:asciiTheme="minorAscii" w:hAnsiTheme="minorAscii" w:eastAsiaTheme="minorAscii" w:cstheme="minorAscii"/>
          <w:sz w:val="22"/>
          <w:szCs w:val="22"/>
        </w:rPr>
        <w:t>demonstrates</w:t>
      </w:r>
      <w:r w:rsidRPr="37E63DBD" w:rsidR="0803E245">
        <w:rPr>
          <w:rFonts w:ascii="Arial" w:hAnsi="Arial" w:eastAsia="Arial" w:cs="Arial" w:asciiTheme="minorAscii" w:hAnsiTheme="minorAscii" w:eastAsiaTheme="minorAscii" w:cstheme="minorAscii"/>
          <w:sz w:val="22"/>
          <w:szCs w:val="22"/>
        </w:rPr>
        <w:t xml:space="preserve"> a Payback Period of approximately 3.09 years (</w:t>
      </w:r>
      <w:r w:rsidRPr="37E63DBD" w:rsidR="208F318E">
        <w:rPr>
          <w:rFonts w:ascii="Arial" w:hAnsi="Arial" w:eastAsia="Arial" w:cs="Arial" w:asciiTheme="minorAscii" w:hAnsiTheme="minorAscii" w:eastAsiaTheme="minorAscii" w:cstheme="minorAscii"/>
          <w:sz w:val="22"/>
          <w:szCs w:val="22"/>
        </w:rPr>
        <w:t>Appendix 31</w:t>
      </w:r>
      <w:r w:rsidRPr="37E63DBD" w:rsidR="0803E245">
        <w:rPr>
          <w:rFonts w:ascii="Arial" w:hAnsi="Arial" w:eastAsia="Arial" w:cs="Arial" w:asciiTheme="minorAscii" w:hAnsiTheme="minorAscii" w:eastAsiaTheme="minorAscii" w:cstheme="minorAscii"/>
          <w:sz w:val="22"/>
          <w:szCs w:val="22"/>
        </w:rPr>
        <w:t xml:space="preserve">), which may be considered acceptable depending on the organisation’s liquidity preferences and risk tolerance. </w:t>
      </w:r>
    </w:p>
    <w:p xmlns:wp14="http://schemas.microsoft.com/office/word/2010/wordml" w:rsidP="37E63DBD" wp14:paraId="20D94E90" wp14:textId="0CFE0F05">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15131EE3">
        <w:rPr>
          <w:rFonts w:ascii="Arial" w:hAnsi="Arial" w:eastAsia="Arial" w:cs="Arial" w:asciiTheme="minorAscii" w:hAnsiTheme="minorAscii" w:eastAsiaTheme="minorAscii" w:cstheme="minorAscii"/>
          <w:sz w:val="22"/>
          <w:szCs w:val="22"/>
        </w:rPr>
        <w:t>ARR on the other hand, is based on accounting profit and aligns with financial reporting systems, making it easier t</w:t>
      </w:r>
      <w:r w:rsidRPr="37E63DBD" w:rsidR="1ECFEFA5">
        <w:rPr>
          <w:rFonts w:ascii="Arial" w:hAnsi="Arial" w:eastAsia="Arial" w:cs="Arial" w:asciiTheme="minorAscii" w:hAnsiTheme="minorAscii" w:eastAsiaTheme="minorAscii" w:cstheme="minorAscii"/>
          <w:sz w:val="22"/>
          <w:szCs w:val="22"/>
        </w:rPr>
        <w:t>o</w:t>
      </w:r>
      <w:r w:rsidRPr="37E63DBD" w:rsidR="15131EE3">
        <w:rPr>
          <w:rFonts w:ascii="Arial" w:hAnsi="Arial" w:eastAsia="Arial" w:cs="Arial" w:asciiTheme="minorAscii" w:hAnsiTheme="minorAscii" w:eastAsiaTheme="minorAscii" w:cstheme="minorAscii"/>
          <w:sz w:val="22"/>
          <w:szCs w:val="22"/>
        </w:rPr>
        <w:t xml:space="preserve"> </w:t>
      </w:r>
      <w:r w:rsidRPr="37E63DBD" w:rsidR="23E6FA8D">
        <w:rPr>
          <w:rFonts w:ascii="Arial" w:hAnsi="Arial" w:eastAsia="Arial" w:cs="Arial" w:asciiTheme="minorAscii" w:hAnsiTheme="minorAscii" w:eastAsiaTheme="minorAscii" w:cstheme="minorAscii"/>
          <w:sz w:val="22"/>
          <w:szCs w:val="22"/>
        </w:rPr>
        <w:t>i</w:t>
      </w:r>
      <w:r w:rsidRPr="37E63DBD" w:rsidR="15131EE3">
        <w:rPr>
          <w:rFonts w:ascii="Arial" w:hAnsi="Arial" w:eastAsia="Arial" w:cs="Arial" w:asciiTheme="minorAscii" w:hAnsiTheme="minorAscii" w:eastAsiaTheme="minorAscii" w:cstheme="minorAscii"/>
          <w:sz w:val="22"/>
          <w:szCs w:val="22"/>
        </w:rPr>
        <w:t>ntegrate</w:t>
      </w:r>
      <w:r w:rsidRPr="37E63DBD" w:rsidR="15131EE3">
        <w:rPr>
          <w:rFonts w:ascii="Arial" w:hAnsi="Arial" w:eastAsia="Arial" w:cs="Arial" w:asciiTheme="minorAscii" w:hAnsiTheme="minorAscii" w:eastAsiaTheme="minorAscii" w:cstheme="minorAscii"/>
          <w:sz w:val="22"/>
          <w:szCs w:val="22"/>
        </w:rPr>
        <w:t xml:space="preserve"> into performance evaluation processes (</w:t>
      </w:r>
      <w:r w:rsidRPr="37E63DBD" w:rsidR="3833B246">
        <w:rPr>
          <w:rFonts w:ascii="Arial" w:hAnsi="Arial" w:eastAsia="Arial" w:cs="Arial" w:asciiTheme="minorAscii" w:hAnsiTheme="minorAscii" w:eastAsiaTheme="minorAscii" w:cstheme="minorAscii"/>
          <w:sz w:val="22"/>
          <w:szCs w:val="22"/>
        </w:rPr>
        <w:t>Atrill &amp; McLaney, 2015)</w:t>
      </w:r>
      <w:r w:rsidRPr="37E63DBD" w:rsidR="15131EE3">
        <w:rPr>
          <w:rFonts w:ascii="Arial" w:hAnsi="Arial" w:eastAsia="Arial" w:cs="Arial" w:asciiTheme="minorAscii" w:hAnsiTheme="minorAscii" w:eastAsiaTheme="minorAscii" w:cstheme="minorAscii"/>
          <w:sz w:val="22"/>
          <w:szCs w:val="22"/>
        </w:rPr>
        <w:t xml:space="preserve">. </w:t>
      </w:r>
      <w:r w:rsidRPr="37E63DBD" w:rsidR="3534200D">
        <w:rPr>
          <w:rFonts w:ascii="Arial" w:hAnsi="Arial" w:eastAsia="Arial" w:cs="Arial" w:asciiTheme="minorAscii" w:hAnsiTheme="minorAscii" w:eastAsiaTheme="minorAscii" w:cstheme="minorAscii"/>
          <w:sz w:val="22"/>
          <w:szCs w:val="22"/>
        </w:rPr>
        <w:t xml:space="preserve">For Project C, the ARR is calculated at approximately </w:t>
      </w:r>
      <w:r w:rsidRPr="37E63DBD" w:rsidR="03FB686C">
        <w:rPr>
          <w:rFonts w:ascii="Arial" w:hAnsi="Arial" w:eastAsia="Arial" w:cs="Arial" w:asciiTheme="minorAscii" w:hAnsiTheme="minorAscii" w:eastAsiaTheme="minorAscii" w:cstheme="minorAscii"/>
          <w:sz w:val="22"/>
          <w:szCs w:val="22"/>
        </w:rPr>
        <w:t>7.31%</w:t>
      </w:r>
      <w:r w:rsidRPr="37E63DBD" w:rsidR="629B07DC">
        <w:rPr>
          <w:rFonts w:ascii="Arial" w:hAnsi="Arial" w:eastAsia="Arial" w:cs="Arial" w:asciiTheme="minorAscii" w:hAnsiTheme="minorAscii" w:eastAsiaTheme="minorAscii" w:cstheme="minorAscii"/>
          <w:sz w:val="22"/>
          <w:szCs w:val="22"/>
        </w:rPr>
        <w:t xml:space="preserve"> (</w:t>
      </w:r>
      <w:r w:rsidRPr="37E63DBD" w:rsidR="12987BA8">
        <w:rPr>
          <w:rFonts w:ascii="Arial" w:hAnsi="Arial" w:eastAsia="Arial" w:cs="Arial" w:asciiTheme="minorAscii" w:hAnsiTheme="minorAscii" w:eastAsiaTheme="minorAscii" w:cstheme="minorAscii"/>
          <w:sz w:val="22"/>
          <w:szCs w:val="22"/>
        </w:rPr>
        <w:t>Appendix 32</w:t>
      </w:r>
      <w:r w:rsidRPr="37E63DBD" w:rsidR="629B07DC">
        <w:rPr>
          <w:rFonts w:ascii="Arial" w:hAnsi="Arial" w:eastAsia="Arial" w:cs="Arial" w:asciiTheme="minorAscii" w:hAnsiTheme="minorAscii" w:eastAsiaTheme="minorAscii" w:cstheme="minorAscii"/>
          <w:sz w:val="22"/>
          <w:szCs w:val="22"/>
        </w:rPr>
        <w:t>)</w:t>
      </w:r>
      <w:r w:rsidRPr="37E63DBD" w:rsidR="03FB686C">
        <w:rPr>
          <w:rFonts w:ascii="Arial" w:hAnsi="Arial" w:eastAsia="Arial" w:cs="Arial" w:asciiTheme="minorAscii" w:hAnsiTheme="minorAscii" w:eastAsiaTheme="minorAscii" w:cstheme="minorAscii"/>
          <w:sz w:val="22"/>
          <w:szCs w:val="22"/>
        </w:rPr>
        <w:t xml:space="preserve">, suggesting a moderate level of profitability when assessed using account-based measures. </w:t>
      </w:r>
    </w:p>
    <w:p xmlns:wp14="http://schemas.microsoft.com/office/word/2010/wordml" w:rsidP="37E63DBD" wp14:paraId="4AC97853" wp14:textId="2BDDD8F2">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15131EE3">
        <w:rPr>
          <w:rFonts w:ascii="Arial" w:hAnsi="Arial" w:eastAsia="Arial" w:cs="Arial" w:asciiTheme="minorAscii" w:hAnsiTheme="minorAscii" w:eastAsiaTheme="minorAscii" w:cstheme="minorAscii"/>
          <w:sz w:val="22"/>
          <w:szCs w:val="22"/>
        </w:rPr>
        <w:t xml:space="preserve">However, both methods have </w:t>
      </w:r>
      <w:r w:rsidRPr="37E63DBD" w:rsidR="5FE65591">
        <w:rPr>
          <w:rFonts w:ascii="Arial" w:hAnsi="Arial" w:eastAsia="Arial" w:cs="Arial" w:asciiTheme="minorAscii" w:hAnsiTheme="minorAscii" w:eastAsiaTheme="minorAscii" w:cstheme="minorAscii"/>
          <w:sz w:val="22"/>
          <w:szCs w:val="22"/>
        </w:rPr>
        <w:t>significant</w:t>
      </w:r>
      <w:r w:rsidRPr="37E63DBD" w:rsidR="15131EE3">
        <w:rPr>
          <w:rFonts w:ascii="Arial" w:hAnsi="Arial" w:eastAsia="Arial" w:cs="Arial" w:asciiTheme="minorAscii" w:hAnsiTheme="minorAscii" w:eastAsiaTheme="minorAscii" w:cstheme="minorAscii"/>
          <w:sz w:val="22"/>
          <w:szCs w:val="22"/>
        </w:rPr>
        <w:t xml:space="preserve"> limitations, including the failure to account for the time value of money and the potential to produce misleading results. </w:t>
      </w:r>
    </w:p>
    <w:p xmlns:wp14="http://schemas.microsoft.com/office/word/2010/wordml" w:rsidP="37E63DBD" wp14:paraId="05C50D4A" wp14:textId="0F7AD8A4">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1198FE87">
        <w:rPr>
          <w:rFonts w:ascii="Arial" w:hAnsi="Arial" w:eastAsia="Arial" w:cs="Arial" w:asciiTheme="minorAscii" w:hAnsiTheme="minorAscii" w:eastAsiaTheme="minorAscii" w:cstheme="minorAscii"/>
          <w:b w:val="1"/>
          <w:bCs w:val="1"/>
          <w:sz w:val="22"/>
          <w:szCs w:val="22"/>
        </w:rPr>
        <w:t>4.</w:t>
      </w:r>
      <w:r w:rsidRPr="37E63DBD" w:rsidR="4802B2D6">
        <w:rPr>
          <w:rFonts w:ascii="Arial" w:hAnsi="Arial" w:eastAsia="Arial" w:cs="Arial" w:asciiTheme="minorAscii" w:hAnsiTheme="minorAscii" w:eastAsiaTheme="minorAscii" w:cstheme="minorAscii"/>
          <w:b w:val="1"/>
          <w:bCs w:val="1"/>
          <w:sz w:val="22"/>
          <w:szCs w:val="22"/>
        </w:rPr>
        <w:t xml:space="preserve"> Capital Rationing and Optimal </w:t>
      </w:r>
      <w:r w:rsidRPr="37E63DBD" w:rsidR="1F8F9012">
        <w:rPr>
          <w:rFonts w:ascii="Arial" w:hAnsi="Arial" w:eastAsia="Arial" w:cs="Arial" w:asciiTheme="minorAscii" w:hAnsiTheme="minorAscii" w:eastAsiaTheme="minorAscii" w:cstheme="minorAscii"/>
          <w:b w:val="1"/>
          <w:bCs w:val="1"/>
          <w:sz w:val="22"/>
          <w:szCs w:val="22"/>
        </w:rPr>
        <w:t>Investment</w:t>
      </w:r>
      <w:r w:rsidRPr="37E63DBD" w:rsidR="4802B2D6">
        <w:rPr>
          <w:rFonts w:ascii="Arial" w:hAnsi="Arial" w:eastAsia="Arial" w:cs="Arial" w:asciiTheme="minorAscii" w:hAnsiTheme="minorAscii" w:eastAsiaTheme="minorAscii" w:cstheme="minorAscii"/>
          <w:b w:val="1"/>
          <w:bCs w:val="1"/>
          <w:sz w:val="22"/>
          <w:szCs w:val="22"/>
        </w:rPr>
        <w:t xml:space="preserve"> Policy</w:t>
      </w:r>
    </w:p>
    <w:p xmlns:wp14="http://schemas.microsoft.com/office/word/2010/wordml" w:rsidP="37E63DBD" wp14:paraId="7B6CC671" wp14:textId="1CB643F2">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5705E8D6">
        <w:rPr>
          <w:rFonts w:ascii="Arial" w:hAnsi="Arial" w:eastAsia="Arial" w:cs="Arial" w:asciiTheme="minorAscii" w:hAnsiTheme="minorAscii" w:eastAsiaTheme="minorAscii" w:cstheme="minorAscii"/>
          <w:b w:val="1"/>
          <w:bCs w:val="1"/>
          <w:sz w:val="22"/>
          <w:szCs w:val="22"/>
        </w:rPr>
        <w:t>4</w:t>
      </w:r>
      <w:r w:rsidRPr="37E63DBD" w:rsidR="4802B2D6">
        <w:rPr>
          <w:rFonts w:ascii="Arial" w:hAnsi="Arial" w:eastAsia="Arial" w:cs="Arial" w:asciiTheme="minorAscii" w:hAnsiTheme="minorAscii" w:eastAsiaTheme="minorAscii" w:cstheme="minorAscii"/>
          <w:b w:val="1"/>
          <w:bCs w:val="1"/>
          <w:sz w:val="22"/>
          <w:szCs w:val="22"/>
        </w:rPr>
        <w:t>.1 Capital Rationing Context</w:t>
      </w:r>
    </w:p>
    <w:p xmlns:wp14="http://schemas.microsoft.com/office/word/2010/wordml" w:rsidP="37E63DBD" wp14:paraId="21C890C2" wp14:textId="413D842F">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4802B2D6">
        <w:rPr>
          <w:rFonts w:ascii="Arial" w:hAnsi="Arial" w:eastAsia="Arial" w:cs="Arial" w:asciiTheme="minorAscii" w:hAnsiTheme="minorAscii" w:eastAsiaTheme="minorAscii" w:cstheme="minorAscii"/>
          <w:sz w:val="22"/>
          <w:szCs w:val="22"/>
        </w:rPr>
        <w:t xml:space="preserve">Beard Plc faces a capital </w:t>
      </w:r>
      <w:r w:rsidRPr="37E63DBD" w:rsidR="66A70B52">
        <w:rPr>
          <w:rFonts w:ascii="Arial" w:hAnsi="Arial" w:eastAsia="Arial" w:cs="Arial" w:asciiTheme="minorAscii" w:hAnsiTheme="minorAscii" w:eastAsiaTheme="minorAscii" w:cstheme="minorAscii"/>
          <w:sz w:val="22"/>
          <w:szCs w:val="22"/>
        </w:rPr>
        <w:t>constraint</w:t>
      </w:r>
      <w:r w:rsidRPr="37E63DBD" w:rsidR="4802B2D6">
        <w:rPr>
          <w:rFonts w:ascii="Arial" w:hAnsi="Arial" w:eastAsia="Arial" w:cs="Arial" w:asciiTheme="minorAscii" w:hAnsiTheme="minorAscii" w:eastAsiaTheme="minorAscii" w:cstheme="minorAscii"/>
          <w:sz w:val="22"/>
          <w:szCs w:val="22"/>
        </w:rPr>
        <w:t xml:space="preserve"> of £1.5 million, meaning it cannot undertake all available investment opportunities in full. In such situations, firms must </w:t>
      </w:r>
      <w:r w:rsidRPr="37E63DBD" w:rsidR="5647B03A">
        <w:rPr>
          <w:rFonts w:ascii="Arial" w:hAnsi="Arial" w:eastAsia="Arial" w:cs="Arial" w:asciiTheme="minorAscii" w:hAnsiTheme="minorAscii" w:eastAsiaTheme="minorAscii" w:cstheme="minorAscii"/>
          <w:sz w:val="22"/>
          <w:szCs w:val="22"/>
        </w:rPr>
        <w:t>prioritise</w:t>
      </w:r>
      <w:r w:rsidRPr="37E63DBD" w:rsidR="4802B2D6">
        <w:rPr>
          <w:rFonts w:ascii="Arial" w:hAnsi="Arial" w:eastAsia="Arial" w:cs="Arial" w:asciiTheme="minorAscii" w:hAnsiTheme="minorAscii" w:eastAsiaTheme="minorAscii" w:cstheme="minorAscii"/>
          <w:sz w:val="22"/>
          <w:szCs w:val="22"/>
        </w:rPr>
        <w:t xml:space="preserve"> projects that maximise value per unit of capital invested rather than simply selecting al projects with positive NPVs.</w:t>
      </w:r>
    </w:p>
    <w:p xmlns:wp14="http://schemas.microsoft.com/office/word/2010/wordml" w:rsidP="37E63DBD" wp14:paraId="04D7AF7A" wp14:textId="1A3E635E">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352B3B4E">
        <w:rPr>
          <w:rFonts w:ascii="Arial" w:hAnsi="Arial" w:eastAsia="Arial" w:cs="Arial" w:asciiTheme="minorAscii" w:hAnsiTheme="minorAscii" w:eastAsiaTheme="minorAscii" w:cstheme="minorAscii"/>
          <w:sz w:val="22"/>
          <w:szCs w:val="22"/>
        </w:rPr>
        <w:t xml:space="preserve">Capital rationing requires firms to </w:t>
      </w:r>
      <w:r w:rsidRPr="37E63DBD" w:rsidR="352B3B4E">
        <w:rPr>
          <w:rFonts w:ascii="Arial" w:hAnsi="Arial" w:eastAsia="Arial" w:cs="Arial" w:asciiTheme="minorAscii" w:hAnsiTheme="minorAscii" w:eastAsiaTheme="minorAscii" w:cstheme="minorAscii"/>
          <w:sz w:val="22"/>
          <w:szCs w:val="22"/>
        </w:rPr>
        <w:t>allocate</w:t>
      </w:r>
      <w:r w:rsidRPr="37E63DBD" w:rsidR="352B3B4E">
        <w:rPr>
          <w:rFonts w:ascii="Arial" w:hAnsi="Arial" w:eastAsia="Arial" w:cs="Arial" w:asciiTheme="minorAscii" w:hAnsiTheme="minorAscii" w:eastAsiaTheme="minorAscii" w:cstheme="minorAscii"/>
          <w:sz w:val="22"/>
          <w:szCs w:val="22"/>
        </w:rPr>
        <w:t xml:space="preserve"> sca</w:t>
      </w:r>
      <w:r w:rsidRPr="37E63DBD" w:rsidR="352B3B4E">
        <w:rPr>
          <w:rFonts w:ascii="Arial" w:hAnsi="Arial" w:eastAsia="Arial" w:cs="Arial" w:asciiTheme="minorAscii" w:hAnsiTheme="minorAscii" w:eastAsiaTheme="minorAscii" w:cstheme="minorAscii"/>
          <w:sz w:val="22"/>
          <w:szCs w:val="22"/>
        </w:rPr>
        <w:t>rce resour</w:t>
      </w:r>
      <w:r w:rsidRPr="37E63DBD" w:rsidR="352B3B4E">
        <w:rPr>
          <w:rFonts w:ascii="Arial" w:hAnsi="Arial" w:eastAsia="Arial" w:cs="Arial" w:asciiTheme="minorAscii" w:hAnsiTheme="minorAscii" w:eastAsiaTheme="minorAscii" w:cstheme="minorAscii"/>
          <w:sz w:val="22"/>
          <w:szCs w:val="22"/>
        </w:rPr>
        <w:t>ces efficiently, and recent empirical research suggests that firms often rely on profitability-based ranking methods such as the Profitability Index (PI) to guide investment selection under financial constraints (</w:t>
      </w:r>
      <w:r w:rsidRPr="37E63DBD" w:rsidR="7D36ECDC">
        <w:rPr>
          <w:rFonts w:ascii="Arial" w:hAnsi="Arial" w:eastAsia="Arial" w:cs="Arial" w:asciiTheme="minorAscii" w:hAnsiTheme="minorAscii" w:eastAsiaTheme="minorAscii" w:cstheme="minorAscii"/>
          <w:sz w:val="22"/>
          <w:szCs w:val="22"/>
        </w:rPr>
        <w:t>Manjunath &amp; Praveen, 2020</w:t>
      </w:r>
      <w:r w:rsidRPr="37E63DBD" w:rsidR="352B3B4E">
        <w:rPr>
          <w:rFonts w:ascii="Arial" w:hAnsi="Arial" w:eastAsia="Arial" w:cs="Arial" w:asciiTheme="minorAscii" w:hAnsiTheme="minorAscii" w:eastAsiaTheme="minorAscii" w:cstheme="minorAscii"/>
          <w:sz w:val="22"/>
          <w:szCs w:val="22"/>
        </w:rPr>
        <w:t>)</w:t>
      </w:r>
      <w:r w:rsidRPr="37E63DBD" w:rsidR="5FFA4477">
        <w:rPr>
          <w:rFonts w:ascii="Arial" w:hAnsi="Arial" w:eastAsia="Arial" w:cs="Arial" w:asciiTheme="minorAscii" w:hAnsiTheme="minorAscii" w:eastAsiaTheme="minorAscii" w:cstheme="minorAscii"/>
          <w:sz w:val="22"/>
          <w:szCs w:val="22"/>
        </w:rPr>
        <w:t>.</w:t>
      </w:r>
    </w:p>
    <w:p xmlns:wp14="http://schemas.microsoft.com/office/word/2010/wordml" w:rsidP="37E63DBD" wp14:paraId="186F2755" wp14:textId="53AC3BB1">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286C629F">
        <w:rPr>
          <w:rFonts w:ascii="Arial" w:hAnsi="Arial" w:eastAsia="Arial" w:cs="Arial" w:asciiTheme="minorAscii" w:hAnsiTheme="minorAscii" w:eastAsiaTheme="minorAscii" w:cstheme="minorAscii"/>
          <w:b w:val="1"/>
          <w:bCs w:val="1"/>
          <w:sz w:val="22"/>
          <w:szCs w:val="22"/>
        </w:rPr>
        <w:t>4</w:t>
      </w:r>
      <w:r w:rsidRPr="37E63DBD" w:rsidR="196485DA">
        <w:rPr>
          <w:rFonts w:ascii="Arial" w:hAnsi="Arial" w:eastAsia="Arial" w:cs="Arial" w:asciiTheme="minorAscii" w:hAnsiTheme="minorAscii" w:eastAsiaTheme="minorAscii" w:cstheme="minorAscii"/>
          <w:b w:val="1"/>
          <w:bCs w:val="1"/>
          <w:sz w:val="22"/>
          <w:szCs w:val="22"/>
        </w:rPr>
        <w:t xml:space="preserve">.2 </w:t>
      </w:r>
      <w:r w:rsidRPr="37E63DBD" w:rsidR="73EC6F08">
        <w:rPr>
          <w:rFonts w:ascii="Arial" w:hAnsi="Arial" w:eastAsia="Arial" w:cs="Arial" w:asciiTheme="minorAscii" w:hAnsiTheme="minorAscii" w:eastAsiaTheme="minorAscii" w:cstheme="minorAscii"/>
          <w:b w:val="1"/>
          <w:bCs w:val="1"/>
          <w:sz w:val="22"/>
          <w:szCs w:val="22"/>
        </w:rPr>
        <w:t>Profitability</w:t>
      </w:r>
      <w:r w:rsidRPr="37E63DBD" w:rsidR="196485DA">
        <w:rPr>
          <w:rFonts w:ascii="Arial" w:hAnsi="Arial" w:eastAsia="Arial" w:cs="Arial" w:asciiTheme="minorAscii" w:hAnsiTheme="minorAscii" w:eastAsiaTheme="minorAscii" w:cstheme="minorAscii"/>
          <w:b w:val="1"/>
          <w:bCs w:val="1"/>
          <w:sz w:val="22"/>
          <w:szCs w:val="22"/>
        </w:rPr>
        <w:t xml:space="preserve"> Index (PI) </w:t>
      </w:r>
      <w:r w:rsidRPr="37E63DBD" w:rsidR="2345BDF6">
        <w:rPr>
          <w:rFonts w:ascii="Arial" w:hAnsi="Arial" w:eastAsia="Arial" w:cs="Arial" w:asciiTheme="minorAscii" w:hAnsiTheme="minorAscii" w:eastAsiaTheme="minorAscii" w:cstheme="minorAscii"/>
          <w:b w:val="1"/>
          <w:bCs w:val="1"/>
          <w:sz w:val="22"/>
          <w:szCs w:val="22"/>
        </w:rPr>
        <w:t>Approach</w:t>
      </w:r>
    </w:p>
    <w:p xmlns:wp14="http://schemas.microsoft.com/office/word/2010/wordml" w:rsidP="37E63DBD" wp14:paraId="57C88CDB" wp14:textId="3D8F1725">
      <w:pPr>
        <w:spacing w:line="360" w:lineRule="auto"/>
        <w:jc w:val="both"/>
        <w:rPr>
          <w:rFonts w:ascii="Arial" w:hAnsi="Arial" w:eastAsia="Arial" w:cs="Arial" w:asciiTheme="minorAscii" w:hAnsiTheme="minorAscii" w:eastAsiaTheme="minorAscii" w:cstheme="minorAscii"/>
          <w:sz w:val="22"/>
          <w:szCs w:val="22"/>
        </w:rPr>
      </w:pPr>
      <w:r w:rsidRPr="37E63DBD" w:rsidR="6B01C5B2">
        <w:rPr>
          <w:rFonts w:ascii="Arial" w:hAnsi="Arial" w:eastAsia="Arial" w:cs="Arial" w:asciiTheme="minorAscii" w:hAnsiTheme="minorAscii" w:eastAsiaTheme="minorAscii" w:cstheme="minorAscii"/>
          <w:sz w:val="22"/>
          <w:szCs w:val="22"/>
        </w:rPr>
        <w:t>The PI for Project C provi</w:t>
      </w:r>
      <w:r w:rsidRPr="37E63DBD" w:rsidR="6B01C5B2">
        <w:rPr>
          <w:rFonts w:ascii="Arial" w:hAnsi="Arial" w:eastAsia="Arial" w:cs="Arial" w:asciiTheme="minorAscii" w:hAnsiTheme="minorAscii" w:eastAsiaTheme="minorAscii" w:cstheme="minorAscii"/>
          <w:sz w:val="22"/>
          <w:szCs w:val="22"/>
        </w:rPr>
        <w:t xml:space="preserve">des an </w:t>
      </w:r>
      <w:r w:rsidRPr="37E63DBD" w:rsidR="6B01C5B2">
        <w:rPr>
          <w:rFonts w:ascii="Arial" w:hAnsi="Arial" w:eastAsia="Arial" w:cs="Arial" w:asciiTheme="minorAscii" w:hAnsiTheme="minorAscii" w:eastAsiaTheme="minorAscii" w:cstheme="minorAscii"/>
          <w:sz w:val="22"/>
          <w:szCs w:val="22"/>
        </w:rPr>
        <w:t>ad</w:t>
      </w:r>
      <w:r w:rsidRPr="37E63DBD" w:rsidR="6B01C5B2">
        <w:rPr>
          <w:rFonts w:ascii="Arial" w:hAnsi="Arial" w:eastAsia="Arial" w:cs="Arial" w:asciiTheme="minorAscii" w:hAnsiTheme="minorAscii" w:eastAsiaTheme="minorAscii" w:cstheme="minorAscii"/>
          <w:sz w:val="22"/>
          <w:szCs w:val="22"/>
        </w:rPr>
        <w:t>ditional</w:t>
      </w:r>
      <w:r w:rsidRPr="37E63DBD" w:rsidR="6B01C5B2">
        <w:rPr>
          <w:rFonts w:ascii="Arial" w:hAnsi="Arial" w:eastAsia="Arial" w:cs="Arial" w:asciiTheme="minorAscii" w:hAnsiTheme="minorAscii" w:eastAsiaTheme="minorAscii" w:cstheme="minorAscii"/>
          <w:sz w:val="22"/>
          <w:szCs w:val="22"/>
        </w:rPr>
        <w:t xml:space="preserve"> measure of investment attractiveness by assessing the value </w:t>
      </w:r>
      <w:r w:rsidRPr="37E63DBD" w:rsidR="6EECE706">
        <w:rPr>
          <w:rFonts w:ascii="Arial" w:hAnsi="Arial" w:eastAsia="Arial" w:cs="Arial" w:asciiTheme="minorAscii" w:hAnsiTheme="minorAscii" w:eastAsiaTheme="minorAscii" w:cstheme="minorAscii"/>
          <w:sz w:val="22"/>
          <w:szCs w:val="22"/>
        </w:rPr>
        <w:t>generated</w:t>
      </w:r>
      <w:r w:rsidRPr="37E63DBD" w:rsidR="6B01C5B2">
        <w:rPr>
          <w:rFonts w:ascii="Arial" w:hAnsi="Arial" w:eastAsia="Arial" w:cs="Arial" w:asciiTheme="minorAscii" w:hAnsiTheme="minorAscii" w:eastAsiaTheme="minorAscii" w:cstheme="minorAscii"/>
          <w:sz w:val="22"/>
          <w:szCs w:val="22"/>
        </w:rPr>
        <w:t xml:space="preserve"> per unit of capital invested. It is particularly useful in capital rationing </w:t>
      </w:r>
      <w:r w:rsidRPr="37E63DBD" w:rsidR="26646489">
        <w:rPr>
          <w:rFonts w:ascii="Arial" w:hAnsi="Arial" w:eastAsia="Arial" w:cs="Arial" w:asciiTheme="minorAscii" w:hAnsiTheme="minorAscii" w:eastAsiaTheme="minorAscii" w:cstheme="minorAscii"/>
          <w:sz w:val="22"/>
          <w:szCs w:val="22"/>
        </w:rPr>
        <w:t>scenarios</w:t>
      </w:r>
      <w:r w:rsidRPr="37E63DBD" w:rsidR="6B01C5B2">
        <w:rPr>
          <w:rFonts w:ascii="Arial" w:hAnsi="Arial" w:eastAsia="Arial" w:cs="Arial" w:asciiTheme="minorAscii" w:hAnsiTheme="minorAscii" w:eastAsiaTheme="minorAscii" w:cstheme="minorAscii"/>
          <w:sz w:val="22"/>
          <w:szCs w:val="22"/>
        </w:rPr>
        <w:t xml:space="preserve">, as it allows for efficiency-based </w:t>
      </w:r>
      <w:r w:rsidRPr="37E63DBD" w:rsidR="6BEC0CED">
        <w:rPr>
          <w:rFonts w:ascii="Arial" w:hAnsi="Arial" w:eastAsia="Arial" w:cs="Arial" w:asciiTheme="minorAscii" w:hAnsiTheme="minorAscii" w:eastAsiaTheme="minorAscii" w:cstheme="minorAscii"/>
          <w:sz w:val="22"/>
          <w:szCs w:val="22"/>
        </w:rPr>
        <w:t>evaluation</w:t>
      </w:r>
      <w:r w:rsidRPr="37E63DBD" w:rsidR="6B01C5B2">
        <w:rPr>
          <w:rFonts w:ascii="Arial" w:hAnsi="Arial" w:eastAsia="Arial" w:cs="Arial" w:asciiTheme="minorAscii" w:hAnsiTheme="minorAscii" w:eastAsiaTheme="minorAscii" w:cstheme="minorAscii"/>
          <w:sz w:val="22"/>
          <w:szCs w:val="22"/>
        </w:rPr>
        <w:t xml:space="preserve"> rather than solely relying on NPV.</w:t>
      </w:r>
    </w:p>
    <w:p xmlns:wp14="http://schemas.microsoft.com/office/word/2010/wordml" w:rsidP="37E63DBD" wp14:paraId="447CCC9F" wp14:textId="3CE1C9D3">
      <w:pPr>
        <w:spacing w:line="360" w:lineRule="auto"/>
        <w:jc w:val="both"/>
        <w:rPr>
          <w:rFonts w:ascii="Arial" w:hAnsi="Arial" w:eastAsia="Arial" w:cs="Arial" w:asciiTheme="minorAscii" w:hAnsiTheme="minorAscii" w:eastAsiaTheme="minorAscii" w:cstheme="minorAscii"/>
          <w:sz w:val="22"/>
          <w:szCs w:val="22"/>
        </w:rPr>
      </w:pPr>
      <w:r w:rsidRPr="37E63DBD" w:rsidR="6B01C5B2">
        <w:rPr>
          <w:rFonts w:ascii="Arial" w:hAnsi="Arial" w:eastAsia="Arial" w:cs="Arial" w:asciiTheme="minorAscii" w:hAnsiTheme="minorAscii" w:eastAsiaTheme="minorAscii" w:cstheme="minorAscii"/>
          <w:sz w:val="22"/>
          <w:szCs w:val="22"/>
        </w:rPr>
        <w:t xml:space="preserve">For Project C, the PI exceeds 1 </w:t>
      </w:r>
      <w:r w:rsidRPr="37E63DBD" w:rsidR="6B01C5B2">
        <w:rPr>
          <w:rFonts w:ascii="Arial" w:hAnsi="Arial" w:eastAsia="Arial" w:cs="Arial" w:asciiTheme="minorAscii" w:hAnsiTheme="minorAscii" w:eastAsiaTheme="minorAscii" w:cstheme="minorAscii"/>
          <w:sz w:val="22"/>
          <w:szCs w:val="22"/>
        </w:rPr>
        <w:t>(</w:t>
      </w:r>
      <w:r w:rsidRPr="37E63DBD" w:rsidR="39CDFD3E">
        <w:rPr>
          <w:rFonts w:ascii="Arial" w:hAnsi="Arial" w:eastAsia="Arial" w:cs="Arial" w:asciiTheme="minorAscii" w:hAnsiTheme="minorAscii" w:eastAsiaTheme="minorAscii" w:cstheme="minorAscii"/>
          <w:sz w:val="22"/>
          <w:szCs w:val="22"/>
        </w:rPr>
        <w:t xml:space="preserve">Appendix </w:t>
      </w:r>
      <w:r w:rsidRPr="37E63DBD" w:rsidR="39CDFD3E">
        <w:rPr>
          <w:rFonts w:ascii="Arial" w:hAnsi="Arial" w:eastAsia="Arial" w:cs="Arial" w:asciiTheme="minorAscii" w:hAnsiTheme="minorAscii" w:eastAsiaTheme="minorAscii" w:cstheme="minorAscii"/>
          <w:sz w:val="22"/>
          <w:szCs w:val="22"/>
        </w:rPr>
        <w:t>33</w:t>
      </w:r>
      <w:r w:rsidRPr="37E63DBD" w:rsidR="6B01C5B2">
        <w:rPr>
          <w:rFonts w:ascii="Arial" w:hAnsi="Arial" w:eastAsia="Arial" w:cs="Arial" w:asciiTheme="minorAscii" w:hAnsiTheme="minorAscii" w:eastAsiaTheme="minorAscii" w:cstheme="minorAscii"/>
          <w:sz w:val="22"/>
          <w:szCs w:val="22"/>
        </w:rPr>
        <w:t xml:space="preserve">), </w:t>
      </w:r>
      <w:r w:rsidRPr="37E63DBD" w:rsidR="6B01C5B2">
        <w:rPr>
          <w:rFonts w:ascii="Arial" w:hAnsi="Arial" w:eastAsia="Arial" w:cs="Arial" w:asciiTheme="minorAscii" w:hAnsiTheme="minorAscii" w:eastAsiaTheme="minorAscii" w:cstheme="minorAscii"/>
          <w:sz w:val="22"/>
          <w:szCs w:val="22"/>
        </w:rPr>
        <w:t>indicat</w:t>
      </w:r>
      <w:r w:rsidRPr="37E63DBD" w:rsidR="6B01C5B2">
        <w:rPr>
          <w:rFonts w:ascii="Arial" w:hAnsi="Arial" w:eastAsia="Arial" w:cs="Arial" w:asciiTheme="minorAscii" w:hAnsiTheme="minorAscii" w:eastAsiaTheme="minorAscii" w:cstheme="minorAscii"/>
          <w:sz w:val="22"/>
          <w:szCs w:val="22"/>
        </w:rPr>
        <w:t>ing</w:t>
      </w:r>
      <w:r w:rsidRPr="37E63DBD" w:rsidR="6B01C5B2">
        <w:rPr>
          <w:rFonts w:ascii="Arial" w:hAnsi="Arial" w:eastAsia="Arial" w:cs="Arial" w:asciiTheme="minorAscii" w:hAnsiTheme="minorAscii" w:eastAsiaTheme="minorAscii" w:cstheme="minorAscii"/>
          <w:sz w:val="22"/>
          <w:szCs w:val="22"/>
        </w:rPr>
        <w:t xml:space="preserve"> that Project C is expected to create </w:t>
      </w:r>
      <w:r w:rsidRPr="37E63DBD" w:rsidR="6B01C5B2">
        <w:rPr>
          <w:rFonts w:ascii="Arial" w:hAnsi="Arial" w:eastAsia="Arial" w:cs="Arial" w:asciiTheme="minorAscii" w:hAnsiTheme="minorAscii" w:eastAsiaTheme="minorAscii" w:cstheme="minorAscii"/>
          <w:sz w:val="22"/>
          <w:szCs w:val="22"/>
        </w:rPr>
        <w:t>additional</w:t>
      </w:r>
      <w:r w:rsidRPr="37E63DBD" w:rsidR="6B01C5B2">
        <w:rPr>
          <w:rFonts w:ascii="Arial" w:hAnsi="Arial" w:eastAsia="Arial" w:cs="Arial" w:asciiTheme="minorAscii" w:hAnsiTheme="minorAscii" w:eastAsiaTheme="minorAscii" w:cstheme="minorAscii"/>
          <w:sz w:val="22"/>
          <w:szCs w:val="22"/>
        </w:rPr>
        <w:t xml:space="preserve"> value for each £1 invested, reinf</w:t>
      </w:r>
      <w:r w:rsidRPr="37E63DBD" w:rsidR="6B01C5B2">
        <w:rPr>
          <w:rFonts w:ascii="Arial" w:hAnsi="Arial" w:eastAsia="Arial" w:cs="Arial" w:asciiTheme="minorAscii" w:hAnsiTheme="minorAscii" w:eastAsiaTheme="minorAscii" w:cstheme="minorAscii"/>
          <w:sz w:val="22"/>
          <w:szCs w:val="22"/>
        </w:rPr>
        <w:t xml:space="preserve">orcing its </w:t>
      </w:r>
      <w:r w:rsidRPr="37E63DBD" w:rsidR="6B01C5B2">
        <w:rPr>
          <w:rFonts w:ascii="Arial" w:hAnsi="Arial" w:eastAsia="Arial" w:cs="Arial" w:asciiTheme="minorAscii" w:hAnsiTheme="minorAscii" w:eastAsiaTheme="minorAscii" w:cstheme="minorAscii"/>
          <w:sz w:val="22"/>
          <w:szCs w:val="22"/>
        </w:rPr>
        <w:t>e</w:t>
      </w:r>
      <w:r w:rsidRPr="37E63DBD" w:rsidR="6B01C5B2">
        <w:rPr>
          <w:rFonts w:ascii="Arial" w:hAnsi="Arial" w:eastAsia="Arial" w:cs="Arial" w:asciiTheme="minorAscii" w:hAnsiTheme="minorAscii" w:eastAsiaTheme="minorAscii" w:cstheme="minorAscii"/>
          <w:sz w:val="22"/>
          <w:szCs w:val="22"/>
        </w:rPr>
        <w:t>fficiency as a capital</w:t>
      </w:r>
      <w:r w:rsidRPr="37E63DBD" w:rsidR="6B01C5B2">
        <w:rPr>
          <w:rFonts w:ascii="Arial" w:hAnsi="Arial" w:eastAsia="Arial" w:cs="Arial" w:asciiTheme="minorAscii" w:hAnsiTheme="minorAscii" w:eastAsiaTheme="minorAscii" w:cstheme="minorAscii"/>
          <w:sz w:val="22"/>
          <w:szCs w:val="22"/>
        </w:rPr>
        <w:t xml:space="preserve"> allocation option. </w:t>
      </w:r>
      <w:r w:rsidRPr="37E63DBD" w:rsidR="4C590C48">
        <w:rPr>
          <w:rFonts w:ascii="Arial" w:hAnsi="Arial" w:eastAsia="Arial" w:cs="Arial" w:asciiTheme="minorAscii" w:hAnsiTheme="minorAscii" w:eastAsiaTheme="minorAscii" w:cstheme="minorAscii"/>
          <w:sz w:val="22"/>
          <w:szCs w:val="22"/>
        </w:rPr>
        <w:t>E</w:t>
      </w:r>
      <w:r w:rsidRPr="37E63DBD" w:rsidR="6B01C5B2">
        <w:rPr>
          <w:rFonts w:ascii="Arial" w:hAnsi="Arial" w:eastAsia="Arial" w:cs="Arial" w:asciiTheme="minorAscii" w:hAnsiTheme="minorAscii" w:eastAsiaTheme="minorAscii" w:cstheme="minorAscii"/>
          <w:sz w:val="22"/>
          <w:szCs w:val="22"/>
        </w:rPr>
        <w:t xml:space="preserve">mpirical research highlights that projects with higher PI </w:t>
      </w:r>
      <w:r w:rsidRPr="37E63DBD" w:rsidR="269113EC">
        <w:rPr>
          <w:rFonts w:ascii="Arial" w:hAnsi="Arial" w:eastAsia="Arial" w:cs="Arial" w:asciiTheme="minorAscii" w:hAnsiTheme="minorAscii" w:eastAsiaTheme="minorAscii" w:cstheme="minorAscii"/>
          <w:sz w:val="22"/>
          <w:szCs w:val="22"/>
        </w:rPr>
        <w:t>v</w:t>
      </w:r>
      <w:r w:rsidRPr="37E63DBD" w:rsidR="6B01C5B2">
        <w:rPr>
          <w:rFonts w:ascii="Arial" w:hAnsi="Arial" w:eastAsia="Arial" w:cs="Arial" w:asciiTheme="minorAscii" w:hAnsiTheme="minorAscii" w:eastAsiaTheme="minorAscii" w:cstheme="minorAscii"/>
          <w:sz w:val="22"/>
          <w:szCs w:val="22"/>
        </w:rPr>
        <w:t>alues are particularly attractive under capital constra</w:t>
      </w:r>
      <w:r w:rsidRPr="37E63DBD" w:rsidR="17BEAFAC">
        <w:rPr>
          <w:rFonts w:ascii="Arial" w:hAnsi="Arial" w:eastAsia="Arial" w:cs="Arial" w:asciiTheme="minorAscii" w:hAnsiTheme="minorAscii" w:eastAsiaTheme="minorAscii" w:cstheme="minorAscii"/>
          <w:sz w:val="22"/>
          <w:szCs w:val="22"/>
        </w:rPr>
        <w:t xml:space="preserve">ints, as they maximise value creation </w:t>
      </w:r>
      <w:r w:rsidRPr="37E63DBD" w:rsidR="0567F9FB">
        <w:rPr>
          <w:rFonts w:ascii="Arial" w:hAnsi="Arial" w:eastAsia="Arial" w:cs="Arial" w:asciiTheme="minorAscii" w:hAnsiTheme="minorAscii" w:eastAsiaTheme="minorAscii" w:cstheme="minorAscii"/>
          <w:sz w:val="22"/>
          <w:szCs w:val="22"/>
        </w:rPr>
        <w:t>relative</w:t>
      </w:r>
      <w:r w:rsidRPr="37E63DBD" w:rsidR="17BEAFAC">
        <w:rPr>
          <w:rFonts w:ascii="Arial" w:hAnsi="Arial" w:eastAsia="Arial" w:cs="Arial" w:asciiTheme="minorAscii" w:hAnsiTheme="minorAscii" w:eastAsiaTheme="minorAscii" w:cstheme="minorAscii"/>
          <w:sz w:val="22"/>
          <w:szCs w:val="22"/>
        </w:rPr>
        <w:t xml:space="preserve"> to resource usage (</w:t>
      </w:r>
      <w:r w:rsidRPr="37E63DBD" w:rsidR="2ABCDD2A">
        <w:rPr>
          <w:rFonts w:ascii="Arial" w:hAnsi="Arial" w:eastAsia="Arial" w:cs="Arial" w:asciiTheme="minorAscii" w:hAnsiTheme="minorAscii" w:eastAsiaTheme="minorAscii" w:cstheme="minorAscii"/>
          <w:sz w:val="22"/>
          <w:szCs w:val="22"/>
        </w:rPr>
        <w:t>Gurau, 2012</w:t>
      </w:r>
      <w:r w:rsidRPr="37E63DBD" w:rsidR="17BEAFAC">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5ABDF9A8" wp14:textId="3B6DED66">
      <w:pPr>
        <w:spacing w:line="360" w:lineRule="auto"/>
        <w:jc w:val="both"/>
        <w:rPr>
          <w:rFonts w:ascii="Arial" w:hAnsi="Arial" w:eastAsia="Arial" w:cs="Arial" w:asciiTheme="minorAscii" w:hAnsiTheme="minorAscii" w:eastAsiaTheme="minorAscii" w:cstheme="minorAscii"/>
          <w:sz w:val="22"/>
          <w:szCs w:val="22"/>
        </w:rPr>
      </w:pPr>
      <w:r w:rsidRPr="37E63DBD" w:rsidR="17813E79">
        <w:rPr>
          <w:rFonts w:ascii="Arial" w:hAnsi="Arial" w:eastAsia="Arial" w:cs="Arial" w:asciiTheme="minorAscii" w:hAnsiTheme="minorAscii" w:eastAsiaTheme="minorAscii" w:cstheme="minorAscii"/>
          <w:sz w:val="22"/>
          <w:szCs w:val="22"/>
        </w:rPr>
        <w:t xml:space="preserve">In </w:t>
      </w:r>
      <w:r w:rsidRPr="37E63DBD" w:rsidR="17BEAFAC">
        <w:rPr>
          <w:rFonts w:ascii="Arial" w:hAnsi="Arial" w:eastAsia="Arial" w:cs="Arial" w:asciiTheme="minorAscii" w:hAnsiTheme="minorAscii" w:eastAsiaTheme="minorAscii" w:cstheme="minorAscii"/>
          <w:sz w:val="22"/>
          <w:szCs w:val="22"/>
        </w:rPr>
        <w:t xml:space="preserve">the </w:t>
      </w:r>
      <w:r w:rsidRPr="37E63DBD" w:rsidR="72D2777A">
        <w:rPr>
          <w:rFonts w:ascii="Arial" w:hAnsi="Arial" w:eastAsia="Arial" w:cs="Arial" w:asciiTheme="minorAscii" w:hAnsiTheme="minorAscii" w:eastAsiaTheme="minorAscii" w:cstheme="minorAscii"/>
          <w:sz w:val="22"/>
          <w:szCs w:val="22"/>
        </w:rPr>
        <w:t>context</w:t>
      </w:r>
      <w:r w:rsidRPr="37E63DBD" w:rsidR="17BEAFAC">
        <w:rPr>
          <w:rFonts w:ascii="Arial" w:hAnsi="Arial" w:eastAsia="Arial" w:cs="Arial" w:asciiTheme="minorAscii" w:hAnsiTheme="minorAscii" w:eastAsiaTheme="minorAscii" w:cstheme="minorAscii"/>
          <w:sz w:val="22"/>
          <w:szCs w:val="22"/>
        </w:rPr>
        <w:t xml:space="preserve"> of Beard Plc’s investment appraisal, the strong PI for Project C further supports its </w:t>
      </w:r>
      <w:r w:rsidRPr="37E63DBD" w:rsidR="17BEAFAC">
        <w:rPr>
          <w:rFonts w:ascii="Arial" w:hAnsi="Arial" w:eastAsia="Arial" w:cs="Arial" w:asciiTheme="minorAscii" w:hAnsiTheme="minorAscii" w:eastAsiaTheme="minorAscii" w:cstheme="minorAscii"/>
          <w:sz w:val="22"/>
          <w:szCs w:val="22"/>
        </w:rPr>
        <w:t>se</w:t>
      </w:r>
      <w:r w:rsidRPr="37E63DBD" w:rsidR="17BEAFAC">
        <w:rPr>
          <w:rFonts w:ascii="Arial" w:hAnsi="Arial" w:eastAsia="Arial" w:cs="Arial" w:asciiTheme="minorAscii" w:hAnsiTheme="minorAscii" w:eastAsiaTheme="minorAscii" w:cstheme="minorAscii"/>
          <w:sz w:val="22"/>
          <w:szCs w:val="22"/>
        </w:rPr>
        <w:t>lection</w:t>
      </w:r>
      <w:r w:rsidRPr="37E63DBD" w:rsidR="17BEAFAC">
        <w:rPr>
          <w:rFonts w:ascii="Arial" w:hAnsi="Arial" w:eastAsia="Arial" w:cs="Arial" w:asciiTheme="minorAscii" w:hAnsiTheme="minorAscii" w:eastAsiaTheme="minorAscii" w:cstheme="minorAscii"/>
          <w:sz w:val="22"/>
          <w:szCs w:val="22"/>
        </w:rPr>
        <w:t xml:space="preserve"> as a priority investment, as it </w:t>
      </w:r>
      <w:r w:rsidRPr="37E63DBD" w:rsidR="17BEAFAC">
        <w:rPr>
          <w:rFonts w:ascii="Arial" w:hAnsi="Arial" w:eastAsia="Arial" w:cs="Arial" w:asciiTheme="minorAscii" w:hAnsiTheme="minorAscii" w:eastAsiaTheme="minorAscii" w:cstheme="minorAscii"/>
          <w:sz w:val="22"/>
          <w:szCs w:val="22"/>
        </w:rPr>
        <w:t>demonstrates</w:t>
      </w:r>
      <w:r w:rsidRPr="37E63DBD" w:rsidR="17BEAFAC">
        <w:rPr>
          <w:rFonts w:ascii="Arial" w:hAnsi="Arial" w:eastAsia="Arial" w:cs="Arial" w:asciiTheme="minorAscii" w:hAnsiTheme="minorAscii" w:eastAsiaTheme="minorAscii" w:cstheme="minorAscii"/>
          <w:sz w:val="22"/>
          <w:szCs w:val="22"/>
        </w:rPr>
        <w:t xml:space="preserve"> both absolute value creation (via NPV) and efficient capital utilisation. </w:t>
      </w:r>
    </w:p>
    <w:p xmlns:wp14="http://schemas.microsoft.com/office/word/2010/wordml" w:rsidP="37E63DBD" wp14:paraId="3DE429C2" wp14:textId="0BE680A4">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51D01935">
        <w:rPr>
          <w:rFonts w:ascii="Arial" w:hAnsi="Arial" w:eastAsia="Arial" w:cs="Arial" w:asciiTheme="minorAscii" w:hAnsiTheme="minorAscii" w:eastAsiaTheme="minorAscii" w:cstheme="minorAscii"/>
          <w:b w:val="1"/>
          <w:bCs w:val="1"/>
          <w:sz w:val="22"/>
          <w:szCs w:val="22"/>
        </w:rPr>
        <w:t>4</w:t>
      </w:r>
      <w:r w:rsidRPr="37E63DBD" w:rsidR="47911614">
        <w:rPr>
          <w:rFonts w:ascii="Arial" w:hAnsi="Arial" w:eastAsia="Arial" w:cs="Arial" w:asciiTheme="minorAscii" w:hAnsiTheme="minorAscii" w:eastAsiaTheme="minorAscii" w:cstheme="minorAscii"/>
          <w:b w:val="1"/>
          <w:bCs w:val="1"/>
          <w:sz w:val="22"/>
          <w:szCs w:val="22"/>
        </w:rPr>
        <w:t xml:space="preserve">.3 Investment </w:t>
      </w:r>
      <w:r w:rsidRPr="37E63DBD" w:rsidR="4A9309CD">
        <w:rPr>
          <w:rFonts w:ascii="Arial" w:hAnsi="Arial" w:eastAsia="Arial" w:cs="Arial" w:asciiTheme="minorAscii" w:hAnsiTheme="minorAscii" w:eastAsiaTheme="minorAscii" w:cstheme="minorAscii"/>
          <w:b w:val="1"/>
          <w:bCs w:val="1"/>
          <w:sz w:val="22"/>
          <w:szCs w:val="22"/>
        </w:rPr>
        <w:t>Prioritisation</w:t>
      </w:r>
    </w:p>
    <w:p xmlns:wp14="http://schemas.microsoft.com/office/word/2010/wordml" w:rsidP="37E63DBD" wp14:paraId="66115920" wp14:textId="6DA828DF">
      <w:pPr>
        <w:spacing w:line="360" w:lineRule="auto"/>
        <w:jc w:val="both"/>
        <w:rPr>
          <w:rFonts w:ascii="Arial" w:hAnsi="Arial" w:eastAsia="Arial" w:cs="Arial" w:asciiTheme="minorAscii" w:hAnsiTheme="minorAscii" w:eastAsiaTheme="minorAscii" w:cstheme="minorAscii"/>
          <w:sz w:val="22"/>
          <w:szCs w:val="22"/>
        </w:rPr>
      </w:pPr>
      <w:r w:rsidRPr="37E63DBD" w:rsidR="5D72729E">
        <w:rPr>
          <w:rFonts w:ascii="Arial" w:hAnsi="Arial" w:eastAsia="Arial" w:cs="Arial" w:asciiTheme="minorAscii" w:hAnsiTheme="minorAscii" w:eastAsiaTheme="minorAscii" w:cstheme="minorAscii"/>
          <w:sz w:val="22"/>
          <w:szCs w:val="22"/>
        </w:rPr>
        <w:t>B</w:t>
      </w:r>
      <w:r w:rsidRPr="37E63DBD" w:rsidR="47911614">
        <w:rPr>
          <w:rFonts w:ascii="Arial" w:hAnsi="Arial" w:eastAsia="Arial" w:cs="Arial" w:asciiTheme="minorAscii" w:hAnsiTheme="minorAscii" w:eastAsiaTheme="minorAscii" w:cstheme="minorAscii"/>
          <w:sz w:val="22"/>
          <w:szCs w:val="22"/>
        </w:rPr>
        <w:t xml:space="preserve">ased on </w:t>
      </w:r>
      <w:r w:rsidRPr="37E63DBD" w:rsidR="47911614">
        <w:rPr>
          <w:rFonts w:ascii="Arial" w:hAnsi="Arial" w:eastAsia="Arial" w:cs="Arial" w:asciiTheme="minorAscii" w:hAnsiTheme="minorAscii" w:eastAsiaTheme="minorAscii" w:cstheme="minorAscii"/>
          <w:sz w:val="22"/>
          <w:szCs w:val="22"/>
        </w:rPr>
        <w:t>the results of th</w:t>
      </w:r>
      <w:r w:rsidRPr="37E63DBD" w:rsidR="721B8C58">
        <w:rPr>
          <w:rFonts w:ascii="Arial" w:hAnsi="Arial" w:eastAsia="Arial" w:cs="Arial" w:asciiTheme="minorAscii" w:hAnsiTheme="minorAscii" w:eastAsiaTheme="minorAscii" w:cstheme="minorAscii"/>
          <w:sz w:val="22"/>
          <w:szCs w:val="22"/>
        </w:rPr>
        <w:t>e investment appraisal, Project C generates the highest overall value</w:t>
      </w:r>
      <w:r w:rsidRPr="37E63DBD" w:rsidR="721B8C58">
        <w:rPr>
          <w:rFonts w:ascii="Arial" w:hAnsi="Arial" w:eastAsia="Arial" w:cs="Arial" w:asciiTheme="minorAscii" w:hAnsiTheme="minorAscii" w:eastAsiaTheme="minorAscii" w:cstheme="minorAscii"/>
          <w:sz w:val="22"/>
          <w:szCs w:val="22"/>
        </w:rPr>
        <w:t xml:space="preserve"> a</w:t>
      </w:r>
      <w:r w:rsidRPr="37E63DBD" w:rsidR="721B8C58">
        <w:rPr>
          <w:rFonts w:ascii="Arial" w:hAnsi="Arial" w:eastAsia="Arial" w:cs="Arial" w:asciiTheme="minorAscii" w:hAnsiTheme="minorAscii" w:eastAsiaTheme="minorAscii" w:cstheme="minorAscii"/>
          <w:sz w:val="22"/>
          <w:szCs w:val="22"/>
        </w:rPr>
        <w:t xml:space="preserve">nd </w:t>
      </w:r>
      <w:r w:rsidRPr="37E63DBD" w:rsidR="721B8C58">
        <w:rPr>
          <w:rFonts w:ascii="Arial" w:hAnsi="Arial" w:eastAsia="Arial" w:cs="Arial" w:asciiTheme="minorAscii" w:hAnsiTheme="minorAscii" w:eastAsiaTheme="minorAscii" w:cstheme="minorAscii"/>
          <w:sz w:val="22"/>
          <w:szCs w:val="22"/>
        </w:rPr>
        <w:t>represents</w:t>
      </w:r>
      <w:r w:rsidRPr="37E63DBD" w:rsidR="721B8C58">
        <w:rPr>
          <w:rFonts w:ascii="Arial" w:hAnsi="Arial" w:eastAsia="Arial" w:cs="Arial" w:asciiTheme="minorAscii" w:hAnsiTheme="minorAscii" w:eastAsiaTheme="minorAscii" w:cstheme="minorAscii"/>
          <w:sz w:val="22"/>
          <w:szCs w:val="22"/>
        </w:rPr>
        <w:t xml:space="preserve"> the most efficient use of capital. Project B also generates positive value, </w:t>
      </w:r>
      <w:r w:rsidRPr="37E63DBD" w:rsidR="721B8C58">
        <w:rPr>
          <w:rFonts w:ascii="Arial" w:hAnsi="Arial" w:eastAsia="Arial" w:cs="Arial" w:asciiTheme="minorAscii" w:hAnsiTheme="minorAscii" w:eastAsiaTheme="minorAscii" w:cstheme="minorAscii"/>
          <w:sz w:val="22"/>
          <w:szCs w:val="22"/>
        </w:rPr>
        <w:t>whereas</w:t>
      </w:r>
      <w:r w:rsidRPr="37E63DBD" w:rsidR="721B8C58">
        <w:rPr>
          <w:rFonts w:ascii="Arial" w:hAnsi="Arial" w:eastAsia="Arial" w:cs="Arial" w:asciiTheme="minorAscii" w:hAnsiTheme="minorAscii" w:eastAsiaTheme="minorAscii" w:cstheme="minorAscii"/>
          <w:sz w:val="22"/>
          <w:szCs w:val="22"/>
        </w:rPr>
        <w:t xml:space="preserve"> Pr</w:t>
      </w:r>
      <w:r w:rsidRPr="37E63DBD" w:rsidR="721B8C58">
        <w:rPr>
          <w:rFonts w:ascii="Arial" w:hAnsi="Arial" w:eastAsia="Arial" w:cs="Arial" w:asciiTheme="minorAscii" w:hAnsiTheme="minorAscii" w:eastAsiaTheme="minorAscii" w:cstheme="minorAscii"/>
          <w:sz w:val="22"/>
          <w:szCs w:val="22"/>
        </w:rPr>
        <w:t xml:space="preserve">oject A is not </w:t>
      </w:r>
      <w:r w:rsidRPr="37E63DBD" w:rsidR="721B8C58">
        <w:rPr>
          <w:rFonts w:ascii="Arial" w:hAnsi="Arial" w:eastAsia="Arial" w:cs="Arial" w:asciiTheme="minorAscii" w:hAnsiTheme="minorAscii" w:eastAsiaTheme="minorAscii" w:cstheme="minorAscii"/>
          <w:sz w:val="22"/>
          <w:szCs w:val="22"/>
        </w:rPr>
        <w:t>vi</w:t>
      </w:r>
      <w:r w:rsidRPr="37E63DBD" w:rsidR="721B8C58">
        <w:rPr>
          <w:rFonts w:ascii="Arial" w:hAnsi="Arial" w:eastAsia="Arial" w:cs="Arial" w:asciiTheme="minorAscii" w:hAnsiTheme="minorAscii" w:eastAsiaTheme="minorAscii" w:cstheme="minorAscii"/>
          <w:sz w:val="22"/>
          <w:szCs w:val="22"/>
        </w:rPr>
        <w:t>able</w:t>
      </w:r>
      <w:r w:rsidRPr="37E63DBD" w:rsidR="721B8C58">
        <w:rPr>
          <w:rFonts w:ascii="Arial" w:hAnsi="Arial" w:eastAsia="Arial" w:cs="Arial" w:asciiTheme="minorAscii" w:hAnsiTheme="minorAscii" w:eastAsiaTheme="minorAscii" w:cstheme="minorAscii"/>
          <w:sz w:val="22"/>
          <w:szCs w:val="22"/>
        </w:rPr>
        <w:t xml:space="preserve"> as it produces a negative NPV and is therefore </w:t>
      </w:r>
      <w:r w:rsidRPr="37E63DBD" w:rsidR="1AFFCBF2">
        <w:rPr>
          <w:rFonts w:ascii="Arial" w:hAnsi="Arial" w:eastAsia="Arial" w:cs="Arial" w:asciiTheme="minorAscii" w:hAnsiTheme="minorAscii" w:eastAsiaTheme="minorAscii" w:cstheme="minorAscii"/>
          <w:sz w:val="22"/>
          <w:szCs w:val="22"/>
        </w:rPr>
        <w:t>excluded</w:t>
      </w:r>
      <w:r w:rsidRPr="37E63DBD" w:rsidR="721B8C58">
        <w:rPr>
          <w:rFonts w:ascii="Arial" w:hAnsi="Arial" w:eastAsia="Arial" w:cs="Arial" w:asciiTheme="minorAscii" w:hAnsiTheme="minorAscii" w:eastAsiaTheme="minorAscii" w:cstheme="minorAscii"/>
          <w:sz w:val="22"/>
          <w:szCs w:val="22"/>
        </w:rPr>
        <w:t xml:space="preserve"> from consideration. </w:t>
      </w:r>
    </w:p>
    <w:p xmlns:wp14="http://schemas.microsoft.com/office/word/2010/wordml" w:rsidP="37E63DBD" wp14:paraId="4DC22B6E" wp14:textId="7616B2B1">
      <w:pPr>
        <w:spacing w:line="360" w:lineRule="auto"/>
        <w:jc w:val="both"/>
        <w:rPr>
          <w:rFonts w:ascii="Arial" w:hAnsi="Arial" w:eastAsia="Arial" w:cs="Arial" w:asciiTheme="minorAscii" w:hAnsiTheme="minorAscii" w:eastAsiaTheme="minorAscii" w:cstheme="minorAscii"/>
          <w:sz w:val="22"/>
          <w:szCs w:val="22"/>
        </w:rPr>
      </w:pPr>
      <w:r w:rsidRPr="37E63DBD" w:rsidR="721B8C58">
        <w:rPr>
          <w:rFonts w:ascii="Arial" w:hAnsi="Arial" w:eastAsia="Arial" w:cs="Arial" w:asciiTheme="minorAscii" w:hAnsiTheme="minorAscii" w:eastAsiaTheme="minorAscii" w:cstheme="minorAscii"/>
          <w:sz w:val="22"/>
          <w:szCs w:val="22"/>
        </w:rPr>
        <w:t xml:space="preserve">given the capital constraint, priority is given to funding the project that delivers the greatest return in </w:t>
      </w:r>
      <w:r w:rsidRPr="37E63DBD" w:rsidR="3DFBA3D6">
        <w:rPr>
          <w:rFonts w:ascii="Arial" w:hAnsi="Arial" w:eastAsia="Arial" w:cs="Arial" w:asciiTheme="minorAscii" w:hAnsiTheme="minorAscii" w:eastAsiaTheme="minorAscii" w:cstheme="minorAscii"/>
          <w:sz w:val="22"/>
          <w:szCs w:val="22"/>
        </w:rPr>
        <w:t>ab</w:t>
      </w:r>
      <w:r w:rsidRPr="37E63DBD" w:rsidR="3DFBA3D6">
        <w:rPr>
          <w:rFonts w:ascii="Arial" w:hAnsi="Arial" w:eastAsia="Arial" w:cs="Arial" w:asciiTheme="minorAscii" w:hAnsiTheme="minorAscii" w:eastAsiaTheme="minorAscii" w:cstheme="minorAscii"/>
          <w:sz w:val="22"/>
          <w:szCs w:val="22"/>
        </w:rPr>
        <w:t>so</w:t>
      </w:r>
      <w:r w:rsidRPr="37E63DBD" w:rsidR="3DFBA3D6">
        <w:rPr>
          <w:rFonts w:ascii="Arial" w:hAnsi="Arial" w:eastAsia="Arial" w:cs="Arial" w:asciiTheme="minorAscii" w:hAnsiTheme="minorAscii" w:eastAsiaTheme="minorAscii" w:cstheme="minorAscii"/>
          <w:sz w:val="22"/>
          <w:szCs w:val="22"/>
        </w:rPr>
        <w:t>lute</w:t>
      </w:r>
      <w:r w:rsidRPr="37E63DBD" w:rsidR="721B8C58">
        <w:rPr>
          <w:rFonts w:ascii="Arial" w:hAnsi="Arial" w:eastAsia="Arial" w:cs="Arial" w:asciiTheme="minorAscii" w:hAnsiTheme="minorAscii" w:eastAsiaTheme="minorAscii" w:cstheme="minorAscii"/>
          <w:sz w:val="22"/>
          <w:szCs w:val="22"/>
        </w:rPr>
        <w:t xml:space="preserve"> value </w:t>
      </w:r>
      <w:r w:rsidRPr="37E63DBD" w:rsidR="721B8C58">
        <w:rPr>
          <w:rFonts w:ascii="Arial" w:hAnsi="Arial" w:eastAsia="Arial" w:cs="Arial" w:asciiTheme="minorAscii" w:hAnsiTheme="minorAscii" w:eastAsiaTheme="minorAscii" w:cstheme="minorAscii"/>
          <w:sz w:val="22"/>
          <w:szCs w:val="22"/>
        </w:rPr>
        <w:t>terms, fol</w:t>
      </w:r>
      <w:r w:rsidRPr="37E63DBD" w:rsidR="721B8C58">
        <w:rPr>
          <w:rFonts w:ascii="Arial" w:hAnsi="Arial" w:eastAsia="Arial" w:cs="Arial" w:asciiTheme="minorAscii" w:hAnsiTheme="minorAscii" w:eastAsiaTheme="minorAscii" w:cstheme="minorAscii"/>
          <w:sz w:val="22"/>
          <w:szCs w:val="22"/>
        </w:rPr>
        <w:t xml:space="preserve">lowed by partial allocation to </w:t>
      </w:r>
      <w:r w:rsidRPr="37E63DBD" w:rsidR="721B8C58">
        <w:rPr>
          <w:rFonts w:ascii="Arial" w:hAnsi="Arial" w:eastAsia="Arial" w:cs="Arial" w:asciiTheme="minorAscii" w:hAnsiTheme="minorAscii" w:eastAsiaTheme="minorAscii" w:cstheme="minorAscii"/>
          <w:sz w:val="22"/>
          <w:szCs w:val="22"/>
        </w:rPr>
        <w:t>remaining</w:t>
      </w:r>
      <w:r w:rsidRPr="37E63DBD" w:rsidR="721B8C58">
        <w:rPr>
          <w:rFonts w:ascii="Arial" w:hAnsi="Arial" w:eastAsia="Arial" w:cs="Arial" w:asciiTheme="minorAscii" w:hAnsiTheme="minorAscii" w:eastAsiaTheme="minorAscii" w:cstheme="minorAscii"/>
          <w:sz w:val="22"/>
          <w:szCs w:val="22"/>
        </w:rPr>
        <w:t xml:space="preserve"> </w:t>
      </w:r>
      <w:r w:rsidRPr="37E63DBD" w:rsidR="721B8C58">
        <w:rPr>
          <w:rFonts w:ascii="Arial" w:hAnsi="Arial" w:eastAsia="Arial" w:cs="Arial" w:asciiTheme="minorAscii" w:hAnsiTheme="minorAscii" w:eastAsiaTheme="minorAscii" w:cstheme="minorAscii"/>
          <w:sz w:val="22"/>
          <w:szCs w:val="22"/>
        </w:rPr>
        <w:t>viable</w:t>
      </w:r>
      <w:r w:rsidRPr="37E63DBD" w:rsidR="721B8C58">
        <w:rPr>
          <w:rFonts w:ascii="Arial" w:hAnsi="Arial" w:eastAsia="Arial" w:cs="Arial" w:asciiTheme="minorAscii" w:hAnsiTheme="minorAscii" w:eastAsiaTheme="minorAscii" w:cstheme="minorAscii"/>
          <w:sz w:val="22"/>
          <w:szCs w:val="22"/>
        </w:rPr>
        <w:t xml:space="preserve"> </w:t>
      </w:r>
      <w:r w:rsidRPr="37E63DBD" w:rsidR="39C1C367">
        <w:rPr>
          <w:rFonts w:ascii="Arial" w:hAnsi="Arial" w:eastAsia="Arial" w:cs="Arial" w:asciiTheme="minorAscii" w:hAnsiTheme="minorAscii" w:eastAsiaTheme="minorAscii" w:cstheme="minorAscii"/>
          <w:sz w:val="22"/>
          <w:szCs w:val="22"/>
        </w:rPr>
        <w:t>opportunities</w:t>
      </w:r>
      <w:r w:rsidRPr="37E63DBD" w:rsidR="721B8C58">
        <w:rPr>
          <w:rFonts w:ascii="Arial" w:hAnsi="Arial" w:eastAsia="Arial" w:cs="Arial" w:asciiTheme="minorAscii" w:hAnsiTheme="minorAscii" w:eastAsiaTheme="minorAscii" w:cstheme="minorAscii"/>
          <w:sz w:val="22"/>
          <w:szCs w:val="22"/>
        </w:rPr>
        <w:t xml:space="preserve"> where capacity allows. </w:t>
      </w:r>
    </w:p>
    <w:p xmlns:wp14="http://schemas.microsoft.com/office/word/2010/wordml" w:rsidP="37E63DBD" wp14:paraId="425CAE12" wp14:textId="7DD4AA89">
      <w:pPr>
        <w:spacing w:line="360" w:lineRule="auto"/>
        <w:jc w:val="both"/>
        <w:rPr>
          <w:rFonts w:ascii="Arial" w:hAnsi="Arial" w:eastAsia="Arial" w:cs="Arial" w:asciiTheme="minorAscii" w:hAnsiTheme="minorAscii" w:eastAsiaTheme="minorAscii" w:cstheme="minorAscii"/>
          <w:b w:val="1"/>
          <w:bCs w:val="1"/>
          <w:sz w:val="22"/>
          <w:szCs w:val="22"/>
        </w:rPr>
      </w:pPr>
      <w:r w:rsidRPr="37E63DBD" w:rsidR="40346355">
        <w:rPr>
          <w:rFonts w:ascii="Arial" w:hAnsi="Arial" w:eastAsia="Arial" w:cs="Arial" w:asciiTheme="minorAscii" w:hAnsiTheme="minorAscii" w:eastAsiaTheme="minorAscii" w:cstheme="minorAscii"/>
          <w:b w:val="1"/>
          <w:bCs w:val="1"/>
          <w:sz w:val="22"/>
          <w:szCs w:val="22"/>
        </w:rPr>
        <w:t>4</w:t>
      </w:r>
      <w:r w:rsidRPr="37E63DBD" w:rsidR="721B8C58">
        <w:rPr>
          <w:rFonts w:ascii="Arial" w:hAnsi="Arial" w:eastAsia="Arial" w:cs="Arial" w:asciiTheme="minorAscii" w:hAnsiTheme="minorAscii" w:eastAsiaTheme="minorAscii" w:cstheme="minorAscii"/>
          <w:b w:val="1"/>
          <w:bCs w:val="1"/>
          <w:sz w:val="22"/>
          <w:szCs w:val="22"/>
        </w:rPr>
        <w:t>.4 Optimal Investment Allocation</w:t>
      </w:r>
    </w:p>
    <w:p xmlns:wp14="http://schemas.microsoft.com/office/word/2010/wordml" w:rsidP="37E63DBD" wp14:paraId="26F3F999" wp14:textId="5F91EA32">
      <w:pPr>
        <w:spacing w:line="360" w:lineRule="auto"/>
        <w:jc w:val="both"/>
        <w:rPr>
          <w:rFonts w:ascii="Arial" w:hAnsi="Arial" w:eastAsia="Arial" w:cs="Arial" w:asciiTheme="minorAscii" w:hAnsiTheme="minorAscii" w:eastAsiaTheme="minorAscii" w:cstheme="minorAscii"/>
          <w:sz w:val="22"/>
          <w:szCs w:val="22"/>
        </w:rPr>
      </w:pPr>
      <w:r w:rsidRPr="37E63DBD" w:rsidR="721B8C58">
        <w:rPr>
          <w:rFonts w:ascii="Arial" w:hAnsi="Arial" w:eastAsia="Arial" w:cs="Arial" w:asciiTheme="minorAscii" w:hAnsiTheme="minorAscii" w:eastAsiaTheme="minorAscii" w:cstheme="minorAscii"/>
          <w:sz w:val="22"/>
          <w:szCs w:val="22"/>
        </w:rPr>
        <w:t xml:space="preserve">The recommended investment approach is as follows: </w:t>
      </w:r>
    </w:p>
    <w:p xmlns:wp14="http://schemas.microsoft.com/office/word/2010/wordml" w:rsidP="37E63DBD" wp14:paraId="69EB123A" wp14:textId="09BC99D0">
      <w:pPr>
        <w:pStyle w:val="ListParagraph"/>
        <w:numPr>
          <w:ilvl w:val="0"/>
          <w:numId w:val="9"/>
        </w:numPr>
        <w:spacing w:line="360" w:lineRule="auto"/>
        <w:jc w:val="both"/>
        <w:rPr>
          <w:rFonts w:ascii="Arial" w:hAnsi="Arial" w:eastAsia="Arial" w:cs="Arial" w:asciiTheme="minorAscii" w:hAnsiTheme="minorAscii" w:eastAsiaTheme="minorAscii" w:cstheme="minorAscii"/>
          <w:sz w:val="22"/>
          <w:szCs w:val="22"/>
        </w:rPr>
      </w:pPr>
      <w:r w:rsidRPr="37E63DBD" w:rsidR="721B8C58">
        <w:rPr>
          <w:rFonts w:ascii="Arial" w:hAnsi="Arial" w:eastAsia="Arial" w:cs="Arial" w:asciiTheme="minorAscii" w:hAnsiTheme="minorAscii" w:eastAsiaTheme="minorAscii" w:cstheme="minorAscii"/>
          <w:sz w:val="22"/>
          <w:szCs w:val="22"/>
        </w:rPr>
        <w:t>Project C is fully funded at £1,000,000</w:t>
      </w:r>
    </w:p>
    <w:p xmlns:wp14="http://schemas.microsoft.com/office/word/2010/wordml" w:rsidP="37E63DBD" wp14:paraId="342EEC51" wp14:textId="372693A9">
      <w:pPr>
        <w:pStyle w:val="ListParagraph"/>
        <w:numPr>
          <w:ilvl w:val="0"/>
          <w:numId w:val="9"/>
        </w:numPr>
        <w:spacing w:line="360" w:lineRule="auto"/>
        <w:jc w:val="both"/>
        <w:rPr>
          <w:rFonts w:ascii="Arial" w:hAnsi="Arial" w:eastAsia="Arial" w:cs="Arial" w:asciiTheme="minorAscii" w:hAnsiTheme="minorAscii" w:eastAsiaTheme="minorAscii" w:cstheme="minorAscii"/>
          <w:sz w:val="22"/>
          <w:szCs w:val="22"/>
        </w:rPr>
      </w:pPr>
      <w:r w:rsidRPr="37E63DBD" w:rsidR="721B8C58">
        <w:rPr>
          <w:rFonts w:ascii="Arial" w:hAnsi="Arial" w:eastAsia="Arial" w:cs="Arial" w:asciiTheme="minorAscii" w:hAnsiTheme="minorAscii" w:eastAsiaTheme="minorAscii" w:cstheme="minorAscii"/>
          <w:sz w:val="22"/>
          <w:szCs w:val="22"/>
        </w:rPr>
        <w:t xml:space="preserve">The </w:t>
      </w:r>
      <w:r w:rsidRPr="37E63DBD" w:rsidR="0A8737B5">
        <w:rPr>
          <w:rFonts w:ascii="Arial" w:hAnsi="Arial" w:eastAsia="Arial" w:cs="Arial" w:asciiTheme="minorAscii" w:hAnsiTheme="minorAscii" w:eastAsiaTheme="minorAscii" w:cstheme="minorAscii"/>
          <w:sz w:val="22"/>
          <w:szCs w:val="22"/>
        </w:rPr>
        <w:t>remaining</w:t>
      </w:r>
      <w:r w:rsidRPr="37E63DBD" w:rsidR="721B8C58">
        <w:rPr>
          <w:rFonts w:ascii="Arial" w:hAnsi="Arial" w:eastAsia="Arial" w:cs="Arial" w:asciiTheme="minorAscii" w:hAnsiTheme="minorAscii" w:eastAsiaTheme="minorAscii" w:cstheme="minorAscii"/>
          <w:sz w:val="22"/>
          <w:szCs w:val="22"/>
        </w:rPr>
        <w:t xml:space="preserve"> £</w:t>
      </w:r>
      <w:r w:rsidRPr="37E63DBD" w:rsidR="721B8C58">
        <w:rPr>
          <w:rFonts w:ascii="Arial" w:hAnsi="Arial" w:eastAsia="Arial" w:cs="Arial" w:asciiTheme="minorAscii" w:hAnsiTheme="minorAscii" w:eastAsiaTheme="minorAscii" w:cstheme="minorAscii"/>
          <w:sz w:val="22"/>
          <w:szCs w:val="22"/>
        </w:rPr>
        <w:t>500,000</w:t>
      </w:r>
      <w:r w:rsidRPr="37E63DBD" w:rsidR="721B8C58">
        <w:rPr>
          <w:rFonts w:ascii="Arial" w:hAnsi="Arial" w:eastAsia="Arial" w:cs="Arial" w:asciiTheme="minorAscii" w:hAnsiTheme="minorAscii" w:eastAsiaTheme="minorAscii" w:cstheme="minorAscii"/>
          <w:sz w:val="22"/>
          <w:szCs w:val="22"/>
        </w:rPr>
        <w:t xml:space="preserve"> is </w:t>
      </w:r>
      <w:r w:rsidRPr="37E63DBD" w:rsidR="721B8C58">
        <w:rPr>
          <w:rFonts w:ascii="Arial" w:hAnsi="Arial" w:eastAsia="Arial" w:cs="Arial" w:asciiTheme="minorAscii" w:hAnsiTheme="minorAscii" w:eastAsiaTheme="minorAscii" w:cstheme="minorAscii"/>
          <w:sz w:val="22"/>
          <w:szCs w:val="22"/>
        </w:rPr>
        <w:t>allocated</w:t>
      </w:r>
      <w:r w:rsidRPr="37E63DBD" w:rsidR="721B8C58">
        <w:rPr>
          <w:rFonts w:ascii="Arial" w:hAnsi="Arial" w:eastAsia="Arial" w:cs="Arial" w:asciiTheme="minorAscii" w:hAnsiTheme="minorAscii" w:eastAsiaTheme="minorAscii" w:cstheme="minorAscii"/>
          <w:sz w:val="22"/>
          <w:szCs w:val="22"/>
        </w:rPr>
        <w:t xml:space="preserve"> to Project B on a proportional basis</w:t>
      </w:r>
    </w:p>
    <w:p xmlns:wp14="http://schemas.microsoft.com/office/word/2010/wordml" w:rsidP="37E63DBD" wp14:paraId="6F3338DB" wp14:textId="0A106EB9">
      <w:pPr>
        <w:pStyle w:val="ListParagraph"/>
        <w:numPr>
          <w:ilvl w:val="0"/>
          <w:numId w:val="9"/>
        </w:numPr>
        <w:spacing w:line="360" w:lineRule="auto"/>
        <w:jc w:val="both"/>
        <w:rPr>
          <w:rFonts w:ascii="Arial" w:hAnsi="Arial" w:eastAsia="Arial" w:cs="Arial" w:asciiTheme="minorAscii" w:hAnsiTheme="minorAscii" w:eastAsiaTheme="minorAscii" w:cstheme="minorAscii"/>
          <w:sz w:val="22"/>
          <w:szCs w:val="22"/>
        </w:rPr>
      </w:pPr>
      <w:r w:rsidRPr="37E63DBD" w:rsidR="721B8C58">
        <w:rPr>
          <w:rFonts w:ascii="Arial" w:hAnsi="Arial" w:eastAsia="Arial" w:cs="Arial" w:asciiTheme="minorAscii" w:hAnsiTheme="minorAscii" w:eastAsiaTheme="minorAscii" w:cstheme="minorAscii"/>
          <w:sz w:val="22"/>
          <w:szCs w:val="22"/>
        </w:rPr>
        <w:t>Project A is not undertaken due to value destruction</w:t>
      </w:r>
    </w:p>
    <w:p xmlns:wp14="http://schemas.microsoft.com/office/word/2010/wordml" w:rsidP="37E63DBD" wp14:paraId="583C7745" wp14:textId="5EFB51F6">
      <w:pPr>
        <w:pStyle w:val="Normal"/>
        <w:spacing w:line="360" w:lineRule="auto"/>
        <w:jc w:val="both"/>
        <w:rPr>
          <w:rFonts w:ascii="Arial" w:hAnsi="Arial" w:eastAsia="Arial" w:cs="Arial" w:asciiTheme="minorAscii" w:hAnsiTheme="minorAscii" w:eastAsiaTheme="minorAscii" w:cstheme="minorAscii"/>
          <w:sz w:val="22"/>
          <w:szCs w:val="22"/>
        </w:rPr>
      </w:pPr>
      <w:r w:rsidRPr="37E63DBD" w:rsidR="36EEF605">
        <w:rPr>
          <w:rFonts w:ascii="Arial" w:hAnsi="Arial" w:eastAsia="Arial" w:cs="Arial" w:asciiTheme="minorAscii" w:hAnsiTheme="minorAscii" w:eastAsiaTheme="minorAscii" w:cstheme="minorAscii"/>
          <w:sz w:val="22"/>
          <w:szCs w:val="22"/>
        </w:rPr>
        <w:t>A</w:t>
      </w:r>
      <w:r w:rsidRPr="37E63DBD" w:rsidR="721B8C58">
        <w:rPr>
          <w:rFonts w:ascii="Arial" w:hAnsi="Arial" w:eastAsia="Arial" w:cs="Arial" w:asciiTheme="minorAscii" w:hAnsiTheme="minorAscii" w:eastAsiaTheme="minorAscii" w:cstheme="minorAscii"/>
          <w:sz w:val="22"/>
          <w:szCs w:val="22"/>
        </w:rPr>
        <w:t>s Proj</w:t>
      </w:r>
      <w:r w:rsidRPr="37E63DBD" w:rsidR="721B8C58">
        <w:rPr>
          <w:rFonts w:ascii="Arial" w:hAnsi="Arial" w:eastAsia="Arial" w:cs="Arial" w:asciiTheme="minorAscii" w:hAnsiTheme="minorAscii" w:eastAsiaTheme="minorAscii" w:cstheme="minorAscii"/>
          <w:sz w:val="22"/>
          <w:szCs w:val="22"/>
        </w:rPr>
        <w:t>ect B is divisib</w:t>
      </w:r>
      <w:r w:rsidRPr="37E63DBD" w:rsidR="721B8C58">
        <w:rPr>
          <w:rFonts w:ascii="Arial" w:hAnsi="Arial" w:eastAsia="Arial" w:cs="Arial" w:asciiTheme="minorAscii" w:hAnsiTheme="minorAscii" w:eastAsiaTheme="minorAscii" w:cstheme="minorAscii"/>
          <w:sz w:val="22"/>
          <w:szCs w:val="22"/>
        </w:rPr>
        <w:t xml:space="preserve">le, this </w:t>
      </w:r>
      <w:r w:rsidRPr="37E63DBD" w:rsidR="721B8C58">
        <w:rPr>
          <w:rFonts w:ascii="Arial" w:hAnsi="Arial" w:eastAsia="Arial" w:cs="Arial" w:asciiTheme="minorAscii" w:hAnsiTheme="minorAscii" w:eastAsiaTheme="minorAscii" w:cstheme="minorAscii"/>
          <w:sz w:val="22"/>
          <w:szCs w:val="22"/>
        </w:rPr>
        <w:t>represents</w:t>
      </w:r>
      <w:r w:rsidRPr="37E63DBD" w:rsidR="721B8C58">
        <w:rPr>
          <w:rFonts w:ascii="Arial" w:hAnsi="Arial" w:eastAsia="Arial" w:cs="Arial" w:asciiTheme="minorAscii" w:hAnsiTheme="minorAscii" w:eastAsiaTheme="minorAscii" w:cstheme="minorAscii"/>
          <w:sz w:val="22"/>
          <w:szCs w:val="22"/>
        </w:rPr>
        <w:t xml:space="preserve"> an efficient partial investment of 55.6% of the total project scale (</w:t>
      </w:r>
      <w:r w:rsidRPr="37E63DBD" w:rsidR="0A3FC2F8">
        <w:rPr>
          <w:rFonts w:ascii="Arial" w:hAnsi="Arial" w:eastAsia="Arial" w:cs="Arial" w:asciiTheme="minorAscii" w:hAnsiTheme="minorAscii" w:eastAsiaTheme="minorAscii" w:cstheme="minorAscii"/>
          <w:sz w:val="22"/>
          <w:szCs w:val="22"/>
        </w:rPr>
        <w:t>Appendix 34</w:t>
      </w:r>
      <w:r w:rsidRPr="37E63DBD" w:rsidR="721B8C58">
        <w:rPr>
          <w:rFonts w:ascii="Arial" w:hAnsi="Arial" w:eastAsia="Arial" w:cs="Arial" w:asciiTheme="minorAscii" w:hAnsiTheme="minorAscii" w:eastAsiaTheme="minorAscii" w:cstheme="minorAscii"/>
          <w:sz w:val="22"/>
          <w:szCs w:val="22"/>
        </w:rPr>
        <w:t>)</w:t>
      </w:r>
      <w:r w:rsidRPr="37E63DBD" w:rsidR="30D51528">
        <w:rPr>
          <w:rFonts w:ascii="Arial" w:hAnsi="Arial" w:eastAsia="Arial" w:cs="Arial" w:asciiTheme="minorAscii" w:hAnsiTheme="minorAscii" w:eastAsiaTheme="minorAscii" w:cstheme="minorAscii"/>
          <w:sz w:val="22"/>
          <w:szCs w:val="22"/>
        </w:rPr>
        <w:t>. The total NPV of both projects is now £323</w:t>
      </w:r>
      <w:r w:rsidRPr="37E63DBD" w:rsidR="30D51528">
        <w:rPr>
          <w:rFonts w:ascii="Arial" w:hAnsi="Arial" w:eastAsia="Arial" w:cs="Arial" w:asciiTheme="minorAscii" w:hAnsiTheme="minorAscii" w:eastAsiaTheme="minorAscii" w:cstheme="minorAscii"/>
          <w:sz w:val="22"/>
          <w:szCs w:val="22"/>
        </w:rPr>
        <w:t>,1</w:t>
      </w:r>
      <w:r w:rsidRPr="37E63DBD" w:rsidR="07C4C679">
        <w:rPr>
          <w:rFonts w:ascii="Arial" w:hAnsi="Arial" w:eastAsia="Arial" w:cs="Arial" w:asciiTheme="minorAscii" w:hAnsiTheme="minorAscii" w:eastAsiaTheme="minorAscii" w:cstheme="minorAscii"/>
          <w:sz w:val="22"/>
          <w:szCs w:val="22"/>
        </w:rPr>
        <w:t>79</w:t>
      </w:r>
      <w:r w:rsidRPr="37E63DBD" w:rsidR="30D51528">
        <w:rPr>
          <w:rFonts w:ascii="Arial" w:hAnsi="Arial" w:eastAsia="Arial" w:cs="Arial" w:asciiTheme="minorAscii" w:hAnsiTheme="minorAscii" w:eastAsiaTheme="minorAscii" w:cstheme="minorAscii"/>
          <w:sz w:val="22"/>
          <w:szCs w:val="22"/>
        </w:rPr>
        <w:t>.</w:t>
      </w:r>
    </w:p>
    <w:p xmlns:wp14="http://schemas.microsoft.com/office/word/2010/wordml" w:rsidP="37E63DBD" wp14:paraId="3CFE3B95" wp14:textId="2C8CA435">
      <w:pPr>
        <w:pStyle w:val="Normal"/>
        <w:spacing w:line="360" w:lineRule="auto"/>
        <w:jc w:val="both"/>
        <w:rPr>
          <w:rFonts w:ascii="Arial" w:hAnsi="Arial" w:eastAsia="Arial" w:cs="Arial" w:asciiTheme="minorAscii" w:hAnsiTheme="minorAscii" w:eastAsiaTheme="minorAscii" w:cstheme="minorAscii"/>
          <w:sz w:val="22"/>
          <w:szCs w:val="22"/>
        </w:rPr>
      </w:pPr>
      <w:r w:rsidRPr="37E63DBD" w:rsidR="30D51528">
        <w:rPr>
          <w:rFonts w:ascii="Arial" w:hAnsi="Arial" w:eastAsia="Arial" w:cs="Arial" w:asciiTheme="minorAscii" w:hAnsiTheme="minorAscii" w:eastAsiaTheme="minorAscii" w:cstheme="minorAscii"/>
          <w:sz w:val="22"/>
          <w:szCs w:val="22"/>
        </w:rPr>
        <w:t>3.5 Management Interpretation</w:t>
      </w:r>
    </w:p>
    <w:p xmlns:wp14="http://schemas.microsoft.com/office/word/2010/wordml" w:rsidP="37E63DBD" wp14:paraId="08FF4E37" wp14:textId="4A867753">
      <w:pPr>
        <w:pStyle w:val="Normal"/>
        <w:spacing w:line="360" w:lineRule="auto"/>
        <w:jc w:val="both"/>
        <w:rPr>
          <w:rFonts w:ascii="Arial" w:hAnsi="Arial" w:eastAsia="Arial" w:cs="Arial" w:asciiTheme="minorAscii" w:hAnsiTheme="minorAscii" w:eastAsiaTheme="minorAscii" w:cstheme="minorAscii"/>
          <w:sz w:val="22"/>
          <w:szCs w:val="22"/>
        </w:rPr>
      </w:pPr>
      <w:r w:rsidRPr="37E63DBD" w:rsidR="30D51528">
        <w:rPr>
          <w:rFonts w:ascii="Arial" w:hAnsi="Arial" w:eastAsia="Arial" w:cs="Arial" w:asciiTheme="minorAscii" w:hAnsiTheme="minorAscii" w:eastAsiaTheme="minorAscii" w:cstheme="minorAscii"/>
          <w:sz w:val="22"/>
          <w:szCs w:val="22"/>
        </w:rPr>
        <w:t xml:space="preserve">This investment strategy ensure that Beard Plc maximises value within the available capital constraint. By prioritising Project C in full, the company secures the largest single contribution to value creation, while the partial investment in Project B ensures that remaining capital is </w:t>
      </w:r>
      <w:r w:rsidRPr="37E63DBD" w:rsidR="30D51528">
        <w:rPr>
          <w:rFonts w:ascii="Arial" w:hAnsi="Arial" w:eastAsia="Arial" w:cs="Arial" w:asciiTheme="minorAscii" w:hAnsiTheme="minorAscii" w:eastAsiaTheme="minorAscii" w:cstheme="minorAscii"/>
          <w:sz w:val="22"/>
          <w:szCs w:val="22"/>
        </w:rPr>
        <w:t>productively</w:t>
      </w:r>
      <w:r w:rsidRPr="37E63DBD" w:rsidR="30D51528">
        <w:rPr>
          <w:rFonts w:ascii="Arial" w:hAnsi="Arial" w:eastAsia="Arial" w:cs="Arial" w:asciiTheme="minorAscii" w:hAnsiTheme="minorAscii" w:eastAsiaTheme="minorAscii" w:cstheme="minorAscii"/>
          <w:sz w:val="22"/>
          <w:szCs w:val="22"/>
        </w:rPr>
        <w:t xml:space="preserve"> deployed rather than left idle.</w:t>
      </w:r>
    </w:p>
    <w:p xmlns:wp14="http://schemas.microsoft.com/office/word/2010/wordml" w:rsidP="37E63DBD" wp14:paraId="3FF00EE2" wp14:textId="4502CF09">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47CDF3A">
        <w:rPr>
          <w:rFonts w:ascii="Arial" w:hAnsi="Arial" w:eastAsia="Arial" w:cs="Arial" w:asciiTheme="minorAscii" w:hAnsiTheme="minorAscii" w:eastAsiaTheme="minorAscii" w:cstheme="minorAscii"/>
          <w:sz w:val="22"/>
          <w:szCs w:val="22"/>
        </w:rPr>
        <w:t>T</w:t>
      </w:r>
      <w:r w:rsidRPr="37E63DBD" w:rsidR="30D51528">
        <w:rPr>
          <w:rFonts w:ascii="Arial" w:hAnsi="Arial" w:eastAsia="Arial" w:cs="Arial" w:asciiTheme="minorAscii" w:hAnsiTheme="minorAscii" w:eastAsiaTheme="minorAscii" w:cstheme="minorAscii"/>
          <w:sz w:val="22"/>
          <w:szCs w:val="22"/>
        </w:rPr>
        <w:t xml:space="preserve">he exclusion of Project A is </w:t>
      </w:r>
      <w:r w:rsidRPr="37E63DBD" w:rsidR="30D51528">
        <w:rPr>
          <w:rFonts w:ascii="Arial" w:hAnsi="Arial" w:eastAsia="Arial" w:cs="Arial" w:asciiTheme="minorAscii" w:hAnsiTheme="minorAscii" w:eastAsiaTheme="minorAscii" w:cstheme="minorAscii"/>
          <w:sz w:val="22"/>
          <w:szCs w:val="22"/>
        </w:rPr>
        <w:t>consistent</w:t>
      </w:r>
      <w:r w:rsidRPr="37E63DBD" w:rsidR="30D51528">
        <w:rPr>
          <w:rFonts w:ascii="Arial" w:hAnsi="Arial" w:eastAsia="Arial" w:cs="Arial" w:asciiTheme="minorAscii" w:hAnsiTheme="minorAscii" w:eastAsiaTheme="minorAscii" w:cstheme="minorAscii"/>
          <w:sz w:val="22"/>
          <w:szCs w:val="22"/>
        </w:rPr>
        <w:t xml:space="preserve"> with value-based decision-making principles, as investing in negative NPV projects would reduce shareholder wealth.</w:t>
      </w:r>
    </w:p>
    <w:p xmlns:wp14="http://schemas.microsoft.com/office/word/2010/wordml" w:rsidP="37E63DBD" wp14:paraId="13C33A2D" wp14:textId="007868CA">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0A7644B7">
        <w:rPr>
          <w:rFonts w:ascii="Arial" w:hAnsi="Arial" w:eastAsia="Arial" w:cs="Arial" w:asciiTheme="minorAscii" w:hAnsiTheme="minorAscii" w:eastAsiaTheme="minorAscii" w:cstheme="minorAscii"/>
          <w:b w:val="1"/>
          <w:bCs w:val="1"/>
          <w:sz w:val="22"/>
          <w:szCs w:val="22"/>
        </w:rPr>
        <w:t>5</w:t>
      </w:r>
      <w:r w:rsidRPr="37E63DBD" w:rsidR="366CEB36">
        <w:rPr>
          <w:rFonts w:ascii="Arial" w:hAnsi="Arial" w:eastAsia="Arial" w:cs="Arial" w:asciiTheme="minorAscii" w:hAnsiTheme="minorAscii" w:eastAsiaTheme="minorAscii" w:cstheme="minorAscii"/>
          <w:b w:val="1"/>
          <w:bCs w:val="1"/>
          <w:sz w:val="22"/>
          <w:szCs w:val="22"/>
        </w:rPr>
        <w:t>. Financing the Investment Programme</w:t>
      </w:r>
    </w:p>
    <w:p xmlns:wp14="http://schemas.microsoft.com/office/word/2010/wordml" w:rsidP="37E63DBD" wp14:paraId="7D8B1B95" wp14:textId="6FBCDBFA">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38914757">
        <w:rPr>
          <w:rFonts w:ascii="Arial" w:hAnsi="Arial" w:eastAsia="Arial" w:cs="Arial" w:asciiTheme="minorAscii" w:hAnsiTheme="minorAscii" w:eastAsiaTheme="minorAscii" w:cstheme="minorAscii"/>
          <w:b w:val="1"/>
          <w:bCs w:val="1"/>
          <w:sz w:val="22"/>
          <w:szCs w:val="22"/>
        </w:rPr>
        <w:t>5</w:t>
      </w:r>
      <w:r w:rsidRPr="37E63DBD" w:rsidR="366CEB36">
        <w:rPr>
          <w:rFonts w:ascii="Arial" w:hAnsi="Arial" w:eastAsia="Arial" w:cs="Arial" w:asciiTheme="minorAscii" w:hAnsiTheme="minorAscii" w:eastAsiaTheme="minorAscii" w:cstheme="minorAscii"/>
          <w:b w:val="1"/>
          <w:bCs w:val="1"/>
          <w:sz w:val="22"/>
          <w:szCs w:val="22"/>
        </w:rPr>
        <w:t xml:space="preserve">.1 </w:t>
      </w:r>
      <w:r w:rsidRPr="37E63DBD" w:rsidR="33CC7EDE">
        <w:rPr>
          <w:rFonts w:ascii="Arial" w:hAnsi="Arial" w:eastAsia="Arial" w:cs="Arial" w:asciiTheme="minorAscii" w:hAnsiTheme="minorAscii" w:eastAsiaTheme="minorAscii" w:cstheme="minorAscii"/>
          <w:b w:val="1"/>
          <w:bCs w:val="1"/>
          <w:sz w:val="22"/>
          <w:szCs w:val="22"/>
        </w:rPr>
        <w:t>O</w:t>
      </w:r>
      <w:r w:rsidRPr="37E63DBD" w:rsidR="366CEB36">
        <w:rPr>
          <w:rFonts w:ascii="Arial" w:hAnsi="Arial" w:eastAsia="Arial" w:cs="Arial" w:asciiTheme="minorAscii" w:hAnsiTheme="minorAscii" w:eastAsiaTheme="minorAscii" w:cstheme="minorAscii"/>
          <w:b w:val="1"/>
          <w:bCs w:val="1"/>
          <w:sz w:val="22"/>
          <w:szCs w:val="22"/>
        </w:rPr>
        <w:t>verview of Financing Requirement</w:t>
      </w:r>
    </w:p>
    <w:p xmlns:wp14="http://schemas.microsoft.com/office/word/2010/wordml" w:rsidP="37E63DBD" wp14:paraId="33B0F90B" wp14:textId="580BE57D">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366CEB36">
        <w:rPr>
          <w:rFonts w:ascii="Arial" w:hAnsi="Arial" w:eastAsia="Arial" w:cs="Arial" w:asciiTheme="minorAscii" w:hAnsiTheme="minorAscii" w:eastAsiaTheme="minorAscii" w:cstheme="minorAscii"/>
          <w:sz w:val="22"/>
          <w:szCs w:val="22"/>
        </w:rPr>
        <w:t xml:space="preserve">Beard Plc requires external and/or internal financing to support the proposed investment in Project C, with potential supplementary funding for Project B under the capital rationing </w:t>
      </w:r>
      <w:r w:rsidRPr="37E63DBD" w:rsidR="4718B65E">
        <w:rPr>
          <w:rFonts w:ascii="Arial" w:hAnsi="Arial" w:eastAsia="Arial" w:cs="Arial" w:asciiTheme="minorAscii" w:hAnsiTheme="minorAscii" w:eastAsiaTheme="minorAscii" w:cstheme="minorAscii"/>
          <w:sz w:val="22"/>
          <w:szCs w:val="22"/>
        </w:rPr>
        <w:t>framework</w:t>
      </w:r>
      <w:r w:rsidRPr="37E63DBD" w:rsidR="366CEB36">
        <w:rPr>
          <w:rFonts w:ascii="Arial" w:hAnsi="Arial" w:eastAsia="Arial" w:cs="Arial" w:asciiTheme="minorAscii" w:hAnsiTheme="minorAscii" w:eastAsiaTheme="minorAscii" w:cstheme="minorAscii"/>
          <w:sz w:val="22"/>
          <w:szCs w:val="22"/>
        </w:rPr>
        <w:t>. The financing decision is critical, as it directly influences the firm’s cost of capital, financial risk, and overall shareholder value.</w:t>
      </w:r>
    </w:p>
    <w:p xmlns:wp14="http://schemas.microsoft.com/office/word/2010/wordml" w:rsidP="37E63DBD" wp14:paraId="22033DDE" wp14:textId="15962A22">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09871ABD">
        <w:rPr>
          <w:rFonts w:ascii="Arial" w:hAnsi="Arial" w:eastAsia="Arial" w:cs="Arial" w:asciiTheme="minorAscii" w:hAnsiTheme="minorAscii" w:eastAsiaTheme="minorAscii" w:cstheme="minorAscii"/>
          <w:sz w:val="22"/>
          <w:szCs w:val="22"/>
        </w:rPr>
        <w:t>Modern corporate finance theory suggests that financing decisions should aim to minimise the weighted averag</w:t>
      </w:r>
      <w:r w:rsidRPr="37E63DBD" w:rsidR="09871ABD">
        <w:rPr>
          <w:rFonts w:ascii="Arial" w:hAnsi="Arial" w:eastAsia="Arial" w:cs="Arial" w:asciiTheme="minorAscii" w:hAnsiTheme="minorAscii" w:eastAsiaTheme="minorAscii" w:cstheme="minorAscii"/>
          <w:sz w:val="22"/>
          <w:szCs w:val="22"/>
        </w:rPr>
        <w:t>e cost o</w:t>
      </w:r>
      <w:r w:rsidRPr="37E63DBD" w:rsidR="09871ABD">
        <w:rPr>
          <w:rFonts w:ascii="Arial" w:hAnsi="Arial" w:eastAsia="Arial" w:cs="Arial" w:asciiTheme="minorAscii" w:hAnsiTheme="minorAscii" w:eastAsiaTheme="minorAscii" w:cstheme="minorAscii"/>
          <w:sz w:val="22"/>
          <w:szCs w:val="22"/>
        </w:rPr>
        <w:t>f capital (WACC)</w:t>
      </w:r>
      <w:r w:rsidRPr="37E63DBD" w:rsidR="09871ABD">
        <w:rPr>
          <w:rFonts w:ascii="Arial" w:hAnsi="Arial" w:eastAsia="Arial" w:cs="Arial" w:asciiTheme="minorAscii" w:hAnsiTheme="minorAscii" w:eastAsiaTheme="minorAscii" w:cstheme="minorAscii"/>
          <w:sz w:val="22"/>
          <w:szCs w:val="22"/>
        </w:rPr>
        <w:t xml:space="preserve"> while </w:t>
      </w:r>
      <w:r w:rsidRPr="37E63DBD" w:rsidR="5A8D36A5">
        <w:rPr>
          <w:rFonts w:ascii="Arial" w:hAnsi="Arial" w:eastAsia="Arial" w:cs="Arial" w:asciiTheme="minorAscii" w:hAnsiTheme="minorAscii" w:eastAsiaTheme="minorAscii" w:cstheme="minorAscii"/>
          <w:sz w:val="22"/>
          <w:szCs w:val="22"/>
        </w:rPr>
        <w:t>mai</w:t>
      </w:r>
      <w:r w:rsidRPr="37E63DBD" w:rsidR="5A8D36A5">
        <w:rPr>
          <w:rFonts w:ascii="Arial" w:hAnsi="Arial" w:eastAsia="Arial" w:cs="Arial" w:asciiTheme="minorAscii" w:hAnsiTheme="minorAscii" w:eastAsiaTheme="minorAscii" w:cstheme="minorAscii"/>
          <w:sz w:val="22"/>
          <w:szCs w:val="22"/>
        </w:rPr>
        <w:t>ntaining</w:t>
      </w:r>
      <w:r w:rsidRPr="37E63DBD" w:rsidR="09871ABD">
        <w:rPr>
          <w:rFonts w:ascii="Arial" w:hAnsi="Arial" w:eastAsia="Arial" w:cs="Arial" w:asciiTheme="minorAscii" w:hAnsiTheme="minorAscii" w:eastAsiaTheme="minorAscii" w:cstheme="minorAscii"/>
          <w:sz w:val="22"/>
          <w:szCs w:val="22"/>
        </w:rPr>
        <w:t xml:space="preserve"> </w:t>
      </w:r>
      <w:r w:rsidRPr="37E63DBD" w:rsidR="09871ABD">
        <w:rPr>
          <w:rFonts w:ascii="Arial" w:hAnsi="Arial" w:eastAsia="Arial" w:cs="Arial" w:asciiTheme="minorAscii" w:hAnsiTheme="minorAscii" w:eastAsiaTheme="minorAscii" w:cstheme="minorAscii"/>
          <w:sz w:val="22"/>
          <w:szCs w:val="22"/>
        </w:rPr>
        <w:t>an appropriate balance</w:t>
      </w:r>
      <w:r w:rsidRPr="37E63DBD" w:rsidR="09871ABD">
        <w:rPr>
          <w:rFonts w:ascii="Arial" w:hAnsi="Arial" w:eastAsia="Arial" w:cs="Arial" w:asciiTheme="minorAscii" w:hAnsiTheme="minorAscii" w:eastAsiaTheme="minorAscii" w:cstheme="minorAscii"/>
          <w:sz w:val="22"/>
          <w:szCs w:val="22"/>
        </w:rPr>
        <w:t xml:space="preserve"> between risk and return (</w:t>
      </w:r>
      <w:r w:rsidRPr="37E63DBD" w:rsidR="09871ABD">
        <w:rPr>
          <w:rFonts w:ascii="Arial" w:hAnsi="Arial" w:eastAsia="Arial" w:cs="Arial" w:asciiTheme="minorAscii" w:hAnsiTheme="minorAscii" w:eastAsiaTheme="minorAscii" w:cstheme="minorAscii"/>
          <w:sz w:val="22"/>
          <w:szCs w:val="22"/>
        </w:rPr>
        <w:t>Hillier</w:t>
      </w:r>
      <w:r w:rsidRPr="37E63DBD" w:rsidR="21E8A75E">
        <w:rPr>
          <w:rFonts w:ascii="Arial" w:hAnsi="Arial" w:eastAsia="Arial" w:cs="Arial" w:asciiTheme="minorAscii" w:hAnsiTheme="minorAscii" w:eastAsiaTheme="minorAscii" w:cstheme="minorAscii"/>
          <w:sz w:val="22"/>
          <w:szCs w:val="22"/>
        </w:rPr>
        <w:t xml:space="preserve"> et al., 2021</w:t>
      </w:r>
      <w:r w:rsidRPr="37E63DBD" w:rsidR="09871ABD">
        <w:rPr>
          <w:rFonts w:ascii="Arial" w:hAnsi="Arial" w:eastAsia="Arial" w:cs="Arial" w:asciiTheme="minorAscii" w:hAnsiTheme="minorAscii" w:eastAsiaTheme="minorAscii" w:cstheme="minorAscii"/>
          <w:sz w:val="22"/>
          <w:szCs w:val="22"/>
        </w:rPr>
        <w:t>). As such, the choice of financing method must consider both cos</w:t>
      </w:r>
      <w:r w:rsidRPr="37E63DBD" w:rsidR="09871ABD">
        <w:rPr>
          <w:rFonts w:ascii="Arial" w:hAnsi="Arial" w:eastAsia="Arial" w:cs="Arial" w:asciiTheme="minorAscii" w:hAnsiTheme="minorAscii" w:eastAsiaTheme="minorAscii" w:cstheme="minorAscii"/>
          <w:sz w:val="22"/>
          <w:szCs w:val="22"/>
        </w:rPr>
        <w:t>t efficie</w:t>
      </w:r>
      <w:r w:rsidRPr="37E63DBD" w:rsidR="09871ABD">
        <w:rPr>
          <w:rFonts w:ascii="Arial" w:hAnsi="Arial" w:eastAsia="Arial" w:cs="Arial" w:asciiTheme="minorAscii" w:hAnsiTheme="minorAscii" w:eastAsiaTheme="minorAscii" w:cstheme="minorAscii"/>
          <w:sz w:val="22"/>
          <w:szCs w:val="22"/>
        </w:rPr>
        <w:t xml:space="preserve">ncy and financial </w:t>
      </w:r>
      <w:r w:rsidRPr="37E63DBD" w:rsidR="2F71C823">
        <w:rPr>
          <w:rFonts w:ascii="Arial" w:hAnsi="Arial" w:eastAsia="Arial" w:cs="Arial" w:asciiTheme="minorAscii" w:hAnsiTheme="minorAscii" w:eastAsiaTheme="minorAscii" w:cstheme="minorAscii"/>
          <w:sz w:val="22"/>
          <w:szCs w:val="22"/>
        </w:rPr>
        <w:t>flexibility.</w:t>
      </w:r>
    </w:p>
    <w:p xmlns:wp14="http://schemas.microsoft.com/office/word/2010/wordml" w:rsidP="37E63DBD" wp14:paraId="3BCACC58" wp14:textId="024E3E57">
      <w:pPr>
        <w:pStyle w:val="Normal"/>
        <w:spacing w:line="360" w:lineRule="auto"/>
        <w:ind w:left="0"/>
        <w:jc w:val="both"/>
        <w:rPr>
          <w:rFonts w:ascii="Arial" w:hAnsi="Arial" w:eastAsia="Arial" w:cs="Arial" w:asciiTheme="minorAscii" w:hAnsiTheme="minorAscii" w:eastAsiaTheme="minorAscii" w:cstheme="minorAscii"/>
          <w:b w:val="1"/>
          <w:bCs w:val="1"/>
          <w:sz w:val="22"/>
          <w:szCs w:val="22"/>
        </w:rPr>
      </w:pPr>
      <w:r w:rsidRPr="37E63DBD" w:rsidR="15FB2BA7">
        <w:rPr>
          <w:rFonts w:ascii="Arial" w:hAnsi="Arial" w:eastAsia="Arial" w:cs="Arial" w:asciiTheme="minorAscii" w:hAnsiTheme="minorAscii" w:eastAsiaTheme="minorAscii" w:cstheme="minorAscii"/>
          <w:b w:val="1"/>
          <w:bCs w:val="1"/>
          <w:sz w:val="22"/>
          <w:szCs w:val="22"/>
        </w:rPr>
        <w:t>5</w:t>
      </w:r>
      <w:r w:rsidRPr="37E63DBD" w:rsidR="538E5114">
        <w:rPr>
          <w:rFonts w:ascii="Arial" w:hAnsi="Arial" w:eastAsia="Arial" w:cs="Arial" w:asciiTheme="minorAscii" w:hAnsiTheme="minorAscii" w:eastAsiaTheme="minorAscii" w:cstheme="minorAscii"/>
          <w:b w:val="1"/>
          <w:bCs w:val="1"/>
          <w:sz w:val="22"/>
          <w:szCs w:val="22"/>
        </w:rPr>
        <w:t>.2 Retained Earnings</w:t>
      </w:r>
    </w:p>
    <w:p xmlns:wp14="http://schemas.microsoft.com/office/word/2010/wordml" w:rsidP="37E63DBD" wp14:paraId="44F8D6A4" wp14:textId="786F9EE0">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Retained </w:t>
      </w:r>
      <w:r w:rsidRPr="37E63DBD" w:rsidR="391E3F9E">
        <w:rPr>
          <w:rFonts w:ascii="Arial" w:hAnsi="Arial" w:eastAsia="Arial" w:cs="Arial" w:asciiTheme="minorAscii" w:hAnsiTheme="minorAscii" w:eastAsiaTheme="minorAscii" w:cstheme="minorAscii"/>
          <w:sz w:val="22"/>
          <w:szCs w:val="22"/>
        </w:rPr>
        <w:t>earnings</w:t>
      </w:r>
      <w:r w:rsidRPr="37E63DBD" w:rsidR="538E5114">
        <w:rPr>
          <w:rFonts w:ascii="Arial" w:hAnsi="Arial" w:eastAsia="Arial" w:cs="Arial" w:asciiTheme="minorAscii" w:hAnsiTheme="minorAscii" w:eastAsiaTheme="minorAscii" w:cstheme="minorAscii"/>
          <w:sz w:val="22"/>
          <w:szCs w:val="22"/>
        </w:rPr>
        <w:t xml:space="preserve"> </w:t>
      </w:r>
      <w:r w:rsidRPr="37E63DBD" w:rsidR="538E5114">
        <w:rPr>
          <w:rFonts w:ascii="Arial" w:hAnsi="Arial" w:eastAsia="Arial" w:cs="Arial" w:asciiTheme="minorAscii" w:hAnsiTheme="minorAscii" w:eastAsiaTheme="minorAscii" w:cstheme="minorAscii"/>
          <w:sz w:val="22"/>
          <w:szCs w:val="22"/>
        </w:rPr>
        <w:t>represent</w:t>
      </w:r>
      <w:r w:rsidRPr="37E63DBD" w:rsidR="538E5114">
        <w:rPr>
          <w:rFonts w:ascii="Arial" w:hAnsi="Arial" w:eastAsia="Arial" w:cs="Arial" w:asciiTheme="minorAscii" w:hAnsiTheme="minorAscii" w:eastAsiaTheme="minorAscii" w:cstheme="minorAscii"/>
          <w:sz w:val="22"/>
          <w:szCs w:val="22"/>
        </w:rPr>
        <w:t xml:space="preserve"> the most straightforward source of finance, involving the </w:t>
      </w:r>
      <w:r w:rsidRPr="37E63DBD" w:rsidR="5700FC2C">
        <w:rPr>
          <w:rFonts w:ascii="Arial" w:hAnsi="Arial" w:eastAsia="Arial" w:cs="Arial" w:asciiTheme="minorAscii" w:hAnsiTheme="minorAscii" w:eastAsiaTheme="minorAscii" w:cstheme="minorAscii"/>
          <w:sz w:val="22"/>
          <w:szCs w:val="22"/>
        </w:rPr>
        <w:t>r</w:t>
      </w:r>
      <w:r w:rsidRPr="37E63DBD" w:rsidR="5700FC2C">
        <w:rPr>
          <w:rFonts w:ascii="Arial" w:hAnsi="Arial" w:eastAsia="Arial" w:cs="Arial" w:asciiTheme="minorAscii" w:hAnsiTheme="minorAscii" w:eastAsiaTheme="minorAscii" w:cstheme="minorAscii"/>
          <w:sz w:val="22"/>
          <w:szCs w:val="22"/>
        </w:rPr>
        <w:t>einvestme</w:t>
      </w:r>
      <w:r w:rsidRPr="37E63DBD" w:rsidR="5700FC2C">
        <w:rPr>
          <w:rFonts w:ascii="Arial" w:hAnsi="Arial" w:eastAsia="Arial" w:cs="Arial" w:asciiTheme="minorAscii" w:hAnsiTheme="minorAscii" w:eastAsiaTheme="minorAscii" w:cstheme="minorAscii"/>
          <w:sz w:val="22"/>
          <w:szCs w:val="22"/>
        </w:rPr>
        <w:t>nt</w:t>
      </w:r>
      <w:r w:rsidRPr="37E63DBD" w:rsidR="538E5114">
        <w:rPr>
          <w:rFonts w:ascii="Arial" w:hAnsi="Arial" w:eastAsia="Arial" w:cs="Arial" w:asciiTheme="minorAscii" w:hAnsiTheme="minorAscii" w:eastAsiaTheme="minorAscii" w:cstheme="minorAscii"/>
          <w:sz w:val="22"/>
          <w:szCs w:val="22"/>
        </w:rPr>
        <w:t xml:space="preserve"> of internal profits. </w:t>
      </w:r>
    </w:p>
    <w:p xmlns:wp14="http://schemas.microsoft.com/office/word/2010/wordml" w:rsidP="37E63DBD" wp14:paraId="0D5E00E7" wp14:textId="6D6FA829">
      <w:pPr>
        <w:pStyle w:val="Normal"/>
        <w:spacing w:line="360" w:lineRule="auto"/>
        <w:ind w:left="0"/>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Advantages:</w:t>
      </w:r>
    </w:p>
    <w:p xmlns:wp14="http://schemas.microsoft.com/office/word/2010/wordml" w:rsidP="37E63DBD" wp14:paraId="13E91B69" wp14:textId="7F70A62E">
      <w:pPr>
        <w:pStyle w:val="ListParagraph"/>
        <w:numPr>
          <w:ilvl w:val="0"/>
          <w:numId w:val="3"/>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No interest payments or repayment obligations</w:t>
      </w:r>
    </w:p>
    <w:p xmlns:wp14="http://schemas.microsoft.com/office/word/2010/wordml" w:rsidP="37E63DBD" wp14:paraId="1E6FA30F" wp14:textId="2928B62B">
      <w:pPr>
        <w:pStyle w:val="ListParagraph"/>
        <w:numPr>
          <w:ilvl w:val="0"/>
          <w:numId w:val="3"/>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No</w:t>
      </w:r>
      <w:r w:rsidRPr="37E63DBD" w:rsidR="538E5114">
        <w:rPr>
          <w:rFonts w:ascii="Arial" w:hAnsi="Arial" w:eastAsia="Arial" w:cs="Arial" w:asciiTheme="minorAscii" w:hAnsiTheme="minorAscii" w:eastAsiaTheme="minorAscii" w:cstheme="minorAscii"/>
          <w:sz w:val="22"/>
          <w:szCs w:val="22"/>
        </w:rPr>
        <w:t xml:space="preserve"> dilution of ownership or control</w:t>
      </w:r>
    </w:p>
    <w:p xmlns:wp14="http://schemas.microsoft.com/office/word/2010/wordml" w:rsidP="37E63DBD" wp14:paraId="08084B47" wp14:textId="62475256">
      <w:pPr>
        <w:pStyle w:val="ListParagraph"/>
        <w:numPr>
          <w:ilvl w:val="0"/>
          <w:numId w:val="3"/>
        </w:numPr>
        <w:spacing w:line="360" w:lineRule="auto"/>
        <w:jc w:val="both"/>
        <w:rPr>
          <w:rFonts w:ascii="Arial" w:hAnsi="Arial" w:eastAsia="Arial" w:cs="Arial" w:asciiTheme="minorAscii" w:hAnsiTheme="minorAscii" w:eastAsiaTheme="minorAscii" w:cstheme="minorAscii"/>
          <w:sz w:val="22"/>
          <w:szCs w:val="22"/>
        </w:rPr>
      </w:pPr>
      <w:r w:rsidRPr="37E63DBD" w:rsidR="3ACEC68D">
        <w:rPr>
          <w:rFonts w:ascii="Arial" w:hAnsi="Arial" w:eastAsia="Arial" w:cs="Arial" w:asciiTheme="minorAscii" w:hAnsiTheme="minorAscii" w:eastAsiaTheme="minorAscii" w:cstheme="minorAscii"/>
          <w:sz w:val="22"/>
          <w:szCs w:val="22"/>
        </w:rPr>
        <w:t>Typically</w:t>
      </w:r>
      <w:r w:rsidRPr="37E63DBD" w:rsidR="538E5114">
        <w:rPr>
          <w:rFonts w:ascii="Arial" w:hAnsi="Arial" w:eastAsia="Arial" w:cs="Arial" w:asciiTheme="minorAscii" w:hAnsiTheme="minorAscii" w:eastAsiaTheme="minorAscii" w:cstheme="minorAscii"/>
          <w:sz w:val="22"/>
          <w:szCs w:val="22"/>
        </w:rPr>
        <w:t xml:space="preserve"> lower cost compared to external finance</w:t>
      </w:r>
    </w:p>
    <w:p xmlns:wp14="http://schemas.microsoft.com/office/word/2010/wordml" w:rsidP="37E63DBD" wp14:paraId="6598ECA8" wp14:textId="2658AF83">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Disadvantages:</w:t>
      </w:r>
    </w:p>
    <w:p xmlns:wp14="http://schemas.microsoft.com/office/word/2010/wordml" w:rsidP="37E63DBD" wp14:paraId="3F970476" wp14:textId="3095C19B">
      <w:pPr>
        <w:pStyle w:val="ListParagraph"/>
        <w:numPr>
          <w:ilvl w:val="0"/>
          <w:numId w:val="4"/>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Limited availability depending on </w:t>
      </w:r>
      <w:r w:rsidRPr="37E63DBD" w:rsidR="538E5114">
        <w:rPr>
          <w:rFonts w:ascii="Arial" w:hAnsi="Arial" w:eastAsia="Arial" w:cs="Arial" w:asciiTheme="minorAscii" w:hAnsiTheme="minorAscii" w:eastAsiaTheme="minorAscii" w:cstheme="minorAscii"/>
          <w:sz w:val="22"/>
          <w:szCs w:val="22"/>
        </w:rPr>
        <w:t>pri</w:t>
      </w:r>
      <w:r w:rsidRPr="37E63DBD" w:rsidR="538E5114">
        <w:rPr>
          <w:rFonts w:ascii="Arial" w:hAnsi="Arial" w:eastAsia="Arial" w:cs="Arial" w:asciiTheme="minorAscii" w:hAnsiTheme="minorAscii" w:eastAsiaTheme="minorAscii" w:cstheme="minorAscii"/>
          <w:sz w:val="22"/>
          <w:szCs w:val="22"/>
        </w:rPr>
        <w:t>or profitability</w:t>
      </w:r>
    </w:p>
    <w:p xmlns:wp14="http://schemas.microsoft.com/office/word/2010/wordml" w:rsidP="37E63DBD" wp14:paraId="2CD224AB" wp14:textId="31A07693">
      <w:pPr>
        <w:pStyle w:val="ListParagraph"/>
        <w:numPr>
          <w:ilvl w:val="0"/>
          <w:numId w:val="4"/>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Opportunity cost of foregone dividend payments</w:t>
      </w:r>
    </w:p>
    <w:p xmlns:wp14="http://schemas.microsoft.com/office/word/2010/wordml" w:rsidP="37E63DBD" wp14:paraId="4B0A0B5D" wp14:textId="7FE1D6A7">
      <w:pPr>
        <w:pStyle w:val="ListParagraph"/>
        <w:numPr>
          <w:ilvl w:val="0"/>
          <w:numId w:val="4"/>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May </w:t>
      </w:r>
      <w:r w:rsidRPr="37E63DBD" w:rsidR="1B71BA8D">
        <w:rPr>
          <w:rFonts w:ascii="Arial" w:hAnsi="Arial" w:eastAsia="Arial" w:cs="Arial" w:asciiTheme="minorAscii" w:hAnsiTheme="minorAscii" w:eastAsiaTheme="minorAscii" w:cstheme="minorAscii"/>
          <w:sz w:val="22"/>
          <w:szCs w:val="22"/>
        </w:rPr>
        <w:t>restrict</w:t>
      </w:r>
      <w:r w:rsidRPr="37E63DBD" w:rsidR="538E5114">
        <w:rPr>
          <w:rFonts w:ascii="Arial" w:hAnsi="Arial" w:eastAsia="Arial" w:cs="Arial" w:asciiTheme="minorAscii" w:hAnsiTheme="minorAscii" w:eastAsiaTheme="minorAscii" w:cstheme="minorAscii"/>
          <w:sz w:val="22"/>
          <w:szCs w:val="22"/>
        </w:rPr>
        <w:t xml:space="preserve"> future investment capacity.</w:t>
      </w:r>
    </w:p>
    <w:p xmlns:wp14="http://schemas.microsoft.com/office/word/2010/wordml" w:rsidP="37E63DBD" wp14:paraId="1F87A748" wp14:textId="25CAD9E6">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Empirical research suggests that firms often prefer internal finance due to lower transaction costs and reduced information asymmetry (</w:t>
      </w:r>
      <w:r w:rsidRPr="37E63DBD" w:rsidR="40DE7373">
        <w:rPr>
          <w:rFonts w:ascii="Arial" w:hAnsi="Arial" w:eastAsia="Arial" w:cs="Arial" w:asciiTheme="minorAscii" w:hAnsiTheme="minorAscii" w:eastAsiaTheme="minorAscii" w:cstheme="minorAscii"/>
          <w:sz w:val="22"/>
          <w:szCs w:val="22"/>
        </w:rPr>
        <w:t xml:space="preserve">Brealey, Myers &amp; </w:t>
      </w:r>
      <w:r w:rsidRPr="37E63DBD" w:rsidR="40DE7373">
        <w:rPr>
          <w:rFonts w:ascii="Arial" w:hAnsi="Arial" w:eastAsia="Arial" w:cs="Arial" w:asciiTheme="minorAscii" w:hAnsiTheme="minorAscii" w:eastAsiaTheme="minorAscii" w:cstheme="minorAscii"/>
          <w:sz w:val="22"/>
          <w:szCs w:val="22"/>
        </w:rPr>
        <w:t>Allen</w:t>
      </w:r>
      <w:r w:rsidRPr="37E63DBD" w:rsidR="40DE7373">
        <w:rPr>
          <w:rFonts w:ascii="Arial" w:hAnsi="Arial" w:eastAsia="Arial" w:cs="Arial" w:asciiTheme="minorAscii" w:hAnsiTheme="minorAscii" w:eastAsiaTheme="minorAscii" w:cstheme="minorAscii"/>
          <w:sz w:val="22"/>
          <w:szCs w:val="22"/>
        </w:rPr>
        <w:t>, 2011</w:t>
      </w:r>
      <w:r w:rsidRPr="37E63DBD" w:rsidR="538E5114">
        <w:rPr>
          <w:rFonts w:ascii="Arial" w:hAnsi="Arial" w:eastAsia="Arial" w:cs="Arial" w:asciiTheme="minorAscii" w:hAnsiTheme="minorAscii" w:eastAsiaTheme="minorAscii" w:cstheme="minorAscii"/>
          <w:sz w:val="22"/>
          <w:szCs w:val="22"/>
        </w:rPr>
        <w:t>)</w:t>
      </w:r>
    </w:p>
    <w:p xmlns:wp14="http://schemas.microsoft.com/office/word/2010/wordml" w:rsidP="37E63DBD" wp14:paraId="6F698A49" wp14:textId="2A574B75">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1B412AC7">
        <w:rPr>
          <w:rFonts w:ascii="Arial" w:hAnsi="Arial" w:eastAsia="Arial" w:cs="Arial" w:asciiTheme="minorAscii" w:hAnsiTheme="minorAscii" w:eastAsiaTheme="minorAscii" w:cstheme="minorAscii"/>
          <w:b w:val="1"/>
          <w:bCs w:val="1"/>
          <w:sz w:val="22"/>
          <w:szCs w:val="22"/>
        </w:rPr>
        <w:t>5</w:t>
      </w:r>
      <w:r w:rsidRPr="37E63DBD" w:rsidR="538E5114">
        <w:rPr>
          <w:rFonts w:ascii="Arial" w:hAnsi="Arial" w:eastAsia="Arial" w:cs="Arial" w:asciiTheme="minorAscii" w:hAnsiTheme="minorAscii" w:eastAsiaTheme="minorAscii" w:cstheme="minorAscii"/>
          <w:b w:val="1"/>
          <w:bCs w:val="1"/>
          <w:sz w:val="22"/>
          <w:szCs w:val="22"/>
        </w:rPr>
        <w:t>.3 Debt Financing</w:t>
      </w:r>
    </w:p>
    <w:p xmlns:wp14="http://schemas.microsoft.com/office/word/2010/wordml" w:rsidP="37E63DBD" wp14:paraId="7D1BAE89" wp14:textId="260687A0">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Debt finance involves </w:t>
      </w:r>
      <w:r w:rsidRPr="37E63DBD" w:rsidR="3B805406">
        <w:rPr>
          <w:rFonts w:ascii="Arial" w:hAnsi="Arial" w:eastAsia="Arial" w:cs="Arial" w:asciiTheme="minorAscii" w:hAnsiTheme="minorAscii" w:eastAsiaTheme="minorAscii" w:cstheme="minorAscii"/>
          <w:sz w:val="22"/>
          <w:szCs w:val="22"/>
        </w:rPr>
        <w:t>borrowing</w:t>
      </w:r>
      <w:r w:rsidRPr="37E63DBD" w:rsidR="538E5114">
        <w:rPr>
          <w:rFonts w:ascii="Arial" w:hAnsi="Arial" w:eastAsia="Arial" w:cs="Arial" w:asciiTheme="minorAscii" w:hAnsiTheme="minorAscii" w:eastAsiaTheme="minorAscii" w:cstheme="minorAscii"/>
          <w:sz w:val="22"/>
          <w:szCs w:val="22"/>
        </w:rPr>
        <w:t xml:space="preserve"> from financial </w:t>
      </w:r>
      <w:r w:rsidRPr="37E63DBD" w:rsidR="43560B92">
        <w:rPr>
          <w:rFonts w:ascii="Arial" w:hAnsi="Arial" w:eastAsia="Arial" w:cs="Arial" w:asciiTheme="minorAscii" w:hAnsiTheme="minorAscii" w:eastAsiaTheme="minorAscii" w:cstheme="minorAscii"/>
          <w:sz w:val="22"/>
          <w:szCs w:val="22"/>
        </w:rPr>
        <w:t>institution</w:t>
      </w:r>
      <w:r w:rsidRPr="37E63DBD" w:rsidR="538E5114">
        <w:rPr>
          <w:rFonts w:ascii="Arial" w:hAnsi="Arial" w:eastAsia="Arial" w:cs="Arial" w:asciiTheme="minorAscii" w:hAnsiTheme="minorAscii" w:eastAsiaTheme="minorAscii" w:cstheme="minorAscii"/>
          <w:sz w:val="22"/>
          <w:szCs w:val="22"/>
        </w:rPr>
        <w:t xml:space="preserve"> or issuing corporate debt instruments. </w:t>
      </w:r>
    </w:p>
    <w:p xmlns:wp14="http://schemas.microsoft.com/office/word/2010/wordml" w:rsidP="37E63DBD" wp14:paraId="6842AA43" wp14:textId="6A3E1725">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Advantages: </w:t>
      </w:r>
    </w:p>
    <w:p xmlns:wp14="http://schemas.microsoft.com/office/word/2010/wordml" w:rsidP="37E63DBD" wp14:paraId="69D56E62" wp14:textId="061CED9F">
      <w:pPr>
        <w:pStyle w:val="ListParagraph"/>
        <w:numPr>
          <w:ilvl w:val="0"/>
          <w:numId w:val="5"/>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Interest </w:t>
      </w:r>
      <w:r w:rsidRPr="37E63DBD" w:rsidR="538E5114">
        <w:rPr>
          <w:rFonts w:ascii="Arial" w:hAnsi="Arial" w:eastAsia="Arial" w:cs="Arial" w:asciiTheme="minorAscii" w:hAnsiTheme="minorAscii" w:eastAsiaTheme="minorAscii" w:cstheme="minorAscii"/>
          <w:sz w:val="22"/>
          <w:szCs w:val="22"/>
        </w:rPr>
        <w:t>payment</w:t>
      </w:r>
      <w:r w:rsidRPr="37E63DBD" w:rsidR="538E5114">
        <w:rPr>
          <w:rFonts w:ascii="Arial" w:hAnsi="Arial" w:eastAsia="Arial" w:cs="Arial" w:asciiTheme="minorAscii" w:hAnsiTheme="minorAscii" w:eastAsiaTheme="minorAscii" w:cstheme="minorAscii"/>
          <w:sz w:val="22"/>
          <w:szCs w:val="22"/>
        </w:rPr>
        <w:t>s are tax-deductible, creating a tax shield benefit</w:t>
      </w:r>
    </w:p>
    <w:p xmlns:wp14="http://schemas.microsoft.com/office/word/2010/wordml" w:rsidP="37E63DBD" wp14:paraId="292F6857" wp14:textId="565E48B1">
      <w:pPr>
        <w:pStyle w:val="ListParagraph"/>
        <w:numPr>
          <w:ilvl w:val="0"/>
          <w:numId w:val="5"/>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Does not dilute ownership or control</w:t>
      </w:r>
    </w:p>
    <w:p xmlns:wp14="http://schemas.microsoft.com/office/word/2010/wordml" w:rsidP="37E63DBD" wp14:paraId="2BFE530D" wp14:textId="3A1CE26C">
      <w:pPr>
        <w:pStyle w:val="ListParagraph"/>
        <w:numPr>
          <w:ilvl w:val="0"/>
          <w:numId w:val="5"/>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can be </w:t>
      </w:r>
      <w:r w:rsidRPr="37E63DBD" w:rsidR="6B17E15C">
        <w:rPr>
          <w:rFonts w:ascii="Arial" w:hAnsi="Arial" w:eastAsia="Arial" w:cs="Arial" w:asciiTheme="minorAscii" w:hAnsiTheme="minorAscii" w:eastAsiaTheme="minorAscii" w:cstheme="minorAscii"/>
          <w:sz w:val="22"/>
          <w:szCs w:val="22"/>
        </w:rPr>
        <w:t>relatively</w:t>
      </w:r>
      <w:r w:rsidRPr="37E63DBD" w:rsidR="538E5114">
        <w:rPr>
          <w:rFonts w:ascii="Arial" w:hAnsi="Arial" w:eastAsia="Arial" w:cs="Arial" w:asciiTheme="minorAscii" w:hAnsiTheme="minorAscii" w:eastAsiaTheme="minorAscii" w:cstheme="minorAscii"/>
          <w:sz w:val="22"/>
          <w:szCs w:val="22"/>
        </w:rPr>
        <w:t xml:space="preserve"> quick</w:t>
      </w:r>
      <w:r w:rsidRPr="37E63DBD" w:rsidR="538E5114">
        <w:rPr>
          <w:rFonts w:ascii="Arial" w:hAnsi="Arial" w:eastAsia="Arial" w:cs="Arial" w:asciiTheme="minorAscii" w:hAnsiTheme="minorAscii" w:eastAsiaTheme="minorAscii" w:cstheme="minorAscii"/>
          <w:sz w:val="22"/>
          <w:szCs w:val="22"/>
        </w:rPr>
        <w:t xml:space="preserve"> to obtain</w:t>
      </w:r>
    </w:p>
    <w:p xmlns:wp14="http://schemas.microsoft.com/office/word/2010/wordml" w:rsidP="37E63DBD" wp14:paraId="2B0E930D" wp14:textId="02D29847">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Disadvantages: </w:t>
      </w:r>
    </w:p>
    <w:p xmlns:wp14="http://schemas.microsoft.com/office/word/2010/wordml" w:rsidP="37E63DBD" wp14:paraId="4D45B4FA" wp14:textId="4B4D7205">
      <w:pPr>
        <w:pStyle w:val="ListParagraph"/>
        <w:numPr>
          <w:ilvl w:val="0"/>
          <w:numId w:val="6"/>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Increases financial risk and leverage</w:t>
      </w:r>
    </w:p>
    <w:p xmlns:wp14="http://schemas.microsoft.com/office/word/2010/wordml" w:rsidP="37E63DBD" wp14:paraId="3C212E3E" wp14:textId="14C54AE8">
      <w:pPr>
        <w:pStyle w:val="ListParagraph"/>
        <w:numPr>
          <w:ilvl w:val="0"/>
          <w:numId w:val="6"/>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Requires regular interest and principal repayments</w:t>
      </w:r>
    </w:p>
    <w:p xmlns:wp14="http://schemas.microsoft.com/office/word/2010/wordml" w:rsidP="37E63DBD" wp14:paraId="47F4D483" wp14:textId="48E5FDB1">
      <w:pPr>
        <w:pStyle w:val="ListParagraph"/>
        <w:numPr>
          <w:ilvl w:val="0"/>
          <w:numId w:val="6"/>
        </w:numPr>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May impose restrictive covenants on operations</w:t>
      </w:r>
    </w:p>
    <w:p xmlns:wp14="http://schemas.microsoft.com/office/word/2010/wordml" w:rsidP="37E63DBD" wp14:paraId="71AAA16A" wp14:textId="044764C3">
      <w:pPr>
        <w:pStyle w:val="Normal"/>
        <w:spacing w:line="360" w:lineRule="auto"/>
        <w:jc w:val="both"/>
        <w:rPr>
          <w:rFonts w:ascii="Arial" w:hAnsi="Arial" w:eastAsia="Arial" w:cs="Arial" w:asciiTheme="minorAscii" w:hAnsiTheme="minorAscii" w:eastAsiaTheme="minorAscii" w:cstheme="minorAscii"/>
          <w:sz w:val="22"/>
          <w:szCs w:val="22"/>
        </w:rPr>
      </w:pPr>
      <w:r w:rsidRPr="37E63DBD" w:rsidR="538E5114">
        <w:rPr>
          <w:rFonts w:ascii="Arial" w:hAnsi="Arial" w:eastAsia="Arial" w:cs="Arial" w:asciiTheme="minorAscii" w:hAnsiTheme="minorAscii" w:eastAsiaTheme="minorAscii" w:cstheme="minorAscii"/>
          <w:sz w:val="22"/>
          <w:szCs w:val="22"/>
        </w:rPr>
        <w:t xml:space="preserve">Recent studies </w:t>
      </w:r>
      <w:r w:rsidRPr="37E63DBD" w:rsidR="538E5114">
        <w:rPr>
          <w:rFonts w:ascii="Arial" w:hAnsi="Arial" w:eastAsia="Arial" w:cs="Arial" w:asciiTheme="minorAscii" w:hAnsiTheme="minorAscii" w:eastAsiaTheme="minorAscii" w:cstheme="minorAscii"/>
          <w:sz w:val="22"/>
          <w:szCs w:val="22"/>
        </w:rPr>
        <w:t>indicate</w:t>
      </w:r>
      <w:r w:rsidRPr="37E63DBD" w:rsidR="538E5114">
        <w:rPr>
          <w:rFonts w:ascii="Arial" w:hAnsi="Arial" w:eastAsia="Arial" w:cs="Arial" w:asciiTheme="minorAscii" w:hAnsiTheme="minorAscii" w:eastAsiaTheme="minorAscii" w:cstheme="minorAscii"/>
          <w:sz w:val="22"/>
          <w:szCs w:val="22"/>
        </w:rPr>
        <w:t xml:space="preserve"> that while moderate debt can enhance firm value through tax advantages, exce</w:t>
      </w:r>
      <w:r w:rsidRPr="37E63DBD" w:rsidR="538E5114">
        <w:rPr>
          <w:rFonts w:ascii="Arial" w:hAnsi="Arial" w:eastAsia="Arial" w:cs="Arial" w:asciiTheme="minorAscii" w:hAnsiTheme="minorAscii" w:eastAsiaTheme="minorAscii" w:cstheme="minorAscii"/>
          <w:sz w:val="22"/>
          <w:szCs w:val="22"/>
        </w:rPr>
        <w:t>ss</w:t>
      </w:r>
      <w:r w:rsidRPr="37E63DBD" w:rsidR="538E5114">
        <w:rPr>
          <w:rFonts w:ascii="Arial" w:hAnsi="Arial" w:eastAsia="Arial" w:cs="Arial" w:asciiTheme="minorAscii" w:hAnsiTheme="minorAscii" w:eastAsiaTheme="minorAscii" w:cstheme="minorAscii"/>
          <w:sz w:val="22"/>
          <w:szCs w:val="22"/>
        </w:rPr>
        <w:t>ive leverage increases the prof</w:t>
      </w:r>
      <w:r w:rsidRPr="37E63DBD" w:rsidR="538E5114">
        <w:rPr>
          <w:rFonts w:ascii="Arial" w:hAnsi="Arial" w:eastAsia="Arial" w:cs="Arial" w:asciiTheme="minorAscii" w:hAnsiTheme="minorAscii" w:eastAsiaTheme="minorAscii" w:cstheme="minorAscii"/>
          <w:sz w:val="22"/>
          <w:szCs w:val="22"/>
        </w:rPr>
        <w:t>it</w:t>
      </w:r>
      <w:r w:rsidRPr="37E63DBD" w:rsidR="538E5114">
        <w:rPr>
          <w:rFonts w:ascii="Arial" w:hAnsi="Arial" w:eastAsia="Arial" w:cs="Arial" w:asciiTheme="minorAscii" w:hAnsiTheme="minorAscii" w:eastAsiaTheme="minorAscii" w:cstheme="minorAscii"/>
          <w:sz w:val="22"/>
          <w:szCs w:val="22"/>
        </w:rPr>
        <w:t>abilit</w:t>
      </w:r>
      <w:r w:rsidRPr="37E63DBD" w:rsidR="538E5114">
        <w:rPr>
          <w:rFonts w:ascii="Arial" w:hAnsi="Arial" w:eastAsia="Arial" w:cs="Arial" w:asciiTheme="minorAscii" w:hAnsiTheme="minorAscii" w:eastAsiaTheme="minorAscii" w:cstheme="minorAscii"/>
          <w:sz w:val="22"/>
          <w:szCs w:val="22"/>
        </w:rPr>
        <w:t>y of fin</w:t>
      </w:r>
      <w:r w:rsidRPr="37E63DBD" w:rsidR="538E5114">
        <w:rPr>
          <w:rFonts w:ascii="Arial" w:hAnsi="Arial" w:eastAsia="Arial" w:cs="Arial" w:asciiTheme="minorAscii" w:hAnsiTheme="minorAscii" w:eastAsiaTheme="minorAscii" w:cstheme="minorAscii"/>
          <w:sz w:val="22"/>
          <w:szCs w:val="22"/>
        </w:rPr>
        <w:t xml:space="preserve">ancial distress and reduces </w:t>
      </w:r>
      <w:r w:rsidRPr="37E63DBD" w:rsidR="09C64063">
        <w:rPr>
          <w:rFonts w:ascii="Arial" w:hAnsi="Arial" w:eastAsia="Arial" w:cs="Arial" w:asciiTheme="minorAscii" w:hAnsiTheme="minorAscii" w:eastAsiaTheme="minorAscii" w:cstheme="minorAscii"/>
          <w:sz w:val="22"/>
          <w:szCs w:val="22"/>
        </w:rPr>
        <w:t>investment</w:t>
      </w:r>
      <w:r w:rsidRPr="37E63DBD" w:rsidR="538E5114">
        <w:rPr>
          <w:rFonts w:ascii="Arial" w:hAnsi="Arial" w:eastAsia="Arial" w:cs="Arial" w:asciiTheme="minorAscii" w:hAnsiTheme="minorAscii" w:eastAsiaTheme="minorAscii" w:cstheme="minorAscii"/>
          <w:sz w:val="22"/>
          <w:szCs w:val="22"/>
        </w:rPr>
        <w:t xml:space="preserve"> flexibility (</w:t>
      </w:r>
      <w:r w:rsidRPr="37E63DBD" w:rsidR="538E5114">
        <w:rPr>
          <w:rFonts w:ascii="Arial" w:hAnsi="Arial" w:eastAsia="Arial" w:cs="Arial" w:asciiTheme="minorAscii" w:hAnsiTheme="minorAscii" w:eastAsiaTheme="minorAscii" w:cstheme="minorAscii"/>
          <w:sz w:val="22"/>
          <w:szCs w:val="22"/>
        </w:rPr>
        <w:t>Drobetz</w:t>
      </w:r>
      <w:r w:rsidRPr="37E63DBD" w:rsidR="6C6EF0C4">
        <w:rPr>
          <w:rFonts w:ascii="Arial" w:hAnsi="Arial" w:eastAsia="Arial" w:cs="Arial" w:asciiTheme="minorAscii" w:hAnsiTheme="minorAscii" w:eastAsiaTheme="minorAscii" w:cstheme="minorAscii"/>
          <w:sz w:val="22"/>
          <w:szCs w:val="22"/>
        </w:rPr>
        <w:t xml:space="preserve"> et al., 2018</w:t>
      </w:r>
      <w:r w:rsidRPr="37E63DBD" w:rsidR="538E5114">
        <w:rPr>
          <w:rFonts w:ascii="Arial" w:hAnsi="Arial" w:eastAsia="Arial" w:cs="Arial" w:asciiTheme="minorAscii" w:hAnsiTheme="minorAscii" w:eastAsiaTheme="minorAscii" w:cstheme="minorAscii"/>
          <w:sz w:val="22"/>
          <w:szCs w:val="22"/>
        </w:rPr>
        <w:t>)</w:t>
      </w:r>
    </w:p>
    <w:p xmlns:wp14="http://schemas.microsoft.com/office/word/2010/wordml" w:rsidP="37E63DBD" wp14:paraId="43F3F47A" wp14:textId="79544D0E">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4A656D38">
        <w:rPr>
          <w:rFonts w:ascii="Arial" w:hAnsi="Arial" w:eastAsia="Arial" w:cs="Arial" w:asciiTheme="minorAscii" w:hAnsiTheme="minorAscii" w:eastAsiaTheme="minorAscii" w:cstheme="minorAscii"/>
          <w:b w:val="1"/>
          <w:bCs w:val="1"/>
          <w:sz w:val="22"/>
          <w:szCs w:val="22"/>
        </w:rPr>
        <w:t>5</w:t>
      </w:r>
      <w:r w:rsidRPr="37E63DBD" w:rsidR="6FCACF71">
        <w:rPr>
          <w:rFonts w:ascii="Arial" w:hAnsi="Arial" w:eastAsia="Arial" w:cs="Arial" w:asciiTheme="minorAscii" w:hAnsiTheme="minorAscii" w:eastAsiaTheme="minorAscii" w:cstheme="minorAscii"/>
          <w:b w:val="1"/>
          <w:bCs w:val="1"/>
          <w:sz w:val="22"/>
          <w:szCs w:val="22"/>
        </w:rPr>
        <w:t>.4 Equity Financing</w:t>
      </w:r>
    </w:p>
    <w:p xmlns:wp14="http://schemas.microsoft.com/office/word/2010/wordml" w:rsidP="37E63DBD" wp14:paraId="1F2BD2C7" wp14:textId="1DC308BF">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Equity finance involves raising capital through issuing shares.</w:t>
      </w:r>
    </w:p>
    <w:p xmlns:wp14="http://schemas.microsoft.com/office/word/2010/wordml" w:rsidP="37E63DBD" wp14:paraId="36A38477" wp14:textId="71341BF4">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 xml:space="preserve">Advantages: </w:t>
      </w:r>
    </w:p>
    <w:p xmlns:wp14="http://schemas.microsoft.com/office/word/2010/wordml" w:rsidP="37E63DBD" wp14:paraId="7E63B4A0" wp14:textId="6EAADA87">
      <w:pPr>
        <w:pStyle w:val="ListParagraph"/>
        <w:numPr>
          <w:ilvl w:val="0"/>
          <w:numId w:val="7"/>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No mandatory repayment obligations</w:t>
      </w:r>
    </w:p>
    <w:p xmlns:wp14="http://schemas.microsoft.com/office/word/2010/wordml" w:rsidP="37E63DBD" wp14:paraId="48603C90" wp14:textId="708FA9F7">
      <w:pPr>
        <w:pStyle w:val="ListParagraph"/>
        <w:numPr>
          <w:ilvl w:val="0"/>
          <w:numId w:val="7"/>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Reduces financial distress risk</w:t>
      </w:r>
    </w:p>
    <w:p xmlns:wp14="http://schemas.microsoft.com/office/word/2010/wordml" w:rsidP="37E63DBD" wp14:paraId="105BDF54" wp14:textId="69DE2B67">
      <w:pPr>
        <w:pStyle w:val="ListParagraph"/>
        <w:numPr>
          <w:ilvl w:val="0"/>
          <w:numId w:val="7"/>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Can improve balance sheet stability</w:t>
      </w:r>
    </w:p>
    <w:p xmlns:wp14="http://schemas.microsoft.com/office/word/2010/wordml" w:rsidP="37E63DBD" wp14:paraId="660241F5" wp14:textId="54FE9D5A">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 xml:space="preserve">Disadvantages: </w:t>
      </w:r>
    </w:p>
    <w:p xmlns:wp14="http://schemas.microsoft.com/office/word/2010/wordml" w:rsidP="37E63DBD" wp14:paraId="153F0878" wp14:textId="557063AD">
      <w:pPr>
        <w:pStyle w:val="ListParagraph"/>
        <w:numPr>
          <w:ilvl w:val="0"/>
          <w:numId w:val="8"/>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Dilution of existing ownership and control</w:t>
      </w:r>
    </w:p>
    <w:p xmlns:wp14="http://schemas.microsoft.com/office/word/2010/wordml" w:rsidP="37E63DBD" wp14:paraId="28354F20" wp14:textId="161973E8">
      <w:pPr>
        <w:pStyle w:val="ListParagraph"/>
        <w:numPr>
          <w:ilvl w:val="0"/>
          <w:numId w:val="8"/>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Often more expensive than debt due to required shareholder returns</w:t>
      </w:r>
    </w:p>
    <w:p xmlns:wp14="http://schemas.microsoft.com/office/word/2010/wordml" w:rsidP="37E63DBD" wp14:paraId="27291C95" wp14:textId="0A411219">
      <w:pPr>
        <w:pStyle w:val="ListParagraph"/>
        <w:numPr>
          <w:ilvl w:val="0"/>
          <w:numId w:val="8"/>
        </w:numPr>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Potential negative market signalling if perceived as financial weakness</w:t>
      </w:r>
    </w:p>
    <w:p xmlns:wp14="http://schemas.microsoft.com/office/word/2010/wordml" w:rsidP="37E63DBD" wp14:paraId="712964D5" wp14:textId="3C8B1423">
      <w:pPr>
        <w:pStyle w:val="Normal"/>
        <w:spacing w:line="360" w:lineRule="auto"/>
        <w:jc w:val="both"/>
        <w:rPr>
          <w:rFonts w:ascii="Arial" w:hAnsi="Arial" w:eastAsia="Arial" w:cs="Arial" w:asciiTheme="minorAscii" w:hAnsiTheme="minorAscii" w:eastAsiaTheme="minorAscii" w:cstheme="minorAscii"/>
          <w:sz w:val="22"/>
          <w:szCs w:val="22"/>
        </w:rPr>
      </w:pPr>
      <w:r w:rsidRPr="37E63DBD" w:rsidR="6FCACF71">
        <w:rPr>
          <w:rFonts w:ascii="Arial" w:hAnsi="Arial" w:eastAsia="Arial" w:cs="Arial" w:asciiTheme="minorAscii" w:hAnsiTheme="minorAscii" w:eastAsiaTheme="minorAscii" w:cstheme="minorAscii"/>
          <w:sz w:val="22"/>
          <w:szCs w:val="22"/>
        </w:rPr>
        <w:t xml:space="preserve">According to signalling theory, equity issuance can sometimes be interpreted by investors as </w:t>
      </w:r>
      <w:r w:rsidRPr="37E63DBD" w:rsidR="6FCACF71">
        <w:rPr>
          <w:rFonts w:ascii="Arial" w:hAnsi="Arial" w:eastAsia="Arial" w:cs="Arial" w:asciiTheme="minorAscii" w:hAnsiTheme="minorAscii" w:eastAsiaTheme="minorAscii" w:cstheme="minorAscii"/>
          <w:sz w:val="22"/>
          <w:szCs w:val="22"/>
        </w:rPr>
        <w:t>an indication</w:t>
      </w:r>
      <w:r w:rsidRPr="37E63DBD" w:rsidR="6FCACF71">
        <w:rPr>
          <w:rFonts w:ascii="Arial" w:hAnsi="Arial" w:eastAsia="Arial" w:cs="Arial" w:asciiTheme="minorAscii" w:hAnsiTheme="minorAscii" w:eastAsiaTheme="minorAscii" w:cstheme="minorAscii"/>
          <w:sz w:val="22"/>
          <w:szCs w:val="22"/>
        </w:rPr>
        <w:t xml:space="preserve"> that internal funds are insufficient or that management perceives overvaluation of shares, potentially affecting market confidence (</w:t>
      </w:r>
      <w:r w:rsidRPr="37E63DBD" w:rsidR="38C69EDB">
        <w:rPr>
          <w:rFonts w:ascii="Arial" w:hAnsi="Arial" w:eastAsia="Arial" w:cs="Arial" w:asciiTheme="minorAscii" w:hAnsiTheme="minorAscii" w:eastAsiaTheme="minorAscii" w:cstheme="minorAscii"/>
          <w:sz w:val="22"/>
          <w:szCs w:val="22"/>
        </w:rPr>
        <w:t>Baker &amp; Wurgler, 2002</w:t>
      </w:r>
      <w:r w:rsidRPr="37E63DBD" w:rsidR="6FCACF71">
        <w:rPr>
          <w:rFonts w:ascii="Arial" w:hAnsi="Arial" w:eastAsia="Arial" w:cs="Arial" w:asciiTheme="minorAscii" w:hAnsiTheme="minorAscii" w:eastAsiaTheme="minorAscii" w:cstheme="minorAscii"/>
          <w:sz w:val="22"/>
          <w:szCs w:val="22"/>
        </w:rPr>
        <w:t xml:space="preserve">). </w:t>
      </w:r>
    </w:p>
    <w:p xmlns:wp14="http://schemas.microsoft.com/office/word/2010/wordml" w:rsidP="37E63DBD" wp14:paraId="32854BAD" wp14:textId="171FF146">
      <w:pPr>
        <w:pStyle w:val="Normal"/>
        <w:spacing w:line="360" w:lineRule="auto"/>
        <w:jc w:val="both"/>
        <w:rPr>
          <w:rFonts w:ascii="Arial" w:hAnsi="Arial" w:eastAsia="Arial" w:cs="Arial" w:asciiTheme="minorAscii" w:hAnsiTheme="minorAscii" w:eastAsiaTheme="minorAscii" w:cstheme="minorAscii"/>
          <w:b w:val="1"/>
          <w:bCs w:val="1"/>
          <w:sz w:val="22"/>
          <w:szCs w:val="22"/>
        </w:rPr>
      </w:pPr>
      <w:r w:rsidRPr="37E63DBD" w:rsidR="03C6CFDE">
        <w:rPr>
          <w:rFonts w:ascii="Arial" w:hAnsi="Arial" w:eastAsia="Arial" w:cs="Arial" w:asciiTheme="minorAscii" w:hAnsiTheme="minorAscii" w:eastAsiaTheme="minorAscii" w:cstheme="minorAscii"/>
          <w:b w:val="1"/>
          <w:bCs w:val="1"/>
          <w:sz w:val="22"/>
          <w:szCs w:val="22"/>
        </w:rPr>
        <w:t>5</w:t>
      </w:r>
      <w:r w:rsidRPr="37E63DBD" w:rsidR="6FCACF71">
        <w:rPr>
          <w:rFonts w:ascii="Arial" w:hAnsi="Arial" w:eastAsia="Arial" w:cs="Arial" w:asciiTheme="minorAscii" w:hAnsiTheme="minorAscii" w:eastAsiaTheme="minorAscii" w:cstheme="minorAscii"/>
          <w:b w:val="1"/>
          <w:bCs w:val="1"/>
          <w:sz w:val="22"/>
          <w:szCs w:val="22"/>
        </w:rPr>
        <w:t xml:space="preserve">.5 Recommended Financing </w:t>
      </w:r>
      <w:r w:rsidRPr="37E63DBD" w:rsidR="17714C6C">
        <w:rPr>
          <w:rFonts w:ascii="Arial" w:hAnsi="Arial" w:eastAsia="Arial" w:cs="Arial" w:asciiTheme="minorAscii" w:hAnsiTheme="minorAscii" w:eastAsiaTheme="minorAscii" w:cstheme="minorAscii"/>
          <w:b w:val="1"/>
          <w:bCs w:val="1"/>
          <w:sz w:val="22"/>
          <w:szCs w:val="22"/>
        </w:rPr>
        <w:t>Strategy</w:t>
      </w:r>
    </w:p>
    <w:p xmlns:wp14="http://schemas.microsoft.com/office/word/2010/wordml" w:rsidP="37E63DBD" wp14:paraId="0C4A9172" wp14:textId="58007CFF">
      <w:pPr>
        <w:pStyle w:val="Normal"/>
        <w:spacing w:line="360" w:lineRule="auto"/>
        <w:jc w:val="both"/>
        <w:rPr>
          <w:rFonts w:ascii="Arial" w:hAnsi="Arial" w:eastAsia="Arial" w:cs="Arial" w:asciiTheme="minorAscii" w:hAnsiTheme="minorAscii" w:eastAsiaTheme="minorAscii" w:cstheme="minorAscii"/>
          <w:sz w:val="22"/>
          <w:szCs w:val="22"/>
        </w:rPr>
      </w:pPr>
      <w:r w:rsidRPr="37E63DBD" w:rsidR="1AC1B49F">
        <w:rPr>
          <w:rFonts w:ascii="Arial" w:hAnsi="Arial" w:eastAsia="Arial" w:cs="Arial" w:asciiTheme="minorAscii" w:hAnsiTheme="minorAscii" w:eastAsiaTheme="minorAscii" w:cstheme="minorAscii"/>
          <w:sz w:val="22"/>
          <w:szCs w:val="22"/>
        </w:rPr>
        <w:t>A</w:t>
      </w:r>
      <w:r w:rsidRPr="37E63DBD" w:rsidR="6FCACF71">
        <w:rPr>
          <w:rFonts w:ascii="Arial" w:hAnsi="Arial" w:eastAsia="Arial" w:cs="Arial" w:asciiTheme="minorAscii" w:hAnsiTheme="minorAscii" w:eastAsiaTheme="minorAscii" w:cstheme="minorAscii"/>
          <w:sz w:val="22"/>
          <w:szCs w:val="22"/>
        </w:rPr>
        <w:t xml:space="preserve"> balanced financing </w:t>
      </w:r>
      <w:r w:rsidRPr="37E63DBD" w:rsidR="3291A0E6">
        <w:rPr>
          <w:rFonts w:ascii="Arial" w:hAnsi="Arial" w:eastAsia="Arial" w:cs="Arial" w:asciiTheme="minorAscii" w:hAnsiTheme="minorAscii" w:eastAsiaTheme="minorAscii" w:cstheme="minorAscii"/>
          <w:sz w:val="22"/>
          <w:szCs w:val="22"/>
        </w:rPr>
        <w:t>approach</w:t>
      </w:r>
      <w:r w:rsidRPr="37E63DBD" w:rsidR="6FCACF71">
        <w:rPr>
          <w:rFonts w:ascii="Arial" w:hAnsi="Arial" w:eastAsia="Arial" w:cs="Arial" w:asciiTheme="minorAscii" w:hAnsiTheme="minorAscii" w:eastAsiaTheme="minorAscii" w:cstheme="minorAscii"/>
          <w:sz w:val="22"/>
          <w:szCs w:val="22"/>
        </w:rPr>
        <w:t xml:space="preserve"> is </w:t>
      </w:r>
      <w:r w:rsidRPr="37E63DBD" w:rsidR="5F35E60B">
        <w:rPr>
          <w:rFonts w:ascii="Arial" w:hAnsi="Arial" w:eastAsia="Arial" w:cs="Arial" w:asciiTheme="minorAscii" w:hAnsiTheme="minorAscii" w:eastAsiaTheme="minorAscii" w:cstheme="minorAscii"/>
          <w:sz w:val="22"/>
          <w:szCs w:val="22"/>
        </w:rPr>
        <w:t>recommended</w:t>
      </w:r>
      <w:r w:rsidRPr="37E63DBD" w:rsidR="6FCACF71">
        <w:rPr>
          <w:rFonts w:ascii="Arial" w:hAnsi="Arial" w:eastAsia="Arial" w:cs="Arial" w:asciiTheme="minorAscii" w:hAnsiTheme="minorAscii" w:eastAsiaTheme="minorAscii" w:cstheme="minorAscii"/>
          <w:sz w:val="22"/>
          <w:szCs w:val="22"/>
        </w:rPr>
        <w:t xml:space="preserve"> for Beard Plc, combining retained earnings with a moderate level of debt finance. </w:t>
      </w:r>
    </w:p>
    <w:p xmlns:wp14="http://schemas.microsoft.com/office/word/2010/wordml" w:rsidP="37E63DBD" wp14:paraId="0CF76BD3" wp14:textId="1B2C7F72">
      <w:pPr>
        <w:pStyle w:val="Normal"/>
        <w:spacing w:line="360" w:lineRule="auto"/>
        <w:jc w:val="both"/>
        <w:rPr>
          <w:rFonts w:ascii="Arial" w:hAnsi="Arial" w:eastAsia="Arial" w:cs="Arial" w:asciiTheme="minorAscii" w:hAnsiTheme="minorAscii" w:eastAsiaTheme="minorAscii" w:cstheme="minorAscii"/>
          <w:sz w:val="22"/>
          <w:szCs w:val="22"/>
        </w:rPr>
      </w:pPr>
      <w:r w:rsidRPr="37E63DBD" w:rsidR="26C6283F">
        <w:rPr>
          <w:rFonts w:ascii="Arial" w:hAnsi="Arial" w:eastAsia="Arial" w:cs="Arial" w:asciiTheme="minorAscii" w:hAnsiTheme="minorAscii" w:eastAsiaTheme="minorAscii" w:cstheme="minorAscii"/>
          <w:sz w:val="22"/>
          <w:szCs w:val="22"/>
        </w:rPr>
        <w:t>T</w:t>
      </w:r>
      <w:r w:rsidRPr="37E63DBD" w:rsidR="6FCACF71">
        <w:rPr>
          <w:rFonts w:ascii="Arial" w:hAnsi="Arial" w:eastAsia="Arial" w:cs="Arial" w:asciiTheme="minorAscii" w:hAnsiTheme="minorAscii" w:eastAsiaTheme="minorAscii" w:cstheme="minorAscii"/>
          <w:sz w:val="22"/>
          <w:szCs w:val="22"/>
        </w:rPr>
        <w:t xml:space="preserve">his structure is justified on the basis that </w:t>
      </w:r>
      <w:r w:rsidRPr="37E63DBD" w:rsidR="16D83013">
        <w:rPr>
          <w:rFonts w:ascii="Arial" w:hAnsi="Arial" w:eastAsia="Arial" w:cs="Arial" w:asciiTheme="minorAscii" w:hAnsiTheme="minorAscii" w:eastAsiaTheme="minorAscii" w:cstheme="minorAscii"/>
          <w:sz w:val="22"/>
          <w:szCs w:val="22"/>
        </w:rPr>
        <w:t>retained</w:t>
      </w:r>
      <w:r w:rsidRPr="37E63DBD" w:rsidR="6FCACF71">
        <w:rPr>
          <w:rFonts w:ascii="Arial" w:hAnsi="Arial" w:eastAsia="Arial" w:cs="Arial" w:asciiTheme="minorAscii" w:hAnsiTheme="minorAscii" w:eastAsiaTheme="minorAscii" w:cstheme="minorAscii"/>
          <w:sz w:val="22"/>
          <w:szCs w:val="22"/>
        </w:rPr>
        <w:t xml:space="preserve"> earnings minimise </w:t>
      </w:r>
      <w:r w:rsidRPr="37E63DBD" w:rsidR="6FCACF71">
        <w:rPr>
          <w:rFonts w:ascii="Arial" w:hAnsi="Arial" w:eastAsia="Arial" w:cs="Arial" w:asciiTheme="minorAscii" w:hAnsiTheme="minorAscii" w:eastAsiaTheme="minorAscii" w:cstheme="minorAscii"/>
          <w:sz w:val="22"/>
          <w:szCs w:val="22"/>
        </w:rPr>
        <w:t>f</w:t>
      </w:r>
      <w:r w:rsidRPr="37E63DBD" w:rsidR="6FCACF71">
        <w:rPr>
          <w:rFonts w:ascii="Arial" w:hAnsi="Arial" w:eastAsia="Arial" w:cs="Arial" w:asciiTheme="minorAscii" w:hAnsiTheme="minorAscii" w:eastAsiaTheme="minorAscii" w:cstheme="minorAscii"/>
          <w:sz w:val="22"/>
          <w:szCs w:val="22"/>
        </w:rPr>
        <w:t>inancing</w:t>
      </w:r>
      <w:r w:rsidRPr="37E63DBD" w:rsidR="6FCACF71">
        <w:rPr>
          <w:rFonts w:ascii="Arial" w:hAnsi="Arial" w:eastAsia="Arial" w:cs="Arial" w:asciiTheme="minorAscii" w:hAnsiTheme="minorAscii" w:eastAsiaTheme="minorAscii" w:cstheme="minorAscii"/>
          <w:sz w:val="22"/>
          <w:szCs w:val="22"/>
        </w:rPr>
        <w:t xml:space="preserve"> c</w:t>
      </w:r>
      <w:r w:rsidRPr="37E63DBD" w:rsidR="6FCACF71">
        <w:rPr>
          <w:rFonts w:ascii="Arial" w:hAnsi="Arial" w:eastAsia="Arial" w:cs="Arial" w:asciiTheme="minorAscii" w:hAnsiTheme="minorAscii" w:eastAsiaTheme="minorAscii" w:cstheme="minorAscii"/>
          <w:sz w:val="22"/>
          <w:szCs w:val="22"/>
        </w:rPr>
        <w:t xml:space="preserve">osts and avoid ownership dilution as well as debt finance providing tax advantages and enhancing return on equity. </w:t>
      </w:r>
      <w:r w:rsidRPr="37E63DBD" w:rsidR="7157DE5A">
        <w:rPr>
          <w:rFonts w:ascii="Arial" w:hAnsi="Arial" w:eastAsia="Arial" w:cs="Arial" w:asciiTheme="minorAscii" w:hAnsiTheme="minorAscii" w:eastAsiaTheme="minorAscii" w:cstheme="minorAscii"/>
          <w:sz w:val="22"/>
          <w:szCs w:val="22"/>
        </w:rPr>
        <w:t xml:space="preserve">It is also noted that a balanced capital </w:t>
      </w:r>
      <w:r w:rsidRPr="37E63DBD" w:rsidR="55958F4F">
        <w:rPr>
          <w:rFonts w:ascii="Arial" w:hAnsi="Arial" w:eastAsia="Arial" w:cs="Arial" w:asciiTheme="minorAscii" w:hAnsiTheme="minorAscii" w:eastAsiaTheme="minorAscii" w:cstheme="minorAscii"/>
          <w:sz w:val="22"/>
          <w:szCs w:val="22"/>
        </w:rPr>
        <w:t>structure</w:t>
      </w:r>
      <w:r w:rsidRPr="37E63DBD" w:rsidR="7157DE5A">
        <w:rPr>
          <w:rFonts w:ascii="Arial" w:hAnsi="Arial" w:eastAsia="Arial" w:cs="Arial" w:asciiTheme="minorAscii" w:hAnsiTheme="minorAscii" w:eastAsiaTheme="minorAscii" w:cstheme="minorAscii"/>
          <w:sz w:val="22"/>
          <w:szCs w:val="22"/>
        </w:rPr>
        <w:t xml:space="preserve"> helps </w:t>
      </w:r>
      <w:r w:rsidRPr="37E63DBD" w:rsidR="7157DE5A">
        <w:rPr>
          <w:rFonts w:ascii="Arial" w:hAnsi="Arial" w:eastAsia="Arial" w:cs="Arial" w:asciiTheme="minorAscii" w:hAnsiTheme="minorAscii" w:eastAsiaTheme="minorAscii" w:cstheme="minorAscii"/>
          <w:sz w:val="22"/>
          <w:szCs w:val="22"/>
        </w:rPr>
        <w:t>maintain</w:t>
      </w:r>
      <w:r w:rsidRPr="37E63DBD" w:rsidR="7157DE5A">
        <w:rPr>
          <w:rFonts w:ascii="Arial" w:hAnsi="Arial" w:eastAsia="Arial" w:cs="Arial" w:asciiTheme="minorAscii" w:hAnsiTheme="minorAscii" w:eastAsiaTheme="minorAscii" w:cstheme="minorAscii"/>
          <w:sz w:val="22"/>
          <w:szCs w:val="22"/>
        </w:rPr>
        <w:t xml:space="preserve"> </w:t>
      </w:r>
      <w:r w:rsidRPr="37E63DBD" w:rsidR="7157DE5A">
        <w:rPr>
          <w:rFonts w:ascii="Arial" w:hAnsi="Arial" w:eastAsia="Arial" w:cs="Arial" w:asciiTheme="minorAscii" w:hAnsiTheme="minorAscii" w:eastAsiaTheme="minorAscii" w:cstheme="minorAscii"/>
          <w:sz w:val="22"/>
          <w:szCs w:val="22"/>
        </w:rPr>
        <w:t>an optimal</w:t>
      </w:r>
      <w:r w:rsidRPr="37E63DBD" w:rsidR="7157DE5A">
        <w:rPr>
          <w:rFonts w:ascii="Arial" w:hAnsi="Arial" w:eastAsia="Arial" w:cs="Arial" w:asciiTheme="minorAscii" w:hAnsiTheme="minorAscii" w:eastAsiaTheme="minorAscii" w:cstheme="minorAscii"/>
          <w:sz w:val="22"/>
          <w:szCs w:val="22"/>
        </w:rPr>
        <w:t xml:space="preserve"> cost of capital while limiting financial risk.</w:t>
      </w:r>
    </w:p>
    <w:p xmlns:wp14="http://schemas.microsoft.com/office/word/2010/wordml" w:rsidP="37E63DBD" wp14:paraId="24EAA540" wp14:textId="5BA656CF">
      <w:pPr>
        <w:pStyle w:val="Normal"/>
        <w:spacing w:line="360" w:lineRule="auto"/>
        <w:jc w:val="both"/>
        <w:rPr>
          <w:rFonts w:ascii="Arial" w:hAnsi="Arial" w:eastAsia="Arial" w:cs="Arial" w:asciiTheme="minorAscii" w:hAnsiTheme="minorAscii" w:eastAsiaTheme="minorAscii" w:cstheme="minorAscii"/>
          <w:sz w:val="22"/>
          <w:szCs w:val="22"/>
        </w:rPr>
      </w:pPr>
      <w:r w:rsidRPr="37E63DBD" w:rsidR="7157DE5A">
        <w:rPr>
          <w:rFonts w:ascii="Arial" w:hAnsi="Arial" w:eastAsia="Arial" w:cs="Arial" w:asciiTheme="minorAscii" w:hAnsiTheme="minorAscii" w:eastAsiaTheme="minorAscii" w:cstheme="minorAscii"/>
          <w:sz w:val="22"/>
          <w:szCs w:val="22"/>
        </w:rPr>
        <w:t xml:space="preserve">This aligns with modern capital </w:t>
      </w:r>
      <w:r w:rsidRPr="37E63DBD" w:rsidR="021891C7">
        <w:rPr>
          <w:rFonts w:ascii="Arial" w:hAnsi="Arial" w:eastAsia="Arial" w:cs="Arial" w:asciiTheme="minorAscii" w:hAnsiTheme="minorAscii" w:eastAsiaTheme="minorAscii" w:cstheme="minorAscii"/>
          <w:sz w:val="22"/>
          <w:szCs w:val="22"/>
        </w:rPr>
        <w:t>structure</w:t>
      </w:r>
      <w:r w:rsidRPr="37E63DBD" w:rsidR="7157DE5A">
        <w:rPr>
          <w:rFonts w:ascii="Arial" w:hAnsi="Arial" w:eastAsia="Arial" w:cs="Arial" w:asciiTheme="minorAscii" w:hAnsiTheme="minorAscii" w:eastAsiaTheme="minorAscii" w:cstheme="minorAscii"/>
          <w:sz w:val="22"/>
          <w:szCs w:val="22"/>
        </w:rPr>
        <w:t xml:space="preserve"> theory, which suggests that firms </w:t>
      </w:r>
      <w:r w:rsidRPr="37E63DBD" w:rsidR="17C08B3E">
        <w:rPr>
          <w:rFonts w:ascii="Arial" w:hAnsi="Arial" w:eastAsia="Arial" w:cs="Arial" w:asciiTheme="minorAscii" w:hAnsiTheme="minorAscii" w:eastAsiaTheme="minorAscii" w:cstheme="minorAscii"/>
          <w:sz w:val="22"/>
          <w:szCs w:val="22"/>
        </w:rPr>
        <w:t>should</w:t>
      </w:r>
      <w:r w:rsidRPr="37E63DBD" w:rsidR="7157DE5A">
        <w:rPr>
          <w:rFonts w:ascii="Arial" w:hAnsi="Arial" w:eastAsia="Arial" w:cs="Arial" w:asciiTheme="minorAscii" w:hAnsiTheme="minorAscii" w:eastAsiaTheme="minorAscii" w:cstheme="minorAscii"/>
          <w:sz w:val="22"/>
          <w:szCs w:val="22"/>
        </w:rPr>
        <w:t xml:space="preserve"> aim for </w:t>
      </w:r>
      <w:r w:rsidRPr="37E63DBD" w:rsidR="7157DE5A">
        <w:rPr>
          <w:rFonts w:ascii="Arial" w:hAnsi="Arial" w:eastAsia="Arial" w:cs="Arial" w:asciiTheme="minorAscii" w:hAnsiTheme="minorAscii" w:eastAsiaTheme="minorAscii" w:cstheme="minorAscii"/>
          <w:sz w:val="22"/>
          <w:szCs w:val="22"/>
        </w:rPr>
        <w:t>an optimal</w:t>
      </w:r>
      <w:r w:rsidRPr="37E63DBD" w:rsidR="7157DE5A">
        <w:rPr>
          <w:rFonts w:ascii="Arial" w:hAnsi="Arial" w:eastAsia="Arial" w:cs="Arial" w:asciiTheme="minorAscii" w:hAnsiTheme="minorAscii" w:eastAsiaTheme="minorAscii" w:cstheme="minorAscii"/>
          <w:sz w:val="22"/>
          <w:szCs w:val="22"/>
        </w:rPr>
        <w:t xml:space="preserve"> balance between debt and equity to minimise WAC</w:t>
      </w:r>
      <w:r w:rsidRPr="37E63DBD" w:rsidR="7157DE5A">
        <w:rPr>
          <w:rFonts w:ascii="Arial" w:hAnsi="Arial" w:eastAsia="Arial" w:cs="Arial" w:asciiTheme="minorAscii" w:hAnsiTheme="minorAscii" w:eastAsiaTheme="minorAscii" w:cstheme="minorAscii"/>
          <w:sz w:val="22"/>
          <w:szCs w:val="22"/>
        </w:rPr>
        <w:t>C and maxi</w:t>
      </w:r>
      <w:r w:rsidRPr="37E63DBD" w:rsidR="7157DE5A">
        <w:rPr>
          <w:rFonts w:ascii="Arial" w:hAnsi="Arial" w:eastAsia="Arial" w:cs="Arial" w:asciiTheme="minorAscii" w:hAnsiTheme="minorAscii" w:eastAsiaTheme="minorAscii" w:cstheme="minorAscii"/>
          <w:sz w:val="22"/>
          <w:szCs w:val="22"/>
        </w:rPr>
        <w:t xml:space="preserve">mise firm </w:t>
      </w:r>
      <w:r w:rsidRPr="37E63DBD" w:rsidR="26C1AABC">
        <w:rPr>
          <w:rFonts w:ascii="Arial" w:hAnsi="Arial" w:eastAsia="Arial" w:cs="Arial" w:asciiTheme="minorAscii" w:hAnsiTheme="minorAscii" w:eastAsiaTheme="minorAscii" w:cstheme="minorAscii"/>
          <w:sz w:val="22"/>
          <w:szCs w:val="22"/>
        </w:rPr>
        <w:t>value</w:t>
      </w:r>
      <w:r w:rsidRPr="37E63DBD" w:rsidR="7157DE5A">
        <w:rPr>
          <w:rFonts w:ascii="Arial" w:hAnsi="Arial" w:eastAsia="Arial" w:cs="Arial" w:asciiTheme="minorAscii" w:hAnsiTheme="minorAscii" w:eastAsiaTheme="minorAscii" w:cstheme="minorAscii"/>
          <w:sz w:val="22"/>
          <w:szCs w:val="22"/>
        </w:rPr>
        <w:t xml:space="preserve"> (</w:t>
      </w:r>
      <w:r w:rsidRPr="37E63DBD" w:rsidR="28E55AA4">
        <w:rPr>
          <w:rFonts w:ascii="Arial" w:hAnsi="Arial" w:eastAsia="Arial" w:cs="Arial" w:asciiTheme="minorAscii" w:hAnsiTheme="minorAscii" w:eastAsiaTheme="minorAscii" w:cstheme="minorAscii"/>
          <w:sz w:val="22"/>
          <w:szCs w:val="22"/>
        </w:rPr>
        <w:t>A</w:t>
      </w:r>
      <w:r w:rsidRPr="37E63DBD" w:rsidR="3A8FA5F3">
        <w:rPr>
          <w:rFonts w:ascii="Arial" w:hAnsi="Arial" w:eastAsia="Arial" w:cs="Arial" w:asciiTheme="minorAscii" w:hAnsiTheme="minorAscii" w:eastAsiaTheme="minorAscii" w:cstheme="minorAscii"/>
          <w:sz w:val="22"/>
          <w:szCs w:val="22"/>
        </w:rPr>
        <w:t>rhinful</w:t>
      </w:r>
      <w:r w:rsidRPr="37E63DBD" w:rsidR="624E9D72">
        <w:rPr>
          <w:rFonts w:ascii="Arial" w:hAnsi="Arial" w:eastAsia="Arial" w:cs="Arial" w:asciiTheme="minorAscii" w:hAnsiTheme="minorAscii" w:eastAsiaTheme="minorAscii" w:cstheme="minorAscii"/>
          <w:sz w:val="22"/>
          <w:szCs w:val="22"/>
        </w:rPr>
        <w:t xml:space="preserve"> et al.</w:t>
      </w:r>
      <w:r w:rsidRPr="37E63DBD" w:rsidR="3A8FA5F3">
        <w:rPr>
          <w:rFonts w:ascii="Arial" w:hAnsi="Arial" w:eastAsia="Arial" w:cs="Arial" w:asciiTheme="minorAscii" w:hAnsiTheme="minorAscii" w:eastAsiaTheme="minorAscii" w:cstheme="minorAscii"/>
          <w:sz w:val="22"/>
          <w:szCs w:val="22"/>
        </w:rPr>
        <w:t>, 2025</w:t>
      </w:r>
      <w:r w:rsidRPr="37E63DBD" w:rsidR="70891125">
        <w:rPr>
          <w:rFonts w:ascii="Arial" w:hAnsi="Arial" w:eastAsia="Arial" w:cs="Arial" w:asciiTheme="minorAscii" w:hAnsiTheme="minorAscii" w:eastAsiaTheme="minorAscii" w:cstheme="minorAscii"/>
          <w:sz w:val="22"/>
          <w:szCs w:val="22"/>
        </w:rPr>
        <w:t>)</w:t>
      </w:r>
      <w:r w:rsidRPr="37E63DBD" w:rsidR="7157DE5A">
        <w:rPr>
          <w:rFonts w:ascii="Arial" w:hAnsi="Arial" w:eastAsia="Arial" w:cs="Arial" w:asciiTheme="minorAscii" w:hAnsiTheme="minorAscii" w:eastAsiaTheme="minorAscii" w:cstheme="minorAscii"/>
          <w:sz w:val="22"/>
          <w:szCs w:val="22"/>
        </w:rPr>
        <w:t>.</w:t>
      </w:r>
    </w:p>
    <w:p xmlns:wp14="http://schemas.microsoft.com/office/word/2010/wordml" w:rsidP="37E63DBD" wp14:paraId="7161A502" wp14:textId="773AE12D">
      <w:pPr>
        <w:pStyle w:val="Normal"/>
        <w:spacing w:line="360" w:lineRule="auto"/>
        <w:jc w:val="both"/>
        <w:rPr>
          <w:rFonts w:ascii="Arial" w:hAnsi="Arial" w:eastAsia="Arial" w:cs="Arial" w:asciiTheme="minorAscii" w:hAnsiTheme="minorAscii" w:eastAsiaTheme="minorAscii" w:cstheme="minorAscii"/>
          <w:sz w:val="22"/>
          <w:szCs w:val="22"/>
        </w:rPr>
      </w:pPr>
      <w:r w:rsidRPr="37E63DBD" w:rsidR="7157DE5A">
        <w:rPr>
          <w:rFonts w:ascii="Arial" w:hAnsi="Arial" w:eastAsia="Arial" w:cs="Arial" w:asciiTheme="minorAscii" w:hAnsiTheme="minorAscii" w:eastAsiaTheme="minorAscii" w:cstheme="minorAscii"/>
          <w:sz w:val="22"/>
          <w:szCs w:val="22"/>
        </w:rPr>
        <w:t xml:space="preserve">Equity finance should only be considered as a secondary option if internal funds and debt capacity are insufficient, due to its higher cost and potential dilution effects. </w:t>
      </w:r>
    </w:p>
    <w:p xmlns:wp14="http://schemas.microsoft.com/office/word/2010/wordml" w:rsidP="37E63DBD" wp14:paraId="1F1B10BF" wp14:textId="48B61CBB">
      <w:pPr>
        <w:pStyle w:val="Normal"/>
        <w:ind w:left="0"/>
        <w:rPr>
          <w:rFonts w:ascii="Arial" w:hAnsi="Arial" w:eastAsia="Arial" w:cs="Arial" w:asciiTheme="minorAscii" w:hAnsiTheme="minorAscii" w:eastAsiaTheme="minorAscii" w:cstheme="minorAscii"/>
          <w:sz w:val="22"/>
          <w:szCs w:val="22"/>
        </w:rPr>
      </w:pPr>
    </w:p>
    <w:p xmlns:wp14="http://schemas.microsoft.com/office/word/2010/wordml" w:rsidP="37E63DBD" wp14:paraId="2918026F" wp14:textId="073E8BB7">
      <w:pPr>
        <w:pStyle w:val="Normal"/>
        <w:ind w:left="0"/>
        <w:rPr>
          <w:rFonts w:ascii="Arial" w:hAnsi="Arial" w:eastAsia="Arial" w:cs="Arial" w:asciiTheme="minorAscii" w:hAnsiTheme="minorAscii" w:eastAsiaTheme="minorAscii" w:cstheme="minorAscii"/>
          <w:sz w:val="22"/>
          <w:szCs w:val="22"/>
        </w:rPr>
      </w:pPr>
    </w:p>
    <w:p xmlns:wp14="http://schemas.microsoft.com/office/word/2010/wordml" w:rsidP="37E63DBD" wp14:paraId="6AF50F97" wp14:textId="6DFF4B4B">
      <w:pPr>
        <w:rPr>
          <w:rFonts w:ascii="Arial" w:hAnsi="Arial" w:eastAsia="Arial" w:cs="Arial" w:asciiTheme="minorAscii" w:hAnsiTheme="minorAscii" w:eastAsiaTheme="minorAscii" w:cstheme="minorAscii"/>
          <w:sz w:val="22"/>
          <w:szCs w:val="22"/>
        </w:rPr>
      </w:pPr>
    </w:p>
    <w:p xmlns:wp14="http://schemas.microsoft.com/office/word/2010/wordml" w:rsidP="37E63DBD" wp14:paraId="5AF41502" wp14:textId="407824A5">
      <w:pPr>
        <w:rPr>
          <w:rFonts w:ascii="Arial" w:hAnsi="Arial" w:eastAsia="Arial" w:cs="Arial" w:asciiTheme="minorAscii" w:hAnsiTheme="minorAscii" w:eastAsiaTheme="minorAscii" w:cstheme="minorAscii"/>
          <w:sz w:val="22"/>
          <w:szCs w:val="22"/>
        </w:rPr>
      </w:pPr>
    </w:p>
    <w:p xmlns:wp14="http://schemas.microsoft.com/office/word/2010/wordml" w:rsidP="37E63DBD" wp14:paraId="684BE59E" wp14:textId="02B02D1D">
      <w:pPr>
        <w:rPr>
          <w:rFonts w:ascii="Arial" w:hAnsi="Arial" w:eastAsia="Arial" w:cs="Arial" w:asciiTheme="minorAscii" w:hAnsiTheme="minorAscii" w:eastAsiaTheme="minorAscii" w:cstheme="minorAscii"/>
          <w:sz w:val="22"/>
          <w:szCs w:val="22"/>
        </w:rPr>
      </w:pPr>
    </w:p>
    <w:p xmlns:wp14="http://schemas.microsoft.com/office/word/2010/wordml" w:rsidP="37E63DBD" wp14:paraId="4314CC3D" wp14:textId="1165361F">
      <w:pPr>
        <w:rPr>
          <w:rFonts w:ascii="Arial" w:hAnsi="Arial" w:eastAsia="Arial" w:cs="Arial" w:asciiTheme="minorAscii" w:hAnsiTheme="minorAscii" w:eastAsiaTheme="minorAscii" w:cstheme="minorAscii"/>
          <w:sz w:val="22"/>
          <w:szCs w:val="22"/>
        </w:rPr>
      </w:pPr>
    </w:p>
    <w:p xmlns:wp14="http://schemas.microsoft.com/office/word/2010/wordml" w:rsidP="37E63DBD" wp14:paraId="4E873B7F" wp14:textId="55ACD86E">
      <w:pPr>
        <w:rPr>
          <w:rFonts w:ascii="Arial" w:hAnsi="Arial" w:eastAsia="Arial" w:cs="Arial" w:asciiTheme="minorAscii" w:hAnsiTheme="minorAscii" w:eastAsiaTheme="minorAscii" w:cstheme="minorAscii"/>
          <w:sz w:val="22"/>
          <w:szCs w:val="22"/>
        </w:rPr>
      </w:pPr>
    </w:p>
    <w:p xmlns:wp14="http://schemas.microsoft.com/office/word/2010/wordml" w:rsidP="37E63DBD" wp14:paraId="5030B097" wp14:textId="488281F5">
      <w:pPr>
        <w:rPr>
          <w:rFonts w:ascii="Arial" w:hAnsi="Arial" w:eastAsia="Arial" w:cs="Arial" w:asciiTheme="minorAscii" w:hAnsiTheme="minorAscii" w:eastAsiaTheme="minorAscii" w:cstheme="minorAscii"/>
          <w:sz w:val="22"/>
          <w:szCs w:val="22"/>
        </w:rPr>
      </w:pPr>
    </w:p>
    <w:p xmlns:wp14="http://schemas.microsoft.com/office/word/2010/wordml" w:rsidP="37E63DBD" wp14:paraId="19AA3622" wp14:textId="04F441BD">
      <w:pPr>
        <w:rPr>
          <w:rFonts w:ascii="Arial" w:hAnsi="Arial" w:eastAsia="Arial" w:cs="Arial" w:asciiTheme="minorAscii" w:hAnsiTheme="minorAscii" w:eastAsiaTheme="minorAscii" w:cstheme="minorAscii"/>
          <w:sz w:val="22"/>
          <w:szCs w:val="22"/>
        </w:rPr>
      </w:pPr>
    </w:p>
    <w:p xmlns:wp14="http://schemas.microsoft.com/office/word/2010/wordml" w:rsidP="37E63DBD" wp14:paraId="70AC2126" wp14:textId="2498E986">
      <w:pPr>
        <w:pStyle w:val="Heading1"/>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pPr>
      <w:bookmarkStart w:name="_Toc107956638" w:id="651562042"/>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2E75B5"/>
          <w:sz w:val="22"/>
          <w:szCs w:val="22"/>
          <w:u w:val="none"/>
          <w:lang w:val="en-GB"/>
        </w:rPr>
        <w:t>Conclusion</w:t>
      </w:r>
      <w:bookmarkEnd w:id="651562042"/>
    </w:p>
    <w:p xmlns:wp14="http://schemas.microsoft.com/office/word/2010/wordml" w:rsidP="37E63DBD" wp14:paraId="27A303CF" wp14:textId="4B2AD64D">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1D17BED1">
        <w:rPr>
          <w:rFonts w:ascii="Arial" w:hAnsi="Arial" w:eastAsia="Arial" w:cs="Arial" w:asciiTheme="minorAscii" w:hAnsiTheme="minorAscii" w:eastAsiaTheme="minorAscii" w:cstheme="minorAscii"/>
          <w:noProof w:val="0"/>
          <w:sz w:val="22"/>
          <w:szCs w:val="22"/>
          <w:lang w:val="en-GB"/>
        </w:rPr>
        <w:t xml:space="preserve">Both analyses highlight the importance of applying financial theory alongside </w:t>
      </w:r>
      <w:r w:rsidRPr="37E63DBD" w:rsidR="61328E35">
        <w:rPr>
          <w:rFonts w:ascii="Arial" w:hAnsi="Arial" w:eastAsia="Arial" w:cs="Arial" w:asciiTheme="minorAscii" w:hAnsiTheme="minorAscii" w:eastAsiaTheme="minorAscii" w:cstheme="minorAscii"/>
          <w:noProof w:val="0"/>
          <w:sz w:val="22"/>
          <w:szCs w:val="22"/>
          <w:lang w:val="en-GB"/>
        </w:rPr>
        <w:t>critical</w:t>
      </w:r>
      <w:r w:rsidRPr="37E63DBD" w:rsidR="1D17BED1">
        <w:rPr>
          <w:rFonts w:ascii="Arial" w:hAnsi="Arial" w:eastAsia="Arial" w:cs="Arial" w:asciiTheme="minorAscii" w:hAnsiTheme="minorAscii" w:eastAsiaTheme="minorAscii" w:cstheme="minorAscii"/>
          <w:noProof w:val="0"/>
          <w:sz w:val="22"/>
          <w:szCs w:val="22"/>
          <w:lang w:val="en-GB"/>
        </w:rPr>
        <w:t xml:space="preserve"> </w:t>
      </w:r>
      <w:r w:rsidRPr="37E63DBD" w:rsidR="03639419">
        <w:rPr>
          <w:rFonts w:ascii="Arial" w:hAnsi="Arial" w:eastAsia="Arial" w:cs="Arial" w:asciiTheme="minorAscii" w:hAnsiTheme="minorAscii" w:eastAsiaTheme="minorAscii" w:cstheme="minorAscii"/>
          <w:noProof w:val="0"/>
          <w:sz w:val="22"/>
          <w:szCs w:val="22"/>
          <w:lang w:val="en-GB"/>
        </w:rPr>
        <w:t>interpretation</w:t>
      </w:r>
      <w:r w:rsidRPr="37E63DBD" w:rsidR="1D17BED1">
        <w:rPr>
          <w:rFonts w:ascii="Arial" w:hAnsi="Arial" w:eastAsia="Arial" w:cs="Arial" w:asciiTheme="minorAscii" w:hAnsiTheme="minorAscii" w:eastAsiaTheme="minorAscii" w:cstheme="minorAscii"/>
          <w:noProof w:val="0"/>
          <w:sz w:val="22"/>
          <w:szCs w:val="22"/>
          <w:lang w:val="en-GB"/>
        </w:rPr>
        <w:t xml:space="preserve"> to support ef</w:t>
      </w:r>
      <w:r w:rsidRPr="37E63DBD" w:rsidR="75318312">
        <w:rPr>
          <w:rFonts w:ascii="Arial" w:hAnsi="Arial" w:eastAsia="Arial" w:cs="Arial" w:asciiTheme="minorAscii" w:hAnsiTheme="minorAscii" w:eastAsiaTheme="minorAscii" w:cstheme="minorAscii"/>
          <w:noProof w:val="0"/>
          <w:sz w:val="22"/>
          <w:szCs w:val="22"/>
          <w:lang w:val="en-GB"/>
        </w:rPr>
        <w:t xml:space="preserve">fective decision making. </w:t>
      </w:r>
    </w:p>
    <w:p xmlns:wp14="http://schemas.microsoft.com/office/word/2010/wordml" w:rsidP="37E63DBD" wp14:paraId="54D01CEF" wp14:textId="3AA097F1">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75318312">
        <w:rPr>
          <w:rFonts w:ascii="Arial" w:hAnsi="Arial" w:eastAsia="Arial" w:cs="Arial" w:asciiTheme="minorAscii" w:hAnsiTheme="minorAscii" w:eastAsiaTheme="minorAscii" w:cstheme="minorAscii"/>
          <w:noProof w:val="0"/>
          <w:sz w:val="22"/>
          <w:szCs w:val="22"/>
          <w:lang w:val="en-GB"/>
        </w:rPr>
        <w:t xml:space="preserve">For Burberry Group pls, the overall conclusion is that financial performance has deteriorated </w:t>
      </w:r>
      <w:r w:rsidRPr="37E63DBD" w:rsidR="4470E17C">
        <w:rPr>
          <w:rFonts w:ascii="Arial" w:hAnsi="Arial" w:eastAsia="Arial" w:cs="Arial" w:asciiTheme="minorAscii" w:hAnsiTheme="minorAscii" w:eastAsiaTheme="minorAscii" w:cstheme="minorAscii"/>
          <w:noProof w:val="0"/>
          <w:sz w:val="22"/>
          <w:szCs w:val="22"/>
          <w:lang w:val="en-GB"/>
        </w:rPr>
        <w:t>significantly</w:t>
      </w:r>
      <w:r w:rsidRPr="37E63DBD" w:rsidR="75318312">
        <w:rPr>
          <w:rFonts w:ascii="Arial" w:hAnsi="Arial" w:eastAsia="Arial" w:cs="Arial" w:asciiTheme="minorAscii" w:hAnsiTheme="minorAscii" w:eastAsiaTheme="minorAscii" w:cstheme="minorAscii"/>
          <w:noProof w:val="0"/>
          <w:sz w:val="22"/>
          <w:szCs w:val="22"/>
          <w:lang w:val="en-GB"/>
        </w:rPr>
        <w:t xml:space="preserve"> between 2024 and 2025. The most concerning issue is the sharp decline in profitability, </w:t>
      </w:r>
      <w:r w:rsidRPr="37E63DBD" w:rsidR="75318312">
        <w:rPr>
          <w:rFonts w:ascii="Arial" w:hAnsi="Arial" w:eastAsia="Arial" w:cs="Arial" w:asciiTheme="minorAscii" w:hAnsiTheme="minorAscii" w:eastAsiaTheme="minorAscii" w:cstheme="minorAscii"/>
          <w:noProof w:val="0"/>
          <w:sz w:val="22"/>
          <w:szCs w:val="22"/>
          <w:lang w:val="en-GB"/>
        </w:rPr>
        <w:t>evidenced</w:t>
      </w:r>
      <w:r w:rsidRPr="37E63DBD" w:rsidR="75318312">
        <w:rPr>
          <w:rFonts w:ascii="Arial" w:hAnsi="Arial" w:eastAsia="Arial" w:cs="Arial" w:asciiTheme="minorAscii" w:hAnsiTheme="minorAscii" w:eastAsiaTheme="minorAscii" w:cstheme="minorAscii"/>
          <w:noProof w:val="0"/>
          <w:sz w:val="22"/>
          <w:szCs w:val="22"/>
          <w:lang w:val="en-GB"/>
        </w:rPr>
        <w:t xml:space="preserve"> by falling margins, negative ROCE, and a transition to losses. While liquidity </w:t>
      </w:r>
      <w:r w:rsidRPr="37E63DBD" w:rsidR="75318312">
        <w:rPr>
          <w:rFonts w:ascii="Arial" w:hAnsi="Arial" w:eastAsia="Arial" w:cs="Arial" w:asciiTheme="minorAscii" w:hAnsiTheme="minorAscii" w:eastAsiaTheme="minorAscii" w:cstheme="minorAscii"/>
          <w:noProof w:val="0"/>
          <w:sz w:val="22"/>
          <w:szCs w:val="22"/>
          <w:lang w:val="en-GB"/>
        </w:rPr>
        <w:t>remains</w:t>
      </w:r>
      <w:r w:rsidRPr="37E63DBD" w:rsidR="75318312">
        <w:rPr>
          <w:rFonts w:ascii="Arial" w:hAnsi="Arial" w:eastAsia="Arial" w:cs="Arial" w:asciiTheme="minorAscii" w:hAnsiTheme="minorAscii" w:eastAsiaTheme="minorAscii" w:cstheme="minorAscii"/>
          <w:noProof w:val="0"/>
          <w:sz w:val="22"/>
          <w:szCs w:val="22"/>
          <w:lang w:val="en-GB"/>
        </w:rPr>
        <w:t xml:space="preserve"> </w:t>
      </w:r>
      <w:r w:rsidRPr="37E63DBD" w:rsidR="75318312">
        <w:rPr>
          <w:rFonts w:ascii="Arial" w:hAnsi="Arial" w:eastAsia="Arial" w:cs="Arial" w:asciiTheme="minorAscii" w:hAnsiTheme="minorAscii" w:eastAsiaTheme="minorAscii" w:cstheme="minorAscii"/>
          <w:noProof w:val="0"/>
          <w:sz w:val="22"/>
          <w:szCs w:val="22"/>
          <w:lang w:val="en-GB"/>
        </w:rPr>
        <w:t>relatively stable</w:t>
      </w:r>
      <w:r w:rsidRPr="37E63DBD" w:rsidR="75318312">
        <w:rPr>
          <w:rFonts w:ascii="Arial" w:hAnsi="Arial" w:eastAsia="Arial" w:cs="Arial" w:asciiTheme="minorAscii" w:hAnsiTheme="minorAscii" w:eastAsiaTheme="minorAscii" w:cstheme="minorAscii"/>
          <w:noProof w:val="0"/>
          <w:sz w:val="22"/>
          <w:szCs w:val="22"/>
          <w:lang w:val="en-GB"/>
        </w:rPr>
        <w:t xml:space="preserve"> in the short term and </w:t>
      </w:r>
      <w:r w:rsidRPr="37E63DBD" w:rsidR="561CC654">
        <w:rPr>
          <w:rFonts w:ascii="Arial" w:hAnsi="Arial" w:eastAsia="Arial" w:cs="Arial" w:asciiTheme="minorAscii" w:hAnsiTheme="minorAscii" w:eastAsiaTheme="minorAscii" w:cstheme="minorAscii"/>
          <w:noProof w:val="0"/>
          <w:sz w:val="22"/>
          <w:szCs w:val="22"/>
          <w:lang w:val="en-GB"/>
        </w:rPr>
        <w:t>efficiency</w:t>
      </w:r>
      <w:r w:rsidRPr="37E63DBD" w:rsidR="2F88F007">
        <w:rPr>
          <w:rFonts w:ascii="Arial" w:hAnsi="Arial" w:eastAsia="Arial" w:cs="Arial" w:asciiTheme="minorAscii" w:hAnsiTheme="minorAscii" w:eastAsiaTheme="minorAscii" w:cstheme="minorAscii"/>
          <w:noProof w:val="0"/>
          <w:sz w:val="22"/>
          <w:szCs w:val="22"/>
          <w:lang w:val="en-GB"/>
        </w:rPr>
        <w:t xml:space="preserve"> has </w:t>
      </w:r>
      <w:r w:rsidRPr="37E63DBD" w:rsidR="30830F6A">
        <w:rPr>
          <w:rFonts w:ascii="Arial" w:hAnsi="Arial" w:eastAsia="Arial" w:cs="Arial" w:asciiTheme="minorAscii" w:hAnsiTheme="minorAscii" w:eastAsiaTheme="minorAscii" w:cstheme="minorAscii"/>
          <w:noProof w:val="0"/>
          <w:sz w:val="22"/>
          <w:szCs w:val="22"/>
          <w:lang w:val="en-GB"/>
        </w:rPr>
        <w:t>improved</w:t>
      </w:r>
      <w:r w:rsidRPr="37E63DBD" w:rsidR="2F88F007">
        <w:rPr>
          <w:rFonts w:ascii="Arial" w:hAnsi="Arial" w:eastAsia="Arial" w:cs="Arial" w:asciiTheme="minorAscii" w:hAnsiTheme="minorAscii" w:eastAsiaTheme="minorAscii" w:cstheme="minorAscii"/>
          <w:noProof w:val="0"/>
          <w:sz w:val="22"/>
          <w:szCs w:val="22"/>
          <w:lang w:val="en-GB"/>
        </w:rPr>
        <w:t xml:space="preserve">, these </w:t>
      </w:r>
      <w:r w:rsidRPr="37E63DBD" w:rsidR="2ADF7E3D">
        <w:rPr>
          <w:rFonts w:ascii="Arial" w:hAnsi="Arial" w:eastAsia="Arial" w:cs="Arial" w:asciiTheme="minorAscii" w:hAnsiTheme="minorAscii" w:eastAsiaTheme="minorAscii" w:cstheme="minorAscii"/>
          <w:noProof w:val="0"/>
          <w:sz w:val="22"/>
          <w:szCs w:val="22"/>
          <w:lang w:val="en-GB"/>
        </w:rPr>
        <w:t>strengths</w:t>
      </w:r>
      <w:r w:rsidRPr="37E63DBD" w:rsidR="2F88F007">
        <w:rPr>
          <w:rFonts w:ascii="Arial" w:hAnsi="Arial" w:eastAsia="Arial" w:cs="Arial" w:asciiTheme="minorAscii" w:hAnsiTheme="minorAscii" w:eastAsiaTheme="minorAscii" w:cstheme="minorAscii"/>
          <w:noProof w:val="0"/>
          <w:sz w:val="22"/>
          <w:szCs w:val="22"/>
          <w:lang w:val="en-GB"/>
        </w:rPr>
        <w:t xml:space="preserve"> have not translated into improved financial outcomes. Rising gearing and negative investor </w:t>
      </w:r>
      <w:r w:rsidRPr="37E63DBD" w:rsidR="30E98153">
        <w:rPr>
          <w:rFonts w:ascii="Arial" w:hAnsi="Arial" w:eastAsia="Arial" w:cs="Arial" w:asciiTheme="minorAscii" w:hAnsiTheme="minorAscii" w:eastAsiaTheme="minorAscii" w:cstheme="minorAscii"/>
          <w:noProof w:val="0"/>
          <w:sz w:val="22"/>
          <w:szCs w:val="22"/>
          <w:lang w:val="en-GB"/>
        </w:rPr>
        <w:t>indicators</w:t>
      </w:r>
      <w:r w:rsidRPr="37E63DBD" w:rsidR="2F88F007">
        <w:rPr>
          <w:rFonts w:ascii="Arial" w:hAnsi="Arial" w:eastAsia="Arial" w:cs="Arial" w:asciiTheme="minorAscii" w:hAnsiTheme="minorAscii" w:eastAsiaTheme="minorAscii" w:cstheme="minorAscii"/>
          <w:noProof w:val="0"/>
          <w:sz w:val="22"/>
          <w:szCs w:val="22"/>
          <w:lang w:val="en-GB"/>
        </w:rPr>
        <w:t xml:space="preserve">, including EPS and dividend cover, further reinforce the view that financial risk has increased and shareholder value has weakened. </w:t>
      </w:r>
    </w:p>
    <w:p xmlns:wp14="http://schemas.microsoft.com/office/word/2010/wordml" w:rsidP="37E63DBD" wp14:paraId="36DDD462" wp14:textId="201CDDA3">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2F88F007">
        <w:rPr>
          <w:rFonts w:ascii="Arial" w:hAnsi="Arial" w:eastAsia="Arial" w:cs="Arial" w:asciiTheme="minorAscii" w:hAnsiTheme="minorAscii" w:eastAsiaTheme="minorAscii" w:cstheme="minorAscii"/>
          <w:noProof w:val="0"/>
          <w:sz w:val="22"/>
          <w:szCs w:val="22"/>
          <w:lang w:val="en-GB"/>
        </w:rPr>
        <w:t>However, it is important to recognise that ratio analysis is inherently limited. it is based on historical data and cannot fully capture external influences such as macroeconomic conditions, inflation, or shifts in consumer demand. Therefore, while the analysis rovides a useful diagnostic tool, it should be interpreted alongside qualit</w:t>
      </w:r>
      <w:r w:rsidRPr="37E63DBD" w:rsidR="13427B2A">
        <w:rPr>
          <w:rFonts w:ascii="Arial" w:hAnsi="Arial" w:eastAsia="Arial" w:cs="Arial" w:asciiTheme="minorAscii" w:hAnsiTheme="minorAscii" w:eastAsiaTheme="minorAscii" w:cstheme="minorAscii"/>
          <w:noProof w:val="0"/>
          <w:sz w:val="22"/>
          <w:szCs w:val="22"/>
          <w:lang w:val="en-GB"/>
        </w:rPr>
        <w:t>ative and strategic considerations.</w:t>
      </w:r>
    </w:p>
    <w:p xmlns:wp14="http://schemas.microsoft.com/office/word/2010/wordml" w:rsidP="37E63DBD" wp14:paraId="664A96DC" wp14:textId="00973D1E">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13427B2A">
        <w:rPr>
          <w:rFonts w:ascii="Arial" w:hAnsi="Arial" w:eastAsia="Arial" w:cs="Arial" w:asciiTheme="minorAscii" w:hAnsiTheme="minorAscii" w:eastAsiaTheme="minorAscii" w:cstheme="minorAscii"/>
          <w:noProof w:val="0"/>
          <w:sz w:val="22"/>
          <w:szCs w:val="22"/>
          <w:lang w:val="en-GB"/>
        </w:rPr>
        <w:t xml:space="preserve">Overall, Burberry must prioritise restoring profitability through cost control, revenue growth, and careful capital structure management. Without improvement in earnings, current liquidity stability may become unsustainable, and investor confidence may continue to decline. </w:t>
      </w:r>
    </w:p>
    <w:p xmlns:wp14="http://schemas.microsoft.com/office/word/2010/wordml" w:rsidP="37E63DBD" wp14:paraId="0C49B049" wp14:textId="40576349">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13427B2A">
        <w:rPr>
          <w:rFonts w:ascii="Arial" w:hAnsi="Arial" w:eastAsia="Arial" w:cs="Arial" w:asciiTheme="minorAscii" w:hAnsiTheme="minorAscii" w:eastAsiaTheme="minorAscii" w:cstheme="minorAscii"/>
          <w:noProof w:val="0"/>
          <w:sz w:val="22"/>
          <w:szCs w:val="22"/>
          <w:lang w:val="en-GB"/>
        </w:rPr>
        <w:t xml:space="preserve">In contrast, the investment appraisal for Beard Plc presents a clearer and more positive outcome. The analysis </w:t>
      </w:r>
      <w:r w:rsidRPr="37E63DBD" w:rsidR="13427B2A">
        <w:rPr>
          <w:rFonts w:ascii="Arial" w:hAnsi="Arial" w:eastAsia="Arial" w:cs="Arial" w:asciiTheme="minorAscii" w:hAnsiTheme="minorAscii" w:eastAsiaTheme="minorAscii" w:cstheme="minorAscii"/>
          <w:noProof w:val="0"/>
          <w:sz w:val="22"/>
          <w:szCs w:val="22"/>
          <w:lang w:val="en-GB"/>
        </w:rPr>
        <w:t>demonstrates</w:t>
      </w:r>
      <w:r w:rsidRPr="37E63DBD" w:rsidR="13427B2A">
        <w:rPr>
          <w:rFonts w:ascii="Arial" w:hAnsi="Arial" w:eastAsia="Arial" w:cs="Arial" w:asciiTheme="minorAscii" w:hAnsiTheme="minorAscii" w:eastAsiaTheme="minorAscii" w:cstheme="minorAscii"/>
          <w:noProof w:val="0"/>
          <w:sz w:val="22"/>
          <w:szCs w:val="22"/>
          <w:lang w:val="en-GB"/>
        </w:rPr>
        <w:t xml:space="preserve"> that Project C is the most financially </w:t>
      </w:r>
      <w:r w:rsidRPr="37E63DBD" w:rsidR="13427B2A">
        <w:rPr>
          <w:rFonts w:ascii="Arial" w:hAnsi="Arial" w:eastAsia="Arial" w:cs="Arial" w:asciiTheme="minorAscii" w:hAnsiTheme="minorAscii" w:eastAsiaTheme="minorAscii" w:cstheme="minorAscii"/>
          <w:noProof w:val="0"/>
          <w:sz w:val="22"/>
          <w:szCs w:val="22"/>
          <w:lang w:val="en-GB"/>
        </w:rPr>
        <w:t>viable</w:t>
      </w:r>
      <w:r w:rsidRPr="37E63DBD" w:rsidR="13427B2A">
        <w:rPr>
          <w:rFonts w:ascii="Arial" w:hAnsi="Arial" w:eastAsia="Arial" w:cs="Arial" w:asciiTheme="minorAscii" w:hAnsiTheme="minorAscii" w:eastAsiaTheme="minorAscii" w:cstheme="minorAscii"/>
          <w:noProof w:val="0"/>
          <w:sz w:val="22"/>
          <w:szCs w:val="22"/>
          <w:lang w:val="en-GB"/>
        </w:rPr>
        <w:t xml:space="preserve"> option, </w:t>
      </w:r>
      <w:r w:rsidRPr="37E63DBD" w:rsidR="777E296D">
        <w:rPr>
          <w:rFonts w:ascii="Arial" w:hAnsi="Arial" w:eastAsia="Arial" w:cs="Arial" w:asciiTheme="minorAscii" w:hAnsiTheme="minorAscii" w:eastAsiaTheme="minorAscii" w:cstheme="minorAscii"/>
          <w:noProof w:val="0"/>
          <w:sz w:val="22"/>
          <w:szCs w:val="22"/>
          <w:lang w:val="en-GB"/>
        </w:rPr>
        <w:t>generating</w:t>
      </w:r>
      <w:r w:rsidRPr="37E63DBD" w:rsidR="13427B2A">
        <w:rPr>
          <w:rFonts w:ascii="Arial" w:hAnsi="Arial" w:eastAsia="Arial" w:cs="Arial" w:asciiTheme="minorAscii" w:hAnsiTheme="minorAscii" w:eastAsiaTheme="minorAscii" w:cstheme="minorAscii"/>
          <w:noProof w:val="0"/>
          <w:sz w:val="22"/>
          <w:szCs w:val="22"/>
          <w:lang w:val="en-GB"/>
        </w:rPr>
        <w:t xml:space="preserve"> the highest NPV and an IRR significantly above the cost of capital. This confirms its ab</w:t>
      </w:r>
      <w:r w:rsidRPr="37E63DBD" w:rsidR="3DFE501E">
        <w:rPr>
          <w:rFonts w:ascii="Arial" w:hAnsi="Arial" w:eastAsia="Arial" w:cs="Arial" w:asciiTheme="minorAscii" w:hAnsiTheme="minorAscii" w:eastAsiaTheme="minorAscii" w:cstheme="minorAscii"/>
          <w:noProof w:val="0"/>
          <w:sz w:val="22"/>
          <w:szCs w:val="22"/>
          <w:lang w:val="en-GB"/>
        </w:rPr>
        <w:t xml:space="preserve">ility to maximise shareholder wealth, aligning with core </w:t>
      </w:r>
      <w:r w:rsidRPr="37E63DBD" w:rsidR="3DFE501E">
        <w:rPr>
          <w:rFonts w:ascii="Arial" w:hAnsi="Arial" w:eastAsia="Arial" w:cs="Arial" w:asciiTheme="minorAscii" w:hAnsiTheme="minorAscii" w:eastAsiaTheme="minorAscii" w:cstheme="minorAscii"/>
          <w:noProof w:val="0"/>
          <w:sz w:val="22"/>
          <w:szCs w:val="22"/>
          <w:lang w:val="en-GB"/>
        </w:rPr>
        <w:t>financial management</w:t>
      </w:r>
      <w:r w:rsidRPr="37E63DBD" w:rsidR="3DFE501E">
        <w:rPr>
          <w:rFonts w:ascii="Arial" w:hAnsi="Arial" w:eastAsia="Arial" w:cs="Arial" w:asciiTheme="minorAscii" w:hAnsiTheme="minorAscii" w:eastAsiaTheme="minorAscii" w:cstheme="minorAscii"/>
          <w:noProof w:val="0"/>
          <w:sz w:val="22"/>
          <w:szCs w:val="22"/>
          <w:lang w:val="en-GB"/>
        </w:rPr>
        <w:t xml:space="preserve"> </w:t>
      </w:r>
      <w:r w:rsidRPr="37E63DBD" w:rsidR="3DFE501E">
        <w:rPr>
          <w:rFonts w:ascii="Arial" w:hAnsi="Arial" w:eastAsia="Arial" w:cs="Arial" w:asciiTheme="minorAscii" w:hAnsiTheme="minorAscii" w:eastAsiaTheme="minorAscii" w:cstheme="minorAscii"/>
          <w:noProof w:val="0"/>
          <w:sz w:val="22"/>
          <w:szCs w:val="22"/>
          <w:lang w:val="en-GB"/>
        </w:rPr>
        <w:t>objectives</w:t>
      </w:r>
      <w:r w:rsidRPr="37E63DBD" w:rsidR="3DFE501E">
        <w:rPr>
          <w:rFonts w:ascii="Arial" w:hAnsi="Arial" w:eastAsia="Arial" w:cs="Arial" w:asciiTheme="minorAscii" w:hAnsiTheme="minorAscii" w:eastAsiaTheme="minorAscii" w:cstheme="minorAscii"/>
          <w:noProof w:val="0"/>
          <w:sz w:val="22"/>
          <w:szCs w:val="22"/>
          <w:lang w:val="en-GB"/>
        </w:rPr>
        <w:t>. Project B also creates value, and under capital rationing, a partial investment alongside Project C allows the firm to maximise total returns within the £1.5 million constraint. Project A, with a negativ</w:t>
      </w:r>
      <w:r w:rsidRPr="37E63DBD" w:rsidR="73524C5D">
        <w:rPr>
          <w:rFonts w:ascii="Arial" w:hAnsi="Arial" w:eastAsia="Arial" w:cs="Arial" w:asciiTheme="minorAscii" w:hAnsiTheme="minorAscii" w:eastAsiaTheme="minorAscii" w:cstheme="minorAscii"/>
          <w:noProof w:val="0"/>
          <w:sz w:val="22"/>
          <w:szCs w:val="22"/>
          <w:lang w:val="en-GB"/>
        </w:rPr>
        <w:t>e NPV, is correctly rejected.</w:t>
      </w:r>
    </w:p>
    <w:p xmlns:wp14="http://schemas.microsoft.com/office/word/2010/wordml" w:rsidP="37E63DBD" wp14:paraId="054E00C3" wp14:textId="25829022">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73524C5D">
        <w:rPr>
          <w:rFonts w:ascii="Arial" w:hAnsi="Arial" w:eastAsia="Arial" w:cs="Arial" w:asciiTheme="minorAscii" w:hAnsiTheme="minorAscii" w:eastAsiaTheme="minorAscii" w:cstheme="minorAscii"/>
          <w:noProof w:val="0"/>
          <w:sz w:val="22"/>
          <w:szCs w:val="22"/>
          <w:lang w:val="en-GB"/>
        </w:rPr>
        <w:t>Although NPV is identified as the most robust appraisal method, the inclusion of IRR, Payback Period, and ARR provides a more comprehensive evaluation and reflects practical decision-making. Each technique contributes different insights, particularly in relation</w:t>
      </w:r>
      <w:r w:rsidRPr="37E63DBD" w:rsidR="06D94C72">
        <w:rPr>
          <w:rFonts w:ascii="Arial" w:hAnsi="Arial" w:eastAsia="Arial" w:cs="Arial" w:asciiTheme="minorAscii" w:hAnsiTheme="minorAscii" w:eastAsiaTheme="minorAscii" w:cstheme="minorAscii"/>
          <w:noProof w:val="0"/>
          <w:sz w:val="22"/>
          <w:szCs w:val="22"/>
          <w:lang w:val="en-GB"/>
        </w:rPr>
        <w:t xml:space="preserve"> to risk, liquidity, and accounting performance. </w:t>
      </w:r>
    </w:p>
    <w:p xmlns:wp14="http://schemas.microsoft.com/office/word/2010/wordml" w:rsidP="37E63DBD" wp14:paraId="296AE697" wp14:textId="692BEC02">
      <w:pPr>
        <w:pStyle w:val="Normal"/>
        <w:spacing w:line="360" w:lineRule="auto"/>
        <w:jc w:val="both"/>
        <w:rPr>
          <w:rFonts w:ascii="Arial" w:hAnsi="Arial" w:eastAsia="Arial" w:cs="Arial" w:asciiTheme="minorAscii" w:hAnsiTheme="minorAscii" w:eastAsiaTheme="minorAscii" w:cstheme="minorAscii"/>
          <w:noProof w:val="0"/>
          <w:sz w:val="22"/>
          <w:szCs w:val="22"/>
          <w:lang w:val="en-GB"/>
        </w:rPr>
      </w:pPr>
      <w:r w:rsidRPr="37E63DBD" w:rsidR="06D94C72">
        <w:rPr>
          <w:rFonts w:ascii="Arial" w:hAnsi="Arial" w:eastAsia="Arial" w:cs="Arial" w:asciiTheme="minorAscii" w:hAnsiTheme="minorAscii" w:eastAsiaTheme="minorAscii" w:cstheme="minorAscii"/>
          <w:noProof w:val="0"/>
          <w:sz w:val="22"/>
          <w:szCs w:val="22"/>
          <w:lang w:val="en-GB"/>
        </w:rPr>
        <w:t xml:space="preserve">While Burberry’s analysis highlights the challenges of </w:t>
      </w:r>
      <w:r w:rsidRPr="37E63DBD" w:rsidR="7C08F559">
        <w:rPr>
          <w:rFonts w:ascii="Arial" w:hAnsi="Arial" w:eastAsia="Arial" w:cs="Arial" w:asciiTheme="minorAscii" w:hAnsiTheme="minorAscii" w:eastAsiaTheme="minorAscii" w:cstheme="minorAscii"/>
          <w:noProof w:val="0"/>
          <w:sz w:val="22"/>
          <w:szCs w:val="22"/>
          <w:lang w:val="en-GB"/>
        </w:rPr>
        <w:t>declining</w:t>
      </w:r>
      <w:r w:rsidRPr="37E63DBD" w:rsidR="06D94C72">
        <w:rPr>
          <w:rFonts w:ascii="Arial" w:hAnsi="Arial" w:eastAsia="Arial" w:cs="Arial" w:asciiTheme="minorAscii" w:hAnsiTheme="minorAscii" w:eastAsiaTheme="minorAscii" w:cstheme="minorAscii"/>
          <w:noProof w:val="0"/>
          <w:sz w:val="22"/>
          <w:szCs w:val="22"/>
          <w:lang w:val="en-GB"/>
        </w:rPr>
        <w:t xml:space="preserve"> performance and the limitations of financial ratios, Beard Plc’s appraisal </w:t>
      </w:r>
      <w:r w:rsidRPr="37E63DBD" w:rsidR="06D94C72">
        <w:rPr>
          <w:rFonts w:ascii="Arial" w:hAnsi="Arial" w:eastAsia="Arial" w:cs="Arial" w:asciiTheme="minorAscii" w:hAnsiTheme="minorAscii" w:eastAsiaTheme="minorAscii" w:cstheme="minorAscii"/>
          <w:noProof w:val="0"/>
          <w:sz w:val="22"/>
          <w:szCs w:val="22"/>
          <w:lang w:val="en-GB"/>
        </w:rPr>
        <w:t>demonstrates</w:t>
      </w:r>
      <w:r w:rsidRPr="37E63DBD" w:rsidR="06D94C72">
        <w:rPr>
          <w:rFonts w:ascii="Arial" w:hAnsi="Arial" w:eastAsia="Arial" w:cs="Arial" w:asciiTheme="minorAscii" w:hAnsiTheme="minorAscii" w:eastAsiaTheme="minorAscii" w:cstheme="minorAscii"/>
          <w:noProof w:val="0"/>
          <w:sz w:val="22"/>
          <w:szCs w:val="22"/>
          <w:lang w:val="en-GB"/>
        </w:rPr>
        <w:t xml:space="preserve"> how rigorous financial evaluation can guide </w:t>
      </w:r>
      <w:r w:rsidRPr="37E63DBD" w:rsidR="06D94C72">
        <w:rPr>
          <w:rFonts w:ascii="Arial" w:hAnsi="Arial" w:eastAsia="Arial" w:cs="Arial" w:asciiTheme="minorAscii" w:hAnsiTheme="minorAscii" w:eastAsiaTheme="minorAscii" w:cstheme="minorAscii"/>
          <w:noProof w:val="0"/>
          <w:sz w:val="22"/>
          <w:szCs w:val="22"/>
          <w:lang w:val="en-GB"/>
        </w:rPr>
        <w:t>optimal</w:t>
      </w:r>
      <w:r w:rsidRPr="37E63DBD" w:rsidR="06D94C72">
        <w:rPr>
          <w:rFonts w:ascii="Arial" w:hAnsi="Arial" w:eastAsia="Arial" w:cs="Arial" w:asciiTheme="minorAscii" w:hAnsiTheme="minorAscii" w:eastAsiaTheme="minorAscii" w:cstheme="minorAscii"/>
          <w:noProof w:val="0"/>
          <w:sz w:val="22"/>
          <w:szCs w:val="22"/>
          <w:lang w:val="en-GB"/>
        </w:rPr>
        <w:t xml:space="preserve"> investment and financing decision to enhance shareholder value. </w:t>
      </w:r>
    </w:p>
    <w:p xmlns:wp14="http://schemas.microsoft.com/office/word/2010/wordml" w:rsidP="37E63DBD" wp14:paraId="6A755A46" wp14:textId="222DB46A">
      <w:pPr>
        <w:pStyle w:val="Heading1"/>
        <w:spacing w:before="240" w:beforeAutospacing="off" w:after="0" w:afterAutospacing="off"/>
        <w:rPr>
          <w:rFonts w:ascii="Calibri" w:hAnsi="Calibri" w:eastAsia="Calibri" w:cs="Calibri"/>
          <w:b w:val="0"/>
          <w:bCs w:val="0"/>
          <w:i w:val="0"/>
          <w:iCs w:val="0"/>
          <w:strike w:val="0"/>
          <w:dstrike w:val="0"/>
          <w:noProof w:val="0"/>
          <w:color w:val="2E75B5"/>
          <w:sz w:val="32"/>
          <w:szCs w:val="32"/>
          <w:u w:val="none"/>
          <w:lang w:val="en-GB"/>
        </w:rPr>
      </w:pPr>
      <w:bookmarkStart w:name="_Toc1574219677" w:id="503326666"/>
      <w:r w:rsidRPr="37E63DBD" w:rsidR="53AD24EE">
        <w:rPr>
          <w:rFonts w:ascii="Calibri" w:hAnsi="Calibri" w:eastAsia="Calibri" w:cs="Calibri"/>
          <w:b w:val="0"/>
          <w:bCs w:val="0"/>
          <w:i w:val="0"/>
          <w:iCs w:val="0"/>
          <w:strike w:val="0"/>
          <w:dstrike w:val="0"/>
          <w:noProof w:val="0"/>
          <w:color w:val="2E75B5"/>
          <w:sz w:val="32"/>
          <w:szCs w:val="32"/>
          <w:u w:val="none"/>
          <w:lang w:val="en-GB"/>
        </w:rPr>
        <w:t>Bibliography</w:t>
      </w:r>
      <w:bookmarkEnd w:id="503326666"/>
    </w:p>
    <w:p xmlns:wp14="http://schemas.microsoft.com/office/word/2010/wordml" wp14:paraId="72E9545F" wp14:textId="2346D0AF"/>
    <w:p xmlns:wp14="http://schemas.microsoft.com/office/word/2010/wordml" w:rsidP="37E63DBD" wp14:paraId="1056374B" wp14:textId="028C662E">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Abdullah., Hashmi, M. A. &amp; Iqbal, M. S. (2022). ‘Impact of working capital management on firm profitability and liquidity: 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 moderat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ing role of family ownership</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Accounting Research Journal,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35(5), pp. 676-697. Available at: </w:t>
      </w:r>
      <w:hyperlink r:id="Rb2d8891e9ff44f3f">
        <w:r w:rsidRPr="37E63DBD" w:rsidR="53AD24EE">
          <w:rPr>
            <w:rStyle w:val="Hyperlink"/>
            <w:rFonts w:ascii="Arial" w:hAnsi="Arial" w:eastAsia="Arial" w:cs="Arial" w:asciiTheme="minorAscii" w:hAnsiTheme="minorAscii" w:eastAsiaTheme="minorAscii" w:cstheme="minorAscii"/>
            <w:b w:val="0"/>
            <w:bCs w:val="0"/>
            <w:i w:val="0"/>
            <w:iCs w:val="0"/>
            <w:strike w:val="0"/>
            <w:dstrike w:val="0"/>
            <w:noProof w:val="0"/>
            <w:color w:val="1155CC"/>
            <w:sz w:val="22"/>
            <w:szCs w:val="22"/>
            <w:u w:val="none"/>
            <w:lang w:val="en-GB"/>
          </w:rPr>
          <w:t>https://doi.org/10.1108/ARJ-07-2021-0212</w:t>
        </w:r>
      </w:hyperlink>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372D9189" wp14:textId="760FB83E">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Ahmed </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Mareai</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Senan, N., </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Ahmad, A.,</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Anagre</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S., T</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abash, M.</w:t>
      </w:r>
      <w:r w:rsidRPr="37E63DBD" w:rsidR="1BE8789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A</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Al-</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Homaidi</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E. S. (2021). ‘An empirical analysis of financia</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 levera</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ge and financial performan</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ce: Empi</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rical </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evience</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from Indian listed </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firms’</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41CF9A2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Investment management &amp; financial innovations, </w:t>
      </w:r>
      <w:r w:rsidRPr="37E63DBD" w:rsidR="41CF9A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18(2)</w:t>
      </w:r>
      <w:r w:rsidRPr="37E63DBD" w:rsidR="35DD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pp. 322-334. Av</w:t>
      </w:r>
      <w:r w:rsidRPr="37E63DBD" w:rsidR="35DD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ailable a</w:t>
      </w:r>
      <w:r w:rsidRPr="37E63DBD" w:rsidR="35DD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 </w:t>
      </w:r>
      <w:hyperlink r:id="Rd18d7d4765244a31">
        <w:r w:rsidRPr="37E63DBD" w:rsidR="35DD272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w:t>
        </w:r>
        <w:r w:rsidRPr="37E63DBD" w:rsidR="35DD272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//doi.org/10.21511/imfi.18(2).2021.26</w:t>
        </w:r>
      </w:hyperlink>
      <w:r w:rsidRPr="37E63DBD" w:rsidR="35DD27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7E698F42" wp14:textId="52D76E48">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2A674D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s-ES"/>
        </w:rPr>
        <w:t xml:space="preserve">Akron, S., </w:t>
      </w:r>
      <w:r w:rsidRPr="37E63DBD" w:rsidR="2A674D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s-ES"/>
        </w:rPr>
        <w:t>Demir</w:t>
      </w:r>
      <w:r w:rsidRPr="37E63DBD" w:rsidR="2A674D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s-ES"/>
        </w:rPr>
        <w:t xml:space="preserve">, E., Díez-Esteban, J. M. &amp; </w:t>
      </w:r>
      <w:r w:rsidRPr="37E63DBD" w:rsidR="2A674D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s-ES"/>
        </w:rPr>
        <w:t>Garc</w:t>
      </w:r>
      <w:r w:rsidRPr="37E63DBD" w:rsidR="2EBE7F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ía</w:t>
      </w:r>
      <w:r w:rsidRPr="37E63DBD" w:rsidR="2EBE7F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-Gómez, C. D. (2020). ‘Economic policy uncertainty and coporate investment: Evidence from the U.S. hospitality indus</w:t>
      </w:r>
      <w:r w:rsidRPr="37E63DBD" w:rsidR="2EBE7F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try</w:t>
      </w:r>
      <w:r w:rsidRPr="37E63DBD" w:rsidR="2EBE7F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2EBE7FE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70D0C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Tou</w:t>
      </w:r>
      <w:r w:rsidRPr="37E63DBD" w:rsidR="070D0C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ris</w:t>
      </w:r>
      <w:r w:rsidRPr="37E63DBD" w:rsidR="070D0C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m manag</w:t>
      </w:r>
      <w:r w:rsidRPr="37E63DBD" w:rsidR="070D0C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w:t>
      </w:r>
      <w:r w:rsidRPr="37E63DBD" w:rsidR="070D0C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ment, </w:t>
      </w:r>
      <w:r w:rsidRPr="37E63DBD" w:rsidR="070D0C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77. A</w:t>
      </w:r>
      <w:r w:rsidRPr="37E63DBD" w:rsidR="070D0C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vailab</w:t>
      </w:r>
      <w:r w:rsidRPr="37E63DBD" w:rsidR="070D0C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le at: </w:t>
      </w:r>
      <w:hyperlink r:id="Ra330b978d1864329">
        <w:r w:rsidRPr="37E63DBD" w:rsidR="070D0CF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w:t>
        </w:r>
        <w:r w:rsidRPr="37E63DBD" w:rsidR="070D0CF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ttps://doi.org/10.1016/j.tourman.2019.104019</w:t>
        </w:r>
      </w:hyperlink>
      <w:r w:rsidRPr="37E63DBD" w:rsidR="070D0C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0AD7845" wp14:textId="4DA48883">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Aktas, N., Croci, E. and </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Petmezas</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D. (2015). ‘Is working capital management value-enhancing? Evidence from firm perfo</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rmance an</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 </w:t>
      </w:r>
      <w:r w:rsidRPr="37E63DBD" w:rsidR="1A45CB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investments</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0C29B17">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corporate finance (Amsterdam, Netherlands), </w:t>
      </w:r>
      <w:r w:rsidRPr="37E63DBD" w:rsidR="00C29B1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30, </w:t>
      </w:r>
      <w:r w:rsidRPr="37E63DBD" w:rsidR="7EE2110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pp. 98-11</w:t>
      </w:r>
      <w:r w:rsidRPr="37E63DBD" w:rsidR="7EE2110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3. Availab</w:t>
      </w:r>
      <w:r w:rsidRPr="37E63DBD" w:rsidR="7EE2110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le at: </w:t>
      </w:r>
      <w:hyperlink r:id="Rac72b397f5a94ac3">
        <w:r w:rsidRPr="37E63DBD" w:rsidR="7EE21102">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https://doi.org/10.1016/j.jcorpfin.2014.12.008</w:t>
        </w:r>
      </w:hyperlink>
      <w:r w:rsidRPr="37E63DBD" w:rsidR="7EE2110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C02985A" wp14:textId="4D5A105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C347A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Alkaraan</w:t>
      </w:r>
      <w:r w:rsidRPr="37E63DBD" w:rsidR="3C347A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F. (2020). ‘Strategic investment decision-making practices in large manufacturing companies: A r</w:t>
      </w:r>
      <w:r w:rsidRPr="37E63DBD" w:rsidR="3C347A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ole for emergent</w:t>
      </w:r>
      <w:r w:rsidRPr="37E63DBD" w:rsidR="3C347A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analysis techniques?’ </w:t>
      </w:r>
      <w:r w:rsidRPr="37E63DBD" w:rsidR="3C347A9C">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Meditari</w:t>
      </w:r>
      <w:r w:rsidRPr="37E63DBD" w:rsidR="3C347A9C">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accountancy research, </w:t>
      </w:r>
      <w:r w:rsidRPr="37E63DBD" w:rsidR="3C347A9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28(4), pp. 633-653. Available at: </w:t>
      </w:r>
      <w:hyperlink r:id="Rbeeed70869da4aff">
        <w:r w:rsidRPr="37E63DBD" w:rsidR="3C347A9C">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w:t>
        </w:r>
        <w:r w:rsidRPr="37E63DBD" w:rsidR="3C347A9C">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w:t>
        </w:r>
        <w:r w:rsidRPr="37E63DBD" w:rsidR="3C347A9C">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//doi.org/10.</w:t>
        </w:r>
        <w:r w:rsidRPr="37E63DBD" w:rsidR="6DC0C02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1108/MEDAR-05-201</w:t>
        </w:r>
        <w:r w:rsidRPr="37E63DBD" w:rsidR="6DC0C02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9-0484</w:t>
        </w:r>
      </w:hyperlink>
      <w:r w:rsidRPr="37E63DBD" w:rsidR="6DC0C02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2F4F0376" wp14:textId="704D777F">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Andor, G., Mohanty., S.K. &amp; Toth, T. (2015). ‘Capital budgeting practices: A survey of Central and Eastern European </w:t>
      </w: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firms’</w:t>
      </w: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6BB6DBD">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Emerging markets review, </w:t>
      </w: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23, pp. 1</w:t>
      </w: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48-172. </w:t>
      </w:r>
      <w:r w:rsidRPr="37E63DBD" w:rsidR="46BB6D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Available at: </w:t>
      </w:r>
      <w:hyperlink r:id="R16b5d192cd5c4610">
        <w:r w:rsidRPr="37E63DBD" w:rsidR="46BB6DB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https://doi.org/10.1016/j.ememar</w:t>
        </w:r>
        <w:r w:rsidRPr="37E63DBD" w:rsidR="3A50A06B">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.2015.04.002</w:t>
        </w:r>
      </w:hyperlink>
      <w:r w:rsidRPr="37E63DBD" w:rsidR="3A50A06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FBA8E18" wp14:textId="1926AC3A">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Arhinful</w:t>
      </w: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R., Amin, H. I. M., Mensah, L., Gyamfi, B. A. &amp; Obeng, H. A. (2025). ‘</w:t>
      </w: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Determining </w:t>
      </w: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 </w:t>
      </w: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optimal</w:t>
      </w:r>
      <w:r w:rsidRPr="37E63DBD" w:rsidR="7EE7121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capital structure and its impact on </w:t>
      </w:r>
      <w:r w:rsidRPr="37E63DBD" w:rsidR="5BD4B3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financial performance. Insight from the firms listed on the New York Stock </w:t>
      </w:r>
      <w:r w:rsidRPr="37E63DBD" w:rsidR="5BD4B3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Exchange</w:t>
      </w:r>
      <w:r w:rsidRPr="37E63DBD" w:rsidR="5BD4B3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5BD4B3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5BD4B35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Cogent e</w:t>
      </w:r>
      <w:r w:rsidRPr="37E63DBD" w:rsidR="5BD4B35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conomic</w:t>
      </w:r>
      <w:r w:rsidRPr="37E63DBD" w:rsidR="5BD4B35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s &amp; finance, </w:t>
      </w:r>
      <w:r w:rsidRPr="37E63DBD" w:rsidR="5BD4B3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13(1). Available at: </w:t>
      </w:r>
      <w:hyperlink r:id="R94cd514080614ab5">
        <w:r w:rsidRPr="37E63DBD" w:rsidR="5BD4B35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w:t>
        </w:r>
        <w:r w:rsidRPr="37E63DBD" w:rsidR="5BD4B35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.org/1</w:t>
        </w:r>
        <w:r w:rsidRPr="37E63DBD" w:rsidR="5BD4B35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0.1080/23322039</w:t>
        </w:r>
        <w:r w:rsidRPr="37E63DBD" w:rsidR="345606C9">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.2025.2571401</w:t>
        </w:r>
      </w:hyperlink>
      <w:r w:rsidRPr="37E63DBD" w:rsidR="345606C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2BB60991" wp14:textId="1DDBD55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70D2E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Arnold, G. (2013). </w:t>
      </w:r>
      <w:r w:rsidRPr="37E63DBD" w:rsidR="370D2E80">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Corporate </w:t>
      </w:r>
      <w:r w:rsidRPr="37E63DBD" w:rsidR="370D2E80">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financial management</w:t>
      </w:r>
      <w:r w:rsidRPr="37E63DBD" w:rsidR="370D2E80">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37E63DBD" w:rsidR="370D2E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w:t>
      </w:r>
      <w:r w:rsidRPr="37E63DBD" w:rsidR="370D2E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perscript"/>
          <w:lang w:val="en-GB"/>
        </w:rPr>
        <w:t>th</w:t>
      </w:r>
      <w:r w:rsidRPr="37E63DBD" w:rsidR="370D2E8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ed. Harlow: Pearson. </w:t>
      </w:r>
    </w:p>
    <w:p xmlns:wp14="http://schemas.microsoft.com/office/word/2010/wordml" w:rsidP="37E63DBD" wp14:paraId="63D94653" wp14:textId="6B25C9FC">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Arte, P. &amp; </w:t>
      </w: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Larimo</w:t>
      </w: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J. (2022). ‘Moderating influence of product diversification on the</w:t>
      </w: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intern</w:t>
      </w: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ational diversification-performance relationship: A meta-analysis'. </w:t>
      </w:r>
      <w:r w:rsidRPr="37E63DBD" w:rsidR="30A9CEBB">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business research, </w:t>
      </w:r>
      <w:r w:rsidRPr="37E63DBD" w:rsidR="30A9CEB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139, pp. 1408-1423. Available at: </w:t>
      </w:r>
      <w:hyperlink r:id="R42f43161e181411d">
        <w:r w:rsidRPr="37E63DBD" w:rsidR="30A9CEBB">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w:t>
        </w:r>
        <w:r w:rsidRPr="37E63DBD" w:rsidR="497D5D6B">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.jbusres.2021.10.037</w:t>
        </w:r>
      </w:hyperlink>
      <w:r w:rsidRPr="37E63DBD" w:rsidR="497D5D6B">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4CFB37D0" wp14:textId="07291823">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Atrill, P. &amp; </w:t>
      </w: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Mclaney</w:t>
      </w: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 J. (2015). </w:t>
      </w:r>
      <w:r w:rsidRPr="37E63DBD" w:rsidR="2465C07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Management accounting for decision makers. </w:t>
      </w: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8</w:t>
      </w: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perscript"/>
          <w:lang w:val="en-GB"/>
        </w:rPr>
        <w:t>th</w:t>
      </w:r>
      <w:r w:rsidRPr="37E63DBD" w:rsidR="2465C07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ed. Harlow, England: Pearson. </w:t>
      </w:r>
    </w:p>
    <w:p xmlns:wp14="http://schemas.microsoft.com/office/word/2010/wordml" w:rsidP="37E63DBD" wp14:paraId="4C204A80" wp14:textId="4F3225CE">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Atrill, P. &amp; McLaney, E. J. (2022).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Accounting and finance for non-specialists.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12th ed. Hoboken, NJ: Pearson. </w:t>
      </w:r>
    </w:p>
    <w:p xmlns:wp14="http://schemas.microsoft.com/office/word/2010/wordml" w:rsidP="37E63DBD" wp14:paraId="393FD843" wp14:textId="0C1D6F3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Baby, A., Mia, M.A. &amp; </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Pitchay</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A. A. (2024). ‘A systematic review of fin</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ancial p</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erf</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ormance in the manuf</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acturing industry</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9582149">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Future Business Journal. </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Berlin/</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Hedelberg</w:t>
      </w:r>
      <w:r w:rsidRPr="37E63DBD" w:rsidR="495821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Springer Berlin</w:t>
      </w:r>
      <w:r w:rsidRPr="37E63DBD" w:rsidR="765F9C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Heidelberg. Available at: </w:t>
      </w:r>
      <w:hyperlink r:id="R29975c97cf434cef">
        <w:r w:rsidRPr="37E63DBD" w:rsidR="765F9C1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https://doi.org/10.1186/s43093-024-00353-1</w:t>
        </w:r>
      </w:hyperlink>
      <w:r w:rsidRPr="37E63DBD" w:rsidR="765F9C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132BC17E" wp14:textId="3D9649D8">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58C76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Baker, H. K. &amp; English, P. eds. (2011). </w:t>
      </w:r>
      <w:r w:rsidRPr="37E63DBD" w:rsidR="358C76C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Capital budgeting valuation: financial analysis </w:t>
      </w:r>
      <w:r w:rsidRPr="37E63DBD" w:rsidR="358C76C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for</w:t>
      </w:r>
      <w:r w:rsidRPr="37E63DBD" w:rsidR="358C76C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today’s investment projects. </w:t>
      </w:r>
      <w:r w:rsidRPr="37E63DBD" w:rsidR="358C76C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John Wiley &amp; Sons. </w:t>
      </w:r>
    </w:p>
    <w:p xmlns:wp14="http://schemas.microsoft.com/office/word/2010/wordml" w:rsidP="37E63DBD" wp14:paraId="75995984" wp14:textId="522AD11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673A4BE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Baker, M. &amp; Wurgler, J. (2002). ‘Market Timing and Capital Structure</w:t>
      </w:r>
      <w:r w:rsidRPr="37E63DBD" w:rsidR="673A4BE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673A4BE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73A4BE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The Journal of finance (New York), </w:t>
      </w:r>
      <w:r w:rsidRPr="37E63DBD" w:rsidR="673A4BE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57</w:t>
      </w:r>
      <w:r w:rsidRPr="37E63DBD" w:rsidR="03D9F83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 pp. 1-32. Available at: </w:t>
      </w:r>
      <w:hyperlink r:id="R671f5ad3b0134447">
        <w:r w:rsidRPr="37E63DBD" w:rsidR="03D9F83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w:t>
        </w:r>
        <w:r w:rsidRPr="37E63DBD" w:rsidR="3FAC3E0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11/1540-6261.00414</w:t>
        </w:r>
      </w:hyperlink>
      <w:r w:rsidRPr="37E63DBD" w:rsidR="3FAC3E0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6A77CB0C" wp14:textId="2AB90F8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218396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Baños-Caballero, S., García-Terue</w:t>
      </w:r>
      <w:r w:rsidRPr="37E63DBD" w:rsidR="218396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l, P. J. &amp;</w:t>
      </w:r>
      <w:r w:rsidRPr="37E63DBD" w:rsidR="218396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218396E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Mart</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Ínez</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olano, P. (2014). ‘Working capital management, corporate perform</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ance, and </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financial </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constraints’</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2092E05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Journal of </w:t>
      </w:r>
      <w:r w:rsidRPr="37E63DBD" w:rsidR="2092E05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business research</w:t>
      </w:r>
      <w:r w:rsidRPr="37E63DBD" w:rsidR="2092E05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37E63DBD" w:rsidR="2092E0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67(3)</w:t>
      </w:r>
      <w:r w:rsidRPr="37E63DBD" w:rsidR="6EADCBF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pp. 332-338. Available at: </w:t>
      </w:r>
      <w:hyperlink r:id="R48c3a34f67894d94">
        <w:r w:rsidRPr="37E63DBD" w:rsidR="6EADCBF2">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https://doi.org/10.1016/j.jbusres.2013.01.016</w:t>
        </w:r>
      </w:hyperlink>
      <w:r w:rsidRPr="37E63DBD" w:rsidR="6EADCBF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2227C785" wp14:textId="0C7599B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33B0DA9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Batra, R. &amp; Verma, S. (2017). ‘Capital budgeting practices in Indian </w:t>
      </w:r>
      <w:r w:rsidRPr="37E63DBD" w:rsidR="33B0DA9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companies’</w:t>
      </w:r>
      <w:r w:rsidRPr="37E63DBD" w:rsidR="33B0DA9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33B0DA9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IIMB </w:t>
      </w:r>
      <w:r w:rsidRPr="37E63DBD" w:rsidR="33B0DA9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manage</w:t>
      </w:r>
      <w:r w:rsidRPr="37E63DBD" w:rsidR="33B0DA9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ment revie</w:t>
      </w:r>
      <w:r w:rsidRPr="37E63DBD" w:rsidR="33B0DA9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w</w:t>
      </w:r>
      <w:r w:rsidRPr="37E63DBD" w:rsidR="33B0DA9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37E63DBD" w:rsidR="33B0DA9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29(1), pp. 29-44. Available at: </w:t>
      </w:r>
      <w:hyperlink r:id="R2c60a85da9874ccd">
        <w:r w:rsidRPr="37E63DBD" w:rsidR="33B0DA9F">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https://doi.org/10.1016/j.iimb.2017.02</w:t>
        </w:r>
        <w:r w:rsidRPr="37E63DBD" w:rsidR="5F60BAEA">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.001</w:t>
        </w:r>
      </w:hyperlink>
      <w:r w:rsidRPr="37E63DBD" w:rsidR="5F60BA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1CDBE03E" wp14:textId="159891B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Bennouna, K., Meredith, G. G. &amp; Marchant, T. (2010). ‘Improved capital budgeting </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decision </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aking:</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ev</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dence fro</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 Canada</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28D8B20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Management decision, </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4</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8(2), pp</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.225</w:t>
      </w:r>
      <w:r w:rsidRPr="37E63DBD" w:rsidR="28D8B20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-247. Available at</w:t>
      </w:r>
      <w:r w:rsidRPr="37E63DBD" w:rsidR="74451CC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hyperlink r:id="R820b360530f449bd">
        <w:r w:rsidRPr="37E63DBD" w:rsidR="74451CCF">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https://doi.org/10.1108/00251741011022590</w:t>
        </w:r>
      </w:hyperlink>
      <w:r w:rsidRPr="37E63DBD" w:rsidR="74451CC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00809922" wp14:textId="6C60900A">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BBBDF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Brav, A., Graham, J. R., Harvey, C. R. &amp; Michaely, R. (2005). ‘Payout policy in the 21</w:t>
      </w:r>
      <w:r w:rsidRPr="37E63DBD" w:rsidR="0BBBDF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perscript"/>
          <w:lang w:val="en-GB"/>
        </w:rPr>
        <w:t>st</w:t>
      </w:r>
      <w:r w:rsidRPr="37E63DBD" w:rsidR="0BBBDF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century’. </w:t>
      </w:r>
      <w:r w:rsidRPr="37E63DBD" w:rsidR="0BBBDF4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financial economics, </w:t>
      </w:r>
      <w:r w:rsidRPr="37E63DBD" w:rsidR="0BBBDF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77(3), pp.4</w:t>
      </w:r>
      <w:r w:rsidRPr="37E63DBD" w:rsidR="6135CF5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83-527. Available at: </w:t>
      </w:r>
      <w:hyperlink r:id="Rec7e1f24887143e7">
        <w:r w:rsidRPr="37E63DBD" w:rsidR="6135CF50">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https://doi.org/10.1016/j.jfineco.2004.07.004</w:t>
        </w:r>
      </w:hyperlink>
      <w:r w:rsidRPr="37E63DBD" w:rsidR="6135CF5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307B861F" wp14:textId="2C22AF9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E50DE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Brealey, R. A., Myers, S. C. &amp; Allen, F. (2011). </w:t>
      </w:r>
      <w:r w:rsidRPr="37E63DBD" w:rsidR="5E50DE77">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Principles of corporate finance. </w:t>
      </w:r>
      <w:r w:rsidRPr="37E63DBD" w:rsidR="5E50DE7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McGraw-Hill Education.</w:t>
      </w:r>
    </w:p>
    <w:p xmlns:wp14="http://schemas.microsoft.com/office/word/2010/wordml" w:rsidP="37E63DBD" wp14:paraId="509C55A7" wp14:textId="58F5C68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8A4528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Brigham, E. F. &amp; Ehrhardt, M. C. (2020). </w:t>
      </w:r>
      <w:r w:rsidRPr="37E63DBD" w:rsidR="38A4528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Financial Management: Theory and Practice. </w:t>
      </w:r>
      <w:r w:rsidRPr="37E63DBD" w:rsidR="38A4528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Cengage Learning. </w:t>
      </w:r>
    </w:p>
    <w:p xmlns:wp14="http://schemas.microsoft.com/office/word/2010/wordml" w:rsidP="37E63DBD" wp14:paraId="37E123B9" wp14:textId="377374F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5BE069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Cahaya, F. R. </w:t>
      </w:r>
      <w:r w:rsidRPr="37E63DBD" w:rsidR="55BE0692">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et al. </w:t>
      </w:r>
      <w:r w:rsidRPr="37E63DBD" w:rsidR="55BE069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(2025). ‘Earnings Power and Dividend Strategies: An Empirical Investigation of Their Joint Impact on Stock Prices in the Manufacturing Industry’ in </w:t>
      </w:r>
      <w:r w:rsidRPr="37E63DBD" w:rsidR="55BE0692">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Proceedings of the 9th </w:t>
      </w:r>
      <w:r w:rsidRPr="37E63DBD" w:rsidR="174A46C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International Conference on Accounting, Management, and Economics 2024 (ICAME 2024). </w:t>
      </w:r>
      <w:r w:rsidRPr="37E63DBD" w:rsidR="174A46C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Netherlands: Atlantic Press (Zeger Karssen). </w:t>
      </w:r>
    </w:p>
    <w:p xmlns:wp14="http://schemas.microsoft.com/office/word/2010/wordml" w:rsidP="37E63DBD" wp14:paraId="2DAC9C02" wp14:textId="74636A0C">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Casale, M. (2026).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Global Powers of Luxury 2026.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Available at:</w:t>
      </w:r>
      <w:r w:rsidRPr="37E63DBD" w:rsidR="727FEF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96d7d1dba0044431">
        <w:r w:rsidRPr="37E63DBD" w:rsidR="727FEF41">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https://www.deloitte.com/global/en/industries/consumer/perspectives/global-powers-of-luxury.html</w:t>
        </w:r>
      </w:hyperlink>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(Accessed: 2 April 2026).</w:t>
      </w:r>
    </w:p>
    <w:p xmlns:wp14="http://schemas.microsoft.com/office/word/2010/wordml" w:rsidP="37E63DBD" wp14:paraId="38EE090D" wp14:textId="520E7FA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7202A6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D’Arpizio</w:t>
      </w:r>
      <w:r w:rsidRPr="37E63DBD" w:rsidR="7202A6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C., Levato, F., St</w:t>
      </w:r>
      <w:r w:rsidRPr="37E63DBD" w:rsidR="7202A6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einer, A. &amp; de Montg</w:t>
      </w:r>
      <w:r w:rsidRPr="37E63DBD" w:rsidR="7202A65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olfier, J. (2024). </w:t>
      </w:r>
      <w:r w:rsidRPr="37E63DBD" w:rsidR="7202A65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Luxury in transition: Securing future growth</w:t>
      </w:r>
      <w:r w:rsidRPr="37E63DBD" w:rsidR="0EA8C73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37E63DBD" w:rsidR="0EA8C73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Bain &amp; Company. </w:t>
      </w:r>
    </w:p>
    <w:p xmlns:wp14="http://schemas.microsoft.com/office/word/2010/wordml" w:rsidP="37E63DBD" wp14:paraId="2C313EB6" wp14:textId="632410D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A49C2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Danielson, M. G., Hogan, K.M. &amp; Olson, G. T. (2024). ‘Shareholder theory, stakeholder theory, and the capital budgeting decisio</w:t>
      </w:r>
      <w:r w:rsidRPr="37E63DBD" w:rsidR="3A49C2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w:t>
      </w:r>
      <w:r w:rsidRPr="37E63DBD" w:rsidR="3A49C2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3A49C2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3A49C22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Corp</w:t>
      </w:r>
      <w:r w:rsidRPr="37E63DBD" w:rsidR="3A49C22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orate Ownership and Control, </w:t>
      </w:r>
      <w:r w:rsidRPr="37E63DBD" w:rsidR="3A49C22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21(2), p. 37. Available at: </w:t>
      </w:r>
      <w:hyperlink r:id="R75c89c22e08c4f4d">
        <w:r w:rsidRPr="37E63DBD" w:rsidR="3A49C22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https://doi.org/10.22495/co</w:t>
        </w:r>
        <w:r w:rsidRPr="37E63DBD" w:rsidR="3A08E93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cv21i2art3</w:t>
        </w:r>
      </w:hyperlink>
      <w:r w:rsidRPr="37E63DBD" w:rsidR="3A08E93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25DEDABE" wp14:textId="5449845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Drobetz</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 El Ghoul, </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 </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Guedhami</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O. &amp; Janzen, M. (2018). ‘Policy uncertainty, investment, and the cost of capital</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604DD6A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Journal of </w:t>
      </w:r>
      <w:r w:rsidRPr="37E63DBD" w:rsidR="604DD6A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financial stability</w:t>
      </w:r>
      <w:r w:rsidRPr="37E63DBD" w:rsidR="604DD6A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39, pp. 28</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-4</w:t>
      </w:r>
      <w:r w:rsidRPr="37E63DBD" w:rsidR="604DD6A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5. Available at: </w:t>
      </w:r>
      <w:hyperlink r:id="R008fb9082f954411">
        <w:r w:rsidRPr="37E63DBD" w:rsidR="604DD6AA">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w:t>
        </w:r>
        <w:r w:rsidRPr="37E63DBD" w:rsidR="604DD6AA">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org/10.1</w:t>
        </w:r>
        <w:r w:rsidRPr="37E63DBD" w:rsidR="604DD6AA">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016/j.</w:t>
        </w:r>
        <w:r w:rsidRPr="37E63DBD" w:rsidR="7424B807">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jfs.2018.08.005</w:t>
        </w:r>
      </w:hyperlink>
      <w:r w:rsidRPr="37E63DBD" w:rsidR="7424B80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00ABEBA1" wp14:textId="2B989ED0">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Fadill</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ah</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 Nadiyah, N., </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Rohma</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 </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Haryadi, D. &amp; Wahyudi, W</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(2024</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‘Profitability</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ratio </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analysis to assess the financial performance</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74C5D0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4C5D07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International Journal of Applied Finance</w:t>
      </w:r>
      <w:r w:rsidRPr="37E63DBD" w:rsidR="4BAF7E4D">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and Business Studies. </w:t>
      </w:r>
      <w:r w:rsidRPr="37E63DBD" w:rsidR="4BAF7E4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Available at: </w:t>
      </w:r>
      <w:hyperlink r:id="R55fa123fba314d49">
        <w:r w:rsidRPr="37E63DBD" w:rsidR="4BAF7E4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https://doi.org/10.35335/ijafibs.v11i4.243</w:t>
        </w:r>
      </w:hyperlink>
      <w:r w:rsidRPr="37E63DBD" w:rsidR="4BAF7E4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10F97D22" wp14:textId="357A22FF">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F85AEF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Frank, M. Z. &amp; Goyal, V. K. (2004). ‘The effect of market conditions on capital structure adjustment</w:t>
      </w:r>
      <w:r w:rsidRPr="37E63DBD" w:rsidR="0F85AEF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F85AEF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F85AEF7">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Finance research letters, </w:t>
      </w:r>
      <w:r w:rsidRPr="37E63DBD" w:rsidR="0F85AEF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w:t>
      </w:r>
      <w:r w:rsidRPr="37E63DBD" w:rsidR="727AE63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 pp. 47-55. Available at: </w:t>
      </w:r>
      <w:hyperlink r:id="R7f4dde43fef64edb">
        <w:r w:rsidRPr="37E63DBD" w:rsidR="727AE63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w:t>
        </w:r>
        <w:r w:rsidRPr="37E63DBD" w:rsidR="727AE63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.org/10</w:t>
        </w:r>
        <w:r w:rsidRPr="37E63DBD" w:rsidR="727AE63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.1016/S1544-6123(03)00005-9</w:t>
        </w:r>
      </w:hyperlink>
      <w:r w:rsidRPr="37E63DBD" w:rsidR="727AE63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26F5CAE2" wp14:textId="47AED6F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28CD89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Gurau, M. A. (2012). ‘The use of profitability index in economic evaluation of industrial investment </w:t>
      </w:r>
      <w:r w:rsidRPr="37E63DBD" w:rsidR="28CD89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projects’</w:t>
      </w:r>
      <w:r w:rsidRPr="37E63DBD" w:rsidR="28CD89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28CD897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Proceedings in M</w:t>
      </w:r>
      <w:r w:rsidRPr="37E63DBD" w:rsidR="28CD897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an</w:t>
      </w:r>
      <w:r w:rsidRPr="37E63DBD" w:rsidR="28CD897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ufacturing Systems, </w:t>
      </w:r>
      <w:r w:rsidRPr="37E63DBD" w:rsidR="28CD897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7(1), pp. 55-58. </w:t>
      </w:r>
    </w:p>
    <w:p xmlns:wp14="http://schemas.microsoft.com/office/word/2010/wordml" w:rsidP="37E63DBD" wp14:paraId="6C86BA83" wp14:textId="2E1E2C63">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Harinur</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din</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E. (2023). ‘The</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influen</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ce of Financial Ratio and Company Reputation on Company Stock Prices Financial Sector</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w:t>
      </w:r>
      <w:r w:rsidRPr="37E63DBD" w:rsidR="60BAA15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Proceedings. </w:t>
      </w:r>
      <w:r w:rsidRPr="37E63DBD" w:rsidR="60BAA15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MDPI AD, </w:t>
      </w:r>
      <w:r w:rsidRPr="37E63DBD" w:rsidR="51A921E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 47. Available at: </w:t>
      </w:r>
      <w:hyperlink r:id="R9daf391c94bd4395">
        <w:r w:rsidRPr="37E63DBD" w:rsidR="51A921E1">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https://doi.org/10.3390/proceedings2022083047</w:t>
        </w:r>
      </w:hyperlink>
      <w:r w:rsidRPr="37E63DBD" w:rsidR="51A921E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46F063DA" wp14:textId="6C6F90F9">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Hillier, D., Ross, S., Westerfield, R., Jaffe, J. &amp; Jordan, B. (2021). </w:t>
      </w:r>
      <w:r w:rsidRPr="37E63DBD" w:rsidR="10EF9AF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Corporate finance. </w:t>
      </w: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w:t>
      </w: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perscript"/>
          <w:lang w:val="en-GB"/>
        </w:rPr>
        <w:t>th</w:t>
      </w: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Eurpoean</w:t>
      </w:r>
      <w:r w:rsidRPr="37E63DBD" w:rsidR="10EF9A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ed. </w:t>
      </w:r>
      <w:r w:rsidRPr="37E63DBD" w:rsidR="1459EDB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London: Mc</w:t>
      </w:r>
      <w:r w:rsidRPr="37E63DBD" w:rsidR="1459EDB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Gr</w:t>
      </w:r>
      <w:r w:rsidRPr="37E63DBD" w:rsidR="1459EDB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aw Hill. </w:t>
      </w:r>
    </w:p>
    <w:p xmlns:wp14="http://schemas.microsoft.com/office/word/2010/wordml" w:rsidP="37E63DBD" wp14:paraId="331B748D" wp14:textId="08F37A7D">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Hofmann,</w:t>
      </w: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E., </w:t>
      </w: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Töyli</w:t>
      </w: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J. &amp; </w:t>
      </w: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Solakivi</w:t>
      </w:r>
      <w:r w:rsidRPr="37E63DBD" w:rsidR="3B1E2EB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 (2022). ‘Working Capital Behavior of Firms during an Economic Downturn: An Analysis of the </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Fi</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nancial Cr</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is</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is Era</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6150C7A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International journal of financial studies, </w:t>
      </w:r>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10(3), p. 55. Available at: </w:t>
      </w:r>
      <w:hyperlink r:id="Raf6d62f57cec4cc3">
        <w:r w:rsidRPr="37E63DBD" w:rsidR="6150C7A4">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https://doi.org/10.3390/ijfs10030055</w:t>
        </w:r>
      </w:hyperlink>
      <w:r w:rsidRPr="37E63DBD" w:rsidR="6150C7A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1AA734DC" wp14:textId="55893EF4">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Keown, 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J., Martin, J. D. &amp; Petty, J. W. (2013)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Foundations of Finance, Global Edition.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8th ed. Place of publication not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identified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Pearson Education Limited. </w:t>
      </w:r>
    </w:p>
    <w:p xmlns:wp14="http://schemas.microsoft.com/office/word/2010/wordml" w:rsidP="37E63DBD" wp14:paraId="2C69281F" wp14:textId="656BB7CC">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Lin, J. (2023). ‘A comparative study on the application of NPV and IRR in financial market i</w:t>
      </w: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nvestment </w:t>
      </w: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decision</w:t>
      </w: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FF9E75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Academic Journal of Business &amp; Management, </w:t>
      </w:r>
      <w:r w:rsidRPr="37E63DBD" w:rsidR="0FF9E75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5(4), pp. 51-54. </w:t>
      </w:r>
    </w:p>
    <w:p xmlns:wp14="http://schemas.microsoft.com/office/word/2010/wordml" w:rsidP="37E63DBD" wp14:paraId="53966364" wp14:textId="59531C2F">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D869F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Liu, S. &amp; Xu, J. (2025). ‘Enterprise Risk Management, Risk-Taking, and Macroeconomic Implications: Evidence from Bank Mortgage Loan Management</w:t>
      </w:r>
      <w:r w:rsidRPr="37E63DBD" w:rsidR="3D869F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3D869F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3D869F1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financial services research, </w:t>
      </w:r>
      <w:r w:rsidRPr="37E63DBD" w:rsidR="3D869F1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68</w:t>
      </w:r>
      <w:r w:rsidRPr="37E63DBD" w:rsidR="55DDE2E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 pp. 123-152. Available</w:t>
      </w:r>
      <w:r w:rsidRPr="37E63DBD" w:rsidR="55DDE2E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at: </w:t>
      </w:r>
      <w:hyperlink r:id="R1582c8d3a07e4876">
        <w:r w:rsidRPr="37E63DBD" w:rsidR="55DDE2E5">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w:t>
        </w:r>
        <w:r w:rsidRPr="37E63DBD" w:rsidR="55DDE2E5">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://doi.org/10.1007/s10693-024-00422-0</w:t>
        </w:r>
      </w:hyperlink>
      <w:r w:rsidRPr="37E63DBD" w:rsidR="55DDE2E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4ADFCD45" wp14:textId="349CA51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Maditinos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Ch</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atz</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oudes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Tsai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ridis</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 &amp;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eriou</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G. (2011). ‘The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impact of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intellectual capital on firms’ market value and financial performance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intellectual capital,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12(1), pp. 132-151. Available at:</w:t>
      </w:r>
      <w:r w:rsidRPr="37E63DBD" w:rsidR="72DFAEF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6969858bc89a412b">
        <w:r w:rsidRPr="37E63DBD" w:rsidR="72DFAEF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https://doi.org/10.1108/14691931111097944</w:t>
        </w:r>
      </w:hyperlink>
      <w:r w:rsidRPr="37E63DBD" w:rsidR="72DFAEF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xmlns:wp14="http://schemas.microsoft.com/office/word/2010/wordml" w:rsidP="37E63DBD" wp14:paraId="10AA3BCD" wp14:textId="12B10642">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Magni, C. A. (2009). ‘</w:t>
      </w: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Investm</w:t>
      </w: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ent decisions, net present value and bounded rationality</w:t>
      </w: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7C049649">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Quantitative finance, </w:t>
      </w:r>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9(8), pp. 967-979. Available at: </w:t>
      </w:r>
      <w:hyperlink r:id="R4489a9404ccf4acf">
        <w:r w:rsidRPr="37E63DBD" w:rsidR="7C049649">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https://doi.org/10.1080/14697680902849</w:t>
        </w:r>
      </w:hyperlink>
      <w:r w:rsidRPr="37E63DBD" w:rsidR="7C04964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6EB89849" wp14:textId="0553BEF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E0835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Manjunath, M. S. &amp; Praveen, B. (2020). ‘53. EFFECTVIE CAPITAL BUDGETING DECISIONS BY FIRMS</w:t>
      </w:r>
      <w:r w:rsidRPr="37E63DBD" w:rsidR="4E0835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4E08353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E08353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International review of bus</w:t>
      </w:r>
      <w:r w:rsidRPr="37E63DBD" w:rsidR="4E08353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in</w:t>
      </w:r>
      <w:r w:rsidRPr="37E63DBD" w:rsidR="4E083535">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ess and economics (Print), </w:t>
      </w:r>
      <w:r w:rsidRPr="37E63DBD" w:rsidR="34AF20D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4, pp. 338-342. </w:t>
      </w:r>
    </w:p>
    <w:p xmlns:wp14="http://schemas.microsoft.com/office/word/2010/wordml" w:rsidP="37E63DBD" wp14:paraId="68600D83" wp14:textId="6B88AE24">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07656C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Margetta, H. &amp; linkedin.com. (2025). </w:t>
      </w:r>
      <w:r w:rsidRPr="37E63DBD" w:rsidR="07656C4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Mastering Key Financial Ratios for Career Growth. </w:t>
      </w:r>
      <w:r w:rsidRPr="37E63DBD" w:rsidR="07656C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Carpenteria</w:t>
      </w:r>
      <w:r w:rsidRPr="37E63DBD" w:rsidR="07656C4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 linkedin.com. Available at: </w:t>
      </w:r>
      <w:hyperlink r:id="Rdee779a21d7a48ca">
        <w:r w:rsidRPr="37E63DBD" w:rsidR="07656C4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https://www.linkedin.co</w:t>
        </w:r>
        <w:r w:rsidRPr="37E63DBD" w:rsidR="07656C4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m/learnin</w:t>
        </w:r>
        <w:r w:rsidRPr="37E63DBD" w:rsidR="07656C4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g/mastering-key-financial-ratios-for-career</w:t>
        </w:r>
        <w:r w:rsidRPr="37E63DBD" w:rsidR="420B891C">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-growth?u=77966930&amp;auth=true</w:t>
        </w:r>
      </w:hyperlink>
      <w:r w:rsidRPr="37E63DBD" w:rsidR="420B891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(Accessed 10 April 2026). </w:t>
      </w:r>
    </w:p>
    <w:p xmlns:wp14="http://schemas.microsoft.com/office/word/2010/wordml" w:rsidP="37E63DBD" wp14:paraId="231E1F90" wp14:textId="242DFB80">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Marginingsih</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R.,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Manurung</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 H.,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Buchdadi</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 D. &amp;</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Yusuf, M. (2024</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‘Liquidi</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ty, Lev</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erage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And</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Profita</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bility Ratios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Predictors of Fina</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ncial Distre</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ss </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With</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Moder</w:t>
      </w:r>
      <w:r w:rsidRPr="37E63DBD" w:rsidR="31F73C0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ation of </w:t>
      </w:r>
      <w:r w:rsidRPr="37E63DBD" w:rsidR="270BAE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Firm Siz</w:t>
      </w:r>
      <w:r w:rsidRPr="37E63DBD" w:rsidR="270BAE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w:t>
      </w:r>
      <w:r w:rsidRPr="37E63DBD" w:rsidR="270BAE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270BAE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270BAE3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Journal of </w:t>
      </w:r>
      <w:r w:rsidRPr="37E63DBD" w:rsidR="270BAE3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Inudstrial</w:t>
      </w:r>
      <w:r w:rsidRPr="37E63DBD" w:rsidR="270BAE3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Engineering &amp; Management Research, </w:t>
      </w:r>
      <w:r w:rsidRPr="37E63DBD" w:rsidR="270BAE3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5(4), pp. 1-12. Available at: </w:t>
      </w:r>
      <w:hyperlink r:id="R8b2b20e732d84262">
        <w:r w:rsidRPr="37E63DBD" w:rsidR="270BAE3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https://doi.org/10.7777</w:t>
        </w:r>
        <w:r w:rsidRPr="37E63DBD" w:rsidR="314AFC3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/jiemar.v5i4.528</w:t>
        </w:r>
      </w:hyperlink>
      <w:r w:rsidRPr="37E63DBD" w:rsidR="314AFC3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64F7DAEA" w:rsidP="37E63DBD" w:rsidRDefault="64F7DAEA" w14:paraId="306ECEB2" w14:textId="458E3865">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64F7DA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Mellichamp, D. A. (2019). ‘Profitability, risk, and investment in conceptual plant design: Optimizing key financial parameters rigorously using </w:t>
      </w:r>
      <w:r w:rsidRPr="37E63DBD" w:rsidR="64F7DA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NPV%’</w:t>
      </w:r>
      <w:r w:rsidRPr="37E63DBD" w:rsidR="64F7DA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64F7DAE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Computers &amp; Chemical Engineering, </w:t>
      </w:r>
      <w:r w:rsidRPr="37E63DBD" w:rsidR="64F7DA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128,</w:t>
      </w:r>
      <w:r w:rsidRPr="37E63DBD" w:rsidR="28F46EF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pp. 450-467. </w:t>
      </w:r>
    </w:p>
    <w:p xmlns:wp14="http://schemas.microsoft.com/office/word/2010/wordml" w:rsidP="37E63DBD" wp14:paraId="2EA36618" wp14:textId="11616EA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1155CC"/>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Morshed, A. (2020). ‘Role of working capital management in profitability considering the connection between accounting and finance</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AJAR (Asian Journa</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l of</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Accounting Research) (Online),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5(2), pp. 257-267. Available at:</w:t>
      </w:r>
      <w:r w:rsidRPr="37E63DBD" w:rsidR="69288BF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9ae7e04abc7c4e20">
        <w:r w:rsidRPr="37E63DBD" w:rsidR="69288BF5">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https://doi.org/10.1108/AJAR-04-2020-0023</w:t>
        </w:r>
      </w:hyperlink>
      <w:r w:rsidRPr="37E63DBD" w:rsidR="69288BF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7FDD6D31" wp14:textId="053A78A3">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Moisieiev</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D., Ren, C., Rodrigo, P., </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Koussaifi</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H. &amp; Chapman, S. (2025</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‘The</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“magic lipstick”: luxury values in an economic </w:t>
      </w:r>
      <w:r w:rsidRPr="37E63DBD" w:rsidR="4179B3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downturn</w:t>
      </w:r>
      <w:r w:rsidRPr="37E63DBD" w:rsidR="1D6987A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1D6987A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1D6987A7">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Qualitative Market Research: An International Journal, </w:t>
      </w:r>
      <w:r w:rsidRPr="37E63DBD" w:rsidR="1D6987A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28(4), pp. 695-727. Available at: </w:t>
      </w:r>
      <w:hyperlink r:id="Ref75a884ae2a415e">
        <w:r w:rsidRPr="37E63DBD" w:rsidR="1D6987A7">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https://doi.org/10.1108/QMR-10-2024-0208</w:t>
        </w:r>
      </w:hyperlink>
      <w:r w:rsidRPr="37E63DBD" w:rsidR="1D6987A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27B8AD3C" wp14:textId="3EDAF118">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1155CC"/>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Mun, S. G. &amp; Jang, S. (2015). ‘Working capital, cash holding, and profitability of restaurant firms’.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International journal of hospitality management,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48, pp.1-11. Avai</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la</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ble at:</w:t>
      </w:r>
      <w:r w:rsidRPr="37E63DBD" w:rsidR="4F2B361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dac6b1ad9ccf4222">
        <w:r w:rsidRPr="37E63DBD" w:rsidR="4F2B3618">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https://doi.org/10.10.16/j.ijhm.2015.04.003</w:t>
        </w:r>
      </w:hyperlink>
      <w:r w:rsidRPr="37E63DBD" w:rsidR="4F2B361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60986700" wp14:textId="1D96BB62">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Naseem, M. A., Lin, J., Rehman, R., Ahmad, M. I. &amp; Ali, R. (2020). ‘Does capital structure mediate the link between CEO characteristics and firm performance?’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Management decision,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58(1), pp. 164-181. Available at</w:t>
      </w:r>
      <w:r w:rsidRPr="37E63DBD" w:rsidR="03DA4B2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ce8d98b679554207">
        <w:r w:rsidRPr="37E63DBD" w:rsidR="03DA4B2F">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https://doi.org/10.1108/MD-05-2018-0594</w:t>
        </w:r>
      </w:hyperlink>
      <w:r w:rsidRPr="37E63DBD" w:rsidR="03DA4B2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5398074F" wp14:textId="5D79E574">
      <w:pPr>
        <w:pStyle w:val="Normal"/>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Parvasi</w:t>
      </w: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 P., </w:t>
      </w: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Taleizadeh</w:t>
      </w: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A. &amp; </w:t>
      </w: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Thaichon</w:t>
      </w:r>
      <w:r w:rsidRPr="37E63DBD" w:rsidR="7FD59D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P. (2025). ‘Price optimization for manufa</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cturers in a </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compet</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itive retail market: imported pr</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oducts </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and online crowdfunding option</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561E41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Journal of reve</w:t>
      </w:r>
      <w:r w:rsidRPr="37E63DBD" w:rsidR="0561E41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nue and pri</w:t>
      </w:r>
      <w:r w:rsidRPr="37E63DBD" w:rsidR="0561E41F">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cing management, </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24(1), pp.</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12-29. Available at</w:t>
      </w:r>
      <w:r w:rsidRPr="37E63DBD" w:rsidR="0561E41F">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6b211edbac96443c">
        <w:r w:rsidRPr="37E63DBD" w:rsidR="0561E41F">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https://doi.org/10.1057/s41272-</w:t>
        </w:r>
        <w:r w:rsidRPr="37E63DBD" w:rsidR="4E6B224E">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023-00471-5</w:t>
        </w:r>
      </w:hyperlink>
      <w:r w:rsidRPr="37E63DBD" w:rsidR="4E6B224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17828A4F" wp14:textId="58AC717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BBC9BD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Peterson, P. P. &amp; Fabozzi, F. J. (2004). </w:t>
      </w:r>
      <w:r w:rsidRPr="37E63DBD" w:rsidR="3BBC9BD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Capital Budgeting: Theory and Practice. </w:t>
      </w:r>
      <w:r w:rsidRPr="37E63DBD" w:rsidR="3BBC9BD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John Wiley &amp; Sons. </w:t>
      </w:r>
    </w:p>
    <w:p xmlns:wp14="http://schemas.microsoft.com/office/word/2010/wordml" w:rsidP="37E63DBD" wp14:paraId="5E06E908" wp14:textId="60014320">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Pratap, V. (2023). </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Working capital mana</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gement: A systematic literature</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Empirica</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l</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c</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n</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o</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m</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c</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s</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L</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t</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t</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r</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s</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2)</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EDF8F24">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pp. 61-93. </w:t>
      </w:r>
      <w:r w:rsidRPr="37E63DBD" w:rsidR="509668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Available at: </w:t>
      </w:r>
      <w:hyperlink r:id="Rb0e602677abe43c7">
        <w:r w:rsidRPr="37E63DBD" w:rsidR="509668BD">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https://doi.org/10.5281/zenodo.10463289</w:t>
        </w:r>
      </w:hyperlink>
      <w:r w:rsidRPr="37E63DBD" w:rsidR="509668BD">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3380B992" wp14:textId="1BD6CB7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65A24DF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Sahoo, S. (2024). </w:t>
      </w:r>
      <w:r w:rsidRPr="37E63DBD" w:rsidR="65A24DF2">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Days payable outstanding benchmark. </w:t>
      </w:r>
      <w:r w:rsidRPr="37E63DBD" w:rsidR="65A24DF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Available at: </w:t>
      </w:r>
      <w:hyperlink r:id="R9c9abb04a6c9456f">
        <w:r w:rsidRPr="37E63DBD" w:rsidR="65A24DF2">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https://blog.finfloh.com/days-payable-outstanding-benchmark</w:t>
        </w:r>
      </w:hyperlink>
      <w:r w:rsidRPr="37E63DBD" w:rsidR="65A24DF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(Accessed</w:t>
      </w:r>
      <w:r w:rsidRPr="37E63DBD" w:rsidR="46B03B5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6 April 2026). </w:t>
      </w:r>
    </w:p>
    <w:p xmlns:wp14="http://schemas.microsoft.com/office/word/2010/wordml" w:rsidP="37E63DBD" wp14:paraId="1B0299E9" wp14:textId="433A51F8">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pPr>
      <w:r w:rsidRPr="37E63DBD" w:rsidR="033F37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Sekhar, S. C. (2025). Reassessing The Role </w:t>
      </w:r>
      <w:r w:rsidRPr="37E63DBD" w:rsidR="033F37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Of</w:t>
      </w:r>
      <w:r w:rsidRPr="37E63DBD" w:rsidR="033F37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Net Present Value </w:t>
      </w:r>
      <w:r w:rsidRPr="37E63DBD" w:rsidR="033F37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w:t>
      </w:r>
      <w:r w:rsidRPr="37E63DBD" w:rsidR="033F37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Capital Budgeting Decision. </w:t>
      </w:r>
      <w:r w:rsidRPr="37E63DBD" w:rsidR="033F37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International Journal of R</w:t>
      </w:r>
      <w:r w:rsidRPr="37E63DBD" w:rsidR="033F37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esearch an</w:t>
      </w:r>
      <w:r w:rsidRPr="37E63DBD" w:rsidR="033F37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d Analytical Reviews. </w:t>
      </w:r>
    </w:p>
    <w:p xmlns:wp14="http://schemas.microsoft.com/office/word/2010/wordml" w:rsidP="37E63DBD" wp14:paraId="6F6AC10A" wp14:textId="764F35AC">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Seretidou</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D., </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Billios</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D. &amp; Stavrop</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oulos, A</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(2025). ‘Int</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egrative analysis o</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f traditional and cash flow financial ratios: Insights from a systematic comparative review</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7E7B60F8">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Risks, </w:t>
      </w:r>
      <w:r w:rsidRPr="37E63DBD" w:rsidR="7E7B60F8">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13(4), p. 62.</w:t>
      </w:r>
    </w:p>
    <w:p xmlns:wp14="http://schemas.microsoft.com/office/word/2010/wordml" w:rsidP="37E63DBD" wp14:paraId="61526811" wp14:textId="3B79B4D6">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Sing</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h, S., Jai</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 P.K. &amp; Yadav, S. S. (2012). ‘Capital budgeting decisions: evidence from India</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37E63DBD" w:rsidR="3B0C14A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Journal of </w:t>
      </w:r>
      <w:r w:rsidRPr="37E63DBD" w:rsidR="3B0C14A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advances</w:t>
      </w:r>
      <w:r w:rsidRPr="37E63DBD" w:rsidR="3B0C14A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in </w:t>
      </w:r>
      <w:r w:rsidRPr="37E63DBD" w:rsidR="3B0C14A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management research</w:t>
      </w:r>
      <w:r w:rsidRPr="37E63DBD" w:rsidR="3B0C14A3">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 </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9(1), pp. 96-112. Available </w:t>
      </w:r>
      <w:r w:rsidRPr="37E63DBD" w:rsidR="3B0C14A3">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at: </w:t>
      </w:r>
      <w:hyperlink r:id="R408ddd0c3d0d4852">
        <w:r w:rsidRPr="37E63DBD" w:rsidR="3B0C14A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ht</w:t>
        </w:r>
        <w:r w:rsidRPr="37E63DBD" w:rsidR="3B0C14A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tps://do</w:t>
        </w:r>
        <w:r w:rsidRPr="37E63DBD" w:rsidR="3B0C14A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i.</w:t>
        </w:r>
        <w:r w:rsidRPr="37E63DBD" w:rsidR="3B0C14A3">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org/10.1108/0972798</w:t>
        </w:r>
        <w:r w:rsidRPr="37E63DBD" w:rsidR="0DB322D7">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US"/>
          </w:rPr>
          <w:t>1211225671</w:t>
        </w:r>
      </w:hyperlink>
      <w:r w:rsidRPr="37E63DBD" w:rsidR="0DB322D7">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rsidP="37E63DBD" wp14:paraId="01FB6D0C" wp14:textId="5C109AC8">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378482D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Sloan, R. G. &amp; Wang, A. Y. (2025). ‘Predictable EPS growth and the performance of value investing: Predictable EPS growth and the performance of value investing</w:t>
      </w:r>
      <w:r w:rsidRPr="37E63DBD" w:rsidR="0D4945A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0D4945A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0D4945A6">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Review of accounting studies, </w:t>
      </w:r>
      <w:r w:rsidRPr="37E63DBD" w:rsidR="0D4945A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30(1), pp. 33-78. Available at: </w:t>
      </w:r>
      <w:hyperlink r:id="R80eefa55a9b3479d">
        <w:r w:rsidRPr="37E63DBD" w:rsidR="0D4945A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https://doi.org/10.1007/s1114</w:t>
        </w:r>
        <w:r w:rsidRPr="37E63DBD" w:rsidR="0D4945A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2-023-098</w:t>
        </w:r>
        <w:r w:rsidRPr="37E63DBD" w:rsidR="0D4945A6">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12-6</w:t>
        </w:r>
      </w:hyperlink>
      <w:r w:rsidRPr="37E63DBD" w:rsidR="0D4945A6">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0F5FCC89" wp14:textId="15A6BFC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Sun, W., Mei, J.</w:t>
      </w: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Yuan, C.</w:t>
      </w: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&amp; Cui. W. (2025). ‘How does market status affect firm’s strategy mutation?</w:t>
      </w: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406A832">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Finance research letters, </w:t>
      </w:r>
      <w:r w:rsidRPr="37E63DBD" w:rsidR="4406A832">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85. Available at: </w:t>
      </w:r>
      <w:hyperlink r:id="Rcc02e6ea586b43fb">
        <w:r w:rsidRPr="37E63DBD" w:rsidR="4406A832">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w:t>
        </w:r>
        <w:r w:rsidRPr="37E63DBD" w:rsidR="7E548DD0">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.1016/j.frl.2025.108053</w:t>
        </w:r>
      </w:hyperlink>
      <w:r w:rsidRPr="37E63DBD" w:rsidR="7E548DD0">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1576A6D3" wp14:textId="70B1F1CB">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45C5E3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Verhoef, P. C., Broekhuizen, T., Bart, Y., Bhattacharya, A., Qi Dong, J., Fabian, N. &amp; Haenlein, M. (2021). ‘</w:t>
      </w:r>
      <w:r w:rsidRPr="37E63DBD" w:rsidR="19C1DCBC">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Digital</w:t>
      </w:r>
      <w:r w:rsidRPr="37E63DBD" w:rsidR="45C5E3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41800C25">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transformation</w:t>
      </w:r>
      <w:r w:rsidRPr="37E63DBD" w:rsidR="45C5E3E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A multidisciplinary r</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eflection and researc</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 </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agenda</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37E63DBD" w:rsidR="5C3B144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Journal of </w:t>
      </w:r>
      <w:r w:rsidRPr="37E63DBD" w:rsidR="5C3B144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business research</w:t>
      </w:r>
      <w:r w:rsidRPr="37E63DBD" w:rsidR="5C3B1441">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122, pp. 889-901. Available at: </w:t>
      </w:r>
      <w:hyperlink r:id="Ra5855a2199c347b8">
        <w:r w:rsidRPr="37E63DBD" w:rsidR="5C3B1441">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https://doi.org/10.1016/j.jbusres.2019.09.022</w:t>
        </w:r>
      </w:hyperlink>
      <w:r w:rsidRPr="37E63DBD" w:rsidR="5C3B1441">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221A699A" w:rsidP="37E63DBD" w:rsidRDefault="221A699A" w14:paraId="24726ED0" w14:textId="18C8E81A">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37E63DBD" w:rsidR="221A69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Weetman, P. (2013). </w:t>
      </w:r>
      <w:r w:rsidRPr="37E63DBD" w:rsidR="221A699A">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US"/>
        </w:rPr>
        <w:t xml:space="preserve">Financial accounting: an introduction. </w:t>
      </w:r>
      <w:r w:rsidRPr="37E63DBD" w:rsidR="221A69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6</w:t>
      </w:r>
      <w:r w:rsidRPr="37E63DBD" w:rsidR="221A69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perscript"/>
          <w:lang w:val="en-US"/>
        </w:rPr>
        <w:t>th</w:t>
      </w:r>
      <w:r w:rsidRPr="37E63DBD" w:rsidR="221A699A">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ed. Harlow, England: Pearson.</w:t>
      </w:r>
    </w:p>
    <w:p xmlns:wp14="http://schemas.microsoft.com/office/word/2010/wordml" w:rsidP="37E63DBD" wp14:paraId="00767F44" wp14:textId="40B9FDA1">
      <w:pPr>
        <w:spacing w:before="0" w:beforeAutospacing="off" w:after="160" w:afterAutospacing="off" w:line="360" w:lineRule="auto"/>
        <w:jc w:val="both"/>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Yazdanfar, D. (2013). ‘Profitability determ</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ants among micro firms: ev</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id</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ence from Swedish data’. </w:t>
      </w:r>
      <w:r w:rsidRPr="37E63DBD" w:rsidR="53AD24EE">
        <w:rPr>
          <w:rFonts w:ascii="Arial" w:hAnsi="Arial" w:eastAsia="Arial" w:cs="Arial"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International journal of managerial finance, </w:t>
      </w:r>
      <w:r w:rsidRPr="37E63DBD" w:rsidR="53AD24EE">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9(2), p. 151. Available at:</w:t>
      </w:r>
      <w:r w:rsidRPr="37E63DBD" w:rsidR="3EC5EFE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hyperlink r:id="Rf52e3bd24a334049">
        <w:r w:rsidRPr="37E63DBD" w:rsidR="3EC5EFE9">
          <w:rPr>
            <w:rStyle w:val="Hyperlink"/>
            <w:rFonts w:ascii="Arial" w:hAnsi="Arial" w:eastAsia="Arial" w:cs="Arial" w:asciiTheme="minorAscii" w:hAnsiTheme="minorAscii" w:eastAsiaTheme="minorAscii" w:cstheme="minorAscii"/>
            <w:b w:val="0"/>
            <w:bCs w:val="0"/>
            <w:i w:val="0"/>
            <w:iCs w:val="0"/>
            <w:strike w:val="0"/>
            <w:dstrike w:val="0"/>
            <w:noProof w:val="0"/>
            <w:sz w:val="22"/>
            <w:szCs w:val="22"/>
            <w:lang w:val="en-GB"/>
          </w:rPr>
          <w:t>https://doi.org/10.1108/17439131311307565</w:t>
        </w:r>
      </w:hyperlink>
      <w:r w:rsidRPr="37E63DBD" w:rsidR="3EC5EFE9">
        <w:rPr>
          <w:rFonts w:ascii="Arial" w:hAnsi="Arial" w:eastAsia="Arial" w:cs="Arial"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7E63DBD" wp14:paraId="502EB7DA" wp14:textId="1BD1A67C">
      <w:pPr>
        <w:spacing w:line="360" w:lineRule="auto"/>
        <w:jc w:val="both"/>
        <w:rPr>
          <w:rFonts w:ascii="Arial" w:hAnsi="Arial" w:eastAsia="Arial" w:cs="Arial" w:asciiTheme="minorAscii" w:hAnsiTheme="minorAscii" w:eastAsiaTheme="minorAscii" w:cstheme="minorAscii"/>
          <w:sz w:val="22"/>
          <w:szCs w:val="22"/>
        </w:rPr>
      </w:pPr>
    </w:p>
    <w:p xmlns:wp14="http://schemas.microsoft.com/office/word/2010/wordml" wp14:paraId="2EE974FF" wp14:textId="16C9D09B"/>
    <w:p xmlns:wp14="http://schemas.microsoft.com/office/word/2010/wordml" wp14:paraId="385A2E90" wp14:textId="4CD247CF"/>
    <w:p xmlns:wp14="http://schemas.microsoft.com/office/word/2010/wordml" wp14:paraId="00892906" wp14:textId="09A9CF52"/>
    <w:p xmlns:wp14="http://schemas.microsoft.com/office/word/2010/wordml" wp14:paraId="47642F72" wp14:textId="2817EA58"/>
    <w:p xmlns:wp14="http://schemas.microsoft.com/office/word/2010/wordml" wp14:paraId="18D0B862" wp14:textId="5D71651A"/>
    <w:p xmlns:wp14="http://schemas.microsoft.com/office/word/2010/wordml" wp14:paraId="326F4D93" wp14:textId="606CF8AD"/>
    <w:p xmlns:wp14="http://schemas.microsoft.com/office/word/2010/wordml" wp14:paraId="3E675855" wp14:textId="3DCCD58B"/>
    <w:p xmlns:wp14="http://schemas.microsoft.com/office/word/2010/wordml" wp14:paraId="16152669" wp14:textId="09A06899"/>
    <w:p xmlns:wp14="http://schemas.microsoft.com/office/word/2010/wordml" wp14:paraId="40E84A2F" wp14:textId="77139B51"/>
    <w:p xmlns:wp14="http://schemas.microsoft.com/office/word/2010/wordml" wp14:paraId="74222C47" wp14:textId="1E1BA912"/>
    <w:p xmlns:wp14="http://schemas.microsoft.com/office/word/2010/wordml" wp14:paraId="08C109C4" wp14:textId="1767D594"/>
    <w:p xmlns:wp14="http://schemas.microsoft.com/office/word/2010/wordml" wp14:paraId="07F3DCEB" wp14:textId="57E94CE9"/>
    <w:p xmlns:wp14="http://schemas.microsoft.com/office/word/2010/wordml" wp14:paraId="6738583B" wp14:textId="3A8845F1"/>
    <w:p xmlns:wp14="http://schemas.microsoft.com/office/word/2010/wordml" wp14:paraId="728776E6" wp14:textId="78767A6C"/>
    <w:p xmlns:wp14="http://schemas.microsoft.com/office/word/2010/wordml" wp14:paraId="4170E15A" wp14:textId="6285E5AD"/>
    <w:p w:rsidR="37E63DBD" w:rsidP="37E63DBD" w:rsidRDefault="37E63DBD" w14:paraId="47F38F9A" w14:textId="740BEEE8">
      <w:pPr>
        <w:pStyle w:val="Heading1"/>
      </w:pPr>
    </w:p>
    <w:p w:rsidR="37E63DBD" w:rsidP="37E63DBD" w:rsidRDefault="37E63DBD" w14:paraId="2ECBB758" w14:textId="69F492F5">
      <w:pPr>
        <w:pStyle w:val="Normal"/>
      </w:pPr>
    </w:p>
    <w:p xmlns:wp14="http://schemas.microsoft.com/office/word/2010/wordml" w:rsidP="37E63DBD" wp14:paraId="5A4F18A4" wp14:textId="2727A4D0">
      <w:pPr>
        <w:pStyle w:val="Heading1"/>
        <w:spacing w:before="240" w:beforeAutospacing="off" w:after="0" w:afterAutospacing="off"/>
        <w:rPr>
          <w:rFonts w:ascii="Calibri" w:hAnsi="Calibri" w:eastAsia="Calibri" w:cs="Calibri"/>
          <w:b w:val="0"/>
          <w:bCs w:val="0"/>
          <w:i w:val="0"/>
          <w:iCs w:val="0"/>
          <w:strike w:val="0"/>
          <w:dstrike w:val="0"/>
          <w:noProof w:val="0"/>
          <w:color w:val="2E75B5"/>
          <w:sz w:val="32"/>
          <w:szCs w:val="32"/>
          <w:u w:val="none"/>
          <w:lang w:val="en-GB"/>
        </w:rPr>
      </w:pPr>
      <w:bookmarkStart w:name="_Toc1199397129" w:id="1356511663"/>
      <w:r w:rsidRPr="37E63DBD" w:rsidR="53AD24EE">
        <w:rPr>
          <w:rFonts w:ascii="Calibri" w:hAnsi="Calibri" w:eastAsia="Calibri" w:cs="Calibri"/>
          <w:b w:val="0"/>
          <w:bCs w:val="0"/>
          <w:i w:val="0"/>
          <w:iCs w:val="0"/>
          <w:strike w:val="0"/>
          <w:dstrike w:val="0"/>
          <w:noProof w:val="0"/>
          <w:color w:val="2E75B5"/>
          <w:sz w:val="32"/>
          <w:szCs w:val="32"/>
          <w:u w:val="none"/>
          <w:lang w:val="en-GB"/>
        </w:rPr>
        <w:t>Appendix</w:t>
      </w:r>
      <w:bookmarkEnd w:id="1356511663"/>
    </w:p>
    <w:p xmlns:wp14="http://schemas.microsoft.com/office/word/2010/wordml" wp14:paraId="5E5787A5" wp14:textId="405F4B3B">
      <w:r w:rsidRPr="37E63DBD" w:rsidR="0E7C2885">
        <w:rPr>
          <w:b w:val="1"/>
          <w:bCs w:val="1"/>
        </w:rPr>
        <w:t xml:space="preserve">Appendix 1 </w:t>
      </w:r>
      <w:r w:rsidR="0E7C2885">
        <w:rPr/>
        <w:t>– Burberry's Financial Statements and Balance Sheets</w:t>
      </w:r>
      <w:r w:rsidR="32E1AE9F">
        <w:drawing>
          <wp:anchor xmlns:wp14="http://schemas.microsoft.com/office/word/2010/wordprocessingDrawing" distT="0" distB="0" distL="114300" distR="114300" simplePos="0" relativeHeight="251658240" behindDoc="0" locked="0" layoutInCell="1" allowOverlap="1" wp14:editId="7F9A906B" wp14:anchorId="0945DCA0">
            <wp:simplePos x="0" y="0"/>
            <wp:positionH relativeFrom="column">
              <wp:posOffset>-933450</wp:posOffset>
            </wp:positionH>
            <wp:positionV relativeFrom="paragraph">
              <wp:posOffset>400050</wp:posOffset>
            </wp:positionV>
            <wp:extent cx="5724525" cy="5257800"/>
            <wp:effectExtent l="0" t="0" r="0" b="0"/>
            <wp:wrapNone/>
            <wp:docPr id="123645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645777" name="Picture 123645777"/>
                    <pic:cNvPicPr/>
                  </pic:nvPicPr>
                  <pic:blipFill>
                    <a:blip xmlns:r="http://schemas.openxmlformats.org/officeDocument/2006/relationships" r:embed="rId1592751505">
                      <a:extLst>
                        <a:ext uri="{28A0092B-C50C-407E-A947-70E740481C1C}">
                          <a14:useLocalDpi xmlns:a14="http://schemas.microsoft.com/office/drawing/2010/main"/>
                        </a:ext>
                      </a:extLst>
                    </a:blip>
                    <a:stretch>
                      <a:fillRect/>
                    </a:stretch>
                  </pic:blipFill>
                  <pic:spPr>
                    <a:xfrm>
                      <a:off x="0" y="0"/>
                      <a:ext cx="5724525" cy="5257800"/>
                    </a:xfrm>
                    <a:prstGeom prst="rect">
                      <a:avLst/>
                    </a:prstGeom>
                  </pic:spPr>
                </pic:pic>
              </a:graphicData>
            </a:graphic>
            <wp14:sizeRelH relativeFrom="page">
              <wp14:pctWidth>0</wp14:pctWidth>
            </wp14:sizeRelH>
            <wp14:sizeRelV relativeFrom="page">
              <wp14:pctHeight>0</wp14:pctHeight>
            </wp14:sizeRelV>
          </wp:anchor>
        </w:drawing>
      </w:r>
    </w:p>
    <w:p w:rsidR="32E1AE9F" w:rsidRDefault="32E1AE9F" w14:paraId="3C71443B" w14:textId="0B5600AE">
      <w:r w:rsidR="2109F6A6">
        <w:drawing>
          <wp:inline wp14:editId="7E206407" wp14:anchorId="374D7AE9">
            <wp:extent cx="4314825" cy="5724525"/>
            <wp:effectExtent l="0" t="0" r="0" b="0"/>
            <wp:docPr id="242447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447983" name="Picture 242447983"/>
                    <pic:cNvPicPr/>
                  </pic:nvPicPr>
                  <pic:blipFill>
                    <a:blip xmlns:r="http://schemas.openxmlformats.org/officeDocument/2006/relationships" r:embed="rId2060884283">
                      <a:extLst>
                        <a:ext uri="{28A0092B-C50C-407E-A947-70E740481C1C}">
                          <a14:useLocalDpi xmlns:a14="http://schemas.microsoft.com/office/drawing/2010/main"/>
                        </a:ext>
                      </a:extLst>
                    </a:blip>
                    <a:stretch>
                      <a:fillRect/>
                    </a:stretch>
                  </pic:blipFill>
                  <pic:spPr>
                    <a:xfrm>
                      <a:off x="0" y="0"/>
                      <a:ext cx="4314825" cy="5724525"/>
                    </a:xfrm>
                    <a:prstGeom prst="rect">
                      <a:avLst/>
                    </a:prstGeom>
                  </pic:spPr>
                </pic:pic>
              </a:graphicData>
            </a:graphic>
          </wp:inline>
        </w:drawing>
      </w:r>
      <w:r w:rsidR="32E1AE9F">
        <w:drawing>
          <wp:anchor distT="0" distB="0" distL="114300" distR="114300" simplePos="0" relativeHeight="251658240" behindDoc="0" locked="0" layoutInCell="1" allowOverlap="1" wp14:editId="7908FA36" wp14:anchorId="2F6E151B">
            <wp:simplePos x="0" y="0"/>
            <wp:positionH relativeFrom="column">
              <wp:posOffset>-933450</wp:posOffset>
            </wp:positionH>
            <wp:positionV relativeFrom="paragraph">
              <wp:posOffset>5391150</wp:posOffset>
            </wp:positionV>
            <wp:extent cx="5724525" cy="2876550"/>
            <wp:effectExtent l="0" t="0" r="0" b="0"/>
            <wp:wrapNone/>
            <wp:docPr id="434892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4892553" name="Picture 434892553"/>
                    <pic:cNvPicPr/>
                  </pic:nvPicPr>
                  <pic:blipFill>
                    <a:blip xmlns:r="http://schemas.openxmlformats.org/officeDocument/2006/relationships" r:embed="rId1552084660">
                      <a:extLst>
                        <a:ext uri="{28A0092B-C50C-407E-A947-70E740481C1C}">
                          <a14:useLocalDpi xmlns:a14="http://schemas.microsoft.com/office/drawing/2010/main"/>
                        </a:ext>
                      </a:extLst>
                    </a:blip>
                    <a:stretch>
                      <a:fillRect/>
                    </a:stretch>
                  </pic:blipFill>
                  <pic:spPr>
                    <a:xfrm>
                      <a:off x="0" y="0"/>
                      <a:ext cx="5724525" cy="2876550"/>
                    </a:xfrm>
                    <a:prstGeom prst="rect">
                      <a:avLst/>
                    </a:prstGeom>
                  </pic:spPr>
                </pic:pic>
              </a:graphicData>
            </a:graphic>
            <wp14:sizeRelH relativeFrom="page">
              <wp14:pctWidth>0</wp14:pctWidth>
            </wp14:sizeRelH>
            <wp14:sizeRelV relativeFrom="page">
              <wp14:pctHeight>0</wp14:pctHeight>
            </wp14:sizeRelV>
          </wp:anchor>
        </w:drawing>
      </w:r>
    </w:p>
    <w:p w:rsidR="19DA99D7" w:rsidRDefault="19DA99D7" w14:paraId="75F9178A" w14:textId="3D5CBFC4">
      <w:r w:rsidR="19DA99D7">
        <w:drawing>
          <wp:anchor distT="0" distB="0" distL="114300" distR="114300" simplePos="0" relativeHeight="251658240" behindDoc="0" locked="0" layoutInCell="1" allowOverlap="1" wp14:editId="5C46E1E9" wp14:anchorId="156F9243">
            <wp:simplePos x="0" y="0"/>
            <wp:positionH relativeFrom="column">
              <wp:posOffset>-57150</wp:posOffset>
            </wp:positionH>
            <wp:positionV relativeFrom="paragraph">
              <wp:posOffset>3324225</wp:posOffset>
            </wp:positionV>
            <wp:extent cx="4314825" cy="5724525"/>
            <wp:effectExtent l="0" t="0" r="0" b="0"/>
            <wp:wrapNone/>
            <wp:docPr id="9151309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2447983" name="Picture 242447983"/>
                    <pic:cNvPicPr/>
                  </pic:nvPicPr>
                  <pic:blipFill>
                    <a:blip xmlns:r="http://schemas.openxmlformats.org/officeDocument/2006/relationships" r:embed="rId2060884283">
                      <a:extLst>
                        <a:ext uri="{28A0092B-C50C-407E-A947-70E740481C1C}">
                          <a14:useLocalDpi xmlns:a14="http://schemas.microsoft.com/office/drawing/2010/main"/>
                        </a:ext>
                      </a:extLst>
                    </a:blip>
                    <a:stretch>
                      <a:fillRect/>
                    </a:stretch>
                  </pic:blipFill>
                  <pic:spPr>
                    <a:xfrm>
                      <a:off x="0" y="0"/>
                      <a:ext cx="4314825" cy="5724525"/>
                    </a:xfrm>
                    <a:prstGeom prst="rect">
                      <a:avLst/>
                    </a:prstGeom>
                  </pic:spPr>
                </pic:pic>
              </a:graphicData>
            </a:graphic>
            <wp14:sizeRelH relativeFrom="page">
              <wp14:pctWidth>0</wp14:pctWidth>
            </wp14:sizeRelH>
            <wp14:sizeRelV relativeFrom="page">
              <wp14:pctHeight>0</wp14:pctHeight>
            </wp14:sizeRelV>
          </wp:anchor>
        </w:drawing>
      </w:r>
      <w:r w:rsidR="19DA99D7">
        <w:drawing>
          <wp:inline wp14:editId="2320C454" wp14:anchorId="7AB1B85D">
            <wp:extent cx="4314825" cy="5724525"/>
            <wp:effectExtent l="0" t="0" r="0" b="0"/>
            <wp:docPr id="341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1632" name="Picture 341632"/>
                    <pic:cNvPicPr/>
                  </pic:nvPicPr>
                  <pic:blipFill>
                    <a:blip xmlns:r="http://schemas.openxmlformats.org/officeDocument/2006/relationships" r:embed="rId408030815">
                      <a:extLst>
                        <a:ext uri="{28A0092B-C50C-407E-A947-70E740481C1C}">
                          <a14:useLocalDpi xmlns:a14="http://schemas.microsoft.com/office/drawing/2010/main"/>
                        </a:ext>
                      </a:extLst>
                    </a:blip>
                    <a:stretch>
                      <a:fillRect/>
                    </a:stretch>
                  </pic:blipFill>
                  <pic:spPr>
                    <a:xfrm>
                      <a:off x="0" y="0"/>
                      <a:ext cx="4314825" cy="5724525"/>
                    </a:xfrm>
                    <a:prstGeom prst="rect">
                      <a:avLst/>
                    </a:prstGeom>
                  </pic:spPr>
                </pic:pic>
              </a:graphicData>
            </a:graphic>
          </wp:inline>
        </w:drawing>
      </w:r>
    </w:p>
    <w:p w:rsidR="1AB6F249" w:rsidRDefault="1AB6F249" w14:paraId="7094CEE9" w14:textId="2B80A7FC"/>
    <w:p w:rsidR="1AB6F249" w:rsidRDefault="1AB6F249" w14:paraId="6B69A8F5" w14:textId="3E8FEE08"/>
    <w:p w:rsidR="1AB6F249" w:rsidRDefault="1AB6F249" w14:paraId="2D512EB4" w14:textId="6536689F"/>
    <w:p w:rsidR="1AB6F249" w:rsidRDefault="1AB6F249" w14:paraId="4033AC02" w14:textId="41E55DF4"/>
    <w:p w:rsidR="1AB6F249" w:rsidRDefault="1AB6F249" w14:paraId="3DC33F35" w14:textId="04144BF6"/>
    <w:p w:rsidR="1AB6F249" w:rsidRDefault="1AB6F249" w14:paraId="31AD934C" w14:textId="1E11655E"/>
    <w:p w:rsidR="1AB6F249" w:rsidRDefault="1AB6F249" w14:paraId="5E777CC2" w14:textId="15E4B5A0"/>
    <w:p w:rsidR="1AB6F249" w:rsidRDefault="1AB6F249" w14:paraId="1050D996" w14:textId="69F74D00"/>
    <w:p w:rsidR="1AB6F249" w:rsidRDefault="1AB6F249" w14:paraId="1132690E" w14:textId="5A6761B3"/>
    <w:p w:rsidR="6C28B6C2" w:rsidP="37E63DBD" w:rsidRDefault="6C28B6C2" w14:paraId="70D01946" w14:textId="709ACC97">
      <w:pPr>
        <w:spacing w:line="360" w:lineRule="auto"/>
        <w:jc w:val="both"/>
        <w:rPr>
          <w:b w:val="1"/>
          <w:bCs w:val="1"/>
          <w:sz w:val="22"/>
          <w:szCs w:val="22"/>
        </w:rPr>
      </w:pPr>
      <w:r w:rsidRPr="37E63DBD" w:rsidR="6C28B6C2">
        <w:rPr>
          <w:b w:val="1"/>
          <w:bCs w:val="1"/>
          <w:sz w:val="22"/>
          <w:szCs w:val="22"/>
        </w:rPr>
        <w:t>Appendix 2</w:t>
      </w:r>
    </w:p>
    <w:p w:rsidR="1AB6F249" w:rsidP="37E63DBD" w:rsidRDefault="1AB6F249" w14:paraId="596AE462" w14:textId="2D1123DA">
      <w:pPr>
        <w:spacing w:line="360" w:lineRule="auto"/>
        <w:jc w:val="both"/>
        <w:rPr>
          <w:sz w:val="22"/>
          <w:szCs w:val="22"/>
        </w:rPr>
      </w:pPr>
      <w:r w:rsidRPr="37E63DBD" w:rsidR="610F9971">
        <w:rPr>
          <w:sz w:val="22"/>
          <w:szCs w:val="22"/>
        </w:rPr>
        <w:t>Gross profit / Sales x 100</w:t>
      </w:r>
      <w:r>
        <w:br/>
      </w:r>
      <w:r w:rsidRPr="37E63DBD" w:rsidR="25BBBC7C">
        <w:rPr>
          <w:sz w:val="22"/>
          <w:szCs w:val="22"/>
        </w:rPr>
        <w:t>2,009m / 2</w:t>
      </w:r>
      <w:r w:rsidRPr="37E63DBD" w:rsidR="6BF224A6">
        <w:rPr>
          <w:sz w:val="22"/>
          <w:szCs w:val="22"/>
        </w:rPr>
        <w:t>,</w:t>
      </w:r>
      <w:r w:rsidRPr="37E63DBD" w:rsidR="25BBBC7C">
        <w:rPr>
          <w:sz w:val="22"/>
          <w:szCs w:val="22"/>
        </w:rPr>
        <w:t>968m x 100 = 67%</w:t>
      </w:r>
    </w:p>
    <w:p w:rsidR="76753D9D" w:rsidP="37E63DBD" w:rsidRDefault="76753D9D" w14:paraId="4091A9C7" w14:textId="4AAE45C5">
      <w:pPr>
        <w:spacing w:line="360" w:lineRule="auto"/>
        <w:jc w:val="both"/>
        <w:rPr>
          <w:b w:val="1"/>
          <w:bCs w:val="1"/>
          <w:sz w:val="22"/>
          <w:szCs w:val="22"/>
        </w:rPr>
      </w:pPr>
      <w:r w:rsidRPr="37E63DBD" w:rsidR="76753D9D">
        <w:rPr>
          <w:b w:val="1"/>
          <w:bCs w:val="1"/>
          <w:sz w:val="22"/>
          <w:szCs w:val="22"/>
        </w:rPr>
        <w:t>Appendix 3</w:t>
      </w:r>
    </w:p>
    <w:p w:rsidR="76753D9D" w:rsidP="37E63DBD" w:rsidRDefault="76753D9D" w14:paraId="4DF19F3E" w14:textId="46B313FB">
      <w:pPr>
        <w:spacing w:line="360" w:lineRule="auto"/>
        <w:jc w:val="both"/>
        <w:rPr>
          <w:sz w:val="22"/>
          <w:szCs w:val="22"/>
        </w:rPr>
      </w:pPr>
      <w:r w:rsidRPr="37E63DBD" w:rsidR="76753D9D">
        <w:rPr>
          <w:sz w:val="22"/>
          <w:szCs w:val="22"/>
        </w:rPr>
        <w:t>1</w:t>
      </w:r>
      <w:r w:rsidRPr="37E63DBD" w:rsidR="59C26BCA">
        <w:rPr>
          <w:sz w:val="22"/>
          <w:szCs w:val="22"/>
        </w:rPr>
        <w:t>,</w:t>
      </w:r>
      <w:r w:rsidRPr="37E63DBD" w:rsidR="76753D9D">
        <w:rPr>
          <w:sz w:val="22"/>
          <w:szCs w:val="22"/>
        </w:rPr>
        <w:t>538m / 2</w:t>
      </w:r>
      <w:r w:rsidRPr="37E63DBD" w:rsidR="26724E51">
        <w:rPr>
          <w:sz w:val="22"/>
          <w:szCs w:val="22"/>
        </w:rPr>
        <w:t>,</w:t>
      </w:r>
      <w:r w:rsidRPr="37E63DBD" w:rsidR="76753D9D">
        <w:rPr>
          <w:sz w:val="22"/>
          <w:szCs w:val="22"/>
        </w:rPr>
        <w:t>461</w:t>
      </w:r>
      <w:r w:rsidRPr="37E63DBD" w:rsidR="7FACE13D">
        <w:rPr>
          <w:sz w:val="22"/>
          <w:szCs w:val="22"/>
        </w:rPr>
        <w:t>m x 100 = 62%</w:t>
      </w:r>
    </w:p>
    <w:p w:rsidR="7FACE13D" w:rsidP="37E63DBD" w:rsidRDefault="7FACE13D" w14:paraId="19E89B41" w14:textId="5B849B1A">
      <w:pPr>
        <w:spacing w:line="360" w:lineRule="auto"/>
        <w:jc w:val="both"/>
        <w:rPr>
          <w:b w:val="1"/>
          <w:bCs w:val="1"/>
          <w:sz w:val="22"/>
          <w:szCs w:val="22"/>
        </w:rPr>
      </w:pPr>
      <w:r w:rsidRPr="37E63DBD" w:rsidR="7FACE13D">
        <w:rPr>
          <w:b w:val="1"/>
          <w:bCs w:val="1"/>
          <w:sz w:val="22"/>
          <w:szCs w:val="22"/>
        </w:rPr>
        <w:t>Appendix 4</w:t>
      </w:r>
    </w:p>
    <w:p w:rsidR="7FACE13D" w:rsidP="37E63DBD" w:rsidRDefault="7FACE13D" w14:paraId="059C0656" w14:textId="4BCDDE0E">
      <w:pPr>
        <w:spacing w:line="360" w:lineRule="auto"/>
        <w:jc w:val="both"/>
        <w:rPr>
          <w:sz w:val="22"/>
          <w:szCs w:val="22"/>
        </w:rPr>
      </w:pPr>
      <w:r w:rsidRPr="37E63DBD" w:rsidR="7FACE13D">
        <w:rPr>
          <w:sz w:val="22"/>
          <w:szCs w:val="22"/>
        </w:rPr>
        <w:t>Operating profit / Salex x 100</w:t>
      </w:r>
      <w:r>
        <w:br/>
      </w:r>
      <w:r w:rsidRPr="37E63DBD" w:rsidR="5665481C">
        <w:rPr>
          <w:sz w:val="22"/>
          <w:szCs w:val="22"/>
        </w:rPr>
        <w:t>418m / 2,968m x 100 = 14%</w:t>
      </w:r>
    </w:p>
    <w:p w:rsidR="5665481C" w:rsidP="37E63DBD" w:rsidRDefault="5665481C" w14:paraId="688F7483" w14:textId="0077EECF">
      <w:pPr>
        <w:spacing w:line="360" w:lineRule="auto"/>
        <w:jc w:val="both"/>
        <w:rPr>
          <w:b w:val="1"/>
          <w:bCs w:val="1"/>
          <w:sz w:val="22"/>
          <w:szCs w:val="22"/>
        </w:rPr>
      </w:pPr>
      <w:r w:rsidRPr="37E63DBD" w:rsidR="5665481C">
        <w:rPr>
          <w:b w:val="1"/>
          <w:bCs w:val="1"/>
          <w:sz w:val="22"/>
          <w:szCs w:val="22"/>
        </w:rPr>
        <w:t>Appendix 5</w:t>
      </w:r>
    </w:p>
    <w:p w:rsidR="5665481C" w:rsidP="37E63DBD" w:rsidRDefault="5665481C" w14:paraId="5D4BFFD1" w14:textId="7D9DB049">
      <w:pPr>
        <w:spacing w:line="360" w:lineRule="auto"/>
        <w:jc w:val="both"/>
        <w:rPr>
          <w:sz w:val="22"/>
          <w:szCs w:val="22"/>
        </w:rPr>
      </w:pPr>
      <w:r w:rsidRPr="37E63DBD" w:rsidR="5665481C">
        <w:rPr>
          <w:sz w:val="22"/>
          <w:szCs w:val="22"/>
        </w:rPr>
        <w:t>(3m) / 2,461m x 100 = -0.12%</w:t>
      </w:r>
    </w:p>
    <w:p w:rsidR="63EDAB06" w:rsidP="37E63DBD" w:rsidRDefault="63EDAB06" w14:paraId="6A2CB314" w14:textId="46643736">
      <w:pPr>
        <w:spacing w:line="360" w:lineRule="auto"/>
        <w:jc w:val="both"/>
        <w:rPr>
          <w:b w:val="1"/>
          <w:bCs w:val="1"/>
          <w:sz w:val="22"/>
          <w:szCs w:val="22"/>
        </w:rPr>
      </w:pPr>
      <w:r w:rsidRPr="37E63DBD" w:rsidR="63EDAB06">
        <w:rPr>
          <w:b w:val="1"/>
          <w:bCs w:val="1"/>
          <w:sz w:val="22"/>
          <w:szCs w:val="22"/>
        </w:rPr>
        <w:t>Appendix 6</w:t>
      </w:r>
    </w:p>
    <w:p w:rsidR="63EDAB06" w:rsidP="37E63DBD" w:rsidRDefault="63EDAB06" w14:paraId="2786D9E3" w14:textId="403A152C">
      <w:pPr>
        <w:pStyle w:val="Normal"/>
        <w:spacing w:line="360" w:lineRule="auto"/>
        <w:jc w:val="both"/>
        <w:rPr>
          <w:sz w:val="22"/>
          <w:szCs w:val="22"/>
        </w:rPr>
      </w:pPr>
      <w:r w:rsidRPr="37E63DBD" w:rsidR="63EDAB06">
        <w:rPr>
          <w:sz w:val="22"/>
          <w:szCs w:val="22"/>
        </w:rPr>
        <w:t>Operating profit / TALCL x 100</w:t>
      </w:r>
      <w:r>
        <w:br/>
      </w:r>
      <w:r w:rsidRPr="37E63DBD" w:rsidR="12C21D66">
        <w:rPr>
          <w:sz w:val="22"/>
          <w:szCs w:val="22"/>
        </w:rPr>
        <w:t>3,370m – 857m = 2,513m</w:t>
      </w:r>
      <w:r>
        <w:br/>
      </w:r>
      <w:r w:rsidRPr="37E63DBD" w:rsidR="70BC40CF">
        <w:rPr>
          <w:sz w:val="22"/>
          <w:szCs w:val="22"/>
        </w:rPr>
        <w:t>418m / 2,513m x 100 = 16.6%</w:t>
      </w:r>
    </w:p>
    <w:p w:rsidR="327D6F61" w:rsidP="37E63DBD" w:rsidRDefault="327D6F61" w14:paraId="0CBC6A3F" w14:textId="1AD5E7C3">
      <w:pPr>
        <w:spacing w:line="360" w:lineRule="auto"/>
        <w:jc w:val="both"/>
        <w:rPr>
          <w:b w:val="1"/>
          <w:bCs w:val="1"/>
          <w:sz w:val="22"/>
          <w:szCs w:val="22"/>
        </w:rPr>
      </w:pPr>
      <w:r w:rsidRPr="37E63DBD" w:rsidR="327D6F61">
        <w:rPr>
          <w:b w:val="1"/>
          <w:bCs w:val="1"/>
          <w:sz w:val="22"/>
          <w:szCs w:val="22"/>
        </w:rPr>
        <w:t xml:space="preserve">Appendix </w:t>
      </w:r>
      <w:r w:rsidRPr="37E63DBD" w:rsidR="380BA3AD">
        <w:rPr>
          <w:b w:val="1"/>
          <w:bCs w:val="1"/>
          <w:sz w:val="22"/>
          <w:szCs w:val="22"/>
        </w:rPr>
        <w:t>7</w:t>
      </w:r>
    </w:p>
    <w:p w:rsidR="02E5E26D" w:rsidP="37E63DBD" w:rsidRDefault="02E5E26D" w14:paraId="484FBD93" w14:textId="2263FF45">
      <w:pPr>
        <w:spacing w:line="360" w:lineRule="auto"/>
        <w:jc w:val="both"/>
        <w:rPr>
          <w:sz w:val="22"/>
          <w:szCs w:val="22"/>
        </w:rPr>
      </w:pPr>
      <w:r w:rsidRPr="37E63DBD" w:rsidR="02E5E26D">
        <w:rPr>
          <w:sz w:val="22"/>
          <w:szCs w:val="22"/>
        </w:rPr>
        <w:t>3,427m – 1,111m = 2,316m</w:t>
      </w:r>
      <w:r>
        <w:br/>
      </w:r>
      <w:r w:rsidRPr="37E63DBD" w:rsidR="74EE798D">
        <w:rPr>
          <w:sz w:val="22"/>
          <w:szCs w:val="22"/>
        </w:rPr>
        <w:t>(3m) / 2,316m x 100 = -0.12%</w:t>
      </w:r>
    </w:p>
    <w:p w:rsidR="3E3E68E8" w:rsidP="37E63DBD" w:rsidRDefault="3E3E68E8" w14:paraId="5A02A17C" w14:textId="43E736A6">
      <w:pPr>
        <w:spacing w:line="360" w:lineRule="auto"/>
        <w:jc w:val="both"/>
        <w:rPr>
          <w:b w:val="1"/>
          <w:bCs w:val="1"/>
          <w:sz w:val="22"/>
          <w:szCs w:val="22"/>
        </w:rPr>
      </w:pPr>
      <w:r w:rsidRPr="37E63DBD" w:rsidR="3E3E68E8">
        <w:rPr>
          <w:b w:val="1"/>
          <w:bCs w:val="1"/>
          <w:sz w:val="22"/>
          <w:szCs w:val="22"/>
        </w:rPr>
        <w:t>Appendix 8</w:t>
      </w:r>
    </w:p>
    <w:p w:rsidR="3E3E68E8" w:rsidP="37E63DBD" w:rsidRDefault="3E3E68E8" w14:paraId="39892A11" w14:textId="7DF41812">
      <w:pPr>
        <w:spacing w:line="360" w:lineRule="auto"/>
        <w:jc w:val="both"/>
        <w:rPr>
          <w:sz w:val="22"/>
          <w:szCs w:val="22"/>
        </w:rPr>
      </w:pPr>
      <w:r w:rsidRPr="37E63DBD" w:rsidR="3E3E68E8">
        <w:rPr>
          <w:sz w:val="22"/>
          <w:szCs w:val="22"/>
        </w:rPr>
        <w:t>Current assets / Current liabilities</w:t>
      </w:r>
      <w:r>
        <w:br/>
      </w:r>
      <w:r w:rsidRPr="37E63DBD" w:rsidR="3E3E68E8">
        <w:rPr>
          <w:sz w:val="22"/>
          <w:szCs w:val="22"/>
        </w:rPr>
        <w:t>1,424m / 857m = 1.7</w:t>
      </w:r>
    </w:p>
    <w:p w:rsidR="3E3E68E8" w:rsidP="37E63DBD" w:rsidRDefault="3E3E68E8" w14:paraId="59FB0916" w14:textId="170A0039">
      <w:pPr>
        <w:spacing w:line="360" w:lineRule="auto"/>
        <w:jc w:val="both"/>
        <w:rPr>
          <w:b w:val="1"/>
          <w:bCs w:val="1"/>
          <w:sz w:val="22"/>
          <w:szCs w:val="22"/>
        </w:rPr>
      </w:pPr>
      <w:r w:rsidRPr="37E63DBD" w:rsidR="3E3E68E8">
        <w:rPr>
          <w:b w:val="1"/>
          <w:bCs w:val="1"/>
          <w:sz w:val="22"/>
          <w:szCs w:val="22"/>
        </w:rPr>
        <w:t>Appendix 9</w:t>
      </w:r>
    </w:p>
    <w:p w:rsidR="3E3E68E8" w:rsidP="37E63DBD" w:rsidRDefault="3E3E68E8" w14:paraId="739768FE" w14:textId="294C8149">
      <w:pPr>
        <w:spacing w:line="360" w:lineRule="auto"/>
        <w:jc w:val="both"/>
        <w:rPr>
          <w:sz w:val="22"/>
          <w:szCs w:val="22"/>
        </w:rPr>
      </w:pPr>
      <w:r w:rsidRPr="37E63DBD" w:rsidR="3E3E68E8">
        <w:rPr>
          <w:sz w:val="22"/>
          <w:szCs w:val="22"/>
        </w:rPr>
        <w:t>1,652m / 1,111m = 1.4</w:t>
      </w:r>
    </w:p>
    <w:p w:rsidR="27DA560A" w:rsidP="37E63DBD" w:rsidRDefault="27DA560A" w14:paraId="2947AF7A" w14:textId="3DBD97BB">
      <w:pPr>
        <w:spacing w:line="360" w:lineRule="auto"/>
        <w:jc w:val="both"/>
        <w:rPr>
          <w:b w:val="1"/>
          <w:bCs w:val="1"/>
          <w:sz w:val="22"/>
          <w:szCs w:val="22"/>
        </w:rPr>
      </w:pPr>
      <w:r w:rsidRPr="37E63DBD" w:rsidR="27DA560A">
        <w:rPr>
          <w:b w:val="1"/>
          <w:bCs w:val="1"/>
          <w:sz w:val="22"/>
          <w:szCs w:val="22"/>
        </w:rPr>
        <w:t>Appendix 10</w:t>
      </w:r>
    </w:p>
    <w:p w:rsidR="27DA560A" w:rsidP="37E63DBD" w:rsidRDefault="27DA560A" w14:paraId="4CE2AC49" w14:textId="444D7582">
      <w:pPr>
        <w:spacing w:line="360" w:lineRule="auto"/>
        <w:jc w:val="both"/>
        <w:rPr>
          <w:sz w:val="22"/>
          <w:szCs w:val="22"/>
        </w:rPr>
      </w:pPr>
      <w:r w:rsidRPr="37E63DBD" w:rsidR="27DA560A">
        <w:rPr>
          <w:sz w:val="22"/>
          <w:szCs w:val="22"/>
        </w:rPr>
        <w:t>Current assets – Stock / Current liabilities</w:t>
      </w:r>
      <w:r>
        <w:br/>
      </w:r>
      <w:r w:rsidRPr="37E63DBD" w:rsidR="680B8973">
        <w:rPr>
          <w:sz w:val="22"/>
          <w:szCs w:val="22"/>
        </w:rPr>
        <w:t>1,424m – 507m / 857m = 1.1</w:t>
      </w:r>
    </w:p>
    <w:p w:rsidR="680B8973" w:rsidP="37E63DBD" w:rsidRDefault="680B8973" w14:paraId="1FB15257" w14:textId="5A3D2197">
      <w:pPr>
        <w:spacing w:line="360" w:lineRule="auto"/>
        <w:jc w:val="both"/>
        <w:rPr>
          <w:b w:val="1"/>
          <w:bCs w:val="1"/>
          <w:sz w:val="22"/>
          <w:szCs w:val="22"/>
        </w:rPr>
      </w:pPr>
      <w:r w:rsidRPr="37E63DBD" w:rsidR="680B8973">
        <w:rPr>
          <w:b w:val="1"/>
          <w:bCs w:val="1"/>
          <w:sz w:val="22"/>
          <w:szCs w:val="22"/>
        </w:rPr>
        <w:t>Appendix 11</w:t>
      </w:r>
    </w:p>
    <w:p w:rsidR="680B8973" w:rsidP="37E63DBD" w:rsidRDefault="680B8973" w14:paraId="359F521F" w14:textId="7201C82E">
      <w:pPr>
        <w:spacing w:line="360" w:lineRule="auto"/>
        <w:jc w:val="both"/>
        <w:rPr>
          <w:sz w:val="22"/>
          <w:szCs w:val="22"/>
        </w:rPr>
      </w:pPr>
      <w:r w:rsidRPr="37E63DBD" w:rsidR="680B8973">
        <w:rPr>
          <w:sz w:val="22"/>
          <w:szCs w:val="22"/>
        </w:rPr>
        <w:t>1,652m – 424m / 1,111m = 1.1</w:t>
      </w:r>
    </w:p>
    <w:p w:rsidR="479FC3E8" w:rsidP="37E63DBD" w:rsidRDefault="479FC3E8" w14:paraId="75F38D0A" w14:textId="3E26C6E7">
      <w:pPr>
        <w:spacing w:line="360" w:lineRule="auto"/>
        <w:jc w:val="both"/>
        <w:rPr>
          <w:b w:val="1"/>
          <w:bCs w:val="1"/>
          <w:sz w:val="22"/>
          <w:szCs w:val="22"/>
        </w:rPr>
      </w:pPr>
      <w:r w:rsidRPr="37E63DBD" w:rsidR="479FC3E8">
        <w:rPr>
          <w:b w:val="1"/>
          <w:bCs w:val="1"/>
          <w:sz w:val="22"/>
          <w:szCs w:val="22"/>
        </w:rPr>
        <w:t>Appendix 12</w:t>
      </w:r>
    </w:p>
    <w:p w:rsidR="479FC3E8" w:rsidP="37E63DBD" w:rsidRDefault="479FC3E8" w14:paraId="69B68E48" w14:textId="7EFC83D9">
      <w:pPr>
        <w:spacing w:line="360" w:lineRule="auto"/>
        <w:jc w:val="both"/>
        <w:rPr>
          <w:sz w:val="22"/>
          <w:szCs w:val="22"/>
        </w:rPr>
      </w:pPr>
      <w:r w:rsidRPr="37E63DBD" w:rsidR="479FC3E8">
        <w:rPr>
          <w:sz w:val="22"/>
          <w:szCs w:val="22"/>
        </w:rPr>
        <w:t>COGS / Stock</w:t>
      </w:r>
      <w:r>
        <w:br/>
      </w:r>
      <w:r w:rsidRPr="37E63DBD" w:rsidR="3A329AF5">
        <w:rPr>
          <w:sz w:val="22"/>
          <w:szCs w:val="22"/>
        </w:rPr>
        <w:t>502m / 507m = 1</w:t>
      </w:r>
    </w:p>
    <w:p w:rsidR="3A329AF5" w:rsidP="37E63DBD" w:rsidRDefault="3A329AF5" w14:paraId="7CCBEF57" w14:textId="62BE6AB8">
      <w:pPr>
        <w:spacing w:line="360" w:lineRule="auto"/>
        <w:jc w:val="both"/>
        <w:rPr>
          <w:b w:val="1"/>
          <w:bCs w:val="1"/>
          <w:sz w:val="22"/>
          <w:szCs w:val="22"/>
        </w:rPr>
      </w:pPr>
      <w:r w:rsidRPr="37E63DBD" w:rsidR="3A329AF5">
        <w:rPr>
          <w:b w:val="1"/>
          <w:bCs w:val="1"/>
          <w:sz w:val="22"/>
          <w:szCs w:val="22"/>
        </w:rPr>
        <w:t>Appendix 13</w:t>
      </w:r>
    </w:p>
    <w:p w:rsidR="3A329AF5" w:rsidP="37E63DBD" w:rsidRDefault="3A329AF5" w14:paraId="31E69DB5" w14:textId="6263DBDF">
      <w:pPr>
        <w:spacing w:line="360" w:lineRule="auto"/>
        <w:jc w:val="both"/>
        <w:rPr>
          <w:sz w:val="22"/>
          <w:szCs w:val="22"/>
        </w:rPr>
      </w:pPr>
      <w:r w:rsidRPr="37E63DBD" w:rsidR="3A329AF5">
        <w:rPr>
          <w:sz w:val="22"/>
          <w:szCs w:val="22"/>
        </w:rPr>
        <w:t xml:space="preserve">923m / 424m = 2.1 </w:t>
      </w:r>
    </w:p>
    <w:p w:rsidR="53D30236" w:rsidP="37E63DBD" w:rsidRDefault="53D30236" w14:paraId="1F54CEE4" w14:textId="36268741">
      <w:pPr>
        <w:spacing w:line="360" w:lineRule="auto"/>
        <w:jc w:val="both"/>
        <w:rPr>
          <w:b w:val="1"/>
          <w:bCs w:val="1"/>
          <w:sz w:val="22"/>
          <w:szCs w:val="22"/>
        </w:rPr>
      </w:pPr>
      <w:r w:rsidRPr="37E63DBD" w:rsidR="53D30236">
        <w:rPr>
          <w:b w:val="1"/>
          <w:bCs w:val="1"/>
          <w:sz w:val="22"/>
          <w:szCs w:val="22"/>
        </w:rPr>
        <w:t>Appendix 14</w:t>
      </w:r>
    </w:p>
    <w:p w:rsidR="53D30236" w:rsidP="37E63DBD" w:rsidRDefault="53D30236" w14:paraId="650FEA23" w14:textId="74D303CA">
      <w:pPr>
        <w:spacing w:line="360" w:lineRule="auto"/>
        <w:jc w:val="both"/>
        <w:rPr>
          <w:sz w:val="22"/>
          <w:szCs w:val="22"/>
        </w:rPr>
      </w:pPr>
      <w:r w:rsidRPr="37E63DBD" w:rsidR="53D30236">
        <w:rPr>
          <w:sz w:val="22"/>
          <w:szCs w:val="22"/>
        </w:rPr>
        <w:t>Stock / COGS x 365</w:t>
      </w:r>
      <w:r>
        <w:br/>
      </w:r>
      <w:r w:rsidRPr="37E63DBD" w:rsidR="3A53122D">
        <w:rPr>
          <w:sz w:val="22"/>
          <w:szCs w:val="22"/>
        </w:rPr>
        <w:t>507m / 502m x 365 = 369 days</w:t>
      </w:r>
    </w:p>
    <w:p w:rsidR="3A53122D" w:rsidP="37E63DBD" w:rsidRDefault="3A53122D" w14:paraId="1099437D" w14:textId="2633948F">
      <w:pPr>
        <w:spacing w:line="360" w:lineRule="auto"/>
        <w:jc w:val="both"/>
        <w:rPr>
          <w:b w:val="1"/>
          <w:bCs w:val="1"/>
          <w:sz w:val="22"/>
          <w:szCs w:val="22"/>
        </w:rPr>
      </w:pPr>
      <w:r w:rsidRPr="37E63DBD" w:rsidR="3A53122D">
        <w:rPr>
          <w:b w:val="1"/>
          <w:bCs w:val="1"/>
          <w:sz w:val="22"/>
          <w:szCs w:val="22"/>
        </w:rPr>
        <w:t>Appendix 15</w:t>
      </w:r>
    </w:p>
    <w:p w:rsidR="3A53122D" w:rsidP="37E63DBD" w:rsidRDefault="3A53122D" w14:paraId="2679D2AA" w14:textId="6D581030">
      <w:pPr>
        <w:spacing w:line="360" w:lineRule="auto"/>
        <w:jc w:val="both"/>
        <w:rPr>
          <w:sz w:val="22"/>
          <w:szCs w:val="22"/>
        </w:rPr>
      </w:pPr>
      <w:r w:rsidRPr="37E63DBD" w:rsidR="3A53122D">
        <w:rPr>
          <w:sz w:val="22"/>
          <w:szCs w:val="22"/>
        </w:rPr>
        <w:t>424m / 923m x 365 = 168 days</w:t>
      </w:r>
    </w:p>
    <w:p w:rsidR="4045859E" w:rsidP="37E63DBD" w:rsidRDefault="4045859E" w14:paraId="7B7AEE1B" w14:textId="2502AD7C">
      <w:pPr>
        <w:spacing w:line="360" w:lineRule="auto"/>
        <w:jc w:val="both"/>
        <w:rPr>
          <w:b w:val="1"/>
          <w:bCs w:val="1"/>
          <w:sz w:val="22"/>
          <w:szCs w:val="22"/>
        </w:rPr>
      </w:pPr>
      <w:r w:rsidRPr="37E63DBD" w:rsidR="4045859E">
        <w:rPr>
          <w:b w:val="1"/>
          <w:bCs w:val="1"/>
          <w:sz w:val="22"/>
          <w:szCs w:val="22"/>
        </w:rPr>
        <w:t>Appendix 16</w:t>
      </w:r>
    </w:p>
    <w:p w:rsidR="4045859E" w:rsidP="37E63DBD" w:rsidRDefault="4045859E" w14:paraId="0CB56DC8" w14:textId="5C0B8DE6">
      <w:pPr>
        <w:spacing w:line="360" w:lineRule="auto"/>
        <w:jc w:val="both"/>
        <w:rPr>
          <w:sz w:val="22"/>
          <w:szCs w:val="22"/>
        </w:rPr>
      </w:pPr>
      <w:r w:rsidRPr="37E63DBD" w:rsidR="4045859E">
        <w:rPr>
          <w:sz w:val="22"/>
          <w:szCs w:val="22"/>
        </w:rPr>
        <w:t>Debtors / Sales x 365</w:t>
      </w:r>
      <w:r>
        <w:br/>
      </w:r>
      <w:r w:rsidRPr="37E63DBD" w:rsidR="4CD616DA">
        <w:rPr>
          <w:sz w:val="22"/>
          <w:szCs w:val="22"/>
        </w:rPr>
        <w:t>392m / 2,968m x 365 = 48</w:t>
      </w:r>
      <w:r w:rsidRPr="37E63DBD" w:rsidR="676F3063">
        <w:rPr>
          <w:sz w:val="22"/>
          <w:szCs w:val="22"/>
        </w:rPr>
        <w:t xml:space="preserve"> days</w:t>
      </w:r>
    </w:p>
    <w:p w:rsidR="71B37C70" w:rsidP="37E63DBD" w:rsidRDefault="71B37C70" w14:paraId="1EE130B9" w14:textId="26A4773E">
      <w:pPr>
        <w:spacing w:line="360" w:lineRule="auto"/>
        <w:jc w:val="both"/>
        <w:rPr>
          <w:b w:val="1"/>
          <w:bCs w:val="1"/>
          <w:sz w:val="22"/>
          <w:szCs w:val="22"/>
        </w:rPr>
      </w:pPr>
      <w:r w:rsidRPr="37E63DBD" w:rsidR="71B37C70">
        <w:rPr>
          <w:b w:val="1"/>
          <w:bCs w:val="1"/>
          <w:sz w:val="22"/>
          <w:szCs w:val="22"/>
        </w:rPr>
        <w:t>Appendix 17</w:t>
      </w:r>
    </w:p>
    <w:p w:rsidR="71B37C70" w:rsidP="37E63DBD" w:rsidRDefault="71B37C70" w14:paraId="4C4E07C6" w14:textId="55E70EB7">
      <w:pPr>
        <w:spacing w:line="360" w:lineRule="auto"/>
        <w:jc w:val="both"/>
        <w:rPr>
          <w:sz w:val="22"/>
          <w:szCs w:val="22"/>
        </w:rPr>
      </w:pPr>
      <w:r w:rsidRPr="37E63DBD" w:rsidR="71B37C70">
        <w:rPr>
          <w:sz w:val="22"/>
          <w:szCs w:val="22"/>
        </w:rPr>
        <w:t>309m / 2,461m x 365 = 46</w:t>
      </w:r>
      <w:r w:rsidRPr="37E63DBD" w:rsidR="1D2D4357">
        <w:rPr>
          <w:sz w:val="22"/>
          <w:szCs w:val="22"/>
        </w:rPr>
        <w:t xml:space="preserve"> days</w:t>
      </w:r>
    </w:p>
    <w:p w:rsidR="1AEAFA0F" w:rsidP="37E63DBD" w:rsidRDefault="1AEAFA0F" w14:paraId="40659BDA" w14:textId="31E60F95">
      <w:pPr>
        <w:spacing w:line="360" w:lineRule="auto"/>
        <w:jc w:val="both"/>
        <w:rPr>
          <w:b w:val="1"/>
          <w:bCs w:val="1"/>
          <w:sz w:val="22"/>
          <w:szCs w:val="22"/>
        </w:rPr>
      </w:pPr>
      <w:r w:rsidRPr="37E63DBD" w:rsidR="1AEAFA0F">
        <w:rPr>
          <w:b w:val="1"/>
          <w:bCs w:val="1"/>
          <w:sz w:val="22"/>
          <w:szCs w:val="22"/>
        </w:rPr>
        <w:t>Appendix 18</w:t>
      </w:r>
    </w:p>
    <w:p w:rsidR="1AEAFA0F" w:rsidP="37E63DBD" w:rsidRDefault="1AEAFA0F" w14:paraId="16EE7296" w14:textId="00C3E4E4">
      <w:pPr>
        <w:spacing w:line="360" w:lineRule="auto"/>
        <w:jc w:val="both"/>
        <w:rPr>
          <w:sz w:val="22"/>
          <w:szCs w:val="22"/>
        </w:rPr>
      </w:pPr>
      <w:r w:rsidRPr="37E63DBD" w:rsidR="1AEAFA0F">
        <w:rPr>
          <w:sz w:val="22"/>
          <w:szCs w:val="22"/>
        </w:rPr>
        <w:t>Creditors / COGS x 365</w:t>
      </w:r>
      <w:r>
        <w:br/>
      </w:r>
      <w:r w:rsidRPr="37E63DBD" w:rsidR="2BC9C8D6">
        <w:rPr>
          <w:sz w:val="22"/>
          <w:szCs w:val="22"/>
        </w:rPr>
        <w:t>502m / 959m x 365 = 191 days</w:t>
      </w:r>
    </w:p>
    <w:p w:rsidR="5CDD313B" w:rsidP="37E63DBD" w:rsidRDefault="5CDD313B" w14:paraId="2D702C13" w14:textId="6EAA63AA">
      <w:pPr>
        <w:spacing w:line="360" w:lineRule="auto"/>
        <w:jc w:val="both"/>
        <w:rPr>
          <w:b w:val="1"/>
          <w:bCs w:val="1"/>
          <w:sz w:val="22"/>
          <w:szCs w:val="22"/>
        </w:rPr>
      </w:pPr>
      <w:r w:rsidRPr="37E63DBD" w:rsidR="5CDD313B">
        <w:rPr>
          <w:b w:val="1"/>
          <w:bCs w:val="1"/>
          <w:sz w:val="22"/>
          <w:szCs w:val="22"/>
        </w:rPr>
        <w:t>Appendix 19</w:t>
      </w:r>
    </w:p>
    <w:p w:rsidR="5CDD313B" w:rsidP="37E63DBD" w:rsidRDefault="5CDD313B" w14:paraId="257FB838" w14:textId="784110C4">
      <w:pPr>
        <w:spacing w:line="360" w:lineRule="auto"/>
        <w:jc w:val="both"/>
        <w:rPr>
          <w:sz w:val="22"/>
          <w:szCs w:val="22"/>
        </w:rPr>
      </w:pPr>
      <w:r w:rsidRPr="37E63DBD" w:rsidR="5CDD313B">
        <w:rPr>
          <w:sz w:val="22"/>
          <w:szCs w:val="22"/>
        </w:rPr>
        <w:t>459m / 923m x 365 = 182 days</w:t>
      </w:r>
    </w:p>
    <w:p w:rsidR="085CF8E2" w:rsidP="37E63DBD" w:rsidRDefault="085CF8E2" w14:paraId="05358864" w14:textId="6BFD8ED8">
      <w:pPr>
        <w:spacing w:line="360" w:lineRule="auto"/>
        <w:jc w:val="both"/>
        <w:rPr>
          <w:b w:val="1"/>
          <w:bCs w:val="1"/>
          <w:sz w:val="22"/>
          <w:szCs w:val="22"/>
        </w:rPr>
      </w:pPr>
      <w:r w:rsidRPr="37E63DBD" w:rsidR="085CF8E2">
        <w:rPr>
          <w:b w:val="1"/>
          <w:bCs w:val="1"/>
          <w:sz w:val="22"/>
          <w:szCs w:val="22"/>
        </w:rPr>
        <w:t>Appendix 20</w:t>
      </w:r>
    </w:p>
    <w:p w:rsidR="085CF8E2" w:rsidP="37E63DBD" w:rsidRDefault="085CF8E2" w14:paraId="780C3297" w14:textId="286A9CFB">
      <w:pPr>
        <w:spacing w:line="360" w:lineRule="auto"/>
        <w:jc w:val="both"/>
        <w:rPr>
          <w:sz w:val="22"/>
          <w:szCs w:val="22"/>
        </w:rPr>
      </w:pPr>
      <w:r w:rsidRPr="37E63DBD" w:rsidR="085CF8E2">
        <w:rPr>
          <w:sz w:val="22"/>
          <w:szCs w:val="22"/>
        </w:rPr>
        <w:t>Loan</w:t>
      </w:r>
      <w:r w:rsidRPr="37E63DBD" w:rsidR="085CF8E2">
        <w:rPr>
          <w:sz w:val="22"/>
          <w:szCs w:val="22"/>
        </w:rPr>
        <w:t xml:space="preserve"> / TALCL x 100</w:t>
      </w:r>
      <w:r>
        <w:br/>
      </w:r>
      <w:r w:rsidRPr="37E63DBD" w:rsidR="42A50924">
        <w:rPr>
          <w:sz w:val="22"/>
          <w:szCs w:val="22"/>
        </w:rPr>
        <w:t>299m / 2,513m x 100 = 11.9%</w:t>
      </w:r>
    </w:p>
    <w:p w:rsidR="42A50924" w:rsidP="37E63DBD" w:rsidRDefault="42A50924" w14:paraId="5548D5CB" w14:textId="7D98E09D">
      <w:pPr>
        <w:spacing w:line="360" w:lineRule="auto"/>
        <w:jc w:val="both"/>
        <w:rPr>
          <w:sz w:val="22"/>
          <w:szCs w:val="22"/>
        </w:rPr>
      </w:pPr>
      <w:r w:rsidRPr="37E63DBD" w:rsidR="42A50924">
        <w:rPr>
          <w:b w:val="1"/>
          <w:bCs w:val="1"/>
          <w:sz w:val="22"/>
          <w:szCs w:val="22"/>
        </w:rPr>
        <w:t>Appendix 21</w:t>
      </w:r>
      <w:r>
        <w:br/>
      </w:r>
      <w:r w:rsidRPr="37E63DBD" w:rsidR="20870A22">
        <w:rPr>
          <w:sz w:val="22"/>
          <w:szCs w:val="22"/>
        </w:rPr>
        <w:t>438m / 2,316m x 100 = 18.9%</w:t>
      </w:r>
    </w:p>
    <w:p w:rsidR="37E63DBD" w:rsidP="37E63DBD" w:rsidRDefault="37E63DBD" w14:paraId="42838184" w14:textId="53A7A7C1">
      <w:pPr>
        <w:spacing w:line="360" w:lineRule="auto"/>
        <w:jc w:val="both"/>
        <w:rPr>
          <w:sz w:val="22"/>
          <w:szCs w:val="22"/>
        </w:rPr>
      </w:pPr>
    </w:p>
    <w:p w:rsidR="37E63DBD" w:rsidP="37E63DBD" w:rsidRDefault="37E63DBD" w14:paraId="6E712118" w14:textId="4F495ED0">
      <w:pPr>
        <w:spacing w:line="360" w:lineRule="auto"/>
        <w:jc w:val="both"/>
        <w:rPr>
          <w:sz w:val="22"/>
          <w:szCs w:val="22"/>
        </w:rPr>
      </w:pPr>
    </w:p>
    <w:p w:rsidR="208CECDD" w:rsidP="37E63DBD" w:rsidRDefault="208CECDD" w14:paraId="6732C28D" w14:textId="16AAFBB0">
      <w:pPr>
        <w:spacing w:line="360" w:lineRule="auto"/>
        <w:jc w:val="both"/>
        <w:rPr>
          <w:b w:val="1"/>
          <w:bCs w:val="1"/>
          <w:sz w:val="22"/>
          <w:szCs w:val="22"/>
        </w:rPr>
      </w:pPr>
      <w:r w:rsidRPr="37E63DBD" w:rsidR="208CECDD">
        <w:rPr>
          <w:b w:val="1"/>
          <w:bCs w:val="1"/>
          <w:sz w:val="22"/>
          <w:szCs w:val="22"/>
        </w:rPr>
        <w:t>Appendix 22</w:t>
      </w:r>
    </w:p>
    <w:p w:rsidR="208CECDD" w:rsidP="37E63DBD" w:rsidRDefault="208CECDD" w14:paraId="6E52CA1E" w14:textId="799DA445">
      <w:pPr>
        <w:spacing w:line="360" w:lineRule="auto"/>
        <w:jc w:val="both"/>
        <w:rPr>
          <w:sz w:val="22"/>
          <w:szCs w:val="22"/>
        </w:rPr>
      </w:pPr>
      <w:r w:rsidRPr="37E63DBD" w:rsidR="208CECDD">
        <w:rPr>
          <w:sz w:val="22"/>
          <w:szCs w:val="22"/>
        </w:rPr>
        <w:t>Loan / Net assets x 100</w:t>
      </w:r>
      <w:r>
        <w:br/>
      </w:r>
      <w:r w:rsidRPr="37E63DBD" w:rsidR="1AF4B26F">
        <w:rPr>
          <w:sz w:val="22"/>
          <w:szCs w:val="22"/>
        </w:rPr>
        <w:t>299m / 1,154m x 100 = 25.9%</w:t>
      </w:r>
    </w:p>
    <w:p w:rsidR="1AF4B26F" w:rsidP="37E63DBD" w:rsidRDefault="1AF4B26F" w14:paraId="789E0A21" w14:textId="78D2D93B">
      <w:pPr>
        <w:spacing w:line="360" w:lineRule="auto"/>
        <w:jc w:val="both"/>
        <w:rPr>
          <w:b w:val="1"/>
          <w:bCs w:val="1"/>
          <w:sz w:val="22"/>
          <w:szCs w:val="22"/>
        </w:rPr>
      </w:pPr>
      <w:r w:rsidRPr="37E63DBD" w:rsidR="1AF4B26F">
        <w:rPr>
          <w:b w:val="1"/>
          <w:bCs w:val="1"/>
          <w:sz w:val="22"/>
          <w:szCs w:val="22"/>
        </w:rPr>
        <w:t>Appendix 23</w:t>
      </w:r>
    </w:p>
    <w:p w:rsidR="1AF4B26F" w:rsidP="37E63DBD" w:rsidRDefault="1AF4B26F" w14:paraId="31AFBE35" w14:textId="1E369D5C">
      <w:pPr>
        <w:spacing w:line="360" w:lineRule="auto"/>
        <w:jc w:val="both"/>
        <w:rPr>
          <w:sz w:val="22"/>
          <w:szCs w:val="22"/>
        </w:rPr>
      </w:pPr>
      <w:r w:rsidRPr="37E63DBD" w:rsidR="1AF4B26F">
        <w:rPr>
          <w:sz w:val="22"/>
          <w:szCs w:val="22"/>
        </w:rPr>
        <w:t>438m / 921m x 100 = 47.5%</w:t>
      </w:r>
    </w:p>
    <w:p w:rsidR="3F331CB8" w:rsidP="37E63DBD" w:rsidRDefault="3F331CB8" w14:paraId="01D0674B" w14:textId="50791381">
      <w:pPr>
        <w:spacing w:line="360" w:lineRule="auto"/>
        <w:jc w:val="both"/>
        <w:rPr>
          <w:b w:val="1"/>
          <w:bCs w:val="1"/>
          <w:sz w:val="22"/>
          <w:szCs w:val="22"/>
        </w:rPr>
      </w:pPr>
      <w:r w:rsidRPr="37E63DBD" w:rsidR="3F331CB8">
        <w:rPr>
          <w:b w:val="1"/>
          <w:bCs w:val="1"/>
          <w:sz w:val="22"/>
          <w:szCs w:val="22"/>
        </w:rPr>
        <w:t>Appendix 24</w:t>
      </w:r>
    </w:p>
    <w:p w:rsidR="2B4317C1" w:rsidP="37E63DBD" w:rsidRDefault="2B4317C1" w14:paraId="133DE76B" w14:textId="7BF50736">
      <w:pPr>
        <w:spacing w:line="360" w:lineRule="auto"/>
        <w:jc w:val="both"/>
        <w:rPr>
          <w:sz w:val="22"/>
          <w:szCs w:val="22"/>
        </w:rPr>
      </w:pPr>
      <w:r w:rsidRPr="37E63DBD" w:rsidR="2B4317C1">
        <w:rPr>
          <w:sz w:val="22"/>
          <w:szCs w:val="22"/>
        </w:rPr>
        <w:t>(20.9</w:t>
      </w:r>
      <w:r w:rsidRPr="37E63DBD" w:rsidR="3D45AD8C">
        <w:rPr>
          <w:sz w:val="22"/>
          <w:szCs w:val="22"/>
        </w:rPr>
        <w:t>)</w:t>
      </w:r>
      <w:r w:rsidRPr="37E63DBD" w:rsidR="2B4317C1">
        <w:rPr>
          <w:sz w:val="22"/>
          <w:szCs w:val="22"/>
        </w:rPr>
        <w:t>p</w:t>
      </w:r>
      <w:r w:rsidRPr="37E63DBD" w:rsidR="4D83EB61">
        <w:rPr>
          <w:sz w:val="22"/>
          <w:szCs w:val="22"/>
        </w:rPr>
        <w:t xml:space="preserve"> (Found in income statement)</w:t>
      </w:r>
    </w:p>
    <w:p w:rsidR="3F331CB8" w:rsidP="37E63DBD" w:rsidRDefault="3F331CB8" w14:paraId="37A31123" w14:textId="2E6E75D3">
      <w:pPr>
        <w:spacing w:line="360" w:lineRule="auto"/>
        <w:jc w:val="both"/>
        <w:rPr>
          <w:b w:val="1"/>
          <w:bCs w:val="1"/>
          <w:sz w:val="22"/>
          <w:szCs w:val="22"/>
        </w:rPr>
      </w:pPr>
      <w:r w:rsidRPr="37E63DBD" w:rsidR="3F331CB8">
        <w:rPr>
          <w:b w:val="1"/>
          <w:bCs w:val="1"/>
          <w:sz w:val="22"/>
          <w:szCs w:val="22"/>
        </w:rPr>
        <w:t>Appendix 25</w:t>
      </w:r>
    </w:p>
    <w:p w:rsidR="6027D5BA" w:rsidP="37E63DBD" w:rsidRDefault="6027D5BA" w14:paraId="692780A7" w14:textId="49AA8B11">
      <w:pPr>
        <w:spacing w:line="360" w:lineRule="auto"/>
        <w:jc w:val="both"/>
        <w:rPr>
          <w:sz w:val="22"/>
          <w:szCs w:val="22"/>
        </w:rPr>
      </w:pPr>
      <w:r w:rsidRPr="37E63DBD" w:rsidR="6027D5BA">
        <w:rPr>
          <w:sz w:val="22"/>
          <w:szCs w:val="22"/>
        </w:rPr>
        <w:t>74.1p (Found in income statement)</w:t>
      </w:r>
    </w:p>
    <w:p w:rsidR="3F331CB8" w:rsidP="37E63DBD" w:rsidRDefault="3F331CB8" w14:paraId="6B849810" w14:textId="13EC6B4C">
      <w:pPr>
        <w:spacing w:line="360" w:lineRule="auto"/>
        <w:jc w:val="both"/>
        <w:rPr>
          <w:b w:val="1"/>
          <w:bCs w:val="1"/>
          <w:sz w:val="22"/>
          <w:szCs w:val="22"/>
        </w:rPr>
      </w:pPr>
      <w:r w:rsidRPr="37E63DBD" w:rsidR="3F331CB8">
        <w:rPr>
          <w:b w:val="1"/>
          <w:bCs w:val="1"/>
          <w:sz w:val="22"/>
          <w:szCs w:val="22"/>
        </w:rPr>
        <w:t>Appendix 26</w:t>
      </w:r>
    </w:p>
    <w:p w:rsidR="3F331CB8" w:rsidP="37E63DBD" w:rsidRDefault="3F331CB8" w14:paraId="61B5505F" w14:textId="44A3B25F">
      <w:pPr>
        <w:spacing w:line="360" w:lineRule="auto"/>
        <w:jc w:val="both"/>
        <w:rPr>
          <w:sz w:val="22"/>
          <w:szCs w:val="22"/>
        </w:rPr>
      </w:pPr>
      <w:r w:rsidRPr="37E63DBD" w:rsidR="3F331CB8">
        <w:rPr>
          <w:sz w:val="22"/>
          <w:szCs w:val="22"/>
        </w:rPr>
        <w:t>Profit after tax / Ordinary dividend</w:t>
      </w:r>
      <w:r>
        <w:br/>
      </w:r>
      <w:r w:rsidRPr="37E63DBD" w:rsidR="02EFA3DA">
        <w:rPr>
          <w:sz w:val="22"/>
          <w:szCs w:val="22"/>
        </w:rPr>
        <w:t>271m / 61m = 4.4</w:t>
      </w:r>
    </w:p>
    <w:p w:rsidR="2D40DC67" w:rsidP="37E63DBD" w:rsidRDefault="2D40DC67" w14:paraId="3FE447BC" w14:textId="4BB19F16">
      <w:pPr>
        <w:spacing w:line="360" w:lineRule="auto"/>
        <w:jc w:val="both"/>
        <w:rPr>
          <w:b w:val="1"/>
          <w:bCs w:val="1"/>
          <w:sz w:val="22"/>
          <w:szCs w:val="22"/>
        </w:rPr>
      </w:pPr>
      <w:r w:rsidRPr="37E63DBD" w:rsidR="2D40DC67">
        <w:rPr>
          <w:b w:val="1"/>
          <w:bCs w:val="1"/>
          <w:sz w:val="22"/>
          <w:szCs w:val="22"/>
        </w:rPr>
        <w:t>Appendix 27</w:t>
      </w:r>
    </w:p>
    <w:tbl>
      <w:tblPr>
        <w:tblStyle w:val="TableGrid"/>
        <w:tblW w:w="0" w:type="auto"/>
        <w:tblLook w:val="06A0" w:firstRow="1" w:lastRow="0" w:firstColumn="1" w:lastColumn="0" w:noHBand="1" w:noVBand="1"/>
      </w:tblPr>
      <w:tblGrid>
        <w:gridCol w:w="2254"/>
        <w:gridCol w:w="2254"/>
        <w:gridCol w:w="2254"/>
        <w:gridCol w:w="2254"/>
      </w:tblGrid>
      <w:tr w:rsidR="37E63DBD" w:rsidTr="37E63DBD" w14:paraId="79A6F351">
        <w:trPr>
          <w:trHeight w:val="300"/>
        </w:trPr>
        <w:tc>
          <w:tcPr>
            <w:tcW w:w="2254" w:type="dxa"/>
            <w:tcMar/>
          </w:tcPr>
          <w:p w:rsidR="2D40DC67" w:rsidP="37E63DBD" w:rsidRDefault="2D40DC67" w14:paraId="6253596F" w14:textId="57CF2FF4">
            <w:pPr>
              <w:pStyle w:val="Normal"/>
              <w:spacing w:line="360" w:lineRule="auto"/>
              <w:jc w:val="both"/>
              <w:rPr>
                <w:sz w:val="22"/>
                <w:szCs w:val="22"/>
              </w:rPr>
            </w:pPr>
            <w:r w:rsidRPr="37E63DBD" w:rsidR="2D40DC67">
              <w:rPr>
                <w:sz w:val="22"/>
                <w:szCs w:val="22"/>
              </w:rPr>
              <w:t>Year</w:t>
            </w:r>
          </w:p>
        </w:tc>
        <w:tc>
          <w:tcPr>
            <w:tcW w:w="2254" w:type="dxa"/>
            <w:tcMar/>
          </w:tcPr>
          <w:p w:rsidR="2D40DC67" w:rsidP="37E63DBD" w:rsidRDefault="2D40DC67" w14:paraId="1E03C212" w14:textId="083C0FE5">
            <w:pPr>
              <w:pStyle w:val="Normal"/>
              <w:spacing w:line="360" w:lineRule="auto"/>
              <w:jc w:val="both"/>
              <w:rPr>
                <w:sz w:val="22"/>
                <w:szCs w:val="22"/>
              </w:rPr>
            </w:pPr>
            <w:r w:rsidRPr="37E63DBD" w:rsidR="2D40DC67">
              <w:rPr>
                <w:sz w:val="22"/>
                <w:szCs w:val="22"/>
              </w:rPr>
              <w:t>Cash Flow</w:t>
            </w:r>
            <w:r w:rsidRPr="37E63DBD" w:rsidR="566A4F02">
              <w:rPr>
                <w:sz w:val="22"/>
                <w:szCs w:val="22"/>
              </w:rPr>
              <w:t xml:space="preserve"> (Adjusted for 25% tax)</w:t>
            </w:r>
          </w:p>
        </w:tc>
        <w:tc>
          <w:tcPr>
            <w:tcW w:w="2254" w:type="dxa"/>
            <w:tcMar/>
          </w:tcPr>
          <w:p w:rsidR="2D40DC67" w:rsidP="37E63DBD" w:rsidRDefault="2D40DC67" w14:paraId="533C99A9" w14:textId="407E1862">
            <w:pPr>
              <w:pStyle w:val="Normal"/>
              <w:spacing w:line="360" w:lineRule="auto"/>
              <w:jc w:val="both"/>
              <w:rPr>
                <w:sz w:val="22"/>
                <w:szCs w:val="22"/>
              </w:rPr>
            </w:pPr>
            <w:r w:rsidRPr="37E63DBD" w:rsidR="2D40DC67">
              <w:rPr>
                <w:sz w:val="22"/>
                <w:szCs w:val="22"/>
              </w:rPr>
              <w:t>Discount Factor (5%)</w:t>
            </w:r>
          </w:p>
        </w:tc>
        <w:tc>
          <w:tcPr>
            <w:tcW w:w="2254" w:type="dxa"/>
            <w:tcMar/>
          </w:tcPr>
          <w:p w:rsidR="2D40DC67" w:rsidP="37E63DBD" w:rsidRDefault="2D40DC67" w14:paraId="491DFD42" w14:textId="279F3874">
            <w:pPr>
              <w:pStyle w:val="Normal"/>
              <w:spacing w:line="360" w:lineRule="auto"/>
              <w:jc w:val="both"/>
              <w:rPr>
                <w:sz w:val="22"/>
                <w:szCs w:val="22"/>
              </w:rPr>
            </w:pPr>
            <w:r w:rsidRPr="37E63DBD" w:rsidR="2D40DC67">
              <w:rPr>
                <w:sz w:val="22"/>
                <w:szCs w:val="22"/>
              </w:rPr>
              <w:t>Present Value</w:t>
            </w:r>
          </w:p>
        </w:tc>
      </w:tr>
      <w:tr w:rsidR="37E63DBD" w:rsidTr="37E63DBD" w14:paraId="5384DFB5">
        <w:trPr>
          <w:trHeight w:val="300"/>
        </w:trPr>
        <w:tc>
          <w:tcPr>
            <w:tcW w:w="2254" w:type="dxa"/>
            <w:tcMar/>
          </w:tcPr>
          <w:p w:rsidR="2D40DC67" w:rsidP="37E63DBD" w:rsidRDefault="2D40DC67" w14:paraId="30368B61" w14:textId="73BFF62C">
            <w:pPr>
              <w:pStyle w:val="Normal"/>
              <w:spacing w:line="360" w:lineRule="auto"/>
              <w:jc w:val="both"/>
              <w:rPr>
                <w:sz w:val="22"/>
                <w:szCs w:val="22"/>
              </w:rPr>
            </w:pPr>
            <w:r w:rsidRPr="37E63DBD" w:rsidR="2D40DC67">
              <w:rPr>
                <w:sz w:val="22"/>
                <w:szCs w:val="22"/>
              </w:rPr>
              <w:t>0</w:t>
            </w:r>
          </w:p>
        </w:tc>
        <w:tc>
          <w:tcPr>
            <w:tcW w:w="2254" w:type="dxa"/>
            <w:tcMar/>
          </w:tcPr>
          <w:p w:rsidR="2D40DC67" w:rsidP="37E63DBD" w:rsidRDefault="2D40DC67" w14:paraId="57732B59" w14:textId="3CFBB8D6">
            <w:pPr>
              <w:pStyle w:val="Normal"/>
              <w:spacing w:line="360" w:lineRule="auto"/>
              <w:jc w:val="both"/>
              <w:rPr>
                <w:sz w:val="22"/>
                <w:szCs w:val="22"/>
              </w:rPr>
            </w:pPr>
            <w:r w:rsidRPr="37E63DBD" w:rsidR="2D40DC67">
              <w:rPr>
                <w:sz w:val="22"/>
                <w:szCs w:val="22"/>
              </w:rPr>
              <w:t>-600,000</w:t>
            </w:r>
          </w:p>
        </w:tc>
        <w:tc>
          <w:tcPr>
            <w:tcW w:w="2254" w:type="dxa"/>
            <w:tcMar/>
          </w:tcPr>
          <w:p w:rsidR="2D40DC67" w:rsidP="37E63DBD" w:rsidRDefault="2D40DC67" w14:paraId="1E171032" w14:textId="5001385C">
            <w:pPr>
              <w:pStyle w:val="Normal"/>
              <w:spacing w:line="360" w:lineRule="auto"/>
              <w:jc w:val="both"/>
              <w:rPr>
                <w:sz w:val="22"/>
                <w:szCs w:val="22"/>
              </w:rPr>
            </w:pPr>
            <w:r w:rsidRPr="37E63DBD" w:rsidR="2D40DC67">
              <w:rPr>
                <w:sz w:val="22"/>
                <w:szCs w:val="22"/>
              </w:rPr>
              <w:t>1.000</w:t>
            </w:r>
          </w:p>
        </w:tc>
        <w:tc>
          <w:tcPr>
            <w:tcW w:w="2254" w:type="dxa"/>
            <w:tcMar/>
          </w:tcPr>
          <w:p w:rsidR="2D40DC67" w:rsidP="37E63DBD" w:rsidRDefault="2D40DC67" w14:paraId="618CBE52" w14:textId="4D0D8255">
            <w:pPr>
              <w:pStyle w:val="Normal"/>
              <w:spacing w:line="360" w:lineRule="auto"/>
              <w:jc w:val="both"/>
              <w:rPr>
                <w:sz w:val="22"/>
                <w:szCs w:val="22"/>
              </w:rPr>
            </w:pPr>
            <w:r w:rsidRPr="37E63DBD" w:rsidR="2D40DC67">
              <w:rPr>
                <w:sz w:val="22"/>
                <w:szCs w:val="22"/>
              </w:rPr>
              <w:t>-600,000</w:t>
            </w:r>
          </w:p>
        </w:tc>
      </w:tr>
      <w:tr w:rsidR="37E63DBD" w:rsidTr="37E63DBD" w14:paraId="47B8ADE4">
        <w:trPr>
          <w:trHeight w:val="300"/>
        </w:trPr>
        <w:tc>
          <w:tcPr>
            <w:tcW w:w="2254" w:type="dxa"/>
            <w:tcMar/>
          </w:tcPr>
          <w:p w:rsidR="2D40DC67" w:rsidP="37E63DBD" w:rsidRDefault="2D40DC67" w14:paraId="0B919171" w14:textId="13F4E915">
            <w:pPr>
              <w:pStyle w:val="Normal"/>
              <w:spacing w:line="360" w:lineRule="auto"/>
              <w:jc w:val="both"/>
              <w:rPr>
                <w:sz w:val="22"/>
                <w:szCs w:val="22"/>
              </w:rPr>
            </w:pPr>
            <w:r w:rsidRPr="37E63DBD" w:rsidR="2D40DC67">
              <w:rPr>
                <w:sz w:val="22"/>
                <w:szCs w:val="22"/>
              </w:rPr>
              <w:t>1</w:t>
            </w:r>
          </w:p>
        </w:tc>
        <w:tc>
          <w:tcPr>
            <w:tcW w:w="2254" w:type="dxa"/>
            <w:tcMar/>
          </w:tcPr>
          <w:p w:rsidR="2D40DC67" w:rsidP="37E63DBD" w:rsidRDefault="2D40DC67" w14:paraId="0FB60A4C" w14:textId="20390C4A">
            <w:pPr>
              <w:pStyle w:val="Normal"/>
              <w:spacing w:line="360" w:lineRule="auto"/>
              <w:jc w:val="both"/>
              <w:rPr>
                <w:sz w:val="22"/>
                <w:szCs w:val="22"/>
              </w:rPr>
            </w:pPr>
            <w:r w:rsidRPr="37E63DBD" w:rsidR="2D40DC67">
              <w:rPr>
                <w:sz w:val="22"/>
                <w:szCs w:val="22"/>
              </w:rPr>
              <w:t>100,000</w:t>
            </w:r>
          </w:p>
        </w:tc>
        <w:tc>
          <w:tcPr>
            <w:tcW w:w="2254" w:type="dxa"/>
            <w:tcMar/>
          </w:tcPr>
          <w:p w:rsidR="2D40DC67" w:rsidP="37E63DBD" w:rsidRDefault="2D40DC67" w14:paraId="421AFF7C" w14:textId="7A8A6509">
            <w:pPr>
              <w:pStyle w:val="Normal"/>
              <w:spacing w:line="360" w:lineRule="auto"/>
              <w:jc w:val="both"/>
              <w:rPr>
                <w:sz w:val="22"/>
                <w:szCs w:val="22"/>
              </w:rPr>
            </w:pPr>
            <w:r w:rsidRPr="37E63DBD" w:rsidR="2D40DC67">
              <w:rPr>
                <w:sz w:val="22"/>
                <w:szCs w:val="22"/>
              </w:rPr>
              <w:t>0.952</w:t>
            </w:r>
          </w:p>
        </w:tc>
        <w:tc>
          <w:tcPr>
            <w:tcW w:w="2254" w:type="dxa"/>
            <w:tcMar/>
          </w:tcPr>
          <w:p w:rsidR="2D40DC67" w:rsidP="37E63DBD" w:rsidRDefault="2D40DC67" w14:paraId="139E333E" w14:textId="54A33235">
            <w:pPr>
              <w:pStyle w:val="Normal"/>
              <w:spacing w:line="360" w:lineRule="auto"/>
              <w:jc w:val="both"/>
              <w:rPr>
                <w:sz w:val="22"/>
                <w:szCs w:val="22"/>
              </w:rPr>
            </w:pPr>
            <w:r w:rsidRPr="37E63DBD" w:rsidR="2D40DC67">
              <w:rPr>
                <w:sz w:val="22"/>
                <w:szCs w:val="22"/>
              </w:rPr>
              <w:t>95,238</w:t>
            </w:r>
          </w:p>
        </w:tc>
      </w:tr>
      <w:tr w:rsidR="37E63DBD" w:rsidTr="37E63DBD" w14:paraId="76112DFB">
        <w:trPr>
          <w:trHeight w:val="300"/>
        </w:trPr>
        <w:tc>
          <w:tcPr>
            <w:tcW w:w="2254" w:type="dxa"/>
            <w:tcMar/>
          </w:tcPr>
          <w:p w:rsidR="2D40DC67" w:rsidP="37E63DBD" w:rsidRDefault="2D40DC67" w14:paraId="3B1B2DCF" w14:textId="536BAB97">
            <w:pPr>
              <w:pStyle w:val="Normal"/>
              <w:spacing w:line="360" w:lineRule="auto"/>
              <w:jc w:val="both"/>
              <w:rPr>
                <w:sz w:val="22"/>
                <w:szCs w:val="22"/>
              </w:rPr>
            </w:pPr>
            <w:r w:rsidRPr="37E63DBD" w:rsidR="2D40DC67">
              <w:rPr>
                <w:sz w:val="22"/>
                <w:szCs w:val="22"/>
              </w:rPr>
              <w:t>2</w:t>
            </w:r>
          </w:p>
        </w:tc>
        <w:tc>
          <w:tcPr>
            <w:tcW w:w="2254" w:type="dxa"/>
            <w:tcMar/>
          </w:tcPr>
          <w:p w:rsidR="2D40DC67" w:rsidP="37E63DBD" w:rsidRDefault="2D40DC67" w14:paraId="52A45F66" w14:textId="00D9737A">
            <w:pPr>
              <w:pStyle w:val="Normal"/>
              <w:spacing w:line="360" w:lineRule="auto"/>
              <w:jc w:val="both"/>
              <w:rPr>
                <w:sz w:val="22"/>
                <w:szCs w:val="22"/>
              </w:rPr>
            </w:pPr>
            <w:r w:rsidRPr="37E63DBD" w:rsidR="2D40DC67">
              <w:rPr>
                <w:sz w:val="22"/>
                <w:szCs w:val="22"/>
              </w:rPr>
              <w:t>165,000</w:t>
            </w:r>
          </w:p>
        </w:tc>
        <w:tc>
          <w:tcPr>
            <w:tcW w:w="2254" w:type="dxa"/>
            <w:tcMar/>
          </w:tcPr>
          <w:p w:rsidR="2D40DC67" w:rsidP="37E63DBD" w:rsidRDefault="2D40DC67" w14:paraId="38E8723E" w14:textId="59BB816F">
            <w:pPr>
              <w:pStyle w:val="Normal"/>
              <w:spacing w:line="360" w:lineRule="auto"/>
              <w:jc w:val="both"/>
              <w:rPr>
                <w:sz w:val="22"/>
                <w:szCs w:val="22"/>
              </w:rPr>
            </w:pPr>
            <w:r w:rsidRPr="37E63DBD" w:rsidR="2D40DC67">
              <w:rPr>
                <w:sz w:val="22"/>
                <w:szCs w:val="22"/>
              </w:rPr>
              <w:t>0.907</w:t>
            </w:r>
          </w:p>
        </w:tc>
        <w:tc>
          <w:tcPr>
            <w:tcW w:w="2254" w:type="dxa"/>
            <w:tcMar/>
          </w:tcPr>
          <w:p w:rsidR="2D40DC67" w:rsidP="37E63DBD" w:rsidRDefault="2D40DC67" w14:paraId="4835733C" w14:textId="4A7B8967">
            <w:pPr>
              <w:pStyle w:val="Normal"/>
              <w:spacing w:line="360" w:lineRule="auto"/>
              <w:jc w:val="both"/>
              <w:rPr>
                <w:sz w:val="22"/>
                <w:szCs w:val="22"/>
              </w:rPr>
            </w:pPr>
            <w:r w:rsidRPr="37E63DBD" w:rsidR="2D40DC67">
              <w:rPr>
                <w:sz w:val="22"/>
                <w:szCs w:val="22"/>
              </w:rPr>
              <w:t>149,660</w:t>
            </w:r>
          </w:p>
        </w:tc>
      </w:tr>
      <w:tr w:rsidR="37E63DBD" w:rsidTr="37E63DBD" w14:paraId="6DD08B81">
        <w:trPr>
          <w:trHeight w:val="300"/>
        </w:trPr>
        <w:tc>
          <w:tcPr>
            <w:tcW w:w="2254" w:type="dxa"/>
            <w:tcMar/>
          </w:tcPr>
          <w:p w:rsidR="2D40DC67" w:rsidP="37E63DBD" w:rsidRDefault="2D40DC67" w14:paraId="19E49C8B" w14:textId="29DE6466">
            <w:pPr>
              <w:pStyle w:val="Normal"/>
              <w:spacing w:line="360" w:lineRule="auto"/>
              <w:jc w:val="both"/>
              <w:rPr>
                <w:sz w:val="22"/>
                <w:szCs w:val="22"/>
              </w:rPr>
            </w:pPr>
            <w:r w:rsidRPr="37E63DBD" w:rsidR="2D40DC67">
              <w:rPr>
                <w:sz w:val="22"/>
                <w:szCs w:val="22"/>
              </w:rPr>
              <w:t>3</w:t>
            </w:r>
          </w:p>
        </w:tc>
        <w:tc>
          <w:tcPr>
            <w:tcW w:w="2254" w:type="dxa"/>
            <w:tcMar/>
          </w:tcPr>
          <w:p w:rsidR="2D40DC67" w:rsidP="37E63DBD" w:rsidRDefault="2D40DC67" w14:paraId="5ADDA3CD" w14:textId="6530C862">
            <w:pPr>
              <w:pStyle w:val="Normal"/>
              <w:spacing w:line="360" w:lineRule="auto"/>
              <w:jc w:val="both"/>
              <w:rPr>
                <w:sz w:val="22"/>
                <w:szCs w:val="22"/>
              </w:rPr>
            </w:pPr>
            <w:r w:rsidRPr="37E63DBD" w:rsidR="2D40DC67">
              <w:rPr>
                <w:sz w:val="22"/>
                <w:szCs w:val="22"/>
              </w:rPr>
              <w:t>187,500</w:t>
            </w:r>
          </w:p>
        </w:tc>
        <w:tc>
          <w:tcPr>
            <w:tcW w:w="2254" w:type="dxa"/>
            <w:tcMar/>
          </w:tcPr>
          <w:p w:rsidR="2D40DC67" w:rsidP="37E63DBD" w:rsidRDefault="2D40DC67" w14:paraId="2103FDC0" w14:textId="6B1557D7">
            <w:pPr>
              <w:pStyle w:val="Normal"/>
              <w:spacing w:line="360" w:lineRule="auto"/>
              <w:jc w:val="both"/>
              <w:rPr>
                <w:sz w:val="22"/>
                <w:szCs w:val="22"/>
              </w:rPr>
            </w:pPr>
            <w:r w:rsidRPr="37E63DBD" w:rsidR="2D40DC67">
              <w:rPr>
                <w:sz w:val="22"/>
                <w:szCs w:val="22"/>
              </w:rPr>
              <w:t>0.864</w:t>
            </w:r>
          </w:p>
        </w:tc>
        <w:tc>
          <w:tcPr>
            <w:tcW w:w="2254" w:type="dxa"/>
            <w:tcMar/>
          </w:tcPr>
          <w:p w:rsidR="2D40DC67" w:rsidP="37E63DBD" w:rsidRDefault="2D40DC67" w14:paraId="4A3598F8" w14:textId="022FA595">
            <w:pPr>
              <w:pStyle w:val="Normal"/>
              <w:spacing w:line="360" w:lineRule="auto"/>
              <w:jc w:val="both"/>
              <w:rPr>
                <w:sz w:val="22"/>
                <w:szCs w:val="22"/>
              </w:rPr>
            </w:pPr>
            <w:r w:rsidRPr="37E63DBD" w:rsidR="2D40DC67">
              <w:rPr>
                <w:sz w:val="22"/>
                <w:szCs w:val="22"/>
              </w:rPr>
              <w:t>162,000</w:t>
            </w:r>
          </w:p>
        </w:tc>
      </w:tr>
      <w:tr w:rsidR="37E63DBD" w:rsidTr="37E63DBD" w14:paraId="77981200">
        <w:trPr>
          <w:trHeight w:val="300"/>
        </w:trPr>
        <w:tc>
          <w:tcPr>
            <w:tcW w:w="2254" w:type="dxa"/>
            <w:tcMar/>
          </w:tcPr>
          <w:p w:rsidR="2D40DC67" w:rsidP="37E63DBD" w:rsidRDefault="2D40DC67" w14:paraId="5C596FA2" w14:textId="4824E73A">
            <w:pPr>
              <w:pStyle w:val="Normal"/>
              <w:spacing w:line="360" w:lineRule="auto"/>
              <w:jc w:val="both"/>
              <w:rPr>
                <w:sz w:val="22"/>
                <w:szCs w:val="22"/>
              </w:rPr>
            </w:pPr>
            <w:r w:rsidRPr="37E63DBD" w:rsidR="2D40DC67">
              <w:rPr>
                <w:sz w:val="22"/>
                <w:szCs w:val="22"/>
              </w:rPr>
              <w:t>4</w:t>
            </w:r>
          </w:p>
        </w:tc>
        <w:tc>
          <w:tcPr>
            <w:tcW w:w="2254" w:type="dxa"/>
            <w:tcMar/>
          </w:tcPr>
          <w:p w:rsidR="2D40DC67" w:rsidP="37E63DBD" w:rsidRDefault="2D40DC67" w14:paraId="6F459136" w14:textId="7B3CA7C4">
            <w:pPr>
              <w:pStyle w:val="Normal"/>
              <w:spacing w:line="360" w:lineRule="auto"/>
              <w:jc w:val="both"/>
              <w:rPr>
                <w:sz w:val="22"/>
                <w:szCs w:val="22"/>
              </w:rPr>
            </w:pPr>
            <w:r w:rsidRPr="37E63DBD" w:rsidR="2D40DC67">
              <w:rPr>
                <w:sz w:val="22"/>
                <w:szCs w:val="22"/>
              </w:rPr>
              <w:t>225,000</w:t>
            </w:r>
          </w:p>
        </w:tc>
        <w:tc>
          <w:tcPr>
            <w:tcW w:w="2254" w:type="dxa"/>
            <w:tcMar/>
          </w:tcPr>
          <w:p w:rsidR="2D40DC67" w:rsidP="37E63DBD" w:rsidRDefault="2D40DC67" w14:paraId="1EBF371A" w14:textId="03A69775">
            <w:pPr>
              <w:pStyle w:val="Normal"/>
              <w:spacing w:line="360" w:lineRule="auto"/>
              <w:jc w:val="both"/>
              <w:rPr>
                <w:sz w:val="22"/>
                <w:szCs w:val="22"/>
              </w:rPr>
            </w:pPr>
            <w:r w:rsidRPr="37E63DBD" w:rsidR="2D40DC67">
              <w:rPr>
                <w:sz w:val="22"/>
                <w:szCs w:val="22"/>
              </w:rPr>
              <w:t>0.823</w:t>
            </w:r>
          </w:p>
        </w:tc>
        <w:tc>
          <w:tcPr>
            <w:tcW w:w="2254" w:type="dxa"/>
            <w:tcMar/>
          </w:tcPr>
          <w:p w:rsidR="2D40DC67" w:rsidP="37E63DBD" w:rsidRDefault="2D40DC67" w14:paraId="5DA9E15C" w14:textId="357EC74D">
            <w:pPr>
              <w:pStyle w:val="Normal"/>
              <w:spacing w:line="360" w:lineRule="auto"/>
              <w:jc w:val="both"/>
              <w:rPr>
                <w:sz w:val="22"/>
                <w:szCs w:val="22"/>
              </w:rPr>
            </w:pPr>
            <w:r w:rsidRPr="37E63DBD" w:rsidR="2D40DC67">
              <w:rPr>
                <w:sz w:val="22"/>
                <w:szCs w:val="22"/>
              </w:rPr>
              <w:t>185,140</w:t>
            </w:r>
          </w:p>
        </w:tc>
      </w:tr>
    </w:tbl>
    <w:p w:rsidR="6693DC5D" w:rsidP="37E63DBD" w:rsidRDefault="6693DC5D" w14:paraId="4D30DB1A" w14:textId="1974BBA0">
      <w:pPr>
        <w:pStyle w:val="Normal"/>
        <w:suppressLineNumbers w:val="0"/>
        <w:bidi w:val="0"/>
        <w:spacing w:before="0" w:beforeAutospacing="off" w:after="160" w:afterAutospacing="off" w:line="360" w:lineRule="auto"/>
        <w:ind w:left="0" w:right="0"/>
        <w:jc w:val="both"/>
        <w:rPr>
          <w:sz w:val="22"/>
          <w:szCs w:val="22"/>
        </w:rPr>
      </w:pPr>
      <w:r w:rsidRPr="37E63DBD" w:rsidR="6693DC5D">
        <w:rPr>
          <w:sz w:val="22"/>
          <w:szCs w:val="22"/>
        </w:rPr>
        <w:t>Total Present Value = £592,038</w:t>
      </w:r>
      <w:r>
        <w:br/>
      </w:r>
      <w:r w:rsidRPr="37E63DBD" w:rsidR="12707199">
        <w:rPr>
          <w:sz w:val="22"/>
          <w:szCs w:val="22"/>
        </w:rPr>
        <w:t>592,038 – 600,00 = -7962</w:t>
      </w:r>
    </w:p>
    <w:p w:rsidR="2D40DC67" w:rsidP="37E63DBD" w:rsidRDefault="2D40DC67" w14:paraId="7D6D2086" w14:textId="551DC5B2">
      <w:pPr>
        <w:spacing w:line="360" w:lineRule="auto"/>
        <w:jc w:val="both"/>
        <w:rPr>
          <w:sz w:val="22"/>
          <w:szCs w:val="22"/>
        </w:rPr>
      </w:pPr>
      <w:r w:rsidRPr="37E63DBD" w:rsidR="2D40DC67">
        <w:rPr>
          <w:sz w:val="22"/>
          <w:szCs w:val="22"/>
        </w:rPr>
        <w:t>Total NPV = -£7,962</w:t>
      </w:r>
    </w:p>
    <w:p w:rsidR="37E63DBD" w:rsidP="37E63DBD" w:rsidRDefault="37E63DBD" w14:paraId="042E5641" w14:textId="4D6525B1">
      <w:pPr>
        <w:spacing w:line="360" w:lineRule="auto"/>
        <w:jc w:val="both"/>
        <w:rPr>
          <w:sz w:val="22"/>
          <w:szCs w:val="22"/>
        </w:rPr>
      </w:pPr>
    </w:p>
    <w:p w:rsidR="37E63DBD" w:rsidP="37E63DBD" w:rsidRDefault="37E63DBD" w14:paraId="74E9CDCC" w14:textId="478CEA38">
      <w:pPr>
        <w:spacing w:line="360" w:lineRule="auto"/>
        <w:jc w:val="both"/>
        <w:rPr>
          <w:sz w:val="22"/>
          <w:szCs w:val="22"/>
        </w:rPr>
      </w:pPr>
    </w:p>
    <w:p w:rsidR="37E63DBD" w:rsidP="37E63DBD" w:rsidRDefault="37E63DBD" w14:paraId="057926D0" w14:textId="27755FF1">
      <w:pPr>
        <w:spacing w:line="360" w:lineRule="auto"/>
        <w:jc w:val="both"/>
        <w:rPr>
          <w:sz w:val="22"/>
          <w:szCs w:val="22"/>
        </w:rPr>
      </w:pPr>
    </w:p>
    <w:p w:rsidR="37E63DBD" w:rsidP="37E63DBD" w:rsidRDefault="37E63DBD" w14:paraId="5021FE8A" w14:textId="29B0354C">
      <w:pPr>
        <w:spacing w:line="360" w:lineRule="auto"/>
        <w:jc w:val="both"/>
        <w:rPr>
          <w:sz w:val="22"/>
          <w:szCs w:val="22"/>
        </w:rPr>
      </w:pPr>
    </w:p>
    <w:p w:rsidR="2D40DC67" w:rsidP="37E63DBD" w:rsidRDefault="2D40DC67" w14:paraId="574FB2A5" w14:textId="1AE7567A">
      <w:pPr>
        <w:pStyle w:val="Normal"/>
        <w:spacing w:line="360" w:lineRule="auto"/>
        <w:jc w:val="both"/>
        <w:rPr>
          <w:b w:val="1"/>
          <w:bCs w:val="1"/>
          <w:sz w:val="22"/>
          <w:szCs w:val="22"/>
        </w:rPr>
      </w:pPr>
      <w:r w:rsidRPr="37E63DBD" w:rsidR="2D40DC67">
        <w:rPr>
          <w:b w:val="1"/>
          <w:bCs w:val="1"/>
          <w:sz w:val="22"/>
          <w:szCs w:val="22"/>
        </w:rPr>
        <w:t>Appendix 28</w:t>
      </w:r>
    </w:p>
    <w:tbl>
      <w:tblPr>
        <w:tblStyle w:val="TableGrid"/>
        <w:tblW w:w="0" w:type="auto"/>
        <w:tblLook w:val="06A0" w:firstRow="1" w:lastRow="0" w:firstColumn="1" w:lastColumn="0" w:noHBand="1" w:noVBand="1"/>
      </w:tblPr>
      <w:tblGrid>
        <w:gridCol w:w="2254"/>
        <w:gridCol w:w="2254"/>
        <w:gridCol w:w="2254"/>
        <w:gridCol w:w="2254"/>
      </w:tblGrid>
      <w:tr w:rsidR="37E63DBD" w:rsidTr="37E63DBD" w14:paraId="111353F8">
        <w:trPr>
          <w:trHeight w:val="300"/>
        </w:trPr>
        <w:tc>
          <w:tcPr>
            <w:tcW w:w="2254" w:type="dxa"/>
            <w:tcMar/>
          </w:tcPr>
          <w:p w:rsidR="2D40DC67" w:rsidP="37E63DBD" w:rsidRDefault="2D40DC67" w14:paraId="3D9308D7" w14:textId="7E24BBC0">
            <w:pPr>
              <w:pStyle w:val="Normal"/>
              <w:spacing w:line="360" w:lineRule="auto"/>
              <w:jc w:val="both"/>
              <w:rPr>
                <w:sz w:val="22"/>
                <w:szCs w:val="22"/>
              </w:rPr>
            </w:pPr>
            <w:r w:rsidRPr="37E63DBD" w:rsidR="2D40DC67">
              <w:rPr>
                <w:sz w:val="22"/>
                <w:szCs w:val="22"/>
              </w:rPr>
              <w:t xml:space="preserve">Year </w:t>
            </w:r>
          </w:p>
        </w:tc>
        <w:tc>
          <w:tcPr>
            <w:tcW w:w="2254" w:type="dxa"/>
            <w:tcMar/>
          </w:tcPr>
          <w:p w:rsidR="2D40DC67" w:rsidP="37E63DBD" w:rsidRDefault="2D40DC67" w14:paraId="0FEB9F6A" w14:textId="74C4EE62">
            <w:pPr>
              <w:pStyle w:val="Normal"/>
              <w:spacing w:line="360" w:lineRule="auto"/>
              <w:jc w:val="both"/>
              <w:rPr>
                <w:sz w:val="22"/>
                <w:szCs w:val="22"/>
              </w:rPr>
            </w:pPr>
            <w:r w:rsidRPr="37E63DBD" w:rsidR="2D40DC67">
              <w:rPr>
                <w:sz w:val="22"/>
                <w:szCs w:val="22"/>
              </w:rPr>
              <w:t>Cash Flow</w:t>
            </w:r>
            <w:r w:rsidRPr="37E63DBD" w:rsidR="67BDA6FD">
              <w:rPr>
                <w:sz w:val="22"/>
                <w:szCs w:val="22"/>
              </w:rPr>
              <w:t xml:space="preserve"> (Adjusted for 25% tax)</w:t>
            </w:r>
          </w:p>
        </w:tc>
        <w:tc>
          <w:tcPr>
            <w:tcW w:w="2254" w:type="dxa"/>
            <w:tcMar/>
          </w:tcPr>
          <w:p w:rsidR="2D40DC67" w:rsidP="37E63DBD" w:rsidRDefault="2D40DC67" w14:paraId="70E903A2" w14:textId="425E243C">
            <w:pPr>
              <w:pStyle w:val="Normal"/>
              <w:spacing w:line="360" w:lineRule="auto"/>
              <w:jc w:val="both"/>
              <w:rPr>
                <w:sz w:val="22"/>
                <w:szCs w:val="22"/>
              </w:rPr>
            </w:pPr>
            <w:r w:rsidRPr="37E63DBD" w:rsidR="2D40DC67">
              <w:rPr>
                <w:sz w:val="22"/>
                <w:szCs w:val="22"/>
              </w:rPr>
              <w:t>Discount Factor (5%)</w:t>
            </w:r>
          </w:p>
        </w:tc>
        <w:tc>
          <w:tcPr>
            <w:tcW w:w="2254" w:type="dxa"/>
            <w:tcMar/>
          </w:tcPr>
          <w:p w:rsidR="2D40DC67" w:rsidP="37E63DBD" w:rsidRDefault="2D40DC67" w14:paraId="638DA371" w14:textId="06D0AC8A">
            <w:pPr>
              <w:pStyle w:val="Normal"/>
              <w:spacing w:line="360" w:lineRule="auto"/>
              <w:jc w:val="both"/>
              <w:rPr>
                <w:sz w:val="22"/>
                <w:szCs w:val="22"/>
              </w:rPr>
            </w:pPr>
            <w:r w:rsidRPr="37E63DBD" w:rsidR="2D40DC67">
              <w:rPr>
                <w:sz w:val="22"/>
                <w:szCs w:val="22"/>
              </w:rPr>
              <w:t>Present Value</w:t>
            </w:r>
          </w:p>
        </w:tc>
      </w:tr>
      <w:tr w:rsidR="37E63DBD" w:rsidTr="37E63DBD" w14:paraId="1F3137CA">
        <w:trPr>
          <w:trHeight w:val="300"/>
        </w:trPr>
        <w:tc>
          <w:tcPr>
            <w:tcW w:w="2254" w:type="dxa"/>
            <w:tcMar/>
          </w:tcPr>
          <w:p w:rsidR="2D40DC67" w:rsidP="37E63DBD" w:rsidRDefault="2D40DC67" w14:paraId="2EA3DB78" w14:textId="3701BB0B">
            <w:pPr>
              <w:pStyle w:val="Normal"/>
              <w:spacing w:line="360" w:lineRule="auto"/>
              <w:jc w:val="both"/>
              <w:rPr>
                <w:sz w:val="22"/>
                <w:szCs w:val="22"/>
              </w:rPr>
            </w:pPr>
            <w:r w:rsidRPr="37E63DBD" w:rsidR="2D40DC67">
              <w:rPr>
                <w:sz w:val="22"/>
                <w:szCs w:val="22"/>
              </w:rPr>
              <w:t>0</w:t>
            </w:r>
          </w:p>
        </w:tc>
        <w:tc>
          <w:tcPr>
            <w:tcW w:w="2254" w:type="dxa"/>
            <w:tcMar/>
          </w:tcPr>
          <w:p w:rsidR="2D40DC67" w:rsidP="37E63DBD" w:rsidRDefault="2D40DC67" w14:paraId="6DE1C8BE" w14:textId="337E4851">
            <w:pPr>
              <w:pStyle w:val="Normal"/>
              <w:spacing w:line="360" w:lineRule="auto"/>
              <w:jc w:val="both"/>
              <w:rPr>
                <w:sz w:val="22"/>
                <w:szCs w:val="22"/>
              </w:rPr>
            </w:pPr>
            <w:r w:rsidRPr="37E63DBD" w:rsidR="2D40DC67">
              <w:rPr>
                <w:sz w:val="22"/>
                <w:szCs w:val="22"/>
              </w:rPr>
              <w:t>-900,000</w:t>
            </w:r>
          </w:p>
        </w:tc>
        <w:tc>
          <w:tcPr>
            <w:tcW w:w="2254" w:type="dxa"/>
            <w:tcMar/>
          </w:tcPr>
          <w:p w:rsidR="2D40DC67" w:rsidP="37E63DBD" w:rsidRDefault="2D40DC67" w14:paraId="36039CD4" w14:textId="71BC494A">
            <w:pPr>
              <w:pStyle w:val="Normal"/>
              <w:spacing w:line="360" w:lineRule="auto"/>
              <w:jc w:val="both"/>
              <w:rPr>
                <w:sz w:val="22"/>
                <w:szCs w:val="22"/>
              </w:rPr>
            </w:pPr>
            <w:r w:rsidRPr="37E63DBD" w:rsidR="2D40DC67">
              <w:rPr>
                <w:sz w:val="22"/>
                <w:szCs w:val="22"/>
              </w:rPr>
              <w:t>1.000</w:t>
            </w:r>
          </w:p>
        </w:tc>
        <w:tc>
          <w:tcPr>
            <w:tcW w:w="2254" w:type="dxa"/>
            <w:tcMar/>
          </w:tcPr>
          <w:p w:rsidR="2D40DC67" w:rsidP="37E63DBD" w:rsidRDefault="2D40DC67" w14:paraId="2A547CCC" w14:textId="67D76976">
            <w:pPr>
              <w:pStyle w:val="Normal"/>
              <w:spacing w:line="360" w:lineRule="auto"/>
              <w:jc w:val="both"/>
              <w:rPr>
                <w:sz w:val="22"/>
                <w:szCs w:val="22"/>
              </w:rPr>
            </w:pPr>
            <w:r w:rsidRPr="37E63DBD" w:rsidR="2D40DC67">
              <w:rPr>
                <w:sz w:val="22"/>
                <w:szCs w:val="22"/>
              </w:rPr>
              <w:t>-900,000</w:t>
            </w:r>
          </w:p>
        </w:tc>
      </w:tr>
      <w:tr w:rsidR="37E63DBD" w:rsidTr="37E63DBD" w14:paraId="60B1C5E3">
        <w:trPr>
          <w:trHeight w:val="300"/>
        </w:trPr>
        <w:tc>
          <w:tcPr>
            <w:tcW w:w="2254" w:type="dxa"/>
            <w:tcMar/>
          </w:tcPr>
          <w:p w:rsidR="2D40DC67" w:rsidP="37E63DBD" w:rsidRDefault="2D40DC67" w14:paraId="16B65BBE" w14:textId="5810E22D">
            <w:pPr>
              <w:pStyle w:val="Normal"/>
              <w:spacing w:line="360" w:lineRule="auto"/>
              <w:jc w:val="both"/>
              <w:rPr>
                <w:sz w:val="22"/>
                <w:szCs w:val="22"/>
              </w:rPr>
            </w:pPr>
            <w:r w:rsidRPr="37E63DBD" w:rsidR="2D40DC67">
              <w:rPr>
                <w:sz w:val="22"/>
                <w:szCs w:val="22"/>
              </w:rPr>
              <w:t>1</w:t>
            </w:r>
          </w:p>
        </w:tc>
        <w:tc>
          <w:tcPr>
            <w:tcW w:w="2254" w:type="dxa"/>
            <w:tcMar/>
          </w:tcPr>
          <w:p w:rsidR="2D40DC67" w:rsidP="37E63DBD" w:rsidRDefault="2D40DC67" w14:paraId="0954EC42" w14:textId="00197A66">
            <w:pPr>
              <w:pStyle w:val="Normal"/>
              <w:spacing w:line="360" w:lineRule="auto"/>
              <w:jc w:val="both"/>
              <w:rPr>
                <w:sz w:val="22"/>
                <w:szCs w:val="22"/>
              </w:rPr>
            </w:pPr>
            <w:r w:rsidRPr="37E63DBD" w:rsidR="2D40DC67">
              <w:rPr>
                <w:sz w:val="22"/>
                <w:szCs w:val="22"/>
              </w:rPr>
              <w:t>220,000</w:t>
            </w:r>
          </w:p>
        </w:tc>
        <w:tc>
          <w:tcPr>
            <w:tcW w:w="2254" w:type="dxa"/>
            <w:tcMar/>
          </w:tcPr>
          <w:p w:rsidR="2D40DC67" w:rsidP="37E63DBD" w:rsidRDefault="2D40DC67" w14:paraId="45C1D036" w14:textId="294B0910">
            <w:pPr>
              <w:pStyle w:val="Normal"/>
              <w:spacing w:line="360" w:lineRule="auto"/>
              <w:jc w:val="both"/>
              <w:rPr>
                <w:sz w:val="22"/>
                <w:szCs w:val="22"/>
              </w:rPr>
            </w:pPr>
            <w:r w:rsidRPr="37E63DBD" w:rsidR="2D40DC67">
              <w:rPr>
                <w:sz w:val="22"/>
                <w:szCs w:val="22"/>
              </w:rPr>
              <w:t>0.952</w:t>
            </w:r>
          </w:p>
        </w:tc>
        <w:tc>
          <w:tcPr>
            <w:tcW w:w="2254" w:type="dxa"/>
            <w:tcMar/>
          </w:tcPr>
          <w:p w:rsidR="2D40DC67" w:rsidP="37E63DBD" w:rsidRDefault="2D40DC67" w14:paraId="3FA45108" w14:textId="584B568E">
            <w:pPr>
              <w:pStyle w:val="Normal"/>
              <w:spacing w:line="360" w:lineRule="auto"/>
              <w:jc w:val="both"/>
              <w:rPr>
                <w:sz w:val="22"/>
                <w:szCs w:val="22"/>
              </w:rPr>
            </w:pPr>
            <w:r w:rsidRPr="37E63DBD" w:rsidR="2D40DC67">
              <w:rPr>
                <w:sz w:val="22"/>
                <w:szCs w:val="22"/>
              </w:rPr>
              <w:t>209,524</w:t>
            </w:r>
          </w:p>
        </w:tc>
      </w:tr>
      <w:tr w:rsidR="37E63DBD" w:rsidTr="37E63DBD" w14:paraId="0436377A">
        <w:trPr>
          <w:trHeight w:val="300"/>
        </w:trPr>
        <w:tc>
          <w:tcPr>
            <w:tcW w:w="2254" w:type="dxa"/>
            <w:tcMar/>
          </w:tcPr>
          <w:p w:rsidR="2D40DC67" w:rsidP="37E63DBD" w:rsidRDefault="2D40DC67" w14:paraId="561E6C46" w14:textId="0DB39BB9">
            <w:pPr>
              <w:pStyle w:val="Normal"/>
              <w:spacing w:line="360" w:lineRule="auto"/>
              <w:jc w:val="both"/>
              <w:rPr>
                <w:sz w:val="22"/>
                <w:szCs w:val="22"/>
              </w:rPr>
            </w:pPr>
            <w:r w:rsidRPr="37E63DBD" w:rsidR="2D40DC67">
              <w:rPr>
                <w:sz w:val="22"/>
                <w:szCs w:val="22"/>
              </w:rPr>
              <w:t>2</w:t>
            </w:r>
          </w:p>
        </w:tc>
        <w:tc>
          <w:tcPr>
            <w:tcW w:w="2254" w:type="dxa"/>
            <w:tcMar/>
          </w:tcPr>
          <w:p w:rsidR="2D40DC67" w:rsidP="37E63DBD" w:rsidRDefault="2D40DC67" w14:paraId="2FDF9E33" w14:textId="67D6782B">
            <w:pPr>
              <w:pStyle w:val="Normal"/>
              <w:spacing w:line="360" w:lineRule="auto"/>
              <w:jc w:val="both"/>
              <w:rPr>
                <w:sz w:val="22"/>
                <w:szCs w:val="22"/>
              </w:rPr>
            </w:pPr>
            <w:r w:rsidRPr="37E63DBD" w:rsidR="2D40DC67">
              <w:rPr>
                <w:sz w:val="22"/>
                <w:szCs w:val="22"/>
              </w:rPr>
              <w:t>270,000</w:t>
            </w:r>
          </w:p>
        </w:tc>
        <w:tc>
          <w:tcPr>
            <w:tcW w:w="2254" w:type="dxa"/>
            <w:tcMar/>
          </w:tcPr>
          <w:p w:rsidR="2D40DC67" w:rsidP="37E63DBD" w:rsidRDefault="2D40DC67" w14:paraId="6A59719E" w14:textId="6A781BBE">
            <w:pPr>
              <w:pStyle w:val="Normal"/>
              <w:spacing w:line="360" w:lineRule="auto"/>
              <w:jc w:val="both"/>
              <w:rPr>
                <w:sz w:val="22"/>
                <w:szCs w:val="22"/>
              </w:rPr>
            </w:pPr>
            <w:r w:rsidRPr="37E63DBD" w:rsidR="2D40DC67">
              <w:rPr>
                <w:sz w:val="22"/>
                <w:szCs w:val="22"/>
              </w:rPr>
              <w:t>0.907</w:t>
            </w:r>
          </w:p>
        </w:tc>
        <w:tc>
          <w:tcPr>
            <w:tcW w:w="2254" w:type="dxa"/>
            <w:tcMar/>
          </w:tcPr>
          <w:p w:rsidR="2D40DC67" w:rsidP="37E63DBD" w:rsidRDefault="2D40DC67" w14:paraId="4F7E67AA" w14:textId="14669479">
            <w:pPr>
              <w:pStyle w:val="Normal"/>
              <w:spacing w:line="360" w:lineRule="auto"/>
              <w:jc w:val="both"/>
              <w:rPr>
                <w:sz w:val="22"/>
                <w:szCs w:val="22"/>
              </w:rPr>
            </w:pPr>
            <w:r w:rsidRPr="37E63DBD" w:rsidR="2D40DC67">
              <w:rPr>
                <w:sz w:val="22"/>
                <w:szCs w:val="22"/>
              </w:rPr>
              <w:t>244,890</w:t>
            </w:r>
          </w:p>
        </w:tc>
      </w:tr>
      <w:tr w:rsidR="37E63DBD" w:rsidTr="37E63DBD" w14:paraId="707EA955">
        <w:trPr>
          <w:trHeight w:val="300"/>
        </w:trPr>
        <w:tc>
          <w:tcPr>
            <w:tcW w:w="2254" w:type="dxa"/>
            <w:tcMar/>
          </w:tcPr>
          <w:p w:rsidR="2D40DC67" w:rsidP="37E63DBD" w:rsidRDefault="2D40DC67" w14:paraId="19490C58" w14:textId="4D822913">
            <w:pPr>
              <w:pStyle w:val="Normal"/>
              <w:spacing w:line="360" w:lineRule="auto"/>
              <w:jc w:val="both"/>
              <w:rPr>
                <w:sz w:val="22"/>
                <w:szCs w:val="22"/>
              </w:rPr>
            </w:pPr>
            <w:r w:rsidRPr="37E63DBD" w:rsidR="2D40DC67">
              <w:rPr>
                <w:sz w:val="22"/>
                <w:szCs w:val="22"/>
              </w:rPr>
              <w:t>3</w:t>
            </w:r>
          </w:p>
        </w:tc>
        <w:tc>
          <w:tcPr>
            <w:tcW w:w="2254" w:type="dxa"/>
            <w:tcMar/>
          </w:tcPr>
          <w:p w:rsidR="2D40DC67" w:rsidP="37E63DBD" w:rsidRDefault="2D40DC67" w14:paraId="4C8CA0F5" w14:textId="51532D72">
            <w:pPr>
              <w:pStyle w:val="Normal"/>
              <w:spacing w:line="360" w:lineRule="auto"/>
              <w:jc w:val="both"/>
              <w:rPr>
                <w:sz w:val="22"/>
                <w:szCs w:val="22"/>
              </w:rPr>
            </w:pPr>
            <w:r w:rsidRPr="37E63DBD" w:rsidR="2D40DC67">
              <w:rPr>
                <w:sz w:val="22"/>
                <w:szCs w:val="22"/>
              </w:rPr>
              <w:t>350,000</w:t>
            </w:r>
          </w:p>
        </w:tc>
        <w:tc>
          <w:tcPr>
            <w:tcW w:w="2254" w:type="dxa"/>
            <w:tcMar/>
          </w:tcPr>
          <w:p w:rsidR="2D40DC67" w:rsidP="37E63DBD" w:rsidRDefault="2D40DC67" w14:paraId="29B47921" w14:textId="2799D54F">
            <w:pPr>
              <w:pStyle w:val="Normal"/>
              <w:spacing w:line="360" w:lineRule="auto"/>
              <w:jc w:val="both"/>
              <w:rPr>
                <w:sz w:val="22"/>
                <w:szCs w:val="22"/>
              </w:rPr>
            </w:pPr>
            <w:r w:rsidRPr="37E63DBD" w:rsidR="2D40DC67">
              <w:rPr>
                <w:sz w:val="22"/>
                <w:szCs w:val="22"/>
              </w:rPr>
              <w:t>0.864</w:t>
            </w:r>
          </w:p>
        </w:tc>
        <w:tc>
          <w:tcPr>
            <w:tcW w:w="2254" w:type="dxa"/>
            <w:tcMar/>
          </w:tcPr>
          <w:p w:rsidR="2D40DC67" w:rsidP="37E63DBD" w:rsidRDefault="2D40DC67" w14:paraId="6684120E" w14:textId="60C67D67">
            <w:pPr>
              <w:pStyle w:val="Normal"/>
              <w:spacing w:line="360" w:lineRule="auto"/>
              <w:jc w:val="both"/>
              <w:rPr>
                <w:sz w:val="22"/>
                <w:szCs w:val="22"/>
              </w:rPr>
            </w:pPr>
            <w:r w:rsidRPr="37E63DBD" w:rsidR="2D40DC67">
              <w:rPr>
                <w:sz w:val="22"/>
                <w:szCs w:val="22"/>
              </w:rPr>
              <w:t>302,400</w:t>
            </w:r>
          </w:p>
        </w:tc>
      </w:tr>
      <w:tr w:rsidR="37E63DBD" w:rsidTr="37E63DBD" w14:paraId="21E36C52">
        <w:trPr>
          <w:trHeight w:val="300"/>
        </w:trPr>
        <w:tc>
          <w:tcPr>
            <w:tcW w:w="2254" w:type="dxa"/>
            <w:tcMar/>
          </w:tcPr>
          <w:p w:rsidR="2D40DC67" w:rsidP="37E63DBD" w:rsidRDefault="2D40DC67" w14:paraId="688D9F58" w14:textId="28A46DC3">
            <w:pPr>
              <w:pStyle w:val="Normal"/>
              <w:spacing w:line="360" w:lineRule="auto"/>
              <w:jc w:val="both"/>
              <w:rPr>
                <w:sz w:val="22"/>
                <w:szCs w:val="22"/>
              </w:rPr>
            </w:pPr>
            <w:r w:rsidRPr="37E63DBD" w:rsidR="2D40DC67">
              <w:rPr>
                <w:sz w:val="22"/>
                <w:szCs w:val="22"/>
              </w:rPr>
              <w:t>4</w:t>
            </w:r>
          </w:p>
        </w:tc>
        <w:tc>
          <w:tcPr>
            <w:tcW w:w="2254" w:type="dxa"/>
            <w:tcMar/>
          </w:tcPr>
          <w:p w:rsidR="2D40DC67" w:rsidP="37E63DBD" w:rsidRDefault="2D40DC67" w14:paraId="3C7C1FAD" w14:textId="3DF57285">
            <w:pPr>
              <w:pStyle w:val="Normal"/>
              <w:spacing w:line="360" w:lineRule="auto"/>
              <w:jc w:val="both"/>
              <w:rPr>
                <w:sz w:val="22"/>
                <w:szCs w:val="22"/>
              </w:rPr>
            </w:pPr>
            <w:r w:rsidRPr="37E63DBD" w:rsidR="2D40DC67">
              <w:rPr>
                <w:sz w:val="22"/>
                <w:szCs w:val="22"/>
              </w:rPr>
              <w:t>400,000</w:t>
            </w:r>
          </w:p>
        </w:tc>
        <w:tc>
          <w:tcPr>
            <w:tcW w:w="2254" w:type="dxa"/>
            <w:tcMar/>
          </w:tcPr>
          <w:p w:rsidR="2D40DC67" w:rsidP="37E63DBD" w:rsidRDefault="2D40DC67" w14:paraId="50466AF7" w14:textId="2E166C97">
            <w:pPr>
              <w:pStyle w:val="Normal"/>
              <w:spacing w:line="360" w:lineRule="auto"/>
              <w:jc w:val="both"/>
              <w:rPr>
                <w:sz w:val="22"/>
                <w:szCs w:val="22"/>
              </w:rPr>
            </w:pPr>
            <w:r w:rsidRPr="37E63DBD" w:rsidR="2D40DC67">
              <w:rPr>
                <w:sz w:val="22"/>
                <w:szCs w:val="22"/>
              </w:rPr>
              <w:t>0.823</w:t>
            </w:r>
          </w:p>
        </w:tc>
        <w:tc>
          <w:tcPr>
            <w:tcW w:w="2254" w:type="dxa"/>
            <w:tcMar/>
          </w:tcPr>
          <w:p w:rsidR="2D40DC67" w:rsidP="37E63DBD" w:rsidRDefault="2D40DC67" w14:paraId="364BE851" w14:textId="28DE0E0F">
            <w:pPr>
              <w:pStyle w:val="Normal"/>
              <w:spacing w:line="360" w:lineRule="auto"/>
              <w:jc w:val="both"/>
              <w:rPr>
                <w:sz w:val="22"/>
                <w:szCs w:val="22"/>
              </w:rPr>
            </w:pPr>
            <w:r w:rsidRPr="37E63DBD" w:rsidR="2D40DC67">
              <w:rPr>
                <w:sz w:val="22"/>
                <w:szCs w:val="22"/>
              </w:rPr>
              <w:t>329,000</w:t>
            </w:r>
          </w:p>
        </w:tc>
      </w:tr>
    </w:tbl>
    <w:p w:rsidR="034C011D" w:rsidP="37E63DBD" w:rsidRDefault="034C011D" w14:paraId="7365C9E7" w14:textId="004D6F45">
      <w:pPr>
        <w:pStyle w:val="Normal"/>
        <w:suppressLineNumbers w:val="0"/>
        <w:bidi w:val="0"/>
        <w:spacing w:before="0" w:beforeAutospacing="off" w:after="160" w:afterAutospacing="off" w:line="360" w:lineRule="auto"/>
        <w:ind w:left="0" w:right="0"/>
        <w:jc w:val="both"/>
        <w:rPr>
          <w:sz w:val="22"/>
          <w:szCs w:val="22"/>
        </w:rPr>
      </w:pPr>
      <w:r w:rsidRPr="37E63DBD" w:rsidR="034C011D">
        <w:rPr>
          <w:sz w:val="22"/>
          <w:szCs w:val="22"/>
        </w:rPr>
        <w:t>Total Present Value = £1,086,014</w:t>
      </w:r>
      <w:r>
        <w:br/>
      </w:r>
      <w:r w:rsidRPr="37E63DBD" w:rsidR="0094B3CB">
        <w:rPr>
          <w:sz w:val="22"/>
          <w:szCs w:val="22"/>
        </w:rPr>
        <w:t>1,086,014 – 900,000 = 186,014</w:t>
      </w:r>
    </w:p>
    <w:p w:rsidR="2D40DC67" w:rsidP="37E63DBD" w:rsidRDefault="2D40DC67" w14:paraId="2ABED635" w14:textId="671C440D">
      <w:pPr>
        <w:pStyle w:val="Normal"/>
        <w:suppressLineNumbers w:val="0"/>
        <w:bidi w:val="0"/>
        <w:spacing w:before="0" w:beforeAutospacing="off" w:after="160" w:afterAutospacing="off" w:line="360" w:lineRule="auto"/>
        <w:ind w:left="0" w:right="0"/>
        <w:jc w:val="both"/>
        <w:rPr>
          <w:sz w:val="22"/>
          <w:szCs w:val="22"/>
        </w:rPr>
      </w:pPr>
      <w:r w:rsidRPr="37E63DBD" w:rsidR="2D40DC67">
        <w:rPr>
          <w:sz w:val="22"/>
          <w:szCs w:val="22"/>
        </w:rPr>
        <w:t>Total NPV = £186,014</w:t>
      </w:r>
    </w:p>
    <w:p w:rsidR="2D40DC67" w:rsidP="37E63DBD" w:rsidRDefault="2D40DC67" w14:paraId="3A5295B2" w14:textId="1FD3E92B">
      <w:pPr>
        <w:spacing w:line="360" w:lineRule="auto"/>
        <w:ind w:left="0"/>
        <w:jc w:val="both"/>
        <w:rPr>
          <w:b w:val="1"/>
          <w:bCs w:val="1"/>
          <w:sz w:val="22"/>
          <w:szCs w:val="22"/>
        </w:rPr>
      </w:pPr>
      <w:r w:rsidRPr="37E63DBD" w:rsidR="2D40DC67">
        <w:rPr>
          <w:b w:val="1"/>
          <w:bCs w:val="1"/>
          <w:sz w:val="22"/>
          <w:szCs w:val="22"/>
        </w:rPr>
        <w:t>Appendix 29</w:t>
      </w:r>
    </w:p>
    <w:tbl>
      <w:tblPr>
        <w:tblStyle w:val="TableGrid"/>
        <w:tblW w:w="0" w:type="auto"/>
        <w:tblLook w:val="06A0" w:firstRow="1" w:lastRow="0" w:firstColumn="1" w:lastColumn="0" w:noHBand="1" w:noVBand="1"/>
      </w:tblPr>
      <w:tblGrid>
        <w:gridCol w:w="2254"/>
        <w:gridCol w:w="2254"/>
        <w:gridCol w:w="2254"/>
        <w:gridCol w:w="2254"/>
      </w:tblGrid>
      <w:tr w:rsidR="37E63DBD" w:rsidTr="37E63DBD" w14:paraId="7CEAF901">
        <w:trPr>
          <w:trHeight w:val="300"/>
        </w:trPr>
        <w:tc>
          <w:tcPr>
            <w:tcW w:w="2254" w:type="dxa"/>
            <w:tcMar/>
          </w:tcPr>
          <w:p w:rsidR="2D40DC67" w:rsidP="37E63DBD" w:rsidRDefault="2D40DC67" w14:paraId="794FA374" w14:textId="7BAE7008">
            <w:pPr>
              <w:pStyle w:val="Normal"/>
              <w:spacing w:line="360" w:lineRule="auto"/>
              <w:jc w:val="both"/>
              <w:rPr>
                <w:sz w:val="22"/>
                <w:szCs w:val="22"/>
              </w:rPr>
            </w:pPr>
            <w:r w:rsidRPr="37E63DBD" w:rsidR="2D40DC67">
              <w:rPr>
                <w:sz w:val="22"/>
                <w:szCs w:val="22"/>
              </w:rPr>
              <w:t>Year</w:t>
            </w:r>
          </w:p>
        </w:tc>
        <w:tc>
          <w:tcPr>
            <w:tcW w:w="2254" w:type="dxa"/>
            <w:tcMar/>
          </w:tcPr>
          <w:p w:rsidR="2D40DC67" w:rsidP="37E63DBD" w:rsidRDefault="2D40DC67" w14:paraId="331692BA" w14:textId="012C45A6">
            <w:pPr>
              <w:pStyle w:val="Normal"/>
              <w:spacing w:line="360" w:lineRule="auto"/>
              <w:jc w:val="both"/>
              <w:rPr>
                <w:sz w:val="22"/>
                <w:szCs w:val="22"/>
              </w:rPr>
            </w:pPr>
            <w:r w:rsidRPr="37E63DBD" w:rsidR="2D40DC67">
              <w:rPr>
                <w:sz w:val="22"/>
                <w:szCs w:val="22"/>
              </w:rPr>
              <w:t>Cash Flow</w:t>
            </w:r>
            <w:r w:rsidRPr="37E63DBD" w:rsidR="505BD87A">
              <w:rPr>
                <w:sz w:val="22"/>
                <w:szCs w:val="22"/>
              </w:rPr>
              <w:t xml:space="preserve"> (Adjusted for 25% tax)</w:t>
            </w:r>
          </w:p>
        </w:tc>
        <w:tc>
          <w:tcPr>
            <w:tcW w:w="2254" w:type="dxa"/>
            <w:tcMar/>
          </w:tcPr>
          <w:p w:rsidR="2D40DC67" w:rsidP="37E63DBD" w:rsidRDefault="2D40DC67" w14:paraId="6635E572" w14:textId="1BC8768B">
            <w:pPr>
              <w:pStyle w:val="Normal"/>
              <w:spacing w:line="360" w:lineRule="auto"/>
              <w:jc w:val="both"/>
              <w:rPr>
                <w:sz w:val="22"/>
                <w:szCs w:val="22"/>
              </w:rPr>
            </w:pPr>
            <w:r w:rsidRPr="37E63DBD" w:rsidR="2D40DC67">
              <w:rPr>
                <w:sz w:val="22"/>
                <w:szCs w:val="22"/>
              </w:rPr>
              <w:t>Discount Factor (5%)</w:t>
            </w:r>
          </w:p>
        </w:tc>
        <w:tc>
          <w:tcPr>
            <w:tcW w:w="2254" w:type="dxa"/>
            <w:tcMar/>
          </w:tcPr>
          <w:p w:rsidR="2D40DC67" w:rsidP="37E63DBD" w:rsidRDefault="2D40DC67" w14:paraId="39EB35BD" w14:textId="5FDEE579">
            <w:pPr>
              <w:pStyle w:val="Normal"/>
              <w:spacing w:line="360" w:lineRule="auto"/>
              <w:jc w:val="both"/>
              <w:rPr>
                <w:sz w:val="22"/>
                <w:szCs w:val="22"/>
              </w:rPr>
            </w:pPr>
            <w:r w:rsidRPr="37E63DBD" w:rsidR="2D40DC67">
              <w:rPr>
                <w:sz w:val="22"/>
                <w:szCs w:val="22"/>
              </w:rPr>
              <w:t>Present Value</w:t>
            </w:r>
          </w:p>
        </w:tc>
      </w:tr>
      <w:tr w:rsidR="37E63DBD" w:rsidTr="37E63DBD" w14:paraId="49747A35">
        <w:trPr>
          <w:trHeight w:val="300"/>
        </w:trPr>
        <w:tc>
          <w:tcPr>
            <w:tcW w:w="2254" w:type="dxa"/>
            <w:tcMar/>
          </w:tcPr>
          <w:p w:rsidR="2D40DC67" w:rsidP="37E63DBD" w:rsidRDefault="2D40DC67" w14:paraId="63DE89E0" w14:textId="1889778A">
            <w:pPr>
              <w:pStyle w:val="Normal"/>
              <w:spacing w:line="360" w:lineRule="auto"/>
              <w:jc w:val="both"/>
              <w:rPr>
                <w:sz w:val="22"/>
                <w:szCs w:val="22"/>
              </w:rPr>
            </w:pPr>
            <w:r w:rsidRPr="37E63DBD" w:rsidR="2D40DC67">
              <w:rPr>
                <w:sz w:val="22"/>
                <w:szCs w:val="22"/>
              </w:rPr>
              <w:t>0</w:t>
            </w:r>
          </w:p>
        </w:tc>
        <w:tc>
          <w:tcPr>
            <w:tcW w:w="2254" w:type="dxa"/>
            <w:tcMar/>
          </w:tcPr>
          <w:p w:rsidR="2D40DC67" w:rsidP="37E63DBD" w:rsidRDefault="2D40DC67" w14:paraId="7BA1BD9B" w14:textId="62814A71">
            <w:pPr>
              <w:pStyle w:val="Normal"/>
              <w:spacing w:line="360" w:lineRule="auto"/>
              <w:jc w:val="both"/>
              <w:rPr>
                <w:sz w:val="22"/>
                <w:szCs w:val="22"/>
              </w:rPr>
            </w:pPr>
            <w:r w:rsidRPr="37E63DBD" w:rsidR="2D40DC67">
              <w:rPr>
                <w:sz w:val="22"/>
                <w:szCs w:val="22"/>
              </w:rPr>
              <w:t>-1,000,000</w:t>
            </w:r>
          </w:p>
        </w:tc>
        <w:tc>
          <w:tcPr>
            <w:tcW w:w="2254" w:type="dxa"/>
            <w:tcMar/>
          </w:tcPr>
          <w:p w:rsidR="2D40DC67" w:rsidP="37E63DBD" w:rsidRDefault="2D40DC67" w14:paraId="43E6E397" w14:textId="25720709">
            <w:pPr>
              <w:pStyle w:val="Normal"/>
              <w:spacing w:line="360" w:lineRule="auto"/>
              <w:jc w:val="both"/>
              <w:rPr>
                <w:sz w:val="22"/>
                <w:szCs w:val="22"/>
              </w:rPr>
            </w:pPr>
            <w:r w:rsidRPr="37E63DBD" w:rsidR="2D40DC67">
              <w:rPr>
                <w:sz w:val="22"/>
                <w:szCs w:val="22"/>
              </w:rPr>
              <w:t>1.000</w:t>
            </w:r>
          </w:p>
        </w:tc>
        <w:tc>
          <w:tcPr>
            <w:tcW w:w="2254" w:type="dxa"/>
            <w:tcMar/>
          </w:tcPr>
          <w:p w:rsidR="2D40DC67" w:rsidP="37E63DBD" w:rsidRDefault="2D40DC67" w14:paraId="745EF698" w14:textId="637D41D2">
            <w:pPr>
              <w:pStyle w:val="Normal"/>
              <w:spacing w:line="360" w:lineRule="auto"/>
              <w:jc w:val="both"/>
              <w:rPr>
                <w:sz w:val="22"/>
                <w:szCs w:val="22"/>
              </w:rPr>
            </w:pPr>
            <w:r w:rsidRPr="37E63DBD" w:rsidR="2D40DC67">
              <w:rPr>
                <w:sz w:val="22"/>
                <w:szCs w:val="22"/>
              </w:rPr>
              <w:t>-1,000,000</w:t>
            </w:r>
          </w:p>
        </w:tc>
      </w:tr>
      <w:tr w:rsidR="37E63DBD" w:rsidTr="37E63DBD" w14:paraId="11F8AD13">
        <w:trPr>
          <w:trHeight w:val="300"/>
        </w:trPr>
        <w:tc>
          <w:tcPr>
            <w:tcW w:w="2254" w:type="dxa"/>
            <w:tcMar/>
          </w:tcPr>
          <w:p w:rsidR="2D40DC67" w:rsidP="37E63DBD" w:rsidRDefault="2D40DC67" w14:paraId="0DDDC1B4" w14:textId="71E83516">
            <w:pPr>
              <w:pStyle w:val="Normal"/>
              <w:spacing w:line="360" w:lineRule="auto"/>
              <w:jc w:val="both"/>
              <w:rPr>
                <w:sz w:val="22"/>
                <w:szCs w:val="22"/>
              </w:rPr>
            </w:pPr>
            <w:r w:rsidRPr="37E63DBD" w:rsidR="2D40DC67">
              <w:rPr>
                <w:sz w:val="22"/>
                <w:szCs w:val="22"/>
              </w:rPr>
              <w:t>1</w:t>
            </w:r>
          </w:p>
        </w:tc>
        <w:tc>
          <w:tcPr>
            <w:tcW w:w="2254" w:type="dxa"/>
            <w:tcMar/>
          </w:tcPr>
          <w:p w:rsidR="2D40DC67" w:rsidP="37E63DBD" w:rsidRDefault="2D40DC67" w14:paraId="29EA811F" w14:textId="04433FC7">
            <w:pPr>
              <w:pStyle w:val="Normal"/>
              <w:spacing w:line="360" w:lineRule="auto"/>
              <w:jc w:val="both"/>
              <w:rPr>
                <w:sz w:val="22"/>
                <w:szCs w:val="22"/>
              </w:rPr>
            </w:pPr>
            <w:r w:rsidRPr="37E63DBD" w:rsidR="2D40DC67">
              <w:rPr>
                <w:sz w:val="22"/>
                <w:szCs w:val="22"/>
              </w:rPr>
              <w:t>250,000</w:t>
            </w:r>
          </w:p>
        </w:tc>
        <w:tc>
          <w:tcPr>
            <w:tcW w:w="2254" w:type="dxa"/>
            <w:tcMar/>
          </w:tcPr>
          <w:p w:rsidR="2D40DC67" w:rsidP="37E63DBD" w:rsidRDefault="2D40DC67" w14:paraId="0FC0F8F9" w14:textId="743172AD">
            <w:pPr>
              <w:pStyle w:val="Normal"/>
              <w:spacing w:line="360" w:lineRule="auto"/>
              <w:jc w:val="both"/>
              <w:rPr>
                <w:sz w:val="22"/>
                <w:szCs w:val="22"/>
              </w:rPr>
            </w:pPr>
            <w:r w:rsidRPr="37E63DBD" w:rsidR="2D40DC67">
              <w:rPr>
                <w:sz w:val="22"/>
                <w:szCs w:val="22"/>
              </w:rPr>
              <w:t>0.952</w:t>
            </w:r>
          </w:p>
        </w:tc>
        <w:tc>
          <w:tcPr>
            <w:tcW w:w="2254" w:type="dxa"/>
            <w:tcMar/>
          </w:tcPr>
          <w:p w:rsidR="2D40DC67" w:rsidP="37E63DBD" w:rsidRDefault="2D40DC67" w14:paraId="78FAEDDA" w14:textId="00A37AE5">
            <w:pPr>
              <w:pStyle w:val="Normal"/>
              <w:spacing w:line="360" w:lineRule="auto"/>
              <w:jc w:val="both"/>
              <w:rPr>
                <w:sz w:val="22"/>
                <w:szCs w:val="22"/>
              </w:rPr>
            </w:pPr>
            <w:r w:rsidRPr="37E63DBD" w:rsidR="2D40DC67">
              <w:rPr>
                <w:sz w:val="22"/>
                <w:szCs w:val="22"/>
              </w:rPr>
              <w:t>238,095</w:t>
            </w:r>
          </w:p>
        </w:tc>
      </w:tr>
      <w:tr w:rsidR="37E63DBD" w:rsidTr="37E63DBD" w14:paraId="29006DBF">
        <w:trPr>
          <w:trHeight w:val="300"/>
        </w:trPr>
        <w:tc>
          <w:tcPr>
            <w:tcW w:w="2254" w:type="dxa"/>
            <w:tcMar/>
          </w:tcPr>
          <w:p w:rsidR="2D40DC67" w:rsidP="37E63DBD" w:rsidRDefault="2D40DC67" w14:paraId="7BAA8DE7" w14:textId="7B4E2141">
            <w:pPr>
              <w:pStyle w:val="Normal"/>
              <w:spacing w:line="360" w:lineRule="auto"/>
              <w:jc w:val="both"/>
              <w:rPr>
                <w:sz w:val="22"/>
                <w:szCs w:val="22"/>
              </w:rPr>
            </w:pPr>
            <w:r w:rsidRPr="37E63DBD" w:rsidR="2D40DC67">
              <w:rPr>
                <w:sz w:val="22"/>
                <w:szCs w:val="22"/>
              </w:rPr>
              <w:t>2</w:t>
            </w:r>
          </w:p>
        </w:tc>
        <w:tc>
          <w:tcPr>
            <w:tcW w:w="2254" w:type="dxa"/>
            <w:tcMar/>
          </w:tcPr>
          <w:p w:rsidR="2D40DC67" w:rsidP="37E63DBD" w:rsidRDefault="2D40DC67" w14:paraId="3E51AC78" w14:textId="5B642F0C">
            <w:pPr>
              <w:pStyle w:val="Normal"/>
              <w:spacing w:line="360" w:lineRule="auto"/>
              <w:jc w:val="both"/>
              <w:rPr>
                <w:sz w:val="22"/>
                <w:szCs w:val="22"/>
              </w:rPr>
            </w:pPr>
            <w:r w:rsidRPr="37E63DBD" w:rsidR="2D40DC67">
              <w:rPr>
                <w:sz w:val="22"/>
                <w:szCs w:val="22"/>
              </w:rPr>
              <w:t>310,000</w:t>
            </w:r>
          </w:p>
        </w:tc>
        <w:tc>
          <w:tcPr>
            <w:tcW w:w="2254" w:type="dxa"/>
            <w:tcMar/>
          </w:tcPr>
          <w:p w:rsidR="2D40DC67" w:rsidP="37E63DBD" w:rsidRDefault="2D40DC67" w14:paraId="50C465DC" w14:textId="2669E871">
            <w:pPr>
              <w:pStyle w:val="Normal"/>
              <w:spacing w:line="360" w:lineRule="auto"/>
              <w:jc w:val="both"/>
              <w:rPr>
                <w:sz w:val="22"/>
                <w:szCs w:val="22"/>
              </w:rPr>
            </w:pPr>
            <w:r w:rsidRPr="37E63DBD" w:rsidR="2D40DC67">
              <w:rPr>
                <w:sz w:val="22"/>
                <w:szCs w:val="22"/>
              </w:rPr>
              <w:t>0.907</w:t>
            </w:r>
          </w:p>
        </w:tc>
        <w:tc>
          <w:tcPr>
            <w:tcW w:w="2254" w:type="dxa"/>
            <w:tcMar/>
          </w:tcPr>
          <w:p w:rsidR="2D40DC67" w:rsidP="37E63DBD" w:rsidRDefault="2D40DC67" w14:paraId="3E535568" w14:textId="74F8B65F">
            <w:pPr>
              <w:pStyle w:val="Normal"/>
              <w:spacing w:line="360" w:lineRule="auto"/>
              <w:jc w:val="both"/>
              <w:rPr>
                <w:sz w:val="22"/>
                <w:szCs w:val="22"/>
              </w:rPr>
            </w:pPr>
            <w:r w:rsidRPr="37E63DBD" w:rsidR="2D40DC67">
              <w:rPr>
                <w:sz w:val="22"/>
                <w:szCs w:val="22"/>
              </w:rPr>
              <w:t>281,170</w:t>
            </w:r>
          </w:p>
        </w:tc>
      </w:tr>
      <w:tr w:rsidR="37E63DBD" w:rsidTr="37E63DBD" w14:paraId="22F32414">
        <w:trPr>
          <w:trHeight w:val="300"/>
        </w:trPr>
        <w:tc>
          <w:tcPr>
            <w:tcW w:w="2254" w:type="dxa"/>
            <w:tcMar/>
          </w:tcPr>
          <w:p w:rsidR="2D40DC67" w:rsidP="37E63DBD" w:rsidRDefault="2D40DC67" w14:paraId="61342EF6" w14:textId="3407934A">
            <w:pPr>
              <w:pStyle w:val="Normal"/>
              <w:spacing w:line="360" w:lineRule="auto"/>
              <w:jc w:val="both"/>
              <w:rPr>
                <w:sz w:val="22"/>
                <w:szCs w:val="22"/>
              </w:rPr>
            </w:pPr>
            <w:r w:rsidRPr="37E63DBD" w:rsidR="2D40DC67">
              <w:rPr>
                <w:sz w:val="22"/>
                <w:szCs w:val="22"/>
              </w:rPr>
              <w:t>3</w:t>
            </w:r>
          </w:p>
        </w:tc>
        <w:tc>
          <w:tcPr>
            <w:tcW w:w="2254" w:type="dxa"/>
            <w:tcMar/>
          </w:tcPr>
          <w:p w:rsidR="2D40DC67" w:rsidP="37E63DBD" w:rsidRDefault="2D40DC67" w14:paraId="517747AA" w14:textId="44BB6801">
            <w:pPr>
              <w:pStyle w:val="Normal"/>
              <w:spacing w:line="360" w:lineRule="auto"/>
              <w:jc w:val="both"/>
              <w:rPr>
                <w:sz w:val="22"/>
                <w:szCs w:val="22"/>
              </w:rPr>
            </w:pPr>
            <w:r w:rsidRPr="37E63DBD" w:rsidR="2D40DC67">
              <w:rPr>
                <w:sz w:val="22"/>
                <w:szCs w:val="22"/>
              </w:rPr>
              <w:t>400,000</w:t>
            </w:r>
          </w:p>
        </w:tc>
        <w:tc>
          <w:tcPr>
            <w:tcW w:w="2254" w:type="dxa"/>
            <w:tcMar/>
          </w:tcPr>
          <w:p w:rsidR="2D40DC67" w:rsidP="37E63DBD" w:rsidRDefault="2D40DC67" w14:paraId="4025C9A0" w14:textId="158E5A61">
            <w:pPr>
              <w:pStyle w:val="Normal"/>
              <w:spacing w:line="360" w:lineRule="auto"/>
              <w:jc w:val="both"/>
              <w:rPr>
                <w:sz w:val="22"/>
                <w:szCs w:val="22"/>
              </w:rPr>
            </w:pPr>
            <w:r w:rsidRPr="37E63DBD" w:rsidR="2D40DC67">
              <w:rPr>
                <w:sz w:val="22"/>
                <w:szCs w:val="22"/>
              </w:rPr>
              <w:t>0.864</w:t>
            </w:r>
          </w:p>
        </w:tc>
        <w:tc>
          <w:tcPr>
            <w:tcW w:w="2254" w:type="dxa"/>
            <w:tcMar/>
          </w:tcPr>
          <w:p w:rsidR="2D40DC67" w:rsidP="37E63DBD" w:rsidRDefault="2D40DC67" w14:paraId="11032EBB" w14:textId="5C0AA05D">
            <w:pPr>
              <w:pStyle w:val="Normal"/>
              <w:spacing w:line="360" w:lineRule="auto"/>
              <w:jc w:val="both"/>
              <w:rPr>
                <w:sz w:val="22"/>
                <w:szCs w:val="22"/>
              </w:rPr>
            </w:pPr>
            <w:r w:rsidRPr="37E63DBD" w:rsidR="2D40DC67">
              <w:rPr>
                <w:sz w:val="22"/>
                <w:szCs w:val="22"/>
              </w:rPr>
              <w:t>345,600</w:t>
            </w:r>
          </w:p>
        </w:tc>
      </w:tr>
      <w:tr w:rsidR="37E63DBD" w:rsidTr="37E63DBD" w14:paraId="45DB84D8">
        <w:trPr>
          <w:trHeight w:val="300"/>
        </w:trPr>
        <w:tc>
          <w:tcPr>
            <w:tcW w:w="2254" w:type="dxa"/>
            <w:tcMar/>
          </w:tcPr>
          <w:p w:rsidR="2D40DC67" w:rsidP="37E63DBD" w:rsidRDefault="2D40DC67" w14:paraId="0608F35A" w14:textId="24075E5B">
            <w:pPr>
              <w:pStyle w:val="Normal"/>
              <w:spacing w:line="360" w:lineRule="auto"/>
              <w:jc w:val="both"/>
              <w:rPr>
                <w:sz w:val="22"/>
                <w:szCs w:val="22"/>
              </w:rPr>
            </w:pPr>
            <w:r w:rsidRPr="37E63DBD" w:rsidR="2D40DC67">
              <w:rPr>
                <w:sz w:val="22"/>
                <w:szCs w:val="22"/>
              </w:rPr>
              <w:t>4</w:t>
            </w:r>
          </w:p>
        </w:tc>
        <w:tc>
          <w:tcPr>
            <w:tcW w:w="2254" w:type="dxa"/>
            <w:tcMar/>
          </w:tcPr>
          <w:p w:rsidR="2D40DC67" w:rsidP="37E63DBD" w:rsidRDefault="2D40DC67" w14:paraId="16DC63C4" w14:textId="2D8944AE">
            <w:pPr>
              <w:pStyle w:val="Normal"/>
              <w:spacing w:line="360" w:lineRule="auto"/>
              <w:jc w:val="both"/>
              <w:rPr>
                <w:sz w:val="22"/>
                <w:szCs w:val="22"/>
              </w:rPr>
            </w:pPr>
            <w:r w:rsidRPr="37E63DBD" w:rsidR="2D40DC67">
              <w:rPr>
                <w:sz w:val="22"/>
                <w:szCs w:val="22"/>
              </w:rPr>
              <w:t>430,000</w:t>
            </w:r>
          </w:p>
        </w:tc>
        <w:tc>
          <w:tcPr>
            <w:tcW w:w="2254" w:type="dxa"/>
            <w:tcMar/>
          </w:tcPr>
          <w:p w:rsidR="2D40DC67" w:rsidP="37E63DBD" w:rsidRDefault="2D40DC67" w14:paraId="4A254656" w14:textId="6BC99D67">
            <w:pPr>
              <w:pStyle w:val="Normal"/>
              <w:spacing w:line="360" w:lineRule="auto"/>
              <w:jc w:val="both"/>
              <w:rPr>
                <w:sz w:val="22"/>
                <w:szCs w:val="22"/>
              </w:rPr>
            </w:pPr>
            <w:r w:rsidRPr="37E63DBD" w:rsidR="2D40DC67">
              <w:rPr>
                <w:sz w:val="22"/>
                <w:szCs w:val="22"/>
              </w:rPr>
              <w:t>0.823</w:t>
            </w:r>
          </w:p>
        </w:tc>
        <w:tc>
          <w:tcPr>
            <w:tcW w:w="2254" w:type="dxa"/>
            <w:tcMar/>
          </w:tcPr>
          <w:p w:rsidR="2D40DC67" w:rsidP="37E63DBD" w:rsidRDefault="2D40DC67" w14:paraId="1BF4E812" w14:textId="5E7F40CC">
            <w:pPr>
              <w:pStyle w:val="Normal"/>
              <w:spacing w:line="360" w:lineRule="auto"/>
              <w:jc w:val="both"/>
              <w:rPr>
                <w:sz w:val="22"/>
                <w:szCs w:val="22"/>
              </w:rPr>
            </w:pPr>
            <w:r w:rsidRPr="37E63DBD" w:rsidR="2D40DC67">
              <w:rPr>
                <w:sz w:val="22"/>
                <w:szCs w:val="22"/>
              </w:rPr>
              <w:t>354,890</w:t>
            </w:r>
          </w:p>
        </w:tc>
      </w:tr>
    </w:tbl>
    <w:p w:rsidR="46092BCF" w:rsidP="37E63DBD" w:rsidRDefault="46092BCF" w14:paraId="073420F7" w14:textId="5B8ECF40">
      <w:pPr>
        <w:spacing w:line="360" w:lineRule="auto"/>
        <w:jc w:val="both"/>
        <w:rPr>
          <w:sz w:val="22"/>
          <w:szCs w:val="22"/>
        </w:rPr>
      </w:pPr>
      <w:r w:rsidRPr="37E63DBD" w:rsidR="46092BCF">
        <w:rPr>
          <w:sz w:val="22"/>
          <w:szCs w:val="22"/>
        </w:rPr>
        <w:t>Total Present Value = £1,219,755</w:t>
      </w:r>
      <w:r>
        <w:br/>
      </w:r>
      <w:r w:rsidRPr="37E63DBD" w:rsidR="2E8491FC">
        <w:rPr>
          <w:sz w:val="22"/>
          <w:szCs w:val="22"/>
        </w:rPr>
        <w:t>1,219,755 – 1,000,000 = 219,755</w:t>
      </w:r>
    </w:p>
    <w:p w:rsidR="2D40DC67" w:rsidP="37E63DBD" w:rsidRDefault="2D40DC67" w14:paraId="0E2753A9" w14:textId="72EFB51A">
      <w:pPr>
        <w:spacing w:line="360" w:lineRule="auto"/>
        <w:jc w:val="both"/>
        <w:rPr>
          <w:sz w:val="22"/>
          <w:szCs w:val="22"/>
        </w:rPr>
      </w:pPr>
      <w:r w:rsidRPr="37E63DBD" w:rsidR="2D40DC67">
        <w:rPr>
          <w:sz w:val="22"/>
          <w:szCs w:val="22"/>
        </w:rPr>
        <w:t>Total NPV = £219,755</w:t>
      </w:r>
    </w:p>
    <w:p w:rsidR="37E63DBD" w:rsidP="37E63DBD" w:rsidRDefault="37E63DBD" w14:paraId="0CBE9E2C" w14:textId="41787090">
      <w:pPr>
        <w:pStyle w:val="Normal"/>
        <w:spacing w:line="360" w:lineRule="auto"/>
        <w:jc w:val="both"/>
        <w:rPr>
          <w:sz w:val="22"/>
          <w:szCs w:val="22"/>
        </w:rPr>
      </w:pPr>
    </w:p>
    <w:p w:rsidR="37E63DBD" w:rsidP="37E63DBD" w:rsidRDefault="37E63DBD" w14:paraId="5DFBB98F" w14:textId="3910EA12">
      <w:pPr>
        <w:pStyle w:val="Normal"/>
        <w:spacing w:line="360" w:lineRule="auto"/>
        <w:jc w:val="both"/>
        <w:rPr>
          <w:sz w:val="22"/>
          <w:szCs w:val="22"/>
        </w:rPr>
      </w:pPr>
    </w:p>
    <w:p w:rsidR="37E63DBD" w:rsidP="37E63DBD" w:rsidRDefault="37E63DBD" w14:paraId="18237A51" w14:textId="25AEB58F">
      <w:pPr>
        <w:pStyle w:val="Normal"/>
        <w:spacing w:line="360" w:lineRule="auto"/>
        <w:jc w:val="both"/>
        <w:rPr>
          <w:sz w:val="22"/>
          <w:szCs w:val="22"/>
        </w:rPr>
      </w:pPr>
    </w:p>
    <w:p w:rsidR="37E63DBD" w:rsidP="37E63DBD" w:rsidRDefault="37E63DBD" w14:paraId="49A45C08" w14:textId="415BA959">
      <w:pPr>
        <w:pStyle w:val="Normal"/>
        <w:spacing w:line="360" w:lineRule="auto"/>
        <w:jc w:val="both"/>
        <w:rPr>
          <w:sz w:val="22"/>
          <w:szCs w:val="22"/>
        </w:rPr>
      </w:pPr>
    </w:p>
    <w:p w:rsidR="37E63DBD" w:rsidP="37E63DBD" w:rsidRDefault="37E63DBD" w14:paraId="42B21A37" w14:textId="3644907F">
      <w:pPr>
        <w:pStyle w:val="Normal"/>
        <w:spacing w:line="360" w:lineRule="auto"/>
        <w:jc w:val="both"/>
        <w:rPr>
          <w:sz w:val="22"/>
          <w:szCs w:val="22"/>
        </w:rPr>
      </w:pPr>
    </w:p>
    <w:p w:rsidR="37E63DBD" w:rsidP="37E63DBD" w:rsidRDefault="37E63DBD" w14:paraId="3B2FAAC5" w14:textId="4869F9AB">
      <w:pPr>
        <w:pStyle w:val="Normal"/>
        <w:spacing w:line="360" w:lineRule="auto"/>
        <w:jc w:val="both"/>
        <w:rPr>
          <w:sz w:val="22"/>
          <w:szCs w:val="22"/>
        </w:rPr>
      </w:pPr>
    </w:p>
    <w:p w:rsidR="03F7C422" w:rsidP="37E63DBD" w:rsidRDefault="03F7C422" w14:paraId="442A25CE" w14:textId="3D896884">
      <w:pPr>
        <w:pStyle w:val="Normal"/>
        <w:spacing w:line="360" w:lineRule="auto"/>
        <w:jc w:val="both"/>
        <w:rPr>
          <w:b w:val="1"/>
          <w:bCs w:val="1"/>
          <w:sz w:val="22"/>
          <w:szCs w:val="22"/>
        </w:rPr>
      </w:pPr>
      <w:r w:rsidRPr="37E63DBD" w:rsidR="03F7C422">
        <w:rPr>
          <w:b w:val="1"/>
          <w:bCs w:val="1"/>
          <w:sz w:val="22"/>
          <w:szCs w:val="22"/>
        </w:rPr>
        <w:t>Appendix 30</w:t>
      </w:r>
    </w:p>
    <w:p w:rsidR="03F7C422" w:rsidP="37E63DBD" w:rsidRDefault="03F7C422" w14:paraId="5DA14A2D" w14:textId="1C6CC6A6">
      <w:pPr>
        <w:pStyle w:val="Normal"/>
        <w:spacing w:line="360" w:lineRule="auto"/>
        <w:jc w:val="both"/>
        <w:rPr>
          <w:sz w:val="22"/>
          <w:szCs w:val="22"/>
        </w:rPr>
      </w:pPr>
      <w:r w:rsidR="03F7C422">
        <w:drawing>
          <wp:inline wp14:editId="597E7065" wp14:anchorId="4C3D0D2A">
            <wp:extent cx="4410075" cy="4343400"/>
            <wp:effectExtent l="0" t="0" r="0" b="0"/>
            <wp:docPr id="2118587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587503" name="Picture 2118587503"/>
                    <pic:cNvPicPr/>
                  </pic:nvPicPr>
                  <pic:blipFill>
                    <a:blip xmlns:r="http://schemas.openxmlformats.org/officeDocument/2006/relationships" r:embed="rId1080813636">
                      <a:extLst>
                        <a:ext uri="{28A0092B-C50C-407E-A947-70E740481C1C}">
                          <a14:useLocalDpi xmlns:a14="http://schemas.microsoft.com/office/drawing/2010/main"/>
                        </a:ext>
                      </a:extLst>
                    </a:blip>
                    <a:stretch>
                      <a:fillRect/>
                    </a:stretch>
                  </pic:blipFill>
                  <pic:spPr>
                    <a:xfrm>
                      <a:off x="0" y="0"/>
                      <a:ext cx="4410075" cy="4343400"/>
                    </a:xfrm>
                    <a:prstGeom prst="rect">
                      <a:avLst/>
                    </a:prstGeom>
                  </pic:spPr>
                </pic:pic>
              </a:graphicData>
            </a:graphic>
          </wp:inline>
        </w:drawing>
      </w:r>
    </w:p>
    <w:p w:rsidR="6AF06C2A" w:rsidP="37E63DBD" w:rsidRDefault="6AF06C2A" w14:paraId="7850CE60" w14:textId="0106BCC2">
      <w:pPr>
        <w:pStyle w:val="Normal"/>
        <w:spacing w:line="360" w:lineRule="auto"/>
        <w:jc w:val="both"/>
        <w:rPr>
          <w:b w:val="1"/>
          <w:bCs w:val="1"/>
          <w:sz w:val="22"/>
          <w:szCs w:val="22"/>
        </w:rPr>
      </w:pPr>
      <w:r w:rsidRPr="37E63DBD" w:rsidR="6AF06C2A">
        <w:rPr>
          <w:b w:val="1"/>
          <w:bCs w:val="1"/>
          <w:sz w:val="22"/>
          <w:szCs w:val="22"/>
        </w:rPr>
        <w:t>Appendix 31</w:t>
      </w:r>
    </w:p>
    <w:p w:rsidR="6AF06C2A" w:rsidP="37E63DBD" w:rsidRDefault="6AF06C2A" w14:paraId="27DEBD39" w14:textId="1B84120A">
      <w:pPr>
        <w:pStyle w:val="Normal"/>
        <w:spacing w:line="360" w:lineRule="auto"/>
        <w:jc w:val="both"/>
        <w:rPr>
          <w:sz w:val="22"/>
          <w:szCs w:val="22"/>
        </w:rPr>
      </w:pPr>
      <w:r w:rsidRPr="37E63DBD" w:rsidR="6AF06C2A">
        <w:rPr>
          <w:sz w:val="22"/>
          <w:szCs w:val="22"/>
        </w:rPr>
        <w:t>The Payback Period was calculated using the cumulative cash flow method, as the project generates uneven annual cash inflows. The traditional payback formula (</w:t>
      </w:r>
      <w:r w:rsidRPr="37E63DBD" w:rsidR="6AF06C2A">
        <w:rPr>
          <w:sz w:val="22"/>
          <w:szCs w:val="22"/>
        </w:rPr>
        <w:t>initial</w:t>
      </w:r>
      <w:r w:rsidRPr="37E63DBD" w:rsidR="6AF06C2A">
        <w:rPr>
          <w:sz w:val="22"/>
          <w:szCs w:val="22"/>
        </w:rPr>
        <w:t xml:space="preserve"> investment / estimated annual net cash inflow) is not </w:t>
      </w:r>
      <w:r w:rsidRPr="37E63DBD" w:rsidR="605D1BA4">
        <w:rPr>
          <w:sz w:val="22"/>
          <w:szCs w:val="22"/>
        </w:rPr>
        <w:t>appropriate in</w:t>
      </w:r>
      <w:r w:rsidRPr="37E63DBD" w:rsidR="605D1BA4">
        <w:rPr>
          <w:sz w:val="22"/>
          <w:szCs w:val="22"/>
        </w:rPr>
        <w:t xml:space="preserve"> this case, as it assumes uniform cash flows. </w:t>
      </w:r>
    </w:p>
    <w:tbl>
      <w:tblPr>
        <w:tblStyle w:val="TableGrid"/>
        <w:tblW w:w="0" w:type="auto"/>
        <w:tblLook w:val="06A0" w:firstRow="1" w:lastRow="0" w:firstColumn="1" w:lastColumn="0" w:noHBand="1" w:noVBand="1"/>
      </w:tblPr>
      <w:tblGrid>
        <w:gridCol w:w="3005"/>
        <w:gridCol w:w="3005"/>
        <w:gridCol w:w="3005"/>
      </w:tblGrid>
      <w:tr w:rsidR="37E63DBD" w:rsidTr="37E63DBD" w14:paraId="0A3BEDF8">
        <w:trPr>
          <w:trHeight w:val="300"/>
        </w:trPr>
        <w:tc>
          <w:tcPr>
            <w:tcW w:w="3005" w:type="dxa"/>
            <w:tcMar/>
          </w:tcPr>
          <w:p w:rsidR="605D1BA4" w:rsidP="37E63DBD" w:rsidRDefault="605D1BA4" w14:paraId="12763D96" w14:textId="4F222515">
            <w:pPr>
              <w:pStyle w:val="Normal"/>
              <w:spacing w:line="360" w:lineRule="auto"/>
              <w:jc w:val="both"/>
              <w:rPr>
                <w:sz w:val="22"/>
                <w:szCs w:val="22"/>
              </w:rPr>
            </w:pPr>
            <w:r w:rsidRPr="37E63DBD" w:rsidR="605D1BA4">
              <w:rPr>
                <w:sz w:val="22"/>
                <w:szCs w:val="22"/>
              </w:rPr>
              <w:t>Year</w:t>
            </w:r>
          </w:p>
        </w:tc>
        <w:tc>
          <w:tcPr>
            <w:tcW w:w="3005" w:type="dxa"/>
            <w:tcMar/>
          </w:tcPr>
          <w:p w:rsidR="605D1BA4" w:rsidP="37E63DBD" w:rsidRDefault="605D1BA4" w14:paraId="30A94621" w14:textId="54B365F5">
            <w:pPr>
              <w:pStyle w:val="Normal"/>
              <w:spacing w:line="360" w:lineRule="auto"/>
              <w:jc w:val="both"/>
              <w:rPr>
                <w:sz w:val="22"/>
                <w:szCs w:val="22"/>
              </w:rPr>
            </w:pPr>
            <w:r w:rsidRPr="37E63DBD" w:rsidR="605D1BA4">
              <w:rPr>
                <w:sz w:val="22"/>
                <w:szCs w:val="22"/>
              </w:rPr>
              <w:t>Cash Flow</w:t>
            </w:r>
          </w:p>
        </w:tc>
        <w:tc>
          <w:tcPr>
            <w:tcW w:w="3005" w:type="dxa"/>
            <w:tcMar/>
          </w:tcPr>
          <w:p w:rsidR="605D1BA4" w:rsidP="37E63DBD" w:rsidRDefault="605D1BA4" w14:paraId="716939A9" w14:textId="52E69F38">
            <w:pPr>
              <w:pStyle w:val="Normal"/>
              <w:spacing w:line="360" w:lineRule="auto"/>
              <w:jc w:val="both"/>
              <w:rPr>
                <w:sz w:val="22"/>
                <w:szCs w:val="22"/>
              </w:rPr>
            </w:pPr>
            <w:r w:rsidRPr="37E63DBD" w:rsidR="605D1BA4">
              <w:rPr>
                <w:sz w:val="22"/>
                <w:szCs w:val="22"/>
              </w:rPr>
              <w:t>Cumulative</w:t>
            </w:r>
          </w:p>
        </w:tc>
      </w:tr>
      <w:tr w:rsidR="37E63DBD" w:rsidTr="37E63DBD" w14:paraId="3B472B2C">
        <w:trPr>
          <w:trHeight w:val="300"/>
        </w:trPr>
        <w:tc>
          <w:tcPr>
            <w:tcW w:w="3005" w:type="dxa"/>
            <w:tcMar/>
          </w:tcPr>
          <w:p w:rsidR="605D1BA4" w:rsidP="37E63DBD" w:rsidRDefault="605D1BA4" w14:paraId="33405BAE" w14:textId="429B1B44">
            <w:pPr>
              <w:pStyle w:val="Normal"/>
              <w:spacing w:line="360" w:lineRule="auto"/>
              <w:jc w:val="both"/>
              <w:rPr>
                <w:sz w:val="22"/>
                <w:szCs w:val="22"/>
              </w:rPr>
            </w:pPr>
            <w:r w:rsidRPr="37E63DBD" w:rsidR="605D1BA4">
              <w:rPr>
                <w:sz w:val="22"/>
                <w:szCs w:val="22"/>
              </w:rPr>
              <w:t>1</w:t>
            </w:r>
          </w:p>
        </w:tc>
        <w:tc>
          <w:tcPr>
            <w:tcW w:w="3005" w:type="dxa"/>
            <w:tcMar/>
          </w:tcPr>
          <w:p w:rsidR="605D1BA4" w:rsidP="37E63DBD" w:rsidRDefault="605D1BA4" w14:paraId="2BCE2ED9" w14:textId="3155C497">
            <w:pPr>
              <w:pStyle w:val="Normal"/>
              <w:spacing w:line="360" w:lineRule="auto"/>
              <w:jc w:val="both"/>
              <w:rPr>
                <w:sz w:val="22"/>
                <w:szCs w:val="22"/>
              </w:rPr>
            </w:pPr>
            <w:r w:rsidRPr="37E63DBD" w:rsidR="605D1BA4">
              <w:rPr>
                <w:sz w:val="22"/>
                <w:szCs w:val="22"/>
              </w:rPr>
              <w:t>250,000</w:t>
            </w:r>
          </w:p>
        </w:tc>
        <w:tc>
          <w:tcPr>
            <w:tcW w:w="3005" w:type="dxa"/>
            <w:tcMar/>
          </w:tcPr>
          <w:p w:rsidR="605D1BA4" w:rsidP="37E63DBD" w:rsidRDefault="605D1BA4" w14:paraId="022FF01B" w14:textId="1A487017">
            <w:pPr>
              <w:pStyle w:val="Normal"/>
              <w:spacing w:line="360" w:lineRule="auto"/>
              <w:jc w:val="both"/>
              <w:rPr>
                <w:sz w:val="22"/>
                <w:szCs w:val="22"/>
              </w:rPr>
            </w:pPr>
            <w:r w:rsidRPr="37E63DBD" w:rsidR="605D1BA4">
              <w:rPr>
                <w:sz w:val="22"/>
                <w:szCs w:val="22"/>
              </w:rPr>
              <w:t>250,000</w:t>
            </w:r>
          </w:p>
        </w:tc>
      </w:tr>
      <w:tr w:rsidR="37E63DBD" w:rsidTr="37E63DBD" w14:paraId="7653FB6A">
        <w:trPr>
          <w:trHeight w:val="300"/>
        </w:trPr>
        <w:tc>
          <w:tcPr>
            <w:tcW w:w="3005" w:type="dxa"/>
            <w:tcMar/>
          </w:tcPr>
          <w:p w:rsidR="605D1BA4" w:rsidP="37E63DBD" w:rsidRDefault="605D1BA4" w14:paraId="1E4E5E90" w14:textId="6F03DA1C">
            <w:pPr>
              <w:pStyle w:val="Normal"/>
              <w:spacing w:line="360" w:lineRule="auto"/>
              <w:jc w:val="both"/>
              <w:rPr>
                <w:sz w:val="22"/>
                <w:szCs w:val="22"/>
              </w:rPr>
            </w:pPr>
            <w:r w:rsidRPr="37E63DBD" w:rsidR="605D1BA4">
              <w:rPr>
                <w:sz w:val="22"/>
                <w:szCs w:val="22"/>
              </w:rPr>
              <w:t>2</w:t>
            </w:r>
          </w:p>
        </w:tc>
        <w:tc>
          <w:tcPr>
            <w:tcW w:w="3005" w:type="dxa"/>
            <w:tcMar/>
          </w:tcPr>
          <w:p w:rsidR="605D1BA4" w:rsidP="37E63DBD" w:rsidRDefault="605D1BA4" w14:paraId="71782ECA" w14:textId="63F3DD37">
            <w:pPr>
              <w:pStyle w:val="Normal"/>
              <w:spacing w:line="360" w:lineRule="auto"/>
              <w:jc w:val="both"/>
              <w:rPr>
                <w:sz w:val="22"/>
                <w:szCs w:val="22"/>
              </w:rPr>
            </w:pPr>
            <w:r w:rsidRPr="37E63DBD" w:rsidR="605D1BA4">
              <w:rPr>
                <w:sz w:val="22"/>
                <w:szCs w:val="22"/>
              </w:rPr>
              <w:t>310,000</w:t>
            </w:r>
          </w:p>
        </w:tc>
        <w:tc>
          <w:tcPr>
            <w:tcW w:w="3005" w:type="dxa"/>
            <w:tcMar/>
          </w:tcPr>
          <w:p w:rsidR="605D1BA4" w:rsidP="37E63DBD" w:rsidRDefault="605D1BA4" w14:paraId="28C7BD4B" w14:textId="17B4D0A0">
            <w:pPr>
              <w:pStyle w:val="Normal"/>
              <w:spacing w:line="360" w:lineRule="auto"/>
              <w:jc w:val="both"/>
              <w:rPr>
                <w:sz w:val="22"/>
                <w:szCs w:val="22"/>
              </w:rPr>
            </w:pPr>
            <w:r w:rsidRPr="37E63DBD" w:rsidR="605D1BA4">
              <w:rPr>
                <w:sz w:val="22"/>
                <w:szCs w:val="22"/>
              </w:rPr>
              <w:t>560,000</w:t>
            </w:r>
          </w:p>
        </w:tc>
      </w:tr>
      <w:tr w:rsidR="37E63DBD" w:rsidTr="37E63DBD" w14:paraId="0EF22D78">
        <w:trPr>
          <w:trHeight w:val="300"/>
        </w:trPr>
        <w:tc>
          <w:tcPr>
            <w:tcW w:w="3005" w:type="dxa"/>
            <w:tcMar/>
          </w:tcPr>
          <w:p w:rsidR="605D1BA4" w:rsidP="37E63DBD" w:rsidRDefault="605D1BA4" w14:paraId="0E9B762F" w14:textId="17F6C222">
            <w:pPr>
              <w:pStyle w:val="Normal"/>
              <w:spacing w:line="360" w:lineRule="auto"/>
              <w:jc w:val="both"/>
              <w:rPr>
                <w:sz w:val="22"/>
                <w:szCs w:val="22"/>
              </w:rPr>
            </w:pPr>
            <w:r w:rsidRPr="37E63DBD" w:rsidR="605D1BA4">
              <w:rPr>
                <w:sz w:val="22"/>
                <w:szCs w:val="22"/>
              </w:rPr>
              <w:t>3</w:t>
            </w:r>
          </w:p>
        </w:tc>
        <w:tc>
          <w:tcPr>
            <w:tcW w:w="3005" w:type="dxa"/>
            <w:tcMar/>
          </w:tcPr>
          <w:p w:rsidR="605D1BA4" w:rsidP="37E63DBD" w:rsidRDefault="605D1BA4" w14:paraId="435241C3" w14:textId="4BB1905D">
            <w:pPr>
              <w:pStyle w:val="Normal"/>
              <w:spacing w:line="360" w:lineRule="auto"/>
              <w:jc w:val="both"/>
              <w:rPr>
                <w:sz w:val="22"/>
                <w:szCs w:val="22"/>
              </w:rPr>
            </w:pPr>
            <w:r w:rsidRPr="37E63DBD" w:rsidR="605D1BA4">
              <w:rPr>
                <w:sz w:val="22"/>
                <w:szCs w:val="22"/>
              </w:rPr>
              <w:t>400,000</w:t>
            </w:r>
          </w:p>
        </w:tc>
        <w:tc>
          <w:tcPr>
            <w:tcW w:w="3005" w:type="dxa"/>
            <w:tcMar/>
          </w:tcPr>
          <w:p w:rsidR="605D1BA4" w:rsidP="37E63DBD" w:rsidRDefault="605D1BA4" w14:paraId="654AF2AC" w14:textId="63D60DED">
            <w:pPr>
              <w:pStyle w:val="Normal"/>
              <w:spacing w:line="360" w:lineRule="auto"/>
              <w:jc w:val="both"/>
              <w:rPr>
                <w:sz w:val="22"/>
                <w:szCs w:val="22"/>
              </w:rPr>
            </w:pPr>
            <w:r w:rsidRPr="37E63DBD" w:rsidR="605D1BA4">
              <w:rPr>
                <w:sz w:val="22"/>
                <w:szCs w:val="22"/>
              </w:rPr>
              <w:t>960,000</w:t>
            </w:r>
          </w:p>
        </w:tc>
      </w:tr>
      <w:tr w:rsidR="37E63DBD" w:rsidTr="37E63DBD" w14:paraId="6BD74ADD">
        <w:trPr>
          <w:trHeight w:val="300"/>
        </w:trPr>
        <w:tc>
          <w:tcPr>
            <w:tcW w:w="3005" w:type="dxa"/>
            <w:tcMar/>
          </w:tcPr>
          <w:p w:rsidR="605D1BA4" w:rsidP="37E63DBD" w:rsidRDefault="605D1BA4" w14:paraId="1DD61008" w14:textId="1B9CF95B">
            <w:pPr>
              <w:pStyle w:val="Normal"/>
              <w:spacing w:line="360" w:lineRule="auto"/>
              <w:jc w:val="both"/>
              <w:rPr>
                <w:sz w:val="22"/>
                <w:szCs w:val="22"/>
              </w:rPr>
            </w:pPr>
            <w:r w:rsidRPr="37E63DBD" w:rsidR="605D1BA4">
              <w:rPr>
                <w:sz w:val="22"/>
                <w:szCs w:val="22"/>
              </w:rPr>
              <w:t>4</w:t>
            </w:r>
          </w:p>
        </w:tc>
        <w:tc>
          <w:tcPr>
            <w:tcW w:w="3005" w:type="dxa"/>
            <w:tcMar/>
          </w:tcPr>
          <w:p w:rsidR="605D1BA4" w:rsidP="37E63DBD" w:rsidRDefault="605D1BA4" w14:paraId="0B7A1452" w14:textId="19860994">
            <w:pPr>
              <w:pStyle w:val="Normal"/>
              <w:spacing w:line="360" w:lineRule="auto"/>
              <w:jc w:val="both"/>
              <w:rPr>
                <w:sz w:val="22"/>
                <w:szCs w:val="22"/>
              </w:rPr>
            </w:pPr>
            <w:r w:rsidRPr="37E63DBD" w:rsidR="605D1BA4">
              <w:rPr>
                <w:sz w:val="22"/>
                <w:szCs w:val="22"/>
              </w:rPr>
              <w:t>430,000</w:t>
            </w:r>
          </w:p>
        </w:tc>
        <w:tc>
          <w:tcPr>
            <w:tcW w:w="3005" w:type="dxa"/>
            <w:tcMar/>
          </w:tcPr>
          <w:p w:rsidR="605D1BA4" w:rsidP="37E63DBD" w:rsidRDefault="605D1BA4" w14:paraId="120F31AA" w14:textId="512DBC03">
            <w:pPr>
              <w:pStyle w:val="Normal"/>
              <w:spacing w:line="360" w:lineRule="auto"/>
              <w:jc w:val="both"/>
              <w:rPr>
                <w:sz w:val="22"/>
                <w:szCs w:val="22"/>
              </w:rPr>
            </w:pPr>
            <w:r w:rsidRPr="37E63DBD" w:rsidR="605D1BA4">
              <w:rPr>
                <w:sz w:val="22"/>
                <w:szCs w:val="22"/>
              </w:rPr>
              <w:t>1,390,000</w:t>
            </w:r>
          </w:p>
        </w:tc>
      </w:tr>
    </w:tbl>
    <w:p w:rsidR="605D1BA4" w:rsidP="37E63DBD" w:rsidRDefault="605D1BA4" w14:paraId="38CA344C" w14:textId="78E490EF">
      <w:pPr>
        <w:pStyle w:val="Normal"/>
        <w:spacing w:line="360" w:lineRule="auto"/>
        <w:jc w:val="both"/>
        <w:rPr>
          <w:sz w:val="22"/>
          <w:szCs w:val="22"/>
        </w:rPr>
      </w:pPr>
      <w:r w:rsidRPr="37E63DBD" w:rsidR="605D1BA4">
        <w:rPr>
          <w:sz w:val="22"/>
          <w:szCs w:val="22"/>
        </w:rPr>
        <w:t>Initial investment = £1,000,000</w:t>
      </w:r>
      <w:r w:rsidRPr="37E63DBD" w:rsidR="0A99B1E0">
        <w:rPr>
          <w:sz w:val="22"/>
          <w:szCs w:val="22"/>
        </w:rPr>
        <w:t xml:space="preserve"> (Reached in Year 4)</w:t>
      </w:r>
      <w:r>
        <w:br/>
      </w:r>
      <w:r w:rsidRPr="37E63DBD" w:rsidR="68C65C99">
        <w:rPr>
          <w:sz w:val="22"/>
          <w:szCs w:val="22"/>
        </w:rPr>
        <w:t>£1,000,000 - £960,000</w:t>
      </w:r>
      <w:r w:rsidRPr="37E63DBD" w:rsidR="68675FF4">
        <w:rPr>
          <w:sz w:val="22"/>
          <w:szCs w:val="22"/>
        </w:rPr>
        <w:t xml:space="preserve"> (Year 3)</w:t>
      </w:r>
      <w:r w:rsidRPr="37E63DBD" w:rsidR="68C65C99">
        <w:rPr>
          <w:sz w:val="22"/>
          <w:szCs w:val="22"/>
        </w:rPr>
        <w:t xml:space="preserve"> = £40,000</w:t>
      </w:r>
      <w:r>
        <w:br/>
      </w:r>
      <w:r w:rsidRPr="37E63DBD" w:rsidR="16AE35C0">
        <w:rPr>
          <w:sz w:val="22"/>
          <w:szCs w:val="22"/>
        </w:rPr>
        <w:t>Year 4 Cash Flow = £430,000</w:t>
      </w:r>
      <w:r>
        <w:br/>
      </w:r>
      <w:r w:rsidRPr="37E63DBD" w:rsidR="30E801DE">
        <w:rPr>
          <w:sz w:val="22"/>
          <w:szCs w:val="22"/>
        </w:rPr>
        <w:t>40,000 / 430,000 = 0.09</w:t>
      </w:r>
      <w:r>
        <w:br/>
      </w:r>
      <w:r w:rsidRPr="37E63DBD" w:rsidR="50524D8D">
        <w:rPr>
          <w:sz w:val="22"/>
          <w:szCs w:val="22"/>
        </w:rPr>
        <w:t>3 + 0.09 = 3.09 years</w:t>
      </w:r>
    </w:p>
    <w:p w:rsidR="7EB9416D" w:rsidP="37E63DBD" w:rsidRDefault="7EB9416D" w14:paraId="2D441F6B" w14:textId="2ACF98D1">
      <w:pPr>
        <w:pStyle w:val="Normal"/>
        <w:spacing w:line="360" w:lineRule="auto"/>
        <w:jc w:val="both"/>
        <w:rPr>
          <w:b w:val="1"/>
          <w:bCs w:val="1"/>
          <w:sz w:val="22"/>
          <w:szCs w:val="22"/>
        </w:rPr>
      </w:pPr>
      <w:r w:rsidRPr="37E63DBD" w:rsidR="7EB9416D">
        <w:rPr>
          <w:b w:val="1"/>
          <w:bCs w:val="1"/>
          <w:sz w:val="22"/>
          <w:szCs w:val="22"/>
        </w:rPr>
        <w:t>Appendix 32</w:t>
      </w:r>
    </w:p>
    <w:p w:rsidR="7EB9416D" w:rsidP="37E63DBD" w:rsidRDefault="7EB9416D" w14:paraId="3D32CE36" w14:textId="4F2AA677">
      <w:pPr>
        <w:pStyle w:val="Normal"/>
        <w:spacing w:line="360" w:lineRule="auto"/>
        <w:jc w:val="both"/>
        <w:rPr>
          <w:sz w:val="22"/>
          <w:szCs w:val="22"/>
        </w:rPr>
      </w:pPr>
      <w:r w:rsidRPr="37E63DBD" w:rsidR="7EB9416D">
        <w:rPr>
          <w:sz w:val="22"/>
          <w:szCs w:val="22"/>
        </w:rPr>
        <w:t>Average net income or Annual profit / Initial investment</w:t>
      </w:r>
      <w:r w:rsidRPr="37E63DBD" w:rsidR="15D5D3F7">
        <w:rPr>
          <w:sz w:val="22"/>
          <w:szCs w:val="22"/>
        </w:rPr>
        <w:t xml:space="preserve"> x 100</w:t>
      </w:r>
    </w:p>
    <w:p w:rsidR="40CCF3FF" w:rsidP="37E63DBD" w:rsidRDefault="40CCF3FF" w14:paraId="2F34C411" w14:textId="5F63BF29">
      <w:pPr>
        <w:pStyle w:val="Normal"/>
        <w:spacing w:line="360" w:lineRule="auto"/>
        <w:jc w:val="both"/>
        <w:rPr>
          <w:sz w:val="22"/>
          <w:szCs w:val="22"/>
        </w:rPr>
      </w:pPr>
      <w:r w:rsidRPr="37E63DBD" w:rsidR="40CCF3FF">
        <w:rPr>
          <w:sz w:val="22"/>
          <w:szCs w:val="22"/>
        </w:rPr>
        <w:t>Depreciation of £1,000,000 initial investment as a straight line over 4 years = £250,000</w:t>
      </w:r>
    </w:p>
    <w:p w:rsidR="03A2A737" w:rsidP="37E63DBD" w:rsidRDefault="03A2A737" w14:paraId="0DFCF359" w14:textId="6FC6782C">
      <w:pPr>
        <w:pStyle w:val="Normal"/>
        <w:spacing w:line="360" w:lineRule="auto"/>
        <w:jc w:val="both"/>
        <w:rPr>
          <w:sz w:val="22"/>
          <w:szCs w:val="22"/>
        </w:rPr>
      </w:pPr>
      <w:r w:rsidRPr="37E63DBD" w:rsidR="03A2A737">
        <w:rPr>
          <w:sz w:val="22"/>
          <w:szCs w:val="22"/>
        </w:rPr>
        <w:t xml:space="preserve">Profit Calculation </w:t>
      </w:r>
    </w:p>
    <w:tbl>
      <w:tblPr>
        <w:tblStyle w:val="TableGrid"/>
        <w:tblW w:w="0" w:type="auto"/>
        <w:tblLook w:val="06A0" w:firstRow="1" w:lastRow="0" w:firstColumn="1" w:lastColumn="0" w:noHBand="1" w:noVBand="1"/>
      </w:tblPr>
      <w:tblGrid>
        <w:gridCol w:w="2254"/>
        <w:gridCol w:w="2254"/>
        <w:gridCol w:w="2254"/>
        <w:gridCol w:w="2254"/>
      </w:tblGrid>
      <w:tr w:rsidR="37E63DBD" w:rsidTr="37E63DBD" w14:paraId="6621DAD9">
        <w:trPr>
          <w:trHeight w:val="300"/>
        </w:trPr>
        <w:tc>
          <w:tcPr>
            <w:tcW w:w="2254" w:type="dxa"/>
            <w:tcMar/>
          </w:tcPr>
          <w:p w:rsidR="03A2A737" w:rsidP="37E63DBD" w:rsidRDefault="03A2A737" w14:paraId="6422EB86" w14:textId="24372536">
            <w:pPr>
              <w:pStyle w:val="Normal"/>
              <w:spacing w:line="360" w:lineRule="auto"/>
              <w:jc w:val="both"/>
              <w:rPr>
                <w:sz w:val="22"/>
                <w:szCs w:val="22"/>
              </w:rPr>
            </w:pPr>
            <w:r w:rsidRPr="37E63DBD" w:rsidR="03A2A737">
              <w:rPr>
                <w:sz w:val="22"/>
                <w:szCs w:val="22"/>
              </w:rPr>
              <w:t>Year</w:t>
            </w:r>
          </w:p>
        </w:tc>
        <w:tc>
          <w:tcPr>
            <w:tcW w:w="2254" w:type="dxa"/>
            <w:tcMar/>
          </w:tcPr>
          <w:p w:rsidR="03A2A737" w:rsidP="37E63DBD" w:rsidRDefault="03A2A737" w14:paraId="41DBD729" w14:textId="28F516E9">
            <w:pPr>
              <w:pStyle w:val="Normal"/>
              <w:spacing w:line="360" w:lineRule="auto"/>
              <w:jc w:val="both"/>
              <w:rPr>
                <w:sz w:val="22"/>
                <w:szCs w:val="22"/>
              </w:rPr>
            </w:pPr>
            <w:r w:rsidRPr="37E63DBD" w:rsidR="03A2A737">
              <w:rPr>
                <w:sz w:val="22"/>
                <w:szCs w:val="22"/>
              </w:rPr>
              <w:t>Cash Flow</w:t>
            </w:r>
          </w:p>
        </w:tc>
        <w:tc>
          <w:tcPr>
            <w:tcW w:w="2254" w:type="dxa"/>
            <w:tcMar/>
          </w:tcPr>
          <w:p w:rsidR="03A2A737" w:rsidP="37E63DBD" w:rsidRDefault="03A2A737" w14:paraId="07870CE2" w14:textId="080C11CF">
            <w:pPr>
              <w:pStyle w:val="Normal"/>
              <w:spacing w:line="360" w:lineRule="auto"/>
              <w:jc w:val="both"/>
              <w:rPr>
                <w:sz w:val="22"/>
                <w:szCs w:val="22"/>
              </w:rPr>
            </w:pPr>
            <w:r w:rsidRPr="37E63DBD" w:rsidR="03A2A737">
              <w:rPr>
                <w:sz w:val="22"/>
                <w:szCs w:val="22"/>
              </w:rPr>
              <w:t>Depreciation</w:t>
            </w:r>
          </w:p>
        </w:tc>
        <w:tc>
          <w:tcPr>
            <w:tcW w:w="2254" w:type="dxa"/>
            <w:tcMar/>
          </w:tcPr>
          <w:p w:rsidR="03A2A737" w:rsidP="37E63DBD" w:rsidRDefault="03A2A737" w14:paraId="46A98721" w14:textId="4F454031">
            <w:pPr>
              <w:pStyle w:val="Normal"/>
              <w:spacing w:line="360" w:lineRule="auto"/>
              <w:jc w:val="both"/>
              <w:rPr>
                <w:sz w:val="22"/>
                <w:szCs w:val="22"/>
              </w:rPr>
            </w:pPr>
            <w:r w:rsidRPr="37E63DBD" w:rsidR="03A2A737">
              <w:rPr>
                <w:sz w:val="22"/>
                <w:szCs w:val="22"/>
              </w:rPr>
              <w:t>Profit</w:t>
            </w:r>
          </w:p>
        </w:tc>
      </w:tr>
      <w:tr w:rsidR="37E63DBD" w:rsidTr="37E63DBD" w14:paraId="095FCCE8">
        <w:trPr>
          <w:trHeight w:val="300"/>
        </w:trPr>
        <w:tc>
          <w:tcPr>
            <w:tcW w:w="2254" w:type="dxa"/>
            <w:tcMar/>
          </w:tcPr>
          <w:p w:rsidR="03A2A737" w:rsidP="37E63DBD" w:rsidRDefault="03A2A737" w14:paraId="28644F58" w14:textId="5DE887BD">
            <w:pPr>
              <w:pStyle w:val="Normal"/>
              <w:spacing w:line="360" w:lineRule="auto"/>
              <w:jc w:val="both"/>
              <w:rPr>
                <w:sz w:val="22"/>
                <w:szCs w:val="22"/>
              </w:rPr>
            </w:pPr>
            <w:r w:rsidRPr="37E63DBD" w:rsidR="03A2A737">
              <w:rPr>
                <w:sz w:val="22"/>
                <w:szCs w:val="22"/>
              </w:rPr>
              <w:t>1</w:t>
            </w:r>
          </w:p>
        </w:tc>
        <w:tc>
          <w:tcPr>
            <w:tcW w:w="2254" w:type="dxa"/>
            <w:tcMar/>
          </w:tcPr>
          <w:p w:rsidR="03A2A737" w:rsidP="37E63DBD" w:rsidRDefault="03A2A737" w14:paraId="787C0275" w14:textId="555BF2D2">
            <w:pPr>
              <w:pStyle w:val="Normal"/>
              <w:spacing w:line="360" w:lineRule="auto"/>
              <w:jc w:val="both"/>
              <w:rPr>
                <w:sz w:val="22"/>
                <w:szCs w:val="22"/>
              </w:rPr>
            </w:pPr>
            <w:r w:rsidRPr="37E63DBD" w:rsidR="03A2A737">
              <w:rPr>
                <w:sz w:val="22"/>
                <w:szCs w:val="22"/>
              </w:rPr>
              <w:t>250,000</w:t>
            </w:r>
          </w:p>
        </w:tc>
        <w:tc>
          <w:tcPr>
            <w:tcW w:w="2254" w:type="dxa"/>
            <w:tcMar/>
          </w:tcPr>
          <w:p w:rsidR="03A2A737" w:rsidP="37E63DBD" w:rsidRDefault="03A2A737" w14:paraId="083F58F0" w14:textId="3F962F5C">
            <w:pPr>
              <w:pStyle w:val="Normal"/>
              <w:spacing w:line="360" w:lineRule="auto"/>
              <w:jc w:val="both"/>
              <w:rPr>
                <w:sz w:val="22"/>
                <w:szCs w:val="22"/>
              </w:rPr>
            </w:pPr>
            <w:r w:rsidRPr="37E63DBD" w:rsidR="03A2A737">
              <w:rPr>
                <w:sz w:val="22"/>
                <w:szCs w:val="22"/>
              </w:rPr>
              <w:t>250,000</w:t>
            </w:r>
          </w:p>
        </w:tc>
        <w:tc>
          <w:tcPr>
            <w:tcW w:w="2254" w:type="dxa"/>
            <w:tcMar/>
          </w:tcPr>
          <w:p w:rsidR="03A2A737" w:rsidP="37E63DBD" w:rsidRDefault="03A2A737" w14:paraId="357584B4" w14:textId="4D3D35C0">
            <w:pPr>
              <w:pStyle w:val="Normal"/>
              <w:spacing w:line="360" w:lineRule="auto"/>
              <w:jc w:val="both"/>
              <w:rPr>
                <w:sz w:val="22"/>
                <w:szCs w:val="22"/>
              </w:rPr>
            </w:pPr>
            <w:r w:rsidRPr="37E63DBD" w:rsidR="03A2A737">
              <w:rPr>
                <w:sz w:val="22"/>
                <w:szCs w:val="22"/>
              </w:rPr>
              <w:t>0</w:t>
            </w:r>
          </w:p>
        </w:tc>
      </w:tr>
      <w:tr w:rsidR="37E63DBD" w:rsidTr="37E63DBD" w14:paraId="2E704DF5">
        <w:trPr>
          <w:trHeight w:val="300"/>
        </w:trPr>
        <w:tc>
          <w:tcPr>
            <w:tcW w:w="2254" w:type="dxa"/>
            <w:tcMar/>
          </w:tcPr>
          <w:p w:rsidR="03A2A737" w:rsidP="37E63DBD" w:rsidRDefault="03A2A737" w14:paraId="0EACEBBF" w14:textId="0234AE86">
            <w:pPr>
              <w:pStyle w:val="Normal"/>
              <w:spacing w:line="360" w:lineRule="auto"/>
              <w:jc w:val="both"/>
              <w:rPr>
                <w:sz w:val="22"/>
                <w:szCs w:val="22"/>
              </w:rPr>
            </w:pPr>
            <w:r w:rsidRPr="37E63DBD" w:rsidR="03A2A737">
              <w:rPr>
                <w:sz w:val="22"/>
                <w:szCs w:val="22"/>
              </w:rPr>
              <w:t>2</w:t>
            </w:r>
          </w:p>
        </w:tc>
        <w:tc>
          <w:tcPr>
            <w:tcW w:w="2254" w:type="dxa"/>
            <w:tcMar/>
          </w:tcPr>
          <w:p w:rsidR="03A2A737" w:rsidP="37E63DBD" w:rsidRDefault="03A2A737" w14:paraId="65E95E1B" w14:textId="5005A241">
            <w:pPr>
              <w:pStyle w:val="Normal"/>
              <w:spacing w:line="360" w:lineRule="auto"/>
              <w:jc w:val="both"/>
              <w:rPr>
                <w:sz w:val="22"/>
                <w:szCs w:val="22"/>
              </w:rPr>
            </w:pPr>
            <w:r w:rsidRPr="37E63DBD" w:rsidR="03A2A737">
              <w:rPr>
                <w:sz w:val="22"/>
                <w:szCs w:val="22"/>
              </w:rPr>
              <w:t>310,000</w:t>
            </w:r>
          </w:p>
        </w:tc>
        <w:tc>
          <w:tcPr>
            <w:tcW w:w="2254" w:type="dxa"/>
            <w:tcMar/>
          </w:tcPr>
          <w:p w:rsidR="03A2A737" w:rsidP="37E63DBD" w:rsidRDefault="03A2A737" w14:paraId="07884120" w14:textId="55D22F6B">
            <w:pPr>
              <w:pStyle w:val="Normal"/>
              <w:spacing w:line="360" w:lineRule="auto"/>
              <w:jc w:val="both"/>
              <w:rPr>
                <w:sz w:val="22"/>
                <w:szCs w:val="22"/>
              </w:rPr>
            </w:pPr>
            <w:r w:rsidRPr="37E63DBD" w:rsidR="03A2A737">
              <w:rPr>
                <w:sz w:val="22"/>
                <w:szCs w:val="22"/>
              </w:rPr>
              <w:t>250,000</w:t>
            </w:r>
          </w:p>
        </w:tc>
        <w:tc>
          <w:tcPr>
            <w:tcW w:w="2254" w:type="dxa"/>
            <w:tcMar/>
          </w:tcPr>
          <w:p w:rsidR="03A2A737" w:rsidP="37E63DBD" w:rsidRDefault="03A2A737" w14:paraId="54594799" w14:textId="25A7EB72">
            <w:pPr>
              <w:pStyle w:val="Normal"/>
              <w:spacing w:line="360" w:lineRule="auto"/>
              <w:jc w:val="both"/>
              <w:rPr>
                <w:sz w:val="22"/>
                <w:szCs w:val="22"/>
              </w:rPr>
            </w:pPr>
            <w:r w:rsidRPr="37E63DBD" w:rsidR="03A2A737">
              <w:rPr>
                <w:sz w:val="22"/>
                <w:szCs w:val="22"/>
              </w:rPr>
              <w:t>60,000</w:t>
            </w:r>
          </w:p>
        </w:tc>
      </w:tr>
      <w:tr w:rsidR="37E63DBD" w:rsidTr="37E63DBD" w14:paraId="0F8A0AE4">
        <w:trPr>
          <w:trHeight w:val="300"/>
        </w:trPr>
        <w:tc>
          <w:tcPr>
            <w:tcW w:w="2254" w:type="dxa"/>
            <w:tcMar/>
          </w:tcPr>
          <w:p w:rsidR="03A2A737" w:rsidP="37E63DBD" w:rsidRDefault="03A2A737" w14:paraId="4A09EBF1" w14:textId="60B35FC2">
            <w:pPr>
              <w:pStyle w:val="Normal"/>
              <w:spacing w:line="360" w:lineRule="auto"/>
              <w:jc w:val="both"/>
              <w:rPr>
                <w:sz w:val="22"/>
                <w:szCs w:val="22"/>
              </w:rPr>
            </w:pPr>
            <w:r w:rsidRPr="37E63DBD" w:rsidR="03A2A737">
              <w:rPr>
                <w:sz w:val="22"/>
                <w:szCs w:val="22"/>
              </w:rPr>
              <w:t>3</w:t>
            </w:r>
          </w:p>
        </w:tc>
        <w:tc>
          <w:tcPr>
            <w:tcW w:w="2254" w:type="dxa"/>
            <w:tcMar/>
          </w:tcPr>
          <w:p w:rsidR="03A2A737" w:rsidP="37E63DBD" w:rsidRDefault="03A2A737" w14:paraId="5CA3A54A" w14:textId="66C0852E">
            <w:pPr>
              <w:pStyle w:val="Normal"/>
              <w:spacing w:line="360" w:lineRule="auto"/>
              <w:jc w:val="both"/>
              <w:rPr>
                <w:sz w:val="22"/>
                <w:szCs w:val="22"/>
              </w:rPr>
            </w:pPr>
            <w:r w:rsidRPr="37E63DBD" w:rsidR="03A2A737">
              <w:rPr>
                <w:sz w:val="22"/>
                <w:szCs w:val="22"/>
              </w:rPr>
              <w:t>400,000</w:t>
            </w:r>
          </w:p>
        </w:tc>
        <w:tc>
          <w:tcPr>
            <w:tcW w:w="2254" w:type="dxa"/>
            <w:tcMar/>
          </w:tcPr>
          <w:p w:rsidR="03A2A737" w:rsidP="37E63DBD" w:rsidRDefault="03A2A737" w14:paraId="513D5D38" w14:textId="430675AF">
            <w:pPr>
              <w:pStyle w:val="Normal"/>
              <w:spacing w:line="360" w:lineRule="auto"/>
              <w:jc w:val="both"/>
              <w:rPr>
                <w:sz w:val="22"/>
                <w:szCs w:val="22"/>
              </w:rPr>
            </w:pPr>
            <w:r w:rsidRPr="37E63DBD" w:rsidR="03A2A737">
              <w:rPr>
                <w:sz w:val="22"/>
                <w:szCs w:val="22"/>
              </w:rPr>
              <w:t>250,000</w:t>
            </w:r>
          </w:p>
        </w:tc>
        <w:tc>
          <w:tcPr>
            <w:tcW w:w="2254" w:type="dxa"/>
            <w:tcMar/>
          </w:tcPr>
          <w:p w:rsidR="03A2A737" w:rsidP="37E63DBD" w:rsidRDefault="03A2A737" w14:paraId="4BC274DF" w14:textId="5E91AB58">
            <w:pPr>
              <w:pStyle w:val="Normal"/>
              <w:spacing w:line="360" w:lineRule="auto"/>
              <w:jc w:val="both"/>
              <w:rPr>
                <w:sz w:val="22"/>
                <w:szCs w:val="22"/>
              </w:rPr>
            </w:pPr>
            <w:r w:rsidRPr="37E63DBD" w:rsidR="03A2A737">
              <w:rPr>
                <w:sz w:val="22"/>
                <w:szCs w:val="22"/>
              </w:rPr>
              <w:t>150,000</w:t>
            </w:r>
          </w:p>
        </w:tc>
      </w:tr>
      <w:tr w:rsidR="37E63DBD" w:rsidTr="37E63DBD" w14:paraId="26DA63AB">
        <w:trPr>
          <w:trHeight w:val="300"/>
        </w:trPr>
        <w:tc>
          <w:tcPr>
            <w:tcW w:w="2254" w:type="dxa"/>
            <w:tcMar/>
          </w:tcPr>
          <w:p w:rsidR="03A2A737" w:rsidP="37E63DBD" w:rsidRDefault="03A2A737" w14:paraId="193817C2" w14:textId="38E99CF6">
            <w:pPr>
              <w:pStyle w:val="Normal"/>
              <w:spacing w:line="360" w:lineRule="auto"/>
              <w:jc w:val="both"/>
              <w:rPr>
                <w:sz w:val="22"/>
                <w:szCs w:val="22"/>
              </w:rPr>
            </w:pPr>
            <w:r w:rsidRPr="37E63DBD" w:rsidR="03A2A737">
              <w:rPr>
                <w:sz w:val="22"/>
                <w:szCs w:val="22"/>
              </w:rPr>
              <w:t>4</w:t>
            </w:r>
          </w:p>
        </w:tc>
        <w:tc>
          <w:tcPr>
            <w:tcW w:w="2254" w:type="dxa"/>
            <w:tcMar/>
          </w:tcPr>
          <w:p w:rsidR="03A2A737" w:rsidP="37E63DBD" w:rsidRDefault="03A2A737" w14:paraId="40FAD897" w14:textId="0E9D77BE">
            <w:pPr>
              <w:pStyle w:val="Normal"/>
              <w:spacing w:line="360" w:lineRule="auto"/>
              <w:jc w:val="both"/>
              <w:rPr>
                <w:sz w:val="22"/>
                <w:szCs w:val="22"/>
              </w:rPr>
            </w:pPr>
            <w:r w:rsidRPr="37E63DBD" w:rsidR="03A2A737">
              <w:rPr>
                <w:sz w:val="22"/>
                <w:szCs w:val="22"/>
              </w:rPr>
              <w:t>430,000</w:t>
            </w:r>
          </w:p>
        </w:tc>
        <w:tc>
          <w:tcPr>
            <w:tcW w:w="2254" w:type="dxa"/>
            <w:tcMar/>
          </w:tcPr>
          <w:p w:rsidR="03A2A737" w:rsidP="37E63DBD" w:rsidRDefault="03A2A737" w14:paraId="39FF62DC" w14:textId="132E81E5">
            <w:pPr>
              <w:pStyle w:val="Normal"/>
              <w:spacing w:line="360" w:lineRule="auto"/>
              <w:jc w:val="both"/>
              <w:rPr>
                <w:sz w:val="22"/>
                <w:szCs w:val="22"/>
              </w:rPr>
            </w:pPr>
            <w:r w:rsidRPr="37E63DBD" w:rsidR="03A2A737">
              <w:rPr>
                <w:sz w:val="22"/>
                <w:szCs w:val="22"/>
              </w:rPr>
              <w:t>250,000</w:t>
            </w:r>
          </w:p>
        </w:tc>
        <w:tc>
          <w:tcPr>
            <w:tcW w:w="2254" w:type="dxa"/>
            <w:tcMar/>
          </w:tcPr>
          <w:p w:rsidR="03A2A737" w:rsidP="37E63DBD" w:rsidRDefault="03A2A737" w14:paraId="4C7B60B1" w14:textId="5A79A61D">
            <w:pPr>
              <w:pStyle w:val="Normal"/>
              <w:spacing w:line="360" w:lineRule="auto"/>
              <w:jc w:val="both"/>
              <w:rPr>
                <w:sz w:val="22"/>
                <w:szCs w:val="22"/>
              </w:rPr>
            </w:pPr>
            <w:r w:rsidRPr="37E63DBD" w:rsidR="03A2A737">
              <w:rPr>
                <w:sz w:val="22"/>
                <w:szCs w:val="22"/>
              </w:rPr>
              <w:t>180,000</w:t>
            </w:r>
          </w:p>
        </w:tc>
      </w:tr>
    </w:tbl>
    <w:p w:rsidR="37E63DBD" w:rsidP="37E63DBD" w:rsidRDefault="37E63DBD" w14:paraId="74B3B5E7" w14:textId="42423659">
      <w:pPr>
        <w:pStyle w:val="Normal"/>
        <w:suppressLineNumbers w:val="0"/>
        <w:bidi w:val="0"/>
        <w:spacing w:before="0" w:beforeAutospacing="off" w:after="160" w:afterAutospacing="off" w:line="360" w:lineRule="auto"/>
        <w:ind w:left="0" w:right="0"/>
        <w:jc w:val="both"/>
        <w:rPr>
          <w:sz w:val="22"/>
          <w:szCs w:val="22"/>
        </w:rPr>
      </w:pPr>
      <w:r>
        <w:br/>
      </w:r>
      <w:r w:rsidRPr="37E63DBD" w:rsidR="03A2A737">
        <w:rPr>
          <w:sz w:val="22"/>
          <w:szCs w:val="22"/>
        </w:rPr>
        <w:t>Apply tax (25%)</w:t>
      </w:r>
    </w:p>
    <w:tbl>
      <w:tblPr>
        <w:tblStyle w:val="TableGrid"/>
        <w:bidiVisual w:val="0"/>
        <w:tblW w:w="0" w:type="auto"/>
        <w:tblLook w:val="06A0" w:firstRow="1" w:lastRow="0" w:firstColumn="1" w:lastColumn="0" w:noHBand="1" w:noVBand="1"/>
      </w:tblPr>
      <w:tblGrid>
        <w:gridCol w:w="2254"/>
        <w:gridCol w:w="2254"/>
        <w:gridCol w:w="2254"/>
        <w:gridCol w:w="2254"/>
      </w:tblGrid>
      <w:tr w:rsidR="37E63DBD" w:rsidTr="37E63DBD" w14:paraId="0B87B935">
        <w:trPr>
          <w:trHeight w:val="300"/>
        </w:trPr>
        <w:tc>
          <w:tcPr>
            <w:tcW w:w="2254" w:type="dxa"/>
            <w:tcMar/>
          </w:tcPr>
          <w:p w:rsidR="03A2A737" w:rsidP="37E63DBD" w:rsidRDefault="03A2A737" w14:paraId="2488582F" w14:textId="469E9836">
            <w:pPr>
              <w:pStyle w:val="Normal"/>
              <w:bidi w:val="0"/>
              <w:spacing w:line="360" w:lineRule="auto"/>
              <w:jc w:val="both"/>
              <w:rPr>
                <w:sz w:val="22"/>
                <w:szCs w:val="22"/>
              </w:rPr>
            </w:pPr>
            <w:r w:rsidRPr="37E63DBD" w:rsidR="03A2A737">
              <w:rPr>
                <w:sz w:val="22"/>
                <w:szCs w:val="22"/>
              </w:rPr>
              <w:t>Year</w:t>
            </w:r>
          </w:p>
        </w:tc>
        <w:tc>
          <w:tcPr>
            <w:tcW w:w="2254" w:type="dxa"/>
            <w:tcMar/>
          </w:tcPr>
          <w:p w:rsidR="03A2A737" w:rsidP="37E63DBD" w:rsidRDefault="03A2A737" w14:paraId="5A528DDB" w14:textId="19385F6A">
            <w:pPr>
              <w:pStyle w:val="Normal"/>
              <w:bidi w:val="0"/>
              <w:spacing w:line="360" w:lineRule="auto"/>
              <w:jc w:val="both"/>
              <w:rPr>
                <w:sz w:val="22"/>
                <w:szCs w:val="22"/>
              </w:rPr>
            </w:pPr>
            <w:r w:rsidRPr="37E63DBD" w:rsidR="03A2A737">
              <w:rPr>
                <w:sz w:val="22"/>
                <w:szCs w:val="22"/>
              </w:rPr>
              <w:t>Profit</w:t>
            </w:r>
          </w:p>
        </w:tc>
        <w:tc>
          <w:tcPr>
            <w:tcW w:w="2254" w:type="dxa"/>
            <w:tcMar/>
          </w:tcPr>
          <w:p w:rsidR="03A2A737" w:rsidP="37E63DBD" w:rsidRDefault="03A2A737" w14:paraId="680840AE" w14:textId="5A04CB50">
            <w:pPr>
              <w:pStyle w:val="Normal"/>
              <w:bidi w:val="0"/>
              <w:spacing w:line="360" w:lineRule="auto"/>
              <w:jc w:val="both"/>
              <w:rPr>
                <w:sz w:val="22"/>
                <w:szCs w:val="22"/>
              </w:rPr>
            </w:pPr>
            <w:r w:rsidRPr="37E63DBD" w:rsidR="03A2A737">
              <w:rPr>
                <w:sz w:val="22"/>
                <w:szCs w:val="22"/>
              </w:rPr>
              <w:t>Tax (25%)</w:t>
            </w:r>
          </w:p>
        </w:tc>
        <w:tc>
          <w:tcPr>
            <w:tcW w:w="2254" w:type="dxa"/>
            <w:tcMar/>
          </w:tcPr>
          <w:p w:rsidR="03A2A737" w:rsidP="37E63DBD" w:rsidRDefault="03A2A737" w14:paraId="252B8157" w14:textId="7071441B">
            <w:pPr>
              <w:pStyle w:val="Normal"/>
              <w:bidi w:val="0"/>
              <w:spacing w:line="360" w:lineRule="auto"/>
              <w:jc w:val="both"/>
              <w:rPr>
                <w:sz w:val="22"/>
                <w:szCs w:val="22"/>
              </w:rPr>
            </w:pPr>
            <w:r w:rsidRPr="37E63DBD" w:rsidR="03A2A737">
              <w:rPr>
                <w:sz w:val="22"/>
                <w:szCs w:val="22"/>
              </w:rPr>
              <w:t>Net Profit</w:t>
            </w:r>
          </w:p>
        </w:tc>
      </w:tr>
      <w:tr w:rsidR="37E63DBD" w:rsidTr="37E63DBD" w14:paraId="473F0807">
        <w:trPr>
          <w:trHeight w:val="300"/>
        </w:trPr>
        <w:tc>
          <w:tcPr>
            <w:tcW w:w="2254" w:type="dxa"/>
            <w:tcMar/>
          </w:tcPr>
          <w:p w:rsidR="03A2A737" w:rsidP="37E63DBD" w:rsidRDefault="03A2A737" w14:paraId="4AE519DC" w14:textId="6405242F">
            <w:pPr>
              <w:pStyle w:val="Normal"/>
              <w:bidi w:val="0"/>
              <w:spacing w:line="360" w:lineRule="auto"/>
              <w:jc w:val="both"/>
              <w:rPr>
                <w:sz w:val="22"/>
                <w:szCs w:val="22"/>
              </w:rPr>
            </w:pPr>
            <w:r w:rsidRPr="37E63DBD" w:rsidR="03A2A737">
              <w:rPr>
                <w:sz w:val="22"/>
                <w:szCs w:val="22"/>
              </w:rPr>
              <w:t>1</w:t>
            </w:r>
          </w:p>
        </w:tc>
        <w:tc>
          <w:tcPr>
            <w:tcW w:w="2254" w:type="dxa"/>
            <w:tcMar/>
          </w:tcPr>
          <w:p w:rsidR="03A2A737" w:rsidP="37E63DBD" w:rsidRDefault="03A2A737" w14:paraId="639E3775" w14:textId="1C030091">
            <w:pPr>
              <w:pStyle w:val="Normal"/>
              <w:bidi w:val="0"/>
              <w:spacing w:line="360" w:lineRule="auto"/>
              <w:jc w:val="both"/>
              <w:rPr>
                <w:sz w:val="22"/>
                <w:szCs w:val="22"/>
              </w:rPr>
            </w:pPr>
            <w:r w:rsidRPr="37E63DBD" w:rsidR="03A2A737">
              <w:rPr>
                <w:sz w:val="22"/>
                <w:szCs w:val="22"/>
              </w:rPr>
              <w:t>0</w:t>
            </w:r>
          </w:p>
        </w:tc>
        <w:tc>
          <w:tcPr>
            <w:tcW w:w="2254" w:type="dxa"/>
            <w:tcMar/>
          </w:tcPr>
          <w:p w:rsidR="03A2A737" w:rsidP="37E63DBD" w:rsidRDefault="03A2A737" w14:paraId="3A16E540" w14:textId="5B33805F">
            <w:pPr>
              <w:pStyle w:val="Normal"/>
              <w:bidi w:val="0"/>
              <w:spacing w:line="360" w:lineRule="auto"/>
              <w:jc w:val="both"/>
              <w:rPr>
                <w:sz w:val="22"/>
                <w:szCs w:val="22"/>
              </w:rPr>
            </w:pPr>
            <w:r w:rsidRPr="37E63DBD" w:rsidR="03A2A737">
              <w:rPr>
                <w:sz w:val="22"/>
                <w:szCs w:val="22"/>
              </w:rPr>
              <w:t>0</w:t>
            </w:r>
          </w:p>
        </w:tc>
        <w:tc>
          <w:tcPr>
            <w:tcW w:w="2254" w:type="dxa"/>
            <w:tcMar/>
          </w:tcPr>
          <w:p w:rsidR="03A2A737" w:rsidP="37E63DBD" w:rsidRDefault="03A2A737" w14:paraId="5EEAFDE7" w14:textId="5E2D437A">
            <w:pPr>
              <w:pStyle w:val="Normal"/>
              <w:bidi w:val="0"/>
              <w:spacing w:line="360" w:lineRule="auto"/>
              <w:jc w:val="both"/>
              <w:rPr>
                <w:sz w:val="22"/>
                <w:szCs w:val="22"/>
              </w:rPr>
            </w:pPr>
            <w:r w:rsidRPr="37E63DBD" w:rsidR="03A2A737">
              <w:rPr>
                <w:sz w:val="22"/>
                <w:szCs w:val="22"/>
              </w:rPr>
              <w:t>0</w:t>
            </w:r>
          </w:p>
        </w:tc>
      </w:tr>
      <w:tr w:rsidR="37E63DBD" w:rsidTr="37E63DBD" w14:paraId="3F189ED7">
        <w:trPr>
          <w:trHeight w:val="300"/>
        </w:trPr>
        <w:tc>
          <w:tcPr>
            <w:tcW w:w="2254" w:type="dxa"/>
            <w:tcMar/>
          </w:tcPr>
          <w:p w:rsidR="03A2A737" w:rsidP="37E63DBD" w:rsidRDefault="03A2A737" w14:paraId="3FA5E54F" w14:textId="55DC4AF1">
            <w:pPr>
              <w:pStyle w:val="Normal"/>
              <w:bidi w:val="0"/>
              <w:spacing w:line="360" w:lineRule="auto"/>
              <w:jc w:val="both"/>
              <w:rPr>
                <w:sz w:val="22"/>
                <w:szCs w:val="22"/>
              </w:rPr>
            </w:pPr>
            <w:r w:rsidRPr="37E63DBD" w:rsidR="03A2A737">
              <w:rPr>
                <w:sz w:val="22"/>
                <w:szCs w:val="22"/>
              </w:rPr>
              <w:t>2</w:t>
            </w:r>
          </w:p>
        </w:tc>
        <w:tc>
          <w:tcPr>
            <w:tcW w:w="2254" w:type="dxa"/>
            <w:tcMar/>
          </w:tcPr>
          <w:p w:rsidR="03A2A737" w:rsidP="37E63DBD" w:rsidRDefault="03A2A737" w14:paraId="254AD97A" w14:textId="396C2A0E">
            <w:pPr>
              <w:pStyle w:val="Normal"/>
              <w:bidi w:val="0"/>
              <w:spacing w:line="360" w:lineRule="auto"/>
              <w:jc w:val="both"/>
              <w:rPr>
                <w:sz w:val="22"/>
                <w:szCs w:val="22"/>
              </w:rPr>
            </w:pPr>
            <w:r w:rsidRPr="37E63DBD" w:rsidR="03A2A737">
              <w:rPr>
                <w:sz w:val="22"/>
                <w:szCs w:val="22"/>
              </w:rPr>
              <w:t>60,000</w:t>
            </w:r>
          </w:p>
        </w:tc>
        <w:tc>
          <w:tcPr>
            <w:tcW w:w="2254" w:type="dxa"/>
            <w:tcMar/>
          </w:tcPr>
          <w:p w:rsidR="03A2A737" w:rsidP="37E63DBD" w:rsidRDefault="03A2A737" w14:paraId="443190C0" w14:textId="3A36FCFD">
            <w:pPr>
              <w:pStyle w:val="Normal"/>
              <w:bidi w:val="0"/>
              <w:spacing w:line="360" w:lineRule="auto"/>
              <w:jc w:val="both"/>
              <w:rPr>
                <w:sz w:val="22"/>
                <w:szCs w:val="22"/>
              </w:rPr>
            </w:pPr>
            <w:r w:rsidRPr="37E63DBD" w:rsidR="03A2A737">
              <w:rPr>
                <w:sz w:val="22"/>
                <w:szCs w:val="22"/>
              </w:rPr>
              <w:t>15,000</w:t>
            </w:r>
          </w:p>
        </w:tc>
        <w:tc>
          <w:tcPr>
            <w:tcW w:w="2254" w:type="dxa"/>
            <w:tcMar/>
          </w:tcPr>
          <w:p w:rsidR="03A2A737" w:rsidP="37E63DBD" w:rsidRDefault="03A2A737" w14:paraId="47D43EAE" w14:textId="750968B1">
            <w:pPr>
              <w:pStyle w:val="Normal"/>
              <w:bidi w:val="0"/>
              <w:spacing w:line="360" w:lineRule="auto"/>
              <w:jc w:val="both"/>
              <w:rPr>
                <w:sz w:val="22"/>
                <w:szCs w:val="22"/>
              </w:rPr>
            </w:pPr>
            <w:r w:rsidRPr="37E63DBD" w:rsidR="03A2A737">
              <w:rPr>
                <w:sz w:val="22"/>
                <w:szCs w:val="22"/>
              </w:rPr>
              <w:t>45,000</w:t>
            </w:r>
          </w:p>
        </w:tc>
      </w:tr>
      <w:tr w:rsidR="37E63DBD" w:rsidTr="37E63DBD" w14:paraId="6097812D">
        <w:trPr>
          <w:trHeight w:val="300"/>
        </w:trPr>
        <w:tc>
          <w:tcPr>
            <w:tcW w:w="2254" w:type="dxa"/>
            <w:tcMar/>
          </w:tcPr>
          <w:p w:rsidR="03A2A737" w:rsidP="37E63DBD" w:rsidRDefault="03A2A737" w14:paraId="4978D175" w14:textId="568CC412">
            <w:pPr>
              <w:pStyle w:val="Normal"/>
              <w:bidi w:val="0"/>
              <w:spacing w:line="360" w:lineRule="auto"/>
              <w:jc w:val="both"/>
              <w:rPr>
                <w:sz w:val="22"/>
                <w:szCs w:val="22"/>
              </w:rPr>
            </w:pPr>
            <w:r w:rsidRPr="37E63DBD" w:rsidR="03A2A737">
              <w:rPr>
                <w:sz w:val="22"/>
                <w:szCs w:val="22"/>
              </w:rPr>
              <w:t>3</w:t>
            </w:r>
          </w:p>
        </w:tc>
        <w:tc>
          <w:tcPr>
            <w:tcW w:w="2254" w:type="dxa"/>
            <w:tcMar/>
          </w:tcPr>
          <w:p w:rsidR="03A2A737" w:rsidP="37E63DBD" w:rsidRDefault="03A2A737" w14:paraId="47455A73" w14:textId="7DF26D23">
            <w:pPr>
              <w:pStyle w:val="Normal"/>
              <w:bidi w:val="0"/>
              <w:spacing w:line="360" w:lineRule="auto"/>
              <w:jc w:val="both"/>
              <w:rPr>
                <w:sz w:val="22"/>
                <w:szCs w:val="22"/>
              </w:rPr>
            </w:pPr>
            <w:r w:rsidRPr="37E63DBD" w:rsidR="03A2A737">
              <w:rPr>
                <w:sz w:val="22"/>
                <w:szCs w:val="22"/>
              </w:rPr>
              <w:t>150,000</w:t>
            </w:r>
          </w:p>
        </w:tc>
        <w:tc>
          <w:tcPr>
            <w:tcW w:w="2254" w:type="dxa"/>
            <w:tcMar/>
          </w:tcPr>
          <w:p w:rsidR="03A2A737" w:rsidP="37E63DBD" w:rsidRDefault="03A2A737" w14:paraId="3A79E97A" w14:textId="45F0442C">
            <w:pPr>
              <w:pStyle w:val="Normal"/>
              <w:bidi w:val="0"/>
              <w:spacing w:line="360" w:lineRule="auto"/>
              <w:jc w:val="both"/>
              <w:rPr>
                <w:sz w:val="22"/>
                <w:szCs w:val="22"/>
              </w:rPr>
            </w:pPr>
            <w:r w:rsidRPr="37E63DBD" w:rsidR="03A2A737">
              <w:rPr>
                <w:sz w:val="22"/>
                <w:szCs w:val="22"/>
              </w:rPr>
              <w:t>37,500</w:t>
            </w:r>
          </w:p>
        </w:tc>
        <w:tc>
          <w:tcPr>
            <w:tcW w:w="2254" w:type="dxa"/>
            <w:tcMar/>
          </w:tcPr>
          <w:p w:rsidR="03A2A737" w:rsidP="37E63DBD" w:rsidRDefault="03A2A737" w14:paraId="1C022651" w14:textId="1EB98E7D">
            <w:pPr>
              <w:pStyle w:val="Normal"/>
              <w:bidi w:val="0"/>
              <w:spacing w:line="360" w:lineRule="auto"/>
              <w:jc w:val="both"/>
              <w:rPr>
                <w:sz w:val="22"/>
                <w:szCs w:val="22"/>
              </w:rPr>
            </w:pPr>
            <w:r w:rsidRPr="37E63DBD" w:rsidR="03A2A737">
              <w:rPr>
                <w:sz w:val="22"/>
                <w:szCs w:val="22"/>
              </w:rPr>
              <w:t>112,500</w:t>
            </w:r>
          </w:p>
        </w:tc>
      </w:tr>
      <w:tr w:rsidR="37E63DBD" w:rsidTr="37E63DBD" w14:paraId="68D0ECC6">
        <w:trPr>
          <w:trHeight w:val="300"/>
        </w:trPr>
        <w:tc>
          <w:tcPr>
            <w:tcW w:w="2254" w:type="dxa"/>
            <w:tcMar/>
          </w:tcPr>
          <w:p w:rsidR="03A2A737" w:rsidP="37E63DBD" w:rsidRDefault="03A2A737" w14:paraId="0CF9B43A" w14:textId="7CE4DC07">
            <w:pPr>
              <w:pStyle w:val="Normal"/>
              <w:bidi w:val="0"/>
              <w:spacing w:line="360" w:lineRule="auto"/>
              <w:jc w:val="both"/>
              <w:rPr>
                <w:sz w:val="22"/>
                <w:szCs w:val="22"/>
              </w:rPr>
            </w:pPr>
            <w:r w:rsidRPr="37E63DBD" w:rsidR="03A2A737">
              <w:rPr>
                <w:sz w:val="22"/>
                <w:szCs w:val="22"/>
              </w:rPr>
              <w:t>4</w:t>
            </w:r>
          </w:p>
        </w:tc>
        <w:tc>
          <w:tcPr>
            <w:tcW w:w="2254" w:type="dxa"/>
            <w:tcMar/>
          </w:tcPr>
          <w:p w:rsidR="03A2A737" w:rsidP="37E63DBD" w:rsidRDefault="03A2A737" w14:paraId="15506D3C" w14:textId="0BF7F265">
            <w:pPr>
              <w:pStyle w:val="Normal"/>
              <w:bidi w:val="0"/>
              <w:spacing w:line="360" w:lineRule="auto"/>
              <w:jc w:val="both"/>
              <w:rPr>
                <w:sz w:val="22"/>
                <w:szCs w:val="22"/>
              </w:rPr>
            </w:pPr>
            <w:r w:rsidRPr="37E63DBD" w:rsidR="03A2A737">
              <w:rPr>
                <w:sz w:val="22"/>
                <w:szCs w:val="22"/>
              </w:rPr>
              <w:t>180,000</w:t>
            </w:r>
          </w:p>
        </w:tc>
        <w:tc>
          <w:tcPr>
            <w:tcW w:w="2254" w:type="dxa"/>
            <w:tcMar/>
          </w:tcPr>
          <w:p w:rsidR="03A2A737" w:rsidP="37E63DBD" w:rsidRDefault="03A2A737" w14:paraId="35A56E5E" w14:textId="7CDFBBBD">
            <w:pPr>
              <w:pStyle w:val="Normal"/>
              <w:bidi w:val="0"/>
              <w:spacing w:line="360" w:lineRule="auto"/>
              <w:jc w:val="both"/>
              <w:rPr>
                <w:sz w:val="22"/>
                <w:szCs w:val="22"/>
              </w:rPr>
            </w:pPr>
            <w:r w:rsidRPr="37E63DBD" w:rsidR="03A2A737">
              <w:rPr>
                <w:sz w:val="22"/>
                <w:szCs w:val="22"/>
              </w:rPr>
              <w:t>45,000</w:t>
            </w:r>
          </w:p>
        </w:tc>
        <w:tc>
          <w:tcPr>
            <w:tcW w:w="2254" w:type="dxa"/>
            <w:tcMar/>
          </w:tcPr>
          <w:p w:rsidR="03A2A737" w:rsidP="37E63DBD" w:rsidRDefault="03A2A737" w14:paraId="3D5E26BE" w14:textId="492D00C2">
            <w:pPr>
              <w:pStyle w:val="Normal"/>
              <w:bidi w:val="0"/>
              <w:spacing w:line="360" w:lineRule="auto"/>
              <w:jc w:val="both"/>
              <w:rPr>
                <w:sz w:val="22"/>
                <w:szCs w:val="22"/>
              </w:rPr>
            </w:pPr>
            <w:r w:rsidRPr="37E63DBD" w:rsidR="03A2A737">
              <w:rPr>
                <w:sz w:val="22"/>
                <w:szCs w:val="22"/>
              </w:rPr>
              <w:t>135,000</w:t>
            </w:r>
          </w:p>
        </w:tc>
      </w:tr>
    </w:tbl>
    <w:p w:rsidR="03A2A737" w:rsidP="37E63DBD" w:rsidRDefault="03A2A737" w14:paraId="7DBD570B" w14:textId="584581AD">
      <w:pPr>
        <w:pStyle w:val="Normal"/>
        <w:suppressLineNumbers w:val="0"/>
        <w:bidi w:val="0"/>
        <w:spacing w:before="0" w:beforeAutospacing="off" w:after="160" w:afterAutospacing="off" w:line="360" w:lineRule="auto"/>
        <w:ind w:left="0" w:right="0"/>
        <w:jc w:val="both"/>
        <w:rPr>
          <w:sz w:val="22"/>
          <w:szCs w:val="22"/>
        </w:rPr>
      </w:pPr>
      <w:r w:rsidRPr="37E63DBD" w:rsidR="03A2A737">
        <w:rPr>
          <w:sz w:val="22"/>
          <w:szCs w:val="22"/>
        </w:rPr>
        <w:t>Total profit = £292,500</w:t>
      </w:r>
      <w:r>
        <w:br/>
      </w:r>
      <w:r w:rsidRPr="37E63DBD" w:rsidR="1DB81998">
        <w:rPr>
          <w:sz w:val="22"/>
          <w:szCs w:val="22"/>
        </w:rPr>
        <w:t>Average annual profit = 292,500 / 4 = £73,125</w:t>
      </w:r>
    </w:p>
    <w:p w:rsidR="0D4B14FA" w:rsidP="37E63DBD" w:rsidRDefault="0D4B14FA" w14:paraId="5768DE30" w14:textId="7D46CA85">
      <w:pPr>
        <w:pStyle w:val="Normal"/>
        <w:spacing w:line="360" w:lineRule="auto"/>
        <w:ind w:left="0"/>
        <w:jc w:val="both"/>
        <w:rPr>
          <w:sz w:val="22"/>
          <w:szCs w:val="22"/>
        </w:rPr>
      </w:pPr>
      <w:r w:rsidRPr="37E63DBD" w:rsidR="0D4B14FA">
        <w:rPr>
          <w:sz w:val="22"/>
          <w:szCs w:val="22"/>
        </w:rPr>
        <w:t>ARR = 73,125 / 1,000,000 x 100 = 7.31%</w:t>
      </w:r>
    </w:p>
    <w:p w:rsidR="33F9BD71" w:rsidP="37E63DBD" w:rsidRDefault="33F9BD71" w14:paraId="65E4C3B8" w14:textId="7B935B34">
      <w:pPr>
        <w:pStyle w:val="Normal"/>
        <w:spacing w:line="360" w:lineRule="auto"/>
        <w:ind w:left="0"/>
        <w:jc w:val="both"/>
        <w:rPr>
          <w:b w:val="1"/>
          <w:bCs w:val="1"/>
          <w:sz w:val="22"/>
          <w:szCs w:val="22"/>
        </w:rPr>
      </w:pPr>
      <w:r w:rsidRPr="37E63DBD" w:rsidR="33F9BD71">
        <w:rPr>
          <w:b w:val="1"/>
          <w:bCs w:val="1"/>
          <w:sz w:val="22"/>
          <w:szCs w:val="22"/>
        </w:rPr>
        <w:t>Appendix 33</w:t>
      </w:r>
    </w:p>
    <w:p w:rsidR="33F9BD71" w:rsidP="37E63DBD" w:rsidRDefault="33F9BD71" w14:paraId="216A3B74" w14:textId="695F1B63">
      <w:pPr>
        <w:pStyle w:val="Normal"/>
        <w:spacing w:line="360" w:lineRule="auto"/>
        <w:ind w:left="0"/>
        <w:jc w:val="both"/>
        <w:rPr>
          <w:sz w:val="22"/>
          <w:szCs w:val="22"/>
        </w:rPr>
      </w:pPr>
      <w:r w:rsidRPr="37E63DBD" w:rsidR="33F9BD71">
        <w:rPr>
          <w:sz w:val="22"/>
          <w:szCs w:val="22"/>
        </w:rPr>
        <w:t>PV of future cash flows / initial investment</w:t>
      </w:r>
      <w:r>
        <w:br/>
      </w:r>
      <w:r w:rsidRPr="37E63DBD" w:rsidR="2987F2E5">
        <w:rPr>
          <w:sz w:val="22"/>
          <w:szCs w:val="22"/>
        </w:rPr>
        <w:t>1,000,000 + 219,755 / 1,000,000 = 1.22</w:t>
      </w:r>
    </w:p>
    <w:p w:rsidR="37E63DBD" w:rsidP="37E63DBD" w:rsidRDefault="37E63DBD" w14:paraId="7C1A68CC" w14:textId="704D2B0E">
      <w:pPr>
        <w:pStyle w:val="Normal"/>
        <w:spacing w:line="360" w:lineRule="auto"/>
        <w:ind w:left="0"/>
        <w:jc w:val="both"/>
        <w:rPr>
          <w:sz w:val="22"/>
          <w:szCs w:val="22"/>
        </w:rPr>
      </w:pPr>
    </w:p>
    <w:p w:rsidR="37E63DBD" w:rsidP="37E63DBD" w:rsidRDefault="37E63DBD" w14:paraId="16D3EE08" w14:textId="1EA6BCAA">
      <w:pPr>
        <w:pStyle w:val="Normal"/>
        <w:spacing w:line="360" w:lineRule="auto"/>
        <w:ind w:left="0"/>
        <w:jc w:val="both"/>
        <w:rPr>
          <w:sz w:val="22"/>
          <w:szCs w:val="22"/>
        </w:rPr>
      </w:pPr>
    </w:p>
    <w:p w:rsidR="37E63DBD" w:rsidP="37E63DBD" w:rsidRDefault="37E63DBD" w14:paraId="3D758BEC" w14:textId="33E6B899">
      <w:pPr>
        <w:pStyle w:val="Normal"/>
        <w:spacing w:line="360" w:lineRule="auto"/>
        <w:ind w:left="0"/>
        <w:jc w:val="both"/>
        <w:rPr>
          <w:sz w:val="22"/>
          <w:szCs w:val="22"/>
        </w:rPr>
      </w:pPr>
    </w:p>
    <w:p w:rsidR="37E63DBD" w:rsidP="37E63DBD" w:rsidRDefault="37E63DBD" w14:paraId="171CE7AC" w14:textId="2A61B2CF">
      <w:pPr>
        <w:pStyle w:val="Normal"/>
        <w:spacing w:line="360" w:lineRule="auto"/>
        <w:ind w:left="0"/>
        <w:jc w:val="both"/>
        <w:rPr>
          <w:sz w:val="22"/>
          <w:szCs w:val="22"/>
        </w:rPr>
      </w:pPr>
    </w:p>
    <w:p w:rsidR="37E63DBD" w:rsidP="37E63DBD" w:rsidRDefault="37E63DBD" w14:paraId="5A9C55EB" w14:textId="3700B3F7">
      <w:pPr>
        <w:pStyle w:val="Normal"/>
        <w:spacing w:line="360" w:lineRule="auto"/>
        <w:ind w:left="0"/>
        <w:jc w:val="both"/>
        <w:rPr>
          <w:sz w:val="22"/>
          <w:szCs w:val="22"/>
        </w:rPr>
      </w:pPr>
    </w:p>
    <w:p w:rsidR="37E63DBD" w:rsidP="37E63DBD" w:rsidRDefault="37E63DBD" w14:paraId="592ECC0C" w14:textId="4764B072">
      <w:pPr>
        <w:pStyle w:val="Normal"/>
        <w:spacing w:line="360" w:lineRule="auto"/>
        <w:ind w:left="0"/>
        <w:jc w:val="both"/>
        <w:rPr>
          <w:sz w:val="22"/>
          <w:szCs w:val="22"/>
        </w:rPr>
      </w:pPr>
    </w:p>
    <w:p w:rsidR="37E63DBD" w:rsidP="37E63DBD" w:rsidRDefault="37E63DBD" w14:paraId="6DDD098E" w14:textId="6E856F24">
      <w:pPr>
        <w:pStyle w:val="Normal"/>
        <w:spacing w:line="360" w:lineRule="auto"/>
        <w:ind w:left="0"/>
        <w:jc w:val="both"/>
        <w:rPr>
          <w:sz w:val="22"/>
          <w:szCs w:val="22"/>
        </w:rPr>
      </w:pPr>
    </w:p>
    <w:p w:rsidR="0DFE3CF9" w:rsidP="37E63DBD" w:rsidRDefault="0DFE3CF9" w14:paraId="549ACD35" w14:textId="48F5B262">
      <w:pPr>
        <w:pStyle w:val="Normal"/>
        <w:spacing w:line="360" w:lineRule="auto"/>
        <w:ind w:left="0"/>
        <w:jc w:val="both"/>
        <w:rPr>
          <w:b w:val="1"/>
          <w:bCs w:val="1"/>
          <w:sz w:val="22"/>
          <w:szCs w:val="22"/>
        </w:rPr>
      </w:pPr>
      <w:r w:rsidRPr="37E63DBD" w:rsidR="0DFE3CF9">
        <w:rPr>
          <w:b w:val="1"/>
          <w:bCs w:val="1"/>
          <w:sz w:val="22"/>
          <w:szCs w:val="22"/>
        </w:rPr>
        <w:t>Appendix 34</w:t>
      </w:r>
    </w:p>
    <w:p w:rsidR="3AB439D3" w:rsidP="37E63DBD" w:rsidRDefault="3AB439D3" w14:paraId="631EEB02" w14:textId="71931469">
      <w:pPr>
        <w:pStyle w:val="Normal"/>
        <w:spacing w:line="360" w:lineRule="auto"/>
        <w:ind w:left="0"/>
        <w:jc w:val="both"/>
        <w:rPr>
          <w:sz w:val="22"/>
          <w:szCs w:val="22"/>
        </w:rPr>
      </w:pPr>
      <w:r w:rsidRPr="37E63DBD" w:rsidR="3AB439D3">
        <w:rPr>
          <w:sz w:val="22"/>
          <w:szCs w:val="22"/>
        </w:rPr>
        <w:t xml:space="preserve">Fully fund Project C leaves £500,000 </w:t>
      </w:r>
      <w:r w:rsidRPr="37E63DBD" w:rsidR="3AB439D3">
        <w:rPr>
          <w:sz w:val="22"/>
          <w:szCs w:val="22"/>
        </w:rPr>
        <w:t>remaining</w:t>
      </w:r>
      <w:r w:rsidRPr="37E63DBD" w:rsidR="3AB439D3">
        <w:rPr>
          <w:sz w:val="22"/>
          <w:szCs w:val="22"/>
        </w:rPr>
        <w:t xml:space="preserve"> towards Project B.</w:t>
      </w:r>
      <w:r>
        <w:br/>
      </w:r>
      <w:r w:rsidRPr="37E63DBD" w:rsidR="3AB439D3">
        <w:rPr>
          <w:sz w:val="22"/>
          <w:szCs w:val="22"/>
        </w:rPr>
        <w:t>500,000 / 900,000 = 55.6%</w:t>
      </w:r>
    </w:p>
    <w:p w:rsidR="3AB439D3" w:rsidP="37E63DBD" w:rsidRDefault="3AB439D3" w14:paraId="7C8246EF" w14:textId="513E1129">
      <w:pPr>
        <w:pStyle w:val="Normal"/>
        <w:suppressLineNumbers w:val="0"/>
        <w:bidi w:val="0"/>
        <w:spacing w:before="0" w:beforeAutospacing="off" w:after="160" w:afterAutospacing="off" w:line="360" w:lineRule="auto"/>
        <w:ind w:left="0" w:right="0"/>
        <w:jc w:val="both"/>
        <w:rPr>
          <w:sz w:val="22"/>
          <w:szCs w:val="22"/>
        </w:rPr>
      </w:pPr>
      <w:r w:rsidRPr="37E63DBD" w:rsidR="3AB439D3">
        <w:rPr>
          <w:sz w:val="22"/>
          <w:szCs w:val="22"/>
        </w:rPr>
        <w:t>B’s NPV (186,014) x 0.556 = 103</w:t>
      </w:r>
      <w:r w:rsidRPr="37E63DBD" w:rsidR="6A7EED5A">
        <w:rPr>
          <w:sz w:val="22"/>
          <w:szCs w:val="22"/>
        </w:rPr>
        <w:t>, 424</w:t>
      </w:r>
    </w:p>
    <w:tbl>
      <w:tblPr>
        <w:tblStyle w:val="TableGrid"/>
        <w:tblW w:w="0" w:type="auto"/>
        <w:tblLook w:val="06A0" w:firstRow="1" w:lastRow="0" w:firstColumn="1" w:lastColumn="0" w:noHBand="1" w:noVBand="1"/>
      </w:tblPr>
      <w:tblGrid>
        <w:gridCol w:w="1803"/>
        <w:gridCol w:w="1803"/>
        <w:gridCol w:w="1803"/>
        <w:gridCol w:w="1803"/>
        <w:gridCol w:w="1803"/>
      </w:tblGrid>
      <w:tr w:rsidR="37E63DBD" w:rsidTr="37E63DBD" w14:paraId="24FA61F2">
        <w:trPr>
          <w:trHeight w:val="300"/>
        </w:trPr>
        <w:tc>
          <w:tcPr>
            <w:tcW w:w="1803" w:type="dxa"/>
            <w:tcMar/>
          </w:tcPr>
          <w:p w:rsidR="3AB439D3" w:rsidP="37E63DBD" w:rsidRDefault="3AB439D3" w14:paraId="0E3AD689" w14:textId="60EE140E">
            <w:pPr>
              <w:pStyle w:val="Normal"/>
              <w:spacing w:line="360" w:lineRule="auto"/>
              <w:jc w:val="both"/>
              <w:rPr>
                <w:sz w:val="22"/>
                <w:szCs w:val="22"/>
              </w:rPr>
            </w:pPr>
            <w:r w:rsidRPr="37E63DBD" w:rsidR="3AB439D3">
              <w:rPr>
                <w:sz w:val="22"/>
                <w:szCs w:val="22"/>
              </w:rPr>
              <w:t>Project</w:t>
            </w:r>
          </w:p>
        </w:tc>
        <w:tc>
          <w:tcPr>
            <w:tcW w:w="1803" w:type="dxa"/>
            <w:tcMar/>
          </w:tcPr>
          <w:p w:rsidR="3AB439D3" w:rsidP="37E63DBD" w:rsidRDefault="3AB439D3" w14:paraId="5D4F7E4E" w14:textId="503D7832">
            <w:pPr>
              <w:pStyle w:val="Normal"/>
              <w:spacing w:line="360" w:lineRule="auto"/>
              <w:jc w:val="both"/>
              <w:rPr>
                <w:sz w:val="22"/>
                <w:szCs w:val="22"/>
              </w:rPr>
            </w:pPr>
            <w:r w:rsidRPr="37E63DBD" w:rsidR="3AB439D3">
              <w:rPr>
                <w:sz w:val="22"/>
                <w:szCs w:val="22"/>
              </w:rPr>
              <w:t>Investment</w:t>
            </w:r>
          </w:p>
        </w:tc>
        <w:tc>
          <w:tcPr>
            <w:tcW w:w="1803" w:type="dxa"/>
            <w:tcMar/>
          </w:tcPr>
          <w:p w:rsidR="3AB439D3" w:rsidP="37E63DBD" w:rsidRDefault="3AB439D3" w14:paraId="015C248F" w14:textId="22DCAEAE">
            <w:pPr>
              <w:pStyle w:val="Normal"/>
              <w:spacing w:line="360" w:lineRule="auto"/>
              <w:jc w:val="both"/>
              <w:rPr>
                <w:sz w:val="22"/>
                <w:szCs w:val="22"/>
              </w:rPr>
            </w:pPr>
            <w:r w:rsidRPr="37E63DBD" w:rsidR="3AB439D3">
              <w:rPr>
                <w:sz w:val="22"/>
                <w:szCs w:val="22"/>
              </w:rPr>
              <w:t>Proportion Undertaken</w:t>
            </w:r>
          </w:p>
        </w:tc>
        <w:tc>
          <w:tcPr>
            <w:tcW w:w="1803" w:type="dxa"/>
            <w:tcMar/>
          </w:tcPr>
          <w:p w:rsidR="3AB439D3" w:rsidP="37E63DBD" w:rsidRDefault="3AB439D3" w14:paraId="07A98F88" w14:textId="6E70ADD8">
            <w:pPr>
              <w:pStyle w:val="Normal"/>
              <w:spacing w:line="360" w:lineRule="auto"/>
              <w:jc w:val="both"/>
              <w:rPr>
                <w:sz w:val="22"/>
                <w:szCs w:val="22"/>
              </w:rPr>
            </w:pPr>
            <w:r w:rsidRPr="37E63DBD" w:rsidR="3AB439D3">
              <w:rPr>
                <w:sz w:val="22"/>
                <w:szCs w:val="22"/>
              </w:rPr>
              <w:t>Full Project NPV</w:t>
            </w:r>
          </w:p>
        </w:tc>
        <w:tc>
          <w:tcPr>
            <w:tcW w:w="1803" w:type="dxa"/>
            <w:tcMar/>
          </w:tcPr>
          <w:p w:rsidR="3AB439D3" w:rsidP="37E63DBD" w:rsidRDefault="3AB439D3" w14:paraId="1B7BC036" w14:textId="7443BDD6">
            <w:pPr>
              <w:pStyle w:val="Normal"/>
              <w:spacing w:line="360" w:lineRule="auto"/>
              <w:jc w:val="both"/>
              <w:rPr>
                <w:sz w:val="22"/>
                <w:szCs w:val="22"/>
              </w:rPr>
            </w:pPr>
            <w:r w:rsidRPr="37E63DBD" w:rsidR="3AB439D3">
              <w:rPr>
                <w:sz w:val="22"/>
                <w:szCs w:val="22"/>
              </w:rPr>
              <w:t>Adjusted NPV Contribution</w:t>
            </w:r>
          </w:p>
        </w:tc>
      </w:tr>
      <w:tr w:rsidR="37E63DBD" w:rsidTr="37E63DBD" w14:paraId="30A41173">
        <w:trPr>
          <w:trHeight w:val="300"/>
        </w:trPr>
        <w:tc>
          <w:tcPr>
            <w:tcW w:w="1803" w:type="dxa"/>
            <w:tcMar/>
          </w:tcPr>
          <w:p w:rsidR="3AB439D3" w:rsidP="37E63DBD" w:rsidRDefault="3AB439D3" w14:paraId="38BAF58A" w14:textId="2FCBD482">
            <w:pPr>
              <w:pStyle w:val="Normal"/>
              <w:spacing w:line="360" w:lineRule="auto"/>
              <w:jc w:val="both"/>
              <w:rPr>
                <w:sz w:val="22"/>
                <w:szCs w:val="22"/>
              </w:rPr>
            </w:pPr>
            <w:r w:rsidRPr="37E63DBD" w:rsidR="3AB439D3">
              <w:rPr>
                <w:sz w:val="22"/>
                <w:szCs w:val="22"/>
              </w:rPr>
              <w:t>C</w:t>
            </w:r>
          </w:p>
        </w:tc>
        <w:tc>
          <w:tcPr>
            <w:tcW w:w="1803" w:type="dxa"/>
            <w:tcMar/>
          </w:tcPr>
          <w:p w:rsidR="3AB439D3" w:rsidP="37E63DBD" w:rsidRDefault="3AB439D3" w14:paraId="2F08A7DC" w14:textId="65495D87">
            <w:pPr>
              <w:pStyle w:val="Normal"/>
              <w:spacing w:line="360" w:lineRule="auto"/>
              <w:jc w:val="both"/>
              <w:rPr>
                <w:sz w:val="22"/>
                <w:szCs w:val="22"/>
              </w:rPr>
            </w:pPr>
            <w:r w:rsidRPr="37E63DBD" w:rsidR="3AB439D3">
              <w:rPr>
                <w:sz w:val="22"/>
                <w:szCs w:val="22"/>
              </w:rPr>
              <w:t>1,000,000</w:t>
            </w:r>
          </w:p>
        </w:tc>
        <w:tc>
          <w:tcPr>
            <w:tcW w:w="1803" w:type="dxa"/>
            <w:tcMar/>
          </w:tcPr>
          <w:p w:rsidR="3AB439D3" w:rsidP="37E63DBD" w:rsidRDefault="3AB439D3" w14:paraId="7FC3C330" w14:textId="791ADB08">
            <w:pPr>
              <w:pStyle w:val="Normal"/>
              <w:spacing w:line="360" w:lineRule="auto"/>
              <w:jc w:val="both"/>
              <w:rPr>
                <w:sz w:val="22"/>
                <w:szCs w:val="22"/>
              </w:rPr>
            </w:pPr>
            <w:r w:rsidRPr="37E63DBD" w:rsidR="3AB439D3">
              <w:rPr>
                <w:sz w:val="22"/>
                <w:szCs w:val="22"/>
              </w:rPr>
              <w:t>100%</w:t>
            </w:r>
          </w:p>
        </w:tc>
        <w:tc>
          <w:tcPr>
            <w:tcW w:w="1803" w:type="dxa"/>
            <w:tcMar/>
          </w:tcPr>
          <w:p w:rsidR="3AB439D3" w:rsidP="37E63DBD" w:rsidRDefault="3AB439D3" w14:paraId="08B5B490" w14:textId="6F38FE3D">
            <w:pPr>
              <w:pStyle w:val="Normal"/>
              <w:spacing w:line="360" w:lineRule="auto"/>
              <w:jc w:val="both"/>
              <w:rPr>
                <w:sz w:val="22"/>
                <w:szCs w:val="22"/>
              </w:rPr>
            </w:pPr>
            <w:r w:rsidRPr="37E63DBD" w:rsidR="3AB439D3">
              <w:rPr>
                <w:sz w:val="22"/>
                <w:szCs w:val="22"/>
              </w:rPr>
              <w:t>219,755</w:t>
            </w:r>
          </w:p>
        </w:tc>
        <w:tc>
          <w:tcPr>
            <w:tcW w:w="1803" w:type="dxa"/>
            <w:tcMar/>
          </w:tcPr>
          <w:p w:rsidR="3AB439D3" w:rsidP="37E63DBD" w:rsidRDefault="3AB439D3" w14:paraId="7FC5BAEE" w14:textId="7237F0B9">
            <w:pPr>
              <w:pStyle w:val="Normal"/>
              <w:spacing w:line="360" w:lineRule="auto"/>
              <w:jc w:val="both"/>
              <w:rPr>
                <w:sz w:val="22"/>
                <w:szCs w:val="22"/>
              </w:rPr>
            </w:pPr>
            <w:r w:rsidRPr="37E63DBD" w:rsidR="3AB439D3">
              <w:rPr>
                <w:sz w:val="22"/>
                <w:szCs w:val="22"/>
              </w:rPr>
              <w:t>219,755</w:t>
            </w:r>
          </w:p>
        </w:tc>
      </w:tr>
      <w:tr w:rsidR="37E63DBD" w:rsidTr="37E63DBD" w14:paraId="237BED50">
        <w:trPr>
          <w:trHeight w:val="300"/>
        </w:trPr>
        <w:tc>
          <w:tcPr>
            <w:tcW w:w="1803" w:type="dxa"/>
            <w:tcMar/>
          </w:tcPr>
          <w:p w:rsidR="3AB439D3" w:rsidP="37E63DBD" w:rsidRDefault="3AB439D3" w14:paraId="188164BD" w14:textId="7098B56D">
            <w:pPr>
              <w:pStyle w:val="Normal"/>
              <w:spacing w:line="360" w:lineRule="auto"/>
              <w:jc w:val="both"/>
              <w:rPr>
                <w:sz w:val="22"/>
                <w:szCs w:val="22"/>
              </w:rPr>
            </w:pPr>
            <w:r w:rsidRPr="37E63DBD" w:rsidR="3AB439D3">
              <w:rPr>
                <w:sz w:val="22"/>
                <w:szCs w:val="22"/>
              </w:rPr>
              <w:t>B</w:t>
            </w:r>
          </w:p>
        </w:tc>
        <w:tc>
          <w:tcPr>
            <w:tcW w:w="1803" w:type="dxa"/>
            <w:tcMar/>
          </w:tcPr>
          <w:p w:rsidR="3AB439D3" w:rsidP="37E63DBD" w:rsidRDefault="3AB439D3" w14:paraId="5048C36F" w14:textId="12AA2BE8">
            <w:pPr>
              <w:pStyle w:val="Normal"/>
              <w:spacing w:line="360" w:lineRule="auto"/>
              <w:jc w:val="both"/>
              <w:rPr>
                <w:sz w:val="22"/>
                <w:szCs w:val="22"/>
              </w:rPr>
            </w:pPr>
            <w:r w:rsidRPr="37E63DBD" w:rsidR="3AB439D3">
              <w:rPr>
                <w:sz w:val="22"/>
                <w:szCs w:val="22"/>
              </w:rPr>
              <w:t>900,000</w:t>
            </w:r>
          </w:p>
        </w:tc>
        <w:tc>
          <w:tcPr>
            <w:tcW w:w="1803" w:type="dxa"/>
            <w:tcMar/>
          </w:tcPr>
          <w:p w:rsidR="3AB439D3" w:rsidP="37E63DBD" w:rsidRDefault="3AB439D3" w14:paraId="216404AC" w14:textId="0BD72541">
            <w:pPr>
              <w:pStyle w:val="Normal"/>
              <w:spacing w:line="360" w:lineRule="auto"/>
              <w:jc w:val="both"/>
              <w:rPr>
                <w:sz w:val="22"/>
                <w:szCs w:val="22"/>
              </w:rPr>
            </w:pPr>
            <w:r w:rsidRPr="37E63DBD" w:rsidR="3AB439D3">
              <w:rPr>
                <w:sz w:val="22"/>
                <w:szCs w:val="22"/>
              </w:rPr>
              <w:t>55.6%</w:t>
            </w:r>
          </w:p>
        </w:tc>
        <w:tc>
          <w:tcPr>
            <w:tcW w:w="1803" w:type="dxa"/>
            <w:tcMar/>
          </w:tcPr>
          <w:p w:rsidR="3AB439D3" w:rsidP="37E63DBD" w:rsidRDefault="3AB439D3" w14:paraId="6D4C8847" w14:textId="2E0B88CE">
            <w:pPr>
              <w:pStyle w:val="Normal"/>
              <w:spacing w:line="360" w:lineRule="auto"/>
              <w:jc w:val="both"/>
              <w:rPr>
                <w:sz w:val="22"/>
                <w:szCs w:val="22"/>
              </w:rPr>
            </w:pPr>
            <w:r w:rsidRPr="37E63DBD" w:rsidR="3AB439D3">
              <w:rPr>
                <w:sz w:val="22"/>
                <w:szCs w:val="22"/>
              </w:rPr>
              <w:t>186,014</w:t>
            </w:r>
          </w:p>
        </w:tc>
        <w:tc>
          <w:tcPr>
            <w:tcW w:w="1803" w:type="dxa"/>
            <w:tcMar/>
          </w:tcPr>
          <w:p w:rsidR="3AB439D3" w:rsidP="37E63DBD" w:rsidRDefault="3AB439D3" w14:paraId="0C88797D" w14:textId="22C9824B">
            <w:pPr>
              <w:pStyle w:val="Normal"/>
              <w:spacing w:line="360" w:lineRule="auto"/>
              <w:jc w:val="both"/>
              <w:rPr>
                <w:sz w:val="22"/>
                <w:szCs w:val="22"/>
              </w:rPr>
            </w:pPr>
            <w:r w:rsidRPr="37E63DBD" w:rsidR="3AB439D3">
              <w:rPr>
                <w:sz w:val="22"/>
                <w:szCs w:val="22"/>
              </w:rPr>
              <w:t>103,</w:t>
            </w:r>
            <w:r w:rsidRPr="37E63DBD" w:rsidR="69CD48E9">
              <w:rPr>
                <w:sz w:val="22"/>
                <w:szCs w:val="22"/>
              </w:rPr>
              <w:t>424</w:t>
            </w:r>
          </w:p>
        </w:tc>
      </w:tr>
      <w:tr w:rsidR="37E63DBD" w:rsidTr="37E63DBD" w14:paraId="7DF04E0D">
        <w:trPr>
          <w:trHeight w:val="300"/>
        </w:trPr>
        <w:tc>
          <w:tcPr>
            <w:tcW w:w="1803" w:type="dxa"/>
            <w:tcMar/>
          </w:tcPr>
          <w:p w:rsidR="3AB439D3" w:rsidP="37E63DBD" w:rsidRDefault="3AB439D3" w14:paraId="3823A0EA" w14:textId="36774907">
            <w:pPr>
              <w:pStyle w:val="Normal"/>
              <w:spacing w:line="360" w:lineRule="auto"/>
              <w:jc w:val="both"/>
              <w:rPr>
                <w:sz w:val="22"/>
                <w:szCs w:val="22"/>
              </w:rPr>
            </w:pPr>
            <w:r w:rsidRPr="37E63DBD" w:rsidR="3AB439D3">
              <w:rPr>
                <w:sz w:val="22"/>
                <w:szCs w:val="22"/>
              </w:rPr>
              <w:t>A</w:t>
            </w:r>
          </w:p>
        </w:tc>
        <w:tc>
          <w:tcPr>
            <w:tcW w:w="1803" w:type="dxa"/>
            <w:tcMar/>
          </w:tcPr>
          <w:p w:rsidR="3AB439D3" w:rsidP="37E63DBD" w:rsidRDefault="3AB439D3" w14:paraId="10104EB7" w14:textId="578E02D2">
            <w:pPr>
              <w:pStyle w:val="Normal"/>
              <w:spacing w:line="360" w:lineRule="auto"/>
              <w:jc w:val="both"/>
              <w:rPr>
                <w:sz w:val="22"/>
                <w:szCs w:val="22"/>
              </w:rPr>
            </w:pPr>
            <w:r w:rsidRPr="37E63DBD" w:rsidR="3AB439D3">
              <w:rPr>
                <w:sz w:val="22"/>
                <w:szCs w:val="22"/>
              </w:rPr>
              <w:t>600,000</w:t>
            </w:r>
          </w:p>
        </w:tc>
        <w:tc>
          <w:tcPr>
            <w:tcW w:w="1803" w:type="dxa"/>
            <w:tcMar/>
          </w:tcPr>
          <w:p w:rsidR="3AB439D3" w:rsidP="37E63DBD" w:rsidRDefault="3AB439D3" w14:paraId="7060830E" w14:textId="5F287F8E">
            <w:pPr>
              <w:pStyle w:val="Normal"/>
              <w:spacing w:line="360" w:lineRule="auto"/>
              <w:jc w:val="both"/>
              <w:rPr>
                <w:sz w:val="22"/>
                <w:szCs w:val="22"/>
              </w:rPr>
            </w:pPr>
            <w:r w:rsidRPr="37E63DBD" w:rsidR="3AB439D3">
              <w:rPr>
                <w:sz w:val="22"/>
                <w:szCs w:val="22"/>
              </w:rPr>
              <w:t>0%</w:t>
            </w:r>
          </w:p>
        </w:tc>
        <w:tc>
          <w:tcPr>
            <w:tcW w:w="1803" w:type="dxa"/>
            <w:tcMar/>
          </w:tcPr>
          <w:p w:rsidR="3AB439D3" w:rsidP="37E63DBD" w:rsidRDefault="3AB439D3" w14:paraId="693CD3E9" w14:textId="3107BA06">
            <w:pPr>
              <w:pStyle w:val="Normal"/>
              <w:spacing w:line="360" w:lineRule="auto"/>
              <w:jc w:val="both"/>
              <w:rPr>
                <w:sz w:val="22"/>
                <w:szCs w:val="22"/>
              </w:rPr>
            </w:pPr>
            <w:r w:rsidRPr="37E63DBD" w:rsidR="3AB439D3">
              <w:rPr>
                <w:sz w:val="22"/>
                <w:szCs w:val="22"/>
              </w:rPr>
              <w:t>-7,962</w:t>
            </w:r>
          </w:p>
        </w:tc>
        <w:tc>
          <w:tcPr>
            <w:tcW w:w="1803" w:type="dxa"/>
            <w:tcMar/>
          </w:tcPr>
          <w:p w:rsidR="3AB439D3" w:rsidP="37E63DBD" w:rsidRDefault="3AB439D3" w14:paraId="1162162D" w14:textId="6581EFA7">
            <w:pPr>
              <w:pStyle w:val="Normal"/>
              <w:spacing w:line="360" w:lineRule="auto"/>
              <w:jc w:val="both"/>
              <w:rPr>
                <w:sz w:val="22"/>
                <w:szCs w:val="22"/>
              </w:rPr>
            </w:pPr>
            <w:r w:rsidRPr="37E63DBD" w:rsidR="3AB439D3">
              <w:rPr>
                <w:sz w:val="22"/>
                <w:szCs w:val="22"/>
              </w:rPr>
              <w:t>0</w:t>
            </w:r>
          </w:p>
        </w:tc>
      </w:tr>
    </w:tbl>
    <w:p w:rsidR="3C2D7BE7" w:rsidP="37E63DBD" w:rsidRDefault="3C2D7BE7" w14:paraId="0480E575" w14:textId="0FA989F8">
      <w:pPr>
        <w:pStyle w:val="Normal"/>
        <w:spacing w:line="360" w:lineRule="auto"/>
        <w:ind w:left="0"/>
        <w:jc w:val="both"/>
        <w:rPr>
          <w:sz w:val="22"/>
          <w:szCs w:val="22"/>
        </w:rPr>
      </w:pPr>
      <w:r w:rsidRPr="37E63DBD" w:rsidR="3C2D7BE7">
        <w:rPr>
          <w:sz w:val="22"/>
          <w:szCs w:val="22"/>
        </w:rPr>
        <w:t>Total NPV = £323,127</w:t>
      </w:r>
    </w:p>
    <w:sectPr>
      <w:pgSz w:w="11906" w:h="16838" w:orient="portrait"/>
      <w:pgMar w:top="1440" w:right="1440" w:bottom="1440" w:left="1440" w:header="720" w:footer="720" w:gutter="0"/>
      <w:cols w:space="720"/>
      <w:docGrid w:linePitch="360"/>
      <w:headerReference w:type="default" r:id="R8c6ee155e366474a"/>
      <w:footerReference w:type="default" r:id="Rbb39ea24275446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C1BB00" w:rsidTr="37E63DBD" w14:paraId="5E675ADC">
      <w:trPr>
        <w:trHeight w:val="300"/>
      </w:trPr>
      <w:tc>
        <w:tcPr>
          <w:tcW w:w="3005" w:type="dxa"/>
          <w:tcMar/>
        </w:tcPr>
        <w:p w:rsidR="0AC1BB00" w:rsidP="0AC1BB00" w:rsidRDefault="0AC1BB00" w14:paraId="11098BA9" w14:textId="58DB9EAB">
          <w:pPr>
            <w:pStyle w:val="Header"/>
            <w:bidi w:val="0"/>
            <w:ind w:left="-115"/>
            <w:jc w:val="left"/>
          </w:pPr>
        </w:p>
      </w:tc>
      <w:tc>
        <w:tcPr>
          <w:tcW w:w="3005" w:type="dxa"/>
          <w:tcMar/>
        </w:tcPr>
        <w:p w:rsidR="0AC1BB00" w:rsidP="0AC1BB00" w:rsidRDefault="0AC1BB00" w14:paraId="440324E1" w14:textId="16371604">
          <w:pPr>
            <w:pStyle w:val="Header"/>
            <w:bidi w:val="0"/>
            <w:jc w:val="center"/>
          </w:pPr>
        </w:p>
      </w:tc>
      <w:tc>
        <w:tcPr>
          <w:tcW w:w="3005" w:type="dxa"/>
          <w:tcMar/>
        </w:tcPr>
        <w:p w:rsidR="0AC1BB00" w:rsidP="0AC1BB00" w:rsidRDefault="0AC1BB00" w14:paraId="55A3355D" w14:textId="62C81F68">
          <w:pPr>
            <w:pStyle w:val="Header"/>
            <w:bidi w:val="0"/>
            <w:ind w:right="-115"/>
            <w:jc w:val="right"/>
          </w:pPr>
          <w:r>
            <w:fldChar w:fldCharType="begin"/>
          </w:r>
          <w:r>
            <w:instrText xml:space="preserve">PAGE</w:instrText>
          </w:r>
          <w:r>
            <w:fldChar w:fldCharType="separate"/>
          </w:r>
          <w:r>
            <w:fldChar w:fldCharType="end"/>
          </w:r>
        </w:p>
      </w:tc>
    </w:tr>
  </w:tbl>
  <w:p w:rsidR="0AC1BB00" w:rsidP="0AC1BB00" w:rsidRDefault="0AC1BB00" w14:paraId="4B1624C9" w14:textId="2DC893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C1BB00" w:rsidTr="37E63DBD" w14:paraId="2F494A09">
      <w:trPr>
        <w:trHeight w:val="300"/>
      </w:trPr>
      <w:tc>
        <w:tcPr>
          <w:tcW w:w="3005" w:type="dxa"/>
          <w:tcMar/>
        </w:tcPr>
        <w:p w:rsidR="0AC1BB00" w:rsidP="0AC1BB00" w:rsidRDefault="0AC1BB00" w14:paraId="497E3AA2" w14:textId="7004062C">
          <w:pPr>
            <w:pStyle w:val="Header"/>
            <w:bidi w:val="0"/>
            <w:ind w:left="-115"/>
            <w:jc w:val="left"/>
          </w:pPr>
        </w:p>
      </w:tc>
      <w:tc>
        <w:tcPr>
          <w:tcW w:w="3005" w:type="dxa"/>
          <w:tcMar/>
        </w:tcPr>
        <w:p w:rsidR="0AC1BB00" w:rsidP="0AC1BB00" w:rsidRDefault="0AC1BB00" w14:paraId="23C30A06" w14:textId="6EE20BC3">
          <w:pPr>
            <w:pStyle w:val="Header"/>
            <w:bidi w:val="0"/>
            <w:jc w:val="center"/>
          </w:pPr>
        </w:p>
      </w:tc>
      <w:tc>
        <w:tcPr>
          <w:tcW w:w="3005" w:type="dxa"/>
          <w:tcMar/>
        </w:tcPr>
        <w:p w:rsidR="0AC1BB00" w:rsidP="0AC1BB00" w:rsidRDefault="0AC1BB00" w14:paraId="06D8698E" w14:textId="77D08899">
          <w:pPr>
            <w:pStyle w:val="Header"/>
            <w:bidi w:val="0"/>
            <w:ind w:right="-115"/>
            <w:jc w:val="right"/>
          </w:pPr>
        </w:p>
      </w:tc>
    </w:tr>
  </w:tbl>
  <w:p w:rsidR="0AC1BB00" w:rsidP="0AC1BB00" w:rsidRDefault="0AC1BB00" w14:paraId="5FD0C31F" w14:textId="09C055A2">
    <w:pPr>
      <w:pStyle w:val="Header"/>
      <w:bidi w:val="0"/>
    </w:pPr>
  </w:p>
</w:hdr>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1fe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2df4c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12c6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8a09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920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d50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aaf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33dab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1735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0BC192"/>
    <w:rsid w:val="0014657B"/>
    <w:rsid w:val="001510C0"/>
    <w:rsid w:val="00378900"/>
    <w:rsid w:val="007E6491"/>
    <w:rsid w:val="0094B3CB"/>
    <w:rsid w:val="00C29B17"/>
    <w:rsid w:val="00CB1F8B"/>
    <w:rsid w:val="00D97FBC"/>
    <w:rsid w:val="00DCF3BE"/>
    <w:rsid w:val="00EF5FF6"/>
    <w:rsid w:val="00FBE611"/>
    <w:rsid w:val="0198A5B3"/>
    <w:rsid w:val="01A09942"/>
    <w:rsid w:val="01B3B55E"/>
    <w:rsid w:val="01ED34DB"/>
    <w:rsid w:val="01F9D920"/>
    <w:rsid w:val="020E639E"/>
    <w:rsid w:val="021891C7"/>
    <w:rsid w:val="0256E5C1"/>
    <w:rsid w:val="026D4A88"/>
    <w:rsid w:val="027E7677"/>
    <w:rsid w:val="029B9039"/>
    <w:rsid w:val="02A0BD48"/>
    <w:rsid w:val="02CB6714"/>
    <w:rsid w:val="02E5E26D"/>
    <w:rsid w:val="02EC1219"/>
    <w:rsid w:val="02EFA3DA"/>
    <w:rsid w:val="02F1A81B"/>
    <w:rsid w:val="030468BA"/>
    <w:rsid w:val="033F37F8"/>
    <w:rsid w:val="034C011D"/>
    <w:rsid w:val="03639419"/>
    <w:rsid w:val="036E3863"/>
    <w:rsid w:val="03823401"/>
    <w:rsid w:val="03A2A737"/>
    <w:rsid w:val="03B09E6C"/>
    <w:rsid w:val="03C6CFDE"/>
    <w:rsid w:val="03D9F833"/>
    <w:rsid w:val="03DA4B2F"/>
    <w:rsid w:val="03E42C81"/>
    <w:rsid w:val="03F7C422"/>
    <w:rsid w:val="03FB686C"/>
    <w:rsid w:val="045311D0"/>
    <w:rsid w:val="0490A2CD"/>
    <w:rsid w:val="04A5DB79"/>
    <w:rsid w:val="04B3E25B"/>
    <w:rsid w:val="04B74489"/>
    <w:rsid w:val="04BE94C9"/>
    <w:rsid w:val="04EF759E"/>
    <w:rsid w:val="04FD52B3"/>
    <w:rsid w:val="050A28BD"/>
    <w:rsid w:val="055127B9"/>
    <w:rsid w:val="0561E41F"/>
    <w:rsid w:val="0567B649"/>
    <w:rsid w:val="0567F9FB"/>
    <w:rsid w:val="057A454D"/>
    <w:rsid w:val="05CE05A4"/>
    <w:rsid w:val="0624766E"/>
    <w:rsid w:val="068AEDBC"/>
    <w:rsid w:val="06A54E43"/>
    <w:rsid w:val="06C160B9"/>
    <w:rsid w:val="06D94C72"/>
    <w:rsid w:val="06F3364D"/>
    <w:rsid w:val="070CAED5"/>
    <w:rsid w:val="070D0CF8"/>
    <w:rsid w:val="07255258"/>
    <w:rsid w:val="072A7104"/>
    <w:rsid w:val="073756B5"/>
    <w:rsid w:val="07656C43"/>
    <w:rsid w:val="076E32FE"/>
    <w:rsid w:val="0776426A"/>
    <w:rsid w:val="078D8A67"/>
    <w:rsid w:val="07917677"/>
    <w:rsid w:val="07C4C679"/>
    <w:rsid w:val="07CFD8F1"/>
    <w:rsid w:val="0803E245"/>
    <w:rsid w:val="082E574D"/>
    <w:rsid w:val="085CF8E2"/>
    <w:rsid w:val="08677A25"/>
    <w:rsid w:val="08804BE6"/>
    <w:rsid w:val="0889BFAF"/>
    <w:rsid w:val="089B52F6"/>
    <w:rsid w:val="08AC2D44"/>
    <w:rsid w:val="08CD3F03"/>
    <w:rsid w:val="0904AF37"/>
    <w:rsid w:val="090CC34B"/>
    <w:rsid w:val="0925F40E"/>
    <w:rsid w:val="09871ABD"/>
    <w:rsid w:val="098F2A3C"/>
    <w:rsid w:val="09B85D82"/>
    <w:rsid w:val="09C64063"/>
    <w:rsid w:val="09F102ED"/>
    <w:rsid w:val="0A1A83E2"/>
    <w:rsid w:val="0A207725"/>
    <w:rsid w:val="0A3970A3"/>
    <w:rsid w:val="0A3E0182"/>
    <w:rsid w:val="0A3FC2F8"/>
    <w:rsid w:val="0A5D0D8D"/>
    <w:rsid w:val="0A624238"/>
    <w:rsid w:val="0A7644B7"/>
    <w:rsid w:val="0A8737B5"/>
    <w:rsid w:val="0A99B1E0"/>
    <w:rsid w:val="0AA39CFF"/>
    <w:rsid w:val="0AC1BB00"/>
    <w:rsid w:val="0AC865EC"/>
    <w:rsid w:val="0AF1B2E0"/>
    <w:rsid w:val="0B0F780D"/>
    <w:rsid w:val="0B31E82A"/>
    <w:rsid w:val="0B87A868"/>
    <w:rsid w:val="0BB6389B"/>
    <w:rsid w:val="0BBBDF43"/>
    <w:rsid w:val="0BDCC3E3"/>
    <w:rsid w:val="0BE21EE2"/>
    <w:rsid w:val="0C50C876"/>
    <w:rsid w:val="0C5B1A34"/>
    <w:rsid w:val="0C6EDCA7"/>
    <w:rsid w:val="0C73D259"/>
    <w:rsid w:val="0C8626C1"/>
    <w:rsid w:val="0C985F28"/>
    <w:rsid w:val="0CA2C9AE"/>
    <w:rsid w:val="0CB9BE25"/>
    <w:rsid w:val="0CBB2E0F"/>
    <w:rsid w:val="0CC194BF"/>
    <w:rsid w:val="0CF39E96"/>
    <w:rsid w:val="0D0D9466"/>
    <w:rsid w:val="0D307A9D"/>
    <w:rsid w:val="0D3483E7"/>
    <w:rsid w:val="0D4945A6"/>
    <w:rsid w:val="0D4B14FA"/>
    <w:rsid w:val="0D504ED3"/>
    <w:rsid w:val="0D6E5CAF"/>
    <w:rsid w:val="0D8E13C2"/>
    <w:rsid w:val="0D9646DA"/>
    <w:rsid w:val="0DB322D7"/>
    <w:rsid w:val="0DFE3CF9"/>
    <w:rsid w:val="0E00E877"/>
    <w:rsid w:val="0E10FFE3"/>
    <w:rsid w:val="0E1669E6"/>
    <w:rsid w:val="0E200AAD"/>
    <w:rsid w:val="0E28AEF1"/>
    <w:rsid w:val="0E297638"/>
    <w:rsid w:val="0E29C67D"/>
    <w:rsid w:val="0E2F9BD9"/>
    <w:rsid w:val="0E3459CD"/>
    <w:rsid w:val="0E41E6D5"/>
    <w:rsid w:val="0E61A2E5"/>
    <w:rsid w:val="0E767DF6"/>
    <w:rsid w:val="0E7C2885"/>
    <w:rsid w:val="0EA568E9"/>
    <w:rsid w:val="0EA8C73A"/>
    <w:rsid w:val="0EC8239B"/>
    <w:rsid w:val="0ED9D715"/>
    <w:rsid w:val="0EE2F2E9"/>
    <w:rsid w:val="0EEEFBEF"/>
    <w:rsid w:val="0F3A2A1A"/>
    <w:rsid w:val="0F456647"/>
    <w:rsid w:val="0F4CB997"/>
    <w:rsid w:val="0F5428D8"/>
    <w:rsid w:val="0F580921"/>
    <w:rsid w:val="0F686F04"/>
    <w:rsid w:val="0F85AEF7"/>
    <w:rsid w:val="0FB15376"/>
    <w:rsid w:val="0FC53D9E"/>
    <w:rsid w:val="0FD21582"/>
    <w:rsid w:val="0FE575D0"/>
    <w:rsid w:val="0FF89715"/>
    <w:rsid w:val="0FF9E758"/>
    <w:rsid w:val="100003C5"/>
    <w:rsid w:val="1023D058"/>
    <w:rsid w:val="1034C38E"/>
    <w:rsid w:val="10405017"/>
    <w:rsid w:val="105148EF"/>
    <w:rsid w:val="1063940A"/>
    <w:rsid w:val="10839E6D"/>
    <w:rsid w:val="10E1C348"/>
    <w:rsid w:val="10EF9AFA"/>
    <w:rsid w:val="10F5C16C"/>
    <w:rsid w:val="1103F526"/>
    <w:rsid w:val="114AAF32"/>
    <w:rsid w:val="11587FC9"/>
    <w:rsid w:val="1198FE87"/>
    <w:rsid w:val="11ACB8DC"/>
    <w:rsid w:val="11DBB6B5"/>
    <w:rsid w:val="1201098B"/>
    <w:rsid w:val="12266D48"/>
    <w:rsid w:val="123C975E"/>
    <w:rsid w:val="124CE834"/>
    <w:rsid w:val="12707199"/>
    <w:rsid w:val="12785483"/>
    <w:rsid w:val="12942041"/>
    <w:rsid w:val="12987BA8"/>
    <w:rsid w:val="12B37185"/>
    <w:rsid w:val="12B3868D"/>
    <w:rsid w:val="12C0F2DB"/>
    <w:rsid w:val="12C21D66"/>
    <w:rsid w:val="12E0E673"/>
    <w:rsid w:val="1333E4CF"/>
    <w:rsid w:val="13427B2A"/>
    <w:rsid w:val="1385D0C9"/>
    <w:rsid w:val="13C8C1BB"/>
    <w:rsid w:val="13ED5EB8"/>
    <w:rsid w:val="142A8CBE"/>
    <w:rsid w:val="1437F069"/>
    <w:rsid w:val="143F72EF"/>
    <w:rsid w:val="144BCBD6"/>
    <w:rsid w:val="144ED970"/>
    <w:rsid w:val="144FD378"/>
    <w:rsid w:val="1459EDB5"/>
    <w:rsid w:val="147DB0DC"/>
    <w:rsid w:val="1482C9F5"/>
    <w:rsid w:val="1494DB2F"/>
    <w:rsid w:val="14FFACD4"/>
    <w:rsid w:val="1508BC4F"/>
    <w:rsid w:val="150E544C"/>
    <w:rsid w:val="15131EE3"/>
    <w:rsid w:val="1579EBC5"/>
    <w:rsid w:val="157C9E4F"/>
    <w:rsid w:val="158F981F"/>
    <w:rsid w:val="159930BE"/>
    <w:rsid w:val="15AF1FD2"/>
    <w:rsid w:val="15B3AC92"/>
    <w:rsid w:val="15D42338"/>
    <w:rsid w:val="15D5D3F7"/>
    <w:rsid w:val="15DE89BB"/>
    <w:rsid w:val="15FB2BA7"/>
    <w:rsid w:val="160D9D36"/>
    <w:rsid w:val="160F90BE"/>
    <w:rsid w:val="167ABDBE"/>
    <w:rsid w:val="1681A328"/>
    <w:rsid w:val="1688C284"/>
    <w:rsid w:val="16A00662"/>
    <w:rsid w:val="16A192EE"/>
    <w:rsid w:val="16AE35C0"/>
    <w:rsid w:val="16D21341"/>
    <w:rsid w:val="16D792A8"/>
    <w:rsid w:val="16D83013"/>
    <w:rsid w:val="16DFDE87"/>
    <w:rsid w:val="16FE6019"/>
    <w:rsid w:val="1728A799"/>
    <w:rsid w:val="173B3058"/>
    <w:rsid w:val="174A46C3"/>
    <w:rsid w:val="174D6132"/>
    <w:rsid w:val="17714C6C"/>
    <w:rsid w:val="1771861D"/>
    <w:rsid w:val="17813E79"/>
    <w:rsid w:val="17BEAFAC"/>
    <w:rsid w:val="17C08B3E"/>
    <w:rsid w:val="17C20DD9"/>
    <w:rsid w:val="181A0FB6"/>
    <w:rsid w:val="18397ABA"/>
    <w:rsid w:val="1866FEE7"/>
    <w:rsid w:val="187D2D4B"/>
    <w:rsid w:val="187D5836"/>
    <w:rsid w:val="1883B0CB"/>
    <w:rsid w:val="18912C7C"/>
    <w:rsid w:val="189A9203"/>
    <w:rsid w:val="18C7495C"/>
    <w:rsid w:val="19077CC1"/>
    <w:rsid w:val="1909F347"/>
    <w:rsid w:val="19171862"/>
    <w:rsid w:val="193145E9"/>
    <w:rsid w:val="19327849"/>
    <w:rsid w:val="196485DA"/>
    <w:rsid w:val="19B34F8C"/>
    <w:rsid w:val="19BA2B50"/>
    <w:rsid w:val="19C1DCBC"/>
    <w:rsid w:val="19DA99D7"/>
    <w:rsid w:val="19E72773"/>
    <w:rsid w:val="19FFE3C6"/>
    <w:rsid w:val="1A1CAF5B"/>
    <w:rsid w:val="1A3380DF"/>
    <w:rsid w:val="1A45CBC1"/>
    <w:rsid w:val="1A58845F"/>
    <w:rsid w:val="1A8957FA"/>
    <w:rsid w:val="1AA03CAA"/>
    <w:rsid w:val="1AB6F249"/>
    <w:rsid w:val="1AC1B49F"/>
    <w:rsid w:val="1AEAFA0F"/>
    <w:rsid w:val="1AEB881B"/>
    <w:rsid w:val="1AF4B26F"/>
    <w:rsid w:val="1AFFCBF2"/>
    <w:rsid w:val="1B347F77"/>
    <w:rsid w:val="1B3D0205"/>
    <w:rsid w:val="1B412AC7"/>
    <w:rsid w:val="1B59D342"/>
    <w:rsid w:val="1B71BA8D"/>
    <w:rsid w:val="1BAABC7B"/>
    <w:rsid w:val="1BE8789E"/>
    <w:rsid w:val="1BEB15AB"/>
    <w:rsid w:val="1BF9C60D"/>
    <w:rsid w:val="1C321C58"/>
    <w:rsid w:val="1C3CD21C"/>
    <w:rsid w:val="1C4329F5"/>
    <w:rsid w:val="1C464248"/>
    <w:rsid w:val="1C4DB832"/>
    <w:rsid w:val="1C78EC68"/>
    <w:rsid w:val="1C8D7C65"/>
    <w:rsid w:val="1C946522"/>
    <w:rsid w:val="1C980BB0"/>
    <w:rsid w:val="1C9E63FC"/>
    <w:rsid w:val="1CBF12F5"/>
    <w:rsid w:val="1CEDBBFD"/>
    <w:rsid w:val="1CEE2F5C"/>
    <w:rsid w:val="1D1283BC"/>
    <w:rsid w:val="1D17BED1"/>
    <w:rsid w:val="1D292728"/>
    <w:rsid w:val="1D2D4357"/>
    <w:rsid w:val="1D373E66"/>
    <w:rsid w:val="1D512BF8"/>
    <w:rsid w:val="1D6987A7"/>
    <w:rsid w:val="1DAD4322"/>
    <w:rsid w:val="1DB81998"/>
    <w:rsid w:val="1DB9CAAC"/>
    <w:rsid w:val="1DC9D14C"/>
    <w:rsid w:val="1DFD51BF"/>
    <w:rsid w:val="1E112071"/>
    <w:rsid w:val="1E257C18"/>
    <w:rsid w:val="1E3EFD6D"/>
    <w:rsid w:val="1E47ADA7"/>
    <w:rsid w:val="1E9BDB6A"/>
    <w:rsid w:val="1EA9DFDA"/>
    <w:rsid w:val="1EAC0D77"/>
    <w:rsid w:val="1EC10FE2"/>
    <w:rsid w:val="1ECFEFA5"/>
    <w:rsid w:val="1ED98198"/>
    <w:rsid w:val="1F12E91B"/>
    <w:rsid w:val="1F703276"/>
    <w:rsid w:val="1F731F87"/>
    <w:rsid w:val="1F7CECC7"/>
    <w:rsid w:val="1F83BD3C"/>
    <w:rsid w:val="1F8F9012"/>
    <w:rsid w:val="1FA2C441"/>
    <w:rsid w:val="1FBAD3BC"/>
    <w:rsid w:val="20312F09"/>
    <w:rsid w:val="2035AC2D"/>
    <w:rsid w:val="2044AF2D"/>
    <w:rsid w:val="206D3F0E"/>
    <w:rsid w:val="20870A22"/>
    <w:rsid w:val="208CECDD"/>
    <w:rsid w:val="208F318E"/>
    <w:rsid w:val="2092E055"/>
    <w:rsid w:val="20942A31"/>
    <w:rsid w:val="209BEE86"/>
    <w:rsid w:val="20CF9FF1"/>
    <w:rsid w:val="20DE8864"/>
    <w:rsid w:val="20FE407E"/>
    <w:rsid w:val="2106AA0F"/>
    <w:rsid w:val="2109F6A6"/>
    <w:rsid w:val="2116A6A8"/>
    <w:rsid w:val="212933B9"/>
    <w:rsid w:val="213B8F33"/>
    <w:rsid w:val="21480661"/>
    <w:rsid w:val="218396E2"/>
    <w:rsid w:val="21E8A75E"/>
    <w:rsid w:val="21F01BDE"/>
    <w:rsid w:val="22014C57"/>
    <w:rsid w:val="221A699A"/>
    <w:rsid w:val="22214906"/>
    <w:rsid w:val="22279A31"/>
    <w:rsid w:val="222A7BA8"/>
    <w:rsid w:val="22639EDC"/>
    <w:rsid w:val="22BA3E0C"/>
    <w:rsid w:val="22BAE72F"/>
    <w:rsid w:val="22C03D7C"/>
    <w:rsid w:val="22C7FA95"/>
    <w:rsid w:val="231C94FF"/>
    <w:rsid w:val="2345BDF6"/>
    <w:rsid w:val="2347B2D0"/>
    <w:rsid w:val="2348FCC7"/>
    <w:rsid w:val="234AF697"/>
    <w:rsid w:val="23508B14"/>
    <w:rsid w:val="2355AEBF"/>
    <w:rsid w:val="238ADADE"/>
    <w:rsid w:val="23B18359"/>
    <w:rsid w:val="23B50613"/>
    <w:rsid w:val="23D62705"/>
    <w:rsid w:val="23D760A0"/>
    <w:rsid w:val="23E6FA8D"/>
    <w:rsid w:val="2400F0D6"/>
    <w:rsid w:val="241F0DC0"/>
    <w:rsid w:val="243F9E17"/>
    <w:rsid w:val="244E2714"/>
    <w:rsid w:val="2457AECA"/>
    <w:rsid w:val="2465C071"/>
    <w:rsid w:val="24842F36"/>
    <w:rsid w:val="24B3FFFD"/>
    <w:rsid w:val="24C9A933"/>
    <w:rsid w:val="24F0BB91"/>
    <w:rsid w:val="254A731C"/>
    <w:rsid w:val="25727028"/>
    <w:rsid w:val="257F5908"/>
    <w:rsid w:val="25BBBC7C"/>
    <w:rsid w:val="25C714D8"/>
    <w:rsid w:val="25E5E762"/>
    <w:rsid w:val="26284234"/>
    <w:rsid w:val="2647D531"/>
    <w:rsid w:val="26646489"/>
    <w:rsid w:val="26724E51"/>
    <w:rsid w:val="269113EC"/>
    <w:rsid w:val="26957149"/>
    <w:rsid w:val="26A84641"/>
    <w:rsid w:val="26AD03D7"/>
    <w:rsid w:val="26C1AABC"/>
    <w:rsid w:val="26C6283F"/>
    <w:rsid w:val="270BAE36"/>
    <w:rsid w:val="2720A185"/>
    <w:rsid w:val="27322B7C"/>
    <w:rsid w:val="27391D0F"/>
    <w:rsid w:val="2789DC1F"/>
    <w:rsid w:val="27B57733"/>
    <w:rsid w:val="27DA560A"/>
    <w:rsid w:val="285C36A5"/>
    <w:rsid w:val="286C629F"/>
    <w:rsid w:val="288A90C0"/>
    <w:rsid w:val="2895A989"/>
    <w:rsid w:val="28CD8974"/>
    <w:rsid w:val="28D8B204"/>
    <w:rsid w:val="28E55AA4"/>
    <w:rsid w:val="28F46EFA"/>
    <w:rsid w:val="29032546"/>
    <w:rsid w:val="291CD978"/>
    <w:rsid w:val="2972A85B"/>
    <w:rsid w:val="2987F2E5"/>
    <w:rsid w:val="29A7E9E2"/>
    <w:rsid w:val="29BE105D"/>
    <w:rsid w:val="2A0985DA"/>
    <w:rsid w:val="2A51EC52"/>
    <w:rsid w:val="2A674D43"/>
    <w:rsid w:val="2ABB5BD2"/>
    <w:rsid w:val="2ABCDD2A"/>
    <w:rsid w:val="2AC6AD0B"/>
    <w:rsid w:val="2ADF7E3D"/>
    <w:rsid w:val="2AF9A2D2"/>
    <w:rsid w:val="2B4317C1"/>
    <w:rsid w:val="2BA402F7"/>
    <w:rsid w:val="2BAB0448"/>
    <w:rsid w:val="2BC9C8D6"/>
    <w:rsid w:val="2BCB1FAF"/>
    <w:rsid w:val="2BCB6E1E"/>
    <w:rsid w:val="2C7407E2"/>
    <w:rsid w:val="2C792CE8"/>
    <w:rsid w:val="2CDF6639"/>
    <w:rsid w:val="2CEADC8A"/>
    <w:rsid w:val="2CFCF69A"/>
    <w:rsid w:val="2D09CD5C"/>
    <w:rsid w:val="2D165439"/>
    <w:rsid w:val="2D202F87"/>
    <w:rsid w:val="2D27734F"/>
    <w:rsid w:val="2D2BB613"/>
    <w:rsid w:val="2D40DC67"/>
    <w:rsid w:val="2D4E70B5"/>
    <w:rsid w:val="2D808056"/>
    <w:rsid w:val="2DAFF2FF"/>
    <w:rsid w:val="2DC5FA73"/>
    <w:rsid w:val="2DCFCB33"/>
    <w:rsid w:val="2DE6A6EB"/>
    <w:rsid w:val="2DE74A89"/>
    <w:rsid w:val="2DF7FFCF"/>
    <w:rsid w:val="2DF7FFCF"/>
    <w:rsid w:val="2E067EDC"/>
    <w:rsid w:val="2E35D62C"/>
    <w:rsid w:val="2E43B618"/>
    <w:rsid w:val="2E535D8A"/>
    <w:rsid w:val="2E67839F"/>
    <w:rsid w:val="2E7CDABB"/>
    <w:rsid w:val="2E8491FC"/>
    <w:rsid w:val="2EBE7FE0"/>
    <w:rsid w:val="2EEE33BC"/>
    <w:rsid w:val="2EEE5E13"/>
    <w:rsid w:val="2EEF51C1"/>
    <w:rsid w:val="2EFC6257"/>
    <w:rsid w:val="2F71C823"/>
    <w:rsid w:val="2F75876B"/>
    <w:rsid w:val="2F88F007"/>
    <w:rsid w:val="2F8AB207"/>
    <w:rsid w:val="2FBB17B7"/>
    <w:rsid w:val="2FBEB72F"/>
    <w:rsid w:val="2FC975AC"/>
    <w:rsid w:val="2FDBC835"/>
    <w:rsid w:val="2FF5FB30"/>
    <w:rsid w:val="300C68F2"/>
    <w:rsid w:val="301F5681"/>
    <w:rsid w:val="30606DB3"/>
    <w:rsid w:val="30830F6A"/>
    <w:rsid w:val="30A9CEBB"/>
    <w:rsid w:val="30B1F5D7"/>
    <w:rsid w:val="30B67E10"/>
    <w:rsid w:val="30D51528"/>
    <w:rsid w:val="30E801DE"/>
    <w:rsid w:val="30E94BEE"/>
    <w:rsid w:val="30E98153"/>
    <w:rsid w:val="311F1150"/>
    <w:rsid w:val="312410E1"/>
    <w:rsid w:val="3139334F"/>
    <w:rsid w:val="314AFC38"/>
    <w:rsid w:val="3174AB41"/>
    <w:rsid w:val="318BC810"/>
    <w:rsid w:val="31D55FAC"/>
    <w:rsid w:val="31DD0809"/>
    <w:rsid w:val="31EED2C7"/>
    <w:rsid w:val="31F73C0A"/>
    <w:rsid w:val="32455653"/>
    <w:rsid w:val="325677E4"/>
    <w:rsid w:val="3258BB4D"/>
    <w:rsid w:val="327D6F61"/>
    <w:rsid w:val="32880FEE"/>
    <w:rsid w:val="3291A0E6"/>
    <w:rsid w:val="32C8474F"/>
    <w:rsid w:val="32E1AE9F"/>
    <w:rsid w:val="330BF0C6"/>
    <w:rsid w:val="33B0DA9F"/>
    <w:rsid w:val="33BF70D5"/>
    <w:rsid w:val="33C8FBF2"/>
    <w:rsid w:val="33CC7EDE"/>
    <w:rsid w:val="33DAD549"/>
    <w:rsid w:val="33DFB254"/>
    <w:rsid w:val="33F9BD71"/>
    <w:rsid w:val="34016425"/>
    <w:rsid w:val="341C58A6"/>
    <w:rsid w:val="341EB6A7"/>
    <w:rsid w:val="342BF930"/>
    <w:rsid w:val="34393F6B"/>
    <w:rsid w:val="3441F030"/>
    <w:rsid w:val="3443FE16"/>
    <w:rsid w:val="345606C9"/>
    <w:rsid w:val="3477EB0D"/>
    <w:rsid w:val="347F677E"/>
    <w:rsid w:val="34810179"/>
    <w:rsid w:val="34AF20DC"/>
    <w:rsid w:val="34FE92A9"/>
    <w:rsid w:val="35284D4D"/>
    <w:rsid w:val="352B3B4E"/>
    <w:rsid w:val="35334E45"/>
    <w:rsid w:val="3534200D"/>
    <w:rsid w:val="356E40A0"/>
    <w:rsid w:val="358C76C1"/>
    <w:rsid w:val="35A38478"/>
    <w:rsid w:val="35ABFA25"/>
    <w:rsid w:val="35BBCDF5"/>
    <w:rsid w:val="35D0075E"/>
    <w:rsid w:val="35D31A88"/>
    <w:rsid w:val="35DD2728"/>
    <w:rsid w:val="35EA3B6D"/>
    <w:rsid w:val="3615D052"/>
    <w:rsid w:val="362E16F3"/>
    <w:rsid w:val="366CEB36"/>
    <w:rsid w:val="3670DB37"/>
    <w:rsid w:val="368759C2"/>
    <w:rsid w:val="36A9496A"/>
    <w:rsid w:val="36EEF605"/>
    <w:rsid w:val="36F06D56"/>
    <w:rsid w:val="370D2E80"/>
    <w:rsid w:val="371135D2"/>
    <w:rsid w:val="37636F01"/>
    <w:rsid w:val="378482D5"/>
    <w:rsid w:val="378B4275"/>
    <w:rsid w:val="37A7C9A1"/>
    <w:rsid w:val="37B6E4B6"/>
    <w:rsid w:val="37BEEBDD"/>
    <w:rsid w:val="37BEEBDD"/>
    <w:rsid w:val="37E63DBD"/>
    <w:rsid w:val="37FC12E9"/>
    <w:rsid w:val="38076F23"/>
    <w:rsid w:val="380BA3AD"/>
    <w:rsid w:val="3823255A"/>
    <w:rsid w:val="38283658"/>
    <w:rsid w:val="3833B246"/>
    <w:rsid w:val="38364BD5"/>
    <w:rsid w:val="3847FC2C"/>
    <w:rsid w:val="387A9BB6"/>
    <w:rsid w:val="387B8AEA"/>
    <w:rsid w:val="38914757"/>
    <w:rsid w:val="38A45284"/>
    <w:rsid w:val="38C69EDB"/>
    <w:rsid w:val="38F85813"/>
    <w:rsid w:val="391E3F9E"/>
    <w:rsid w:val="3958F6D3"/>
    <w:rsid w:val="39983E0F"/>
    <w:rsid w:val="399C16CF"/>
    <w:rsid w:val="39AB0ACC"/>
    <w:rsid w:val="39BBEBB4"/>
    <w:rsid w:val="39C1C367"/>
    <w:rsid w:val="39CDFD3E"/>
    <w:rsid w:val="3A08E93D"/>
    <w:rsid w:val="3A329AF5"/>
    <w:rsid w:val="3A3ECF85"/>
    <w:rsid w:val="3A49C228"/>
    <w:rsid w:val="3A50A06B"/>
    <w:rsid w:val="3A53122D"/>
    <w:rsid w:val="3A8CFCFC"/>
    <w:rsid w:val="3A8FA5F3"/>
    <w:rsid w:val="3AB439D3"/>
    <w:rsid w:val="3AB4642D"/>
    <w:rsid w:val="3ACEC68D"/>
    <w:rsid w:val="3B0319B2"/>
    <w:rsid w:val="3B03CA18"/>
    <w:rsid w:val="3B0C14A3"/>
    <w:rsid w:val="3B1E2EBA"/>
    <w:rsid w:val="3B43BE9E"/>
    <w:rsid w:val="3B805406"/>
    <w:rsid w:val="3B8562CB"/>
    <w:rsid w:val="3B9C6119"/>
    <w:rsid w:val="3BA7CA50"/>
    <w:rsid w:val="3BBC9BD1"/>
    <w:rsid w:val="3BFFEAD0"/>
    <w:rsid w:val="3C1E4FCA"/>
    <w:rsid w:val="3C2A0D29"/>
    <w:rsid w:val="3C2D7BE7"/>
    <w:rsid w:val="3C347A9C"/>
    <w:rsid w:val="3C4B7A69"/>
    <w:rsid w:val="3C51A348"/>
    <w:rsid w:val="3C65BE31"/>
    <w:rsid w:val="3C84A04E"/>
    <w:rsid w:val="3CED90E7"/>
    <w:rsid w:val="3CF55CD2"/>
    <w:rsid w:val="3CFB504A"/>
    <w:rsid w:val="3D45AD8C"/>
    <w:rsid w:val="3D6FA190"/>
    <w:rsid w:val="3D869F16"/>
    <w:rsid w:val="3D8F18C4"/>
    <w:rsid w:val="3DA4218F"/>
    <w:rsid w:val="3DB0198E"/>
    <w:rsid w:val="3DF163FE"/>
    <w:rsid w:val="3DFBA3D6"/>
    <w:rsid w:val="3DFE501E"/>
    <w:rsid w:val="3DFFBF0B"/>
    <w:rsid w:val="3E13D366"/>
    <w:rsid w:val="3E14E94E"/>
    <w:rsid w:val="3E1EDC8D"/>
    <w:rsid w:val="3E2F6291"/>
    <w:rsid w:val="3E3D7A99"/>
    <w:rsid w:val="3E3E68E8"/>
    <w:rsid w:val="3E40F8A3"/>
    <w:rsid w:val="3E4E30C7"/>
    <w:rsid w:val="3E520D9C"/>
    <w:rsid w:val="3E5264CF"/>
    <w:rsid w:val="3E5ABBE2"/>
    <w:rsid w:val="3E7A1771"/>
    <w:rsid w:val="3EC5EFE9"/>
    <w:rsid w:val="3EECED6E"/>
    <w:rsid w:val="3EF4C312"/>
    <w:rsid w:val="3EF58062"/>
    <w:rsid w:val="3F16901E"/>
    <w:rsid w:val="3F331CB8"/>
    <w:rsid w:val="3F46052A"/>
    <w:rsid w:val="3F874E27"/>
    <w:rsid w:val="3F939C58"/>
    <w:rsid w:val="3F939C58"/>
    <w:rsid w:val="3FAC3E0E"/>
    <w:rsid w:val="3FC64312"/>
    <w:rsid w:val="3FCDDFA1"/>
    <w:rsid w:val="3FD563A2"/>
    <w:rsid w:val="3FD9AA0B"/>
    <w:rsid w:val="3FE90535"/>
    <w:rsid w:val="3FF5F14C"/>
    <w:rsid w:val="400383B9"/>
    <w:rsid w:val="40346355"/>
    <w:rsid w:val="40416107"/>
    <w:rsid w:val="4045859E"/>
    <w:rsid w:val="40A15621"/>
    <w:rsid w:val="40C8ECA1"/>
    <w:rsid w:val="40CCF3FF"/>
    <w:rsid w:val="40DE7373"/>
    <w:rsid w:val="40EB23BC"/>
    <w:rsid w:val="40F5598F"/>
    <w:rsid w:val="4130AA72"/>
    <w:rsid w:val="4147A1C1"/>
    <w:rsid w:val="414E49AE"/>
    <w:rsid w:val="41570A64"/>
    <w:rsid w:val="4179B3A3"/>
    <w:rsid w:val="41800C25"/>
    <w:rsid w:val="41CF9A2E"/>
    <w:rsid w:val="41D84E2C"/>
    <w:rsid w:val="41E1CF57"/>
    <w:rsid w:val="41FE2992"/>
    <w:rsid w:val="41FFF398"/>
    <w:rsid w:val="4204BB92"/>
    <w:rsid w:val="420B891C"/>
    <w:rsid w:val="42301639"/>
    <w:rsid w:val="4230BBAB"/>
    <w:rsid w:val="4241360C"/>
    <w:rsid w:val="4256E964"/>
    <w:rsid w:val="42604E00"/>
    <w:rsid w:val="428327E0"/>
    <w:rsid w:val="42A50924"/>
    <w:rsid w:val="42B99D31"/>
    <w:rsid w:val="42E31F56"/>
    <w:rsid w:val="42F1322A"/>
    <w:rsid w:val="432D3A71"/>
    <w:rsid w:val="43365996"/>
    <w:rsid w:val="434285C5"/>
    <w:rsid w:val="43560B92"/>
    <w:rsid w:val="43708E15"/>
    <w:rsid w:val="43AB6C84"/>
    <w:rsid w:val="43E8BEA1"/>
    <w:rsid w:val="43F11EE9"/>
    <w:rsid w:val="4406A832"/>
    <w:rsid w:val="444E2D58"/>
    <w:rsid w:val="4470E17C"/>
    <w:rsid w:val="448A6CD9"/>
    <w:rsid w:val="448AA848"/>
    <w:rsid w:val="448E170A"/>
    <w:rsid w:val="4495677F"/>
    <w:rsid w:val="44B33324"/>
    <w:rsid w:val="44FF0B40"/>
    <w:rsid w:val="450469CF"/>
    <w:rsid w:val="453F92E5"/>
    <w:rsid w:val="45688515"/>
    <w:rsid w:val="457B0ED3"/>
    <w:rsid w:val="459ADF0F"/>
    <w:rsid w:val="45B6448C"/>
    <w:rsid w:val="45C5E3EA"/>
    <w:rsid w:val="46092BCF"/>
    <w:rsid w:val="460959EC"/>
    <w:rsid w:val="461AD9E3"/>
    <w:rsid w:val="467E4928"/>
    <w:rsid w:val="46B03B5A"/>
    <w:rsid w:val="46B044F0"/>
    <w:rsid w:val="46B93A57"/>
    <w:rsid w:val="46B94807"/>
    <w:rsid w:val="46BB6DBD"/>
    <w:rsid w:val="46C62416"/>
    <w:rsid w:val="46DDB0BA"/>
    <w:rsid w:val="46E91585"/>
    <w:rsid w:val="46EC5B4C"/>
    <w:rsid w:val="46FDF6B2"/>
    <w:rsid w:val="47061A19"/>
    <w:rsid w:val="4718B65E"/>
    <w:rsid w:val="472AF746"/>
    <w:rsid w:val="473C8407"/>
    <w:rsid w:val="4761318E"/>
    <w:rsid w:val="477B106D"/>
    <w:rsid w:val="477F380D"/>
    <w:rsid w:val="47911614"/>
    <w:rsid w:val="47933F02"/>
    <w:rsid w:val="479AA570"/>
    <w:rsid w:val="479FAA13"/>
    <w:rsid w:val="479FC3E8"/>
    <w:rsid w:val="47B681B7"/>
    <w:rsid w:val="47F4301C"/>
    <w:rsid w:val="4802B2D6"/>
    <w:rsid w:val="4847B2EB"/>
    <w:rsid w:val="488D8AC2"/>
    <w:rsid w:val="489FA7CB"/>
    <w:rsid w:val="48B1869A"/>
    <w:rsid w:val="48BFF7F0"/>
    <w:rsid w:val="4906342D"/>
    <w:rsid w:val="491746FE"/>
    <w:rsid w:val="4931B61C"/>
    <w:rsid w:val="4934C1E9"/>
    <w:rsid w:val="494836BB"/>
    <w:rsid w:val="49582149"/>
    <w:rsid w:val="4966FDC3"/>
    <w:rsid w:val="497A428A"/>
    <w:rsid w:val="497D5D6B"/>
    <w:rsid w:val="497F0883"/>
    <w:rsid w:val="49827479"/>
    <w:rsid w:val="49898A5A"/>
    <w:rsid w:val="49A7448D"/>
    <w:rsid w:val="49BE841D"/>
    <w:rsid w:val="49DB3A84"/>
    <w:rsid w:val="49E0F7DF"/>
    <w:rsid w:val="49E26568"/>
    <w:rsid w:val="49F2A38F"/>
    <w:rsid w:val="4A0B9F90"/>
    <w:rsid w:val="4A0E8E5D"/>
    <w:rsid w:val="4A48C522"/>
    <w:rsid w:val="4A496AEE"/>
    <w:rsid w:val="4A656D38"/>
    <w:rsid w:val="4A6E8B47"/>
    <w:rsid w:val="4A6F9034"/>
    <w:rsid w:val="4A8B3B7A"/>
    <w:rsid w:val="4A9199E0"/>
    <w:rsid w:val="4A9309CD"/>
    <w:rsid w:val="4ABFC57A"/>
    <w:rsid w:val="4AD1716E"/>
    <w:rsid w:val="4ADCB047"/>
    <w:rsid w:val="4AEA1268"/>
    <w:rsid w:val="4AF89F84"/>
    <w:rsid w:val="4B09CED0"/>
    <w:rsid w:val="4B7F085F"/>
    <w:rsid w:val="4B93423C"/>
    <w:rsid w:val="4BA679C5"/>
    <w:rsid w:val="4BA7CC1C"/>
    <w:rsid w:val="4BAF7E4D"/>
    <w:rsid w:val="4BBD6029"/>
    <w:rsid w:val="4BFCACBE"/>
    <w:rsid w:val="4C0565E2"/>
    <w:rsid w:val="4C0BC192"/>
    <w:rsid w:val="4C258167"/>
    <w:rsid w:val="4C2ADC76"/>
    <w:rsid w:val="4C4316F2"/>
    <w:rsid w:val="4C590C48"/>
    <w:rsid w:val="4C69C936"/>
    <w:rsid w:val="4C814601"/>
    <w:rsid w:val="4C8645CA"/>
    <w:rsid w:val="4CD616DA"/>
    <w:rsid w:val="4CF2BC4B"/>
    <w:rsid w:val="4D0A3521"/>
    <w:rsid w:val="4D1759EA"/>
    <w:rsid w:val="4D481FF0"/>
    <w:rsid w:val="4D51C2AD"/>
    <w:rsid w:val="4D801D70"/>
    <w:rsid w:val="4D83E9C4"/>
    <w:rsid w:val="4D83EB61"/>
    <w:rsid w:val="4DAAADB0"/>
    <w:rsid w:val="4DDED05D"/>
    <w:rsid w:val="4DE3187D"/>
    <w:rsid w:val="4E032BC6"/>
    <w:rsid w:val="4E083535"/>
    <w:rsid w:val="4E0FECF7"/>
    <w:rsid w:val="4E11A14D"/>
    <w:rsid w:val="4E366EE5"/>
    <w:rsid w:val="4E36D2D4"/>
    <w:rsid w:val="4E4364B8"/>
    <w:rsid w:val="4E6B224E"/>
    <w:rsid w:val="4E909780"/>
    <w:rsid w:val="4ECD8443"/>
    <w:rsid w:val="4EE213FD"/>
    <w:rsid w:val="4F274A97"/>
    <w:rsid w:val="4F2B3618"/>
    <w:rsid w:val="4F716CC7"/>
    <w:rsid w:val="4F784F7D"/>
    <w:rsid w:val="4F8196E2"/>
    <w:rsid w:val="502E59CB"/>
    <w:rsid w:val="50524D8D"/>
    <w:rsid w:val="505BD87A"/>
    <w:rsid w:val="50648DAC"/>
    <w:rsid w:val="5070FEFB"/>
    <w:rsid w:val="509668BD"/>
    <w:rsid w:val="50A380A8"/>
    <w:rsid w:val="50B84535"/>
    <w:rsid w:val="50CDCEF6"/>
    <w:rsid w:val="50F58D1C"/>
    <w:rsid w:val="51059EB2"/>
    <w:rsid w:val="510DE829"/>
    <w:rsid w:val="5138624A"/>
    <w:rsid w:val="5147F15F"/>
    <w:rsid w:val="51565CE4"/>
    <w:rsid w:val="515D61D9"/>
    <w:rsid w:val="51897199"/>
    <w:rsid w:val="51A78AC3"/>
    <w:rsid w:val="51A921E1"/>
    <w:rsid w:val="51D01935"/>
    <w:rsid w:val="51D5F94E"/>
    <w:rsid w:val="51F72CB4"/>
    <w:rsid w:val="51F9F93F"/>
    <w:rsid w:val="5233BE71"/>
    <w:rsid w:val="527F34B5"/>
    <w:rsid w:val="5283900F"/>
    <w:rsid w:val="529B954E"/>
    <w:rsid w:val="52A0B24D"/>
    <w:rsid w:val="52A5130C"/>
    <w:rsid w:val="52B3673A"/>
    <w:rsid w:val="52C44C69"/>
    <w:rsid w:val="52D46313"/>
    <w:rsid w:val="52D8D7C7"/>
    <w:rsid w:val="52E3DA89"/>
    <w:rsid w:val="52F57CCC"/>
    <w:rsid w:val="5303DE75"/>
    <w:rsid w:val="534A22DD"/>
    <w:rsid w:val="534E12AE"/>
    <w:rsid w:val="5380A24E"/>
    <w:rsid w:val="538358C3"/>
    <w:rsid w:val="538E5114"/>
    <w:rsid w:val="53AD24EE"/>
    <w:rsid w:val="53D10B25"/>
    <w:rsid w:val="53D30236"/>
    <w:rsid w:val="53DEC9E6"/>
    <w:rsid w:val="5421B1D1"/>
    <w:rsid w:val="54283928"/>
    <w:rsid w:val="5437A140"/>
    <w:rsid w:val="543A0A06"/>
    <w:rsid w:val="544953FF"/>
    <w:rsid w:val="54506E4E"/>
    <w:rsid w:val="54C76393"/>
    <w:rsid w:val="54E08288"/>
    <w:rsid w:val="54EA4F0F"/>
    <w:rsid w:val="5552E633"/>
    <w:rsid w:val="55958F4F"/>
    <w:rsid w:val="55BE0692"/>
    <w:rsid w:val="55DDE2E5"/>
    <w:rsid w:val="55E50C34"/>
    <w:rsid w:val="56139FDB"/>
    <w:rsid w:val="5615EC98"/>
    <w:rsid w:val="561CB09A"/>
    <w:rsid w:val="561CC654"/>
    <w:rsid w:val="56263097"/>
    <w:rsid w:val="562A9D07"/>
    <w:rsid w:val="5638C167"/>
    <w:rsid w:val="5645D16C"/>
    <w:rsid w:val="5647B03A"/>
    <w:rsid w:val="564FFCC3"/>
    <w:rsid w:val="5665481C"/>
    <w:rsid w:val="566A4F02"/>
    <w:rsid w:val="5680B309"/>
    <w:rsid w:val="568ADF31"/>
    <w:rsid w:val="56A5CFCA"/>
    <w:rsid w:val="56BE9D9B"/>
    <w:rsid w:val="56CFA45B"/>
    <w:rsid w:val="56F6480E"/>
    <w:rsid w:val="5700FC2C"/>
    <w:rsid w:val="5705E8D6"/>
    <w:rsid w:val="571430FE"/>
    <w:rsid w:val="5740EAF1"/>
    <w:rsid w:val="5742BD67"/>
    <w:rsid w:val="57DDF3C7"/>
    <w:rsid w:val="58233DD6"/>
    <w:rsid w:val="585805EC"/>
    <w:rsid w:val="5865F4BA"/>
    <w:rsid w:val="5894B249"/>
    <w:rsid w:val="596A2B30"/>
    <w:rsid w:val="5970A50B"/>
    <w:rsid w:val="5976CAB5"/>
    <w:rsid w:val="59804C79"/>
    <w:rsid w:val="59C26BCA"/>
    <w:rsid w:val="59C3A5B0"/>
    <w:rsid w:val="59FA837F"/>
    <w:rsid w:val="5A32C502"/>
    <w:rsid w:val="5A32C502"/>
    <w:rsid w:val="5A534B5A"/>
    <w:rsid w:val="5A592BDF"/>
    <w:rsid w:val="5A60B8B0"/>
    <w:rsid w:val="5A8D36A5"/>
    <w:rsid w:val="5AAE8A6D"/>
    <w:rsid w:val="5B19EBC6"/>
    <w:rsid w:val="5B283CB0"/>
    <w:rsid w:val="5B3C23C2"/>
    <w:rsid w:val="5B525183"/>
    <w:rsid w:val="5B7BD1EB"/>
    <w:rsid w:val="5BA73E27"/>
    <w:rsid w:val="5BD16A79"/>
    <w:rsid w:val="5BD4B35E"/>
    <w:rsid w:val="5C3B1441"/>
    <w:rsid w:val="5C4D4160"/>
    <w:rsid w:val="5CDD313B"/>
    <w:rsid w:val="5CE3D506"/>
    <w:rsid w:val="5CF0947D"/>
    <w:rsid w:val="5CF0EC1F"/>
    <w:rsid w:val="5CF6F65D"/>
    <w:rsid w:val="5D345E2A"/>
    <w:rsid w:val="5D72729E"/>
    <w:rsid w:val="5D7ABFBF"/>
    <w:rsid w:val="5DC196D2"/>
    <w:rsid w:val="5DD30B99"/>
    <w:rsid w:val="5E054992"/>
    <w:rsid w:val="5E50DE77"/>
    <w:rsid w:val="5E6F6797"/>
    <w:rsid w:val="5E7AD9AE"/>
    <w:rsid w:val="5ED2C113"/>
    <w:rsid w:val="5EDF8F24"/>
    <w:rsid w:val="5F0DB2CD"/>
    <w:rsid w:val="5F23DE73"/>
    <w:rsid w:val="5F35E60B"/>
    <w:rsid w:val="5F4B1A93"/>
    <w:rsid w:val="5F537E11"/>
    <w:rsid w:val="5F60BAEA"/>
    <w:rsid w:val="5F85EC7C"/>
    <w:rsid w:val="5F95AF7A"/>
    <w:rsid w:val="5FE65591"/>
    <w:rsid w:val="5FFA4477"/>
    <w:rsid w:val="6027D5BA"/>
    <w:rsid w:val="604DD6AA"/>
    <w:rsid w:val="605CBC96"/>
    <w:rsid w:val="605D1BA4"/>
    <w:rsid w:val="60750010"/>
    <w:rsid w:val="60AD6876"/>
    <w:rsid w:val="60BAA155"/>
    <w:rsid w:val="60C35A06"/>
    <w:rsid w:val="60D92046"/>
    <w:rsid w:val="610F9971"/>
    <w:rsid w:val="612AE4E5"/>
    <w:rsid w:val="61328E35"/>
    <w:rsid w:val="6135CF50"/>
    <w:rsid w:val="6150C7A4"/>
    <w:rsid w:val="61ADE42C"/>
    <w:rsid w:val="61D0DE0F"/>
    <w:rsid w:val="622E79AD"/>
    <w:rsid w:val="623DE8CE"/>
    <w:rsid w:val="6244DF70"/>
    <w:rsid w:val="624E9D72"/>
    <w:rsid w:val="629B07DC"/>
    <w:rsid w:val="62CD260C"/>
    <w:rsid w:val="62E81AE0"/>
    <w:rsid w:val="62F0D039"/>
    <w:rsid w:val="6375A0B9"/>
    <w:rsid w:val="638ED594"/>
    <w:rsid w:val="63EDAB06"/>
    <w:rsid w:val="641A43CE"/>
    <w:rsid w:val="642A1BA4"/>
    <w:rsid w:val="6437BE45"/>
    <w:rsid w:val="647CDF3A"/>
    <w:rsid w:val="64828A19"/>
    <w:rsid w:val="6495CFCF"/>
    <w:rsid w:val="64DBBC4F"/>
    <w:rsid w:val="64F7DAEA"/>
    <w:rsid w:val="651B34EA"/>
    <w:rsid w:val="6527B146"/>
    <w:rsid w:val="6528C675"/>
    <w:rsid w:val="65736761"/>
    <w:rsid w:val="658C1983"/>
    <w:rsid w:val="6597A783"/>
    <w:rsid w:val="65A24DF2"/>
    <w:rsid w:val="65C330B1"/>
    <w:rsid w:val="65C792E6"/>
    <w:rsid w:val="65FFB1A2"/>
    <w:rsid w:val="6693DC5D"/>
    <w:rsid w:val="66A70B52"/>
    <w:rsid w:val="66DB6A2E"/>
    <w:rsid w:val="66E1293B"/>
    <w:rsid w:val="66FAF0B3"/>
    <w:rsid w:val="670EABC7"/>
    <w:rsid w:val="673039CB"/>
    <w:rsid w:val="673A4BE3"/>
    <w:rsid w:val="67649949"/>
    <w:rsid w:val="676809EE"/>
    <w:rsid w:val="676F3063"/>
    <w:rsid w:val="67766F4C"/>
    <w:rsid w:val="679BE036"/>
    <w:rsid w:val="67BDA6FD"/>
    <w:rsid w:val="67C75C1C"/>
    <w:rsid w:val="67FA5DA5"/>
    <w:rsid w:val="6804A223"/>
    <w:rsid w:val="680B8973"/>
    <w:rsid w:val="680E5BAB"/>
    <w:rsid w:val="68577915"/>
    <w:rsid w:val="68675FF4"/>
    <w:rsid w:val="68C65C99"/>
    <w:rsid w:val="68F1E7F4"/>
    <w:rsid w:val="6915D922"/>
    <w:rsid w:val="69288BF5"/>
    <w:rsid w:val="692F3843"/>
    <w:rsid w:val="692F3F30"/>
    <w:rsid w:val="69302E15"/>
    <w:rsid w:val="69827F6F"/>
    <w:rsid w:val="699A2F2C"/>
    <w:rsid w:val="69CD48E9"/>
    <w:rsid w:val="69D5AE58"/>
    <w:rsid w:val="6A10D439"/>
    <w:rsid w:val="6A3A195A"/>
    <w:rsid w:val="6A42AAD1"/>
    <w:rsid w:val="6A7E5414"/>
    <w:rsid w:val="6A7EED5A"/>
    <w:rsid w:val="6AE64AC5"/>
    <w:rsid w:val="6AEE0049"/>
    <w:rsid w:val="6AF06C2A"/>
    <w:rsid w:val="6B012A1A"/>
    <w:rsid w:val="6B01C5B2"/>
    <w:rsid w:val="6B17E15C"/>
    <w:rsid w:val="6B21E1C0"/>
    <w:rsid w:val="6B271624"/>
    <w:rsid w:val="6B42E641"/>
    <w:rsid w:val="6B43D71D"/>
    <w:rsid w:val="6B589EE6"/>
    <w:rsid w:val="6B7D0ECE"/>
    <w:rsid w:val="6B886E2D"/>
    <w:rsid w:val="6B8DE63E"/>
    <w:rsid w:val="6B936D41"/>
    <w:rsid w:val="6BB51AA0"/>
    <w:rsid w:val="6BEC0CED"/>
    <w:rsid w:val="6BF224A6"/>
    <w:rsid w:val="6C020DC2"/>
    <w:rsid w:val="6C28B6C2"/>
    <w:rsid w:val="6C374F19"/>
    <w:rsid w:val="6C572B14"/>
    <w:rsid w:val="6C6BDB3A"/>
    <w:rsid w:val="6C6D2E8E"/>
    <w:rsid w:val="6C6EF0C4"/>
    <w:rsid w:val="6C86EBDA"/>
    <w:rsid w:val="6CCF94A4"/>
    <w:rsid w:val="6CFCD4CC"/>
    <w:rsid w:val="6D0C2B82"/>
    <w:rsid w:val="6D57604B"/>
    <w:rsid w:val="6D886A1C"/>
    <w:rsid w:val="6DAF8D86"/>
    <w:rsid w:val="6DC0C02E"/>
    <w:rsid w:val="6DD8CFFA"/>
    <w:rsid w:val="6DE7FDDE"/>
    <w:rsid w:val="6E0BC0F3"/>
    <w:rsid w:val="6E19896F"/>
    <w:rsid w:val="6E3495F6"/>
    <w:rsid w:val="6E55640E"/>
    <w:rsid w:val="6E72FDB3"/>
    <w:rsid w:val="6E9B7459"/>
    <w:rsid w:val="6EA97C9F"/>
    <w:rsid w:val="6EAA763D"/>
    <w:rsid w:val="6EADCBF2"/>
    <w:rsid w:val="6EECE706"/>
    <w:rsid w:val="6F1216BB"/>
    <w:rsid w:val="6F3484C6"/>
    <w:rsid w:val="6F3561E9"/>
    <w:rsid w:val="6F3AD72E"/>
    <w:rsid w:val="6F7439DC"/>
    <w:rsid w:val="6F793629"/>
    <w:rsid w:val="6F83F0CB"/>
    <w:rsid w:val="6F9E8311"/>
    <w:rsid w:val="6F9E8CE3"/>
    <w:rsid w:val="6FC5C22A"/>
    <w:rsid w:val="6FCACF71"/>
    <w:rsid w:val="6FCBD5F2"/>
    <w:rsid w:val="6FDC700C"/>
    <w:rsid w:val="7051A25F"/>
    <w:rsid w:val="70567AE9"/>
    <w:rsid w:val="705C2F7D"/>
    <w:rsid w:val="7065D18E"/>
    <w:rsid w:val="70891125"/>
    <w:rsid w:val="70BC40CF"/>
    <w:rsid w:val="70CAE152"/>
    <w:rsid w:val="71544E6D"/>
    <w:rsid w:val="7157DE5A"/>
    <w:rsid w:val="71620DBB"/>
    <w:rsid w:val="718AA3C3"/>
    <w:rsid w:val="719FE6BC"/>
    <w:rsid w:val="71A44AD3"/>
    <w:rsid w:val="71B36865"/>
    <w:rsid w:val="71B37C70"/>
    <w:rsid w:val="71D764ED"/>
    <w:rsid w:val="7202A65E"/>
    <w:rsid w:val="721B8C58"/>
    <w:rsid w:val="72237FB0"/>
    <w:rsid w:val="72473ADF"/>
    <w:rsid w:val="725B89A1"/>
    <w:rsid w:val="727177F0"/>
    <w:rsid w:val="727AE63D"/>
    <w:rsid w:val="727FEF41"/>
    <w:rsid w:val="729FB60D"/>
    <w:rsid w:val="72B42A7A"/>
    <w:rsid w:val="72D2777A"/>
    <w:rsid w:val="72DC127D"/>
    <w:rsid w:val="72DFAEF6"/>
    <w:rsid w:val="7330EFBF"/>
    <w:rsid w:val="7332A414"/>
    <w:rsid w:val="7349C15C"/>
    <w:rsid w:val="73524C5D"/>
    <w:rsid w:val="735A5DA6"/>
    <w:rsid w:val="735D5A21"/>
    <w:rsid w:val="739017DE"/>
    <w:rsid w:val="73918BDA"/>
    <w:rsid w:val="73A28039"/>
    <w:rsid w:val="73EC6F08"/>
    <w:rsid w:val="7410D7E0"/>
    <w:rsid w:val="741F5B2D"/>
    <w:rsid w:val="7424B807"/>
    <w:rsid w:val="742819A1"/>
    <w:rsid w:val="74451CCF"/>
    <w:rsid w:val="7453A272"/>
    <w:rsid w:val="747D31D7"/>
    <w:rsid w:val="7496FE85"/>
    <w:rsid w:val="74B45A2E"/>
    <w:rsid w:val="74C5D074"/>
    <w:rsid w:val="74EE798D"/>
    <w:rsid w:val="752C093D"/>
    <w:rsid w:val="752DB72B"/>
    <w:rsid w:val="75318312"/>
    <w:rsid w:val="75341262"/>
    <w:rsid w:val="753C80CA"/>
    <w:rsid w:val="75626535"/>
    <w:rsid w:val="756D26A3"/>
    <w:rsid w:val="757BA3BC"/>
    <w:rsid w:val="757D16C6"/>
    <w:rsid w:val="75BF144E"/>
    <w:rsid w:val="75DA56B1"/>
    <w:rsid w:val="75DC75C1"/>
    <w:rsid w:val="76437705"/>
    <w:rsid w:val="7654907F"/>
    <w:rsid w:val="765F9C16"/>
    <w:rsid w:val="766CE6D8"/>
    <w:rsid w:val="76753D9D"/>
    <w:rsid w:val="7696563E"/>
    <w:rsid w:val="76A5E5F9"/>
    <w:rsid w:val="771C0EF1"/>
    <w:rsid w:val="771D4B4B"/>
    <w:rsid w:val="773433CA"/>
    <w:rsid w:val="77479913"/>
    <w:rsid w:val="774E681B"/>
    <w:rsid w:val="77602B76"/>
    <w:rsid w:val="777B359C"/>
    <w:rsid w:val="777E296D"/>
    <w:rsid w:val="7780D3C6"/>
    <w:rsid w:val="77947247"/>
    <w:rsid w:val="77A2A9B4"/>
    <w:rsid w:val="77B76C67"/>
    <w:rsid w:val="77C8CB62"/>
    <w:rsid w:val="77EC1138"/>
    <w:rsid w:val="77FB961B"/>
    <w:rsid w:val="7826C6F7"/>
    <w:rsid w:val="789B058E"/>
    <w:rsid w:val="78EC5A83"/>
    <w:rsid w:val="78F059D8"/>
    <w:rsid w:val="79398E3A"/>
    <w:rsid w:val="79585A6F"/>
    <w:rsid w:val="795BD1C7"/>
    <w:rsid w:val="79747617"/>
    <w:rsid w:val="7986B30A"/>
    <w:rsid w:val="79891185"/>
    <w:rsid w:val="798CDD30"/>
    <w:rsid w:val="79906D81"/>
    <w:rsid w:val="79F4C0AD"/>
    <w:rsid w:val="79F968D8"/>
    <w:rsid w:val="7A08FCA4"/>
    <w:rsid w:val="7A723C1D"/>
    <w:rsid w:val="7AA80405"/>
    <w:rsid w:val="7AB223C1"/>
    <w:rsid w:val="7AE501EA"/>
    <w:rsid w:val="7AE588CC"/>
    <w:rsid w:val="7B1411B0"/>
    <w:rsid w:val="7B1D9184"/>
    <w:rsid w:val="7B238D69"/>
    <w:rsid w:val="7B4D3C53"/>
    <w:rsid w:val="7B6DCE71"/>
    <w:rsid w:val="7B949931"/>
    <w:rsid w:val="7BD9DB80"/>
    <w:rsid w:val="7BEAFA34"/>
    <w:rsid w:val="7BF4725A"/>
    <w:rsid w:val="7C049649"/>
    <w:rsid w:val="7C08F559"/>
    <w:rsid w:val="7C1A7795"/>
    <w:rsid w:val="7C2BA7BF"/>
    <w:rsid w:val="7C3785EB"/>
    <w:rsid w:val="7C510B60"/>
    <w:rsid w:val="7C9DB9AB"/>
    <w:rsid w:val="7C9EE0A3"/>
    <w:rsid w:val="7CA13A9A"/>
    <w:rsid w:val="7CA7B463"/>
    <w:rsid w:val="7CAABF02"/>
    <w:rsid w:val="7CCDA2B3"/>
    <w:rsid w:val="7D066194"/>
    <w:rsid w:val="7D1B448C"/>
    <w:rsid w:val="7D36ECDC"/>
    <w:rsid w:val="7D41433D"/>
    <w:rsid w:val="7D7A88A1"/>
    <w:rsid w:val="7DD070AC"/>
    <w:rsid w:val="7E04726D"/>
    <w:rsid w:val="7E548DD0"/>
    <w:rsid w:val="7E7B60F8"/>
    <w:rsid w:val="7E7DD5D6"/>
    <w:rsid w:val="7E8B7E1A"/>
    <w:rsid w:val="7E909A14"/>
    <w:rsid w:val="7E99D8EA"/>
    <w:rsid w:val="7EAF3BBA"/>
    <w:rsid w:val="7EB9416D"/>
    <w:rsid w:val="7EE21102"/>
    <w:rsid w:val="7EE7121D"/>
    <w:rsid w:val="7EE7B7FE"/>
    <w:rsid w:val="7F1AF838"/>
    <w:rsid w:val="7F55020F"/>
    <w:rsid w:val="7F55C63D"/>
    <w:rsid w:val="7F59C1EF"/>
    <w:rsid w:val="7F870AAF"/>
    <w:rsid w:val="7FACE13D"/>
    <w:rsid w:val="7FB971DB"/>
    <w:rsid w:val="7FD59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BC192"/>
  <w15:chartTrackingRefBased/>
  <w15:docId w15:val="{E139B416-C4D9-4FC2-904C-88671BAF1A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2E1AE9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2E1AE9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2E1AE9F"/>
    <w:pPr>
      <w:spacing/>
      <w:ind w:left="720"/>
      <w:contextualSpacing/>
    </w:pPr>
  </w:style>
  <w:style w:type="character" w:styleId="Hyperlink">
    <w:uiPriority w:val="99"/>
    <w:name w:val="Hyperlink"/>
    <w:basedOn w:val="DefaultParagraphFont"/>
    <w:unhideWhenUsed/>
    <w:rsid w:val="32E1AE9F"/>
    <w:rPr>
      <w:color w:val="467886"/>
      <w:u w:val="single"/>
    </w:rPr>
  </w:style>
  <w:style w:type="paragraph" w:styleId="Header">
    <w:uiPriority w:val="99"/>
    <w:name w:val="header"/>
    <w:basedOn w:val="Normal"/>
    <w:unhideWhenUsed/>
    <w:rsid w:val="0AC1BB00"/>
    <w:pPr>
      <w:tabs>
        <w:tab w:val="center" w:leader="none" w:pos="4680"/>
        <w:tab w:val="right" w:leader="none" w:pos="9360"/>
      </w:tabs>
      <w:spacing w:after="0" w:line="240" w:lineRule="auto"/>
    </w:pPr>
  </w:style>
  <w:style w:type="paragraph" w:styleId="Footer">
    <w:uiPriority w:val="99"/>
    <w:name w:val="footer"/>
    <w:basedOn w:val="Normal"/>
    <w:unhideWhenUsed/>
    <w:rsid w:val="0AC1BB0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37E63DBD"/>
    <w:pPr>
      <w:spacing w:after="100"/>
    </w:pPr>
  </w:style>
  <w:style w:type="paragraph" w:styleId="TOC2">
    <w:uiPriority w:val="39"/>
    <w:name w:val="toc 2"/>
    <w:basedOn w:val="Normal"/>
    <w:next w:val="Normal"/>
    <w:unhideWhenUsed/>
    <w:rsid w:val="37E63D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35342573" /><Relationship Type="http://schemas.openxmlformats.org/officeDocument/2006/relationships/image" Target="/media/image2.png" Id="rId829588997" /><Relationship Type="http://schemas.openxmlformats.org/officeDocument/2006/relationships/image" Target="/media/image3.png" Id="rId2060884283" /><Relationship Type="http://schemas.openxmlformats.org/officeDocument/2006/relationships/image" Target="/media/image4.png" Id="rId1592751505" /><Relationship Type="http://schemas.openxmlformats.org/officeDocument/2006/relationships/image" Target="/media/image5.png" Id="rId1552084660" /><Relationship Type="http://schemas.openxmlformats.org/officeDocument/2006/relationships/image" Target="/media/image6.png" Id="rId408030815" /><Relationship Type="http://schemas.openxmlformats.org/officeDocument/2006/relationships/numbering" Target="/word/numbering.xml" Id="Rd1e28fbf18fd42b4" /><Relationship Type="http://schemas.openxmlformats.org/officeDocument/2006/relationships/header" Target="/word/header.xml" Id="R8c6ee155e366474a" /><Relationship Type="http://schemas.openxmlformats.org/officeDocument/2006/relationships/footer" Target="/word/footer.xml" Id="Rbb39ea2427544686" /><Relationship Type="http://schemas.openxmlformats.org/officeDocument/2006/relationships/hyperlink" Target="https://doi.org/10.1108/ARJ-07-2021-0212" TargetMode="External" Id="Rb2d8891e9ff44f3f" /><Relationship Type="http://schemas.openxmlformats.org/officeDocument/2006/relationships/hyperlink" Target="https://doi.org/10.21511/imfi.18(2).2021.26" TargetMode="External" Id="Rd18d7d4765244a31" /><Relationship Type="http://schemas.openxmlformats.org/officeDocument/2006/relationships/hyperlink" Target="https://doi.org/10.1016/j.tourman.2019.104019" TargetMode="External" Id="Ra330b978d1864329" /><Relationship Type="http://schemas.openxmlformats.org/officeDocument/2006/relationships/hyperlink" Target="https://doi.org/10.1016/j.jcorpfin.2014.12.008" TargetMode="External" Id="Rac72b397f5a94ac3" /><Relationship Type="http://schemas.openxmlformats.org/officeDocument/2006/relationships/hyperlink" Target="https://doi.org/10.1108/MEDAR-05-2019-0484" TargetMode="External" Id="Rbeeed70869da4aff" /><Relationship Type="http://schemas.openxmlformats.org/officeDocument/2006/relationships/hyperlink" Target="https://doi.org/10.1016/j.ememar.2015.04.002" TargetMode="External" Id="R16b5d192cd5c4610" /><Relationship Type="http://schemas.openxmlformats.org/officeDocument/2006/relationships/hyperlink" Target="https://doi.org/10.1080/23322039.2025.2571401" TargetMode="External" Id="R94cd514080614ab5" /><Relationship Type="http://schemas.openxmlformats.org/officeDocument/2006/relationships/hyperlink" Target="https://doi.org/10.1016/j.jbusres.2021.10.037" TargetMode="External" Id="R42f43161e181411d" /><Relationship Type="http://schemas.openxmlformats.org/officeDocument/2006/relationships/hyperlink" Target="https://doi.org/10.1186/s43093-024-00353-1" TargetMode="External" Id="R29975c97cf434cef" /><Relationship Type="http://schemas.openxmlformats.org/officeDocument/2006/relationships/hyperlink" Target="https://doi.org/10.1111/1540-6261.00414" TargetMode="External" Id="R671f5ad3b0134447" /><Relationship Type="http://schemas.openxmlformats.org/officeDocument/2006/relationships/hyperlink" Target="https://doi.org/10.1016/j.jbusres.2013.01.016" TargetMode="External" Id="R48c3a34f67894d94" /><Relationship Type="http://schemas.openxmlformats.org/officeDocument/2006/relationships/hyperlink" Target="https://doi.org/10.1016/j.iimb.2017.02.001" TargetMode="External" Id="R2c60a85da9874ccd" /><Relationship Type="http://schemas.openxmlformats.org/officeDocument/2006/relationships/hyperlink" Target="https://doi.org/10.1108/00251741011022590" TargetMode="External" Id="R820b360530f449bd" /><Relationship Type="http://schemas.openxmlformats.org/officeDocument/2006/relationships/hyperlink" Target="https://doi.org/10.1016/j.jfineco.2004.07.004" TargetMode="External" Id="Rec7e1f24887143e7" /><Relationship Type="http://schemas.openxmlformats.org/officeDocument/2006/relationships/hyperlink" Target="https://www.deloitte.com/global/en/industries/consumer/perspectives/global-powers-of-luxury.html" TargetMode="External" Id="R96d7d1dba0044431" /><Relationship Type="http://schemas.openxmlformats.org/officeDocument/2006/relationships/hyperlink" Target="https://doi.org/10.22495/cocv21i2art3" TargetMode="External" Id="R75c89c22e08c4f4d" /><Relationship Type="http://schemas.openxmlformats.org/officeDocument/2006/relationships/hyperlink" Target="https://doi.org/10.1016/j.jfs.2018.08.005" TargetMode="External" Id="R008fb9082f954411" /><Relationship Type="http://schemas.openxmlformats.org/officeDocument/2006/relationships/hyperlink" Target="https://doi.org/10.35335/ijafibs.v11i4.243" TargetMode="External" Id="R55fa123fba314d49" /><Relationship Type="http://schemas.openxmlformats.org/officeDocument/2006/relationships/hyperlink" Target="https://doi.org/10.1016/S1544-6123(03)00005-9" TargetMode="External" Id="R7f4dde43fef64edb" /><Relationship Type="http://schemas.openxmlformats.org/officeDocument/2006/relationships/hyperlink" Target="https://doi.org/10.3390/proceedings2022083047" TargetMode="External" Id="R9daf391c94bd4395" /><Relationship Type="http://schemas.openxmlformats.org/officeDocument/2006/relationships/hyperlink" Target="https://doi.org/10.3390/ijfs10030055" TargetMode="External" Id="Raf6d62f57cec4cc3" /><Relationship Type="http://schemas.openxmlformats.org/officeDocument/2006/relationships/hyperlink" Target="https://doi.org/10.1007/s10693-024-00422-0" TargetMode="External" Id="R1582c8d3a07e4876" /><Relationship Type="http://schemas.openxmlformats.org/officeDocument/2006/relationships/hyperlink" Target="https://doi.org/10.1108/14691931111097944" TargetMode="External" Id="R6969858bc89a412b" /><Relationship Type="http://schemas.openxmlformats.org/officeDocument/2006/relationships/hyperlink" Target="https://doi.org/10.1080/14697680902849" TargetMode="External" Id="R4489a9404ccf4acf" /><Relationship Type="http://schemas.openxmlformats.org/officeDocument/2006/relationships/hyperlink" Target="https://www.linkedin.com/learning/mastering-key-financial-ratios-for-career-growth?u=77966930&amp;auth=true" TargetMode="External" Id="Rdee779a21d7a48ca" /><Relationship Type="http://schemas.openxmlformats.org/officeDocument/2006/relationships/hyperlink" Target="https://doi.org/10.7777/jiemar.v5i4.528" TargetMode="External" Id="R8b2b20e732d84262" /><Relationship Type="http://schemas.openxmlformats.org/officeDocument/2006/relationships/hyperlink" Target="https://doi.org/10.1108/AJAR-04-2020-0023" TargetMode="External" Id="R9ae7e04abc7c4e20" /><Relationship Type="http://schemas.openxmlformats.org/officeDocument/2006/relationships/hyperlink" Target="https://doi.org/10.1108/QMR-10-2024-0208" TargetMode="External" Id="Ref75a884ae2a415e" /><Relationship Type="http://schemas.openxmlformats.org/officeDocument/2006/relationships/hyperlink" Target="https://doi.org/10.10.16/j.ijhm.2015.04.003" TargetMode="External" Id="Rdac6b1ad9ccf4222" /><Relationship Type="http://schemas.openxmlformats.org/officeDocument/2006/relationships/hyperlink" Target="https://doi.org/10.1108/MD-05-2018-0594" TargetMode="External" Id="Rce8d98b679554207" /><Relationship Type="http://schemas.openxmlformats.org/officeDocument/2006/relationships/hyperlink" Target="https://doi.org/10.1057/s41272-023-00471-5" TargetMode="External" Id="R6b211edbac96443c" /><Relationship Type="http://schemas.openxmlformats.org/officeDocument/2006/relationships/hyperlink" Target="https://doi.org/10.5281/zenodo.10463289" TargetMode="External" Id="Rb0e602677abe43c7" /><Relationship Type="http://schemas.openxmlformats.org/officeDocument/2006/relationships/hyperlink" Target="https://blog.finfloh.com/days-payable-outstanding-benchmark" TargetMode="External" Id="R9c9abb04a6c9456f" /><Relationship Type="http://schemas.openxmlformats.org/officeDocument/2006/relationships/hyperlink" Target="https://doi.org/10.1108/09727981211225671" TargetMode="External" Id="R408ddd0c3d0d4852" /><Relationship Type="http://schemas.openxmlformats.org/officeDocument/2006/relationships/hyperlink" Target="https://doi.org/10.1007/s11142-023-09812-6" TargetMode="External" Id="R80eefa55a9b3479d" /><Relationship Type="http://schemas.openxmlformats.org/officeDocument/2006/relationships/hyperlink" Target="https://doi.org/10.1016/j.frl.2025.108053" TargetMode="External" Id="Rcc02e6ea586b43fb" /><Relationship Type="http://schemas.openxmlformats.org/officeDocument/2006/relationships/hyperlink" Target="https://doi.org/10.1016/j.jbusres.2019.09.022" TargetMode="External" Id="Ra5855a2199c347b8" /><Relationship Type="http://schemas.openxmlformats.org/officeDocument/2006/relationships/hyperlink" Target="https://doi.org/10.1108/17439131311307565" TargetMode="External" Id="Rf52e3bd24a334049" /><Relationship Type="http://schemas.openxmlformats.org/officeDocument/2006/relationships/image" Target="/media/image7.png" Id="rId1080813636" /><Relationship Type="http://schemas.microsoft.com/office/2020/10/relationships/intelligence" Target="/word/intelligence2.xml" Id="R7c51525f1e054f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9</revision>
  <dcterms:created xsi:type="dcterms:W3CDTF">2026-04-16T11:44:27.5986537Z</dcterms:created>
  <dcterms:modified xsi:type="dcterms:W3CDTF">2026-04-20T19:24:36.3572843Z</dcterms:modified>
</coreProperties>
</file>