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B81E4B" w14:textId="3DF5FF87" w:rsidR="00BC06B6" w:rsidRPr="00F90FD0" w:rsidRDefault="00671DE9" w:rsidP="002A7CA5">
      <w:pPr>
        <w:pStyle w:val="Title"/>
        <w:jc w:val="center"/>
        <w:rPr>
          <w:rFonts w:ascii="Times New Roman" w:hAnsi="Times New Roman" w:cs="Times New Roman"/>
          <w:spacing w:val="0"/>
          <w:sz w:val="32"/>
          <w:szCs w:val="32"/>
        </w:rPr>
      </w:pPr>
      <w:r w:rsidRPr="00F90FD0">
        <w:rPr>
          <w:rFonts w:ascii="Times New Roman" w:hAnsi="Times New Roman" w:cs="Times New Roman"/>
          <w:spacing w:val="0"/>
          <w:sz w:val="32"/>
          <w:szCs w:val="32"/>
        </w:rPr>
        <w:t xml:space="preserve">Literacy in </w:t>
      </w:r>
      <w:r w:rsidR="003C5C71" w:rsidRPr="00F90FD0">
        <w:rPr>
          <w:rFonts w:ascii="Times New Roman" w:hAnsi="Times New Roman" w:cs="Times New Roman"/>
          <w:spacing w:val="0"/>
          <w:sz w:val="32"/>
          <w:szCs w:val="32"/>
        </w:rPr>
        <w:t xml:space="preserve">Northwestern Arabia during </w:t>
      </w:r>
      <w:r w:rsidRPr="00F90FD0">
        <w:rPr>
          <w:rFonts w:ascii="Times New Roman" w:hAnsi="Times New Roman" w:cs="Times New Roman"/>
          <w:spacing w:val="0"/>
          <w:sz w:val="32"/>
          <w:szCs w:val="32"/>
        </w:rPr>
        <w:t>Late Antiqu</w:t>
      </w:r>
      <w:r w:rsidR="003C5C71" w:rsidRPr="00F90FD0">
        <w:rPr>
          <w:rFonts w:ascii="Times New Roman" w:hAnsi="Times New Roman" w:cs="Times New Roman"/>
          <w:spacing w:val="0"/>
          <w:sz w:val="32"/>
          <w:szCs w:val="32"/>
        </w:rPr>
        <w:t>ity</w:t>
      </w:r>
    </w:p>
    <w:p w14:paraId="28CF374D" w14:textId="2C8523B8" w:rsidR="004B7B45" w:rsidRPr="00F90FD0" w:rsidRDefault="003C5C71" w:rsidP="002A7CA5">
      <w:pPr>
        <w:pStyle w:val="Title"/>
        <w:jc w:val="center"/>
        <w:rPr>
          <w:rFonts w:ascii="Times New Roman" w:hAnsi="Times New Roman" w:cs="Times New Roman"/>
          <w:spacing w:val="0"/>
          <w:sz w:val="32"/>
          <w:szCs w:val="32"/>
        </w:rPr>
      </w:pPr>
      <w:r w:rsidRPr="00F90FD0">
        <w:rPr>
          <w:rFonts w:ascii="Times New Roman" w:hAnsi="Times New Roman" w:cs="Times New Roman"/>
          <w:spacing w:val="0"/>
          <w:sz w:val="32"/>
          <w:szCs w:val="32"/>
        </w:rPr>
        <w:t>A Critical Review of Sources</w:t>
      </w:r>
    </w:p>
    <w:p w14:paraId="6DCABE78" w14:textId="0BD7769F" w:rsidR="003A53F5" w:rsidRPr="002A7CA5" w:rsidRDefault="003A53F5" w:rsidP="002A7CA5">
      <w:pPr>
        <w:pStyle w:val="Subtitle"/>
        <w:jc w:val="center"/>
        <w:rPr>
          <w:rFonts w:ascii="Times New Roman" w:hAnsi="Times New Roman" w:cs="Times New Roman"/>
          <w:sz w:val="24"/>
        </w:rPr>
      </w:pPr>
      <w:r w:rsidRPr="002A7CA5">
        <w:rPr>
          <w:rFonts w:ascii="Times New Roman" w:hAnsi="Times New Roman" w:cs="Times New Roman"/>
          <w:sz w:val="24"/>
        </w:rPr>
        <w:t>Lucas Hilty</w:t>
      </w:r>
    </w:p>
    <w:p w14:paraId="4E4CC782" w14:textId="5CAB5373" w:rsidR="001C45A6" w:rsidRPr="003A53F5" w:rsidRDefault="00127B4C" w:rsidP="003A53F5">
      <w:r w:rsidRPr="003A53F5">
        <w:t>In evaluating literacy in</w:t>
      </w:r>
      <w:r w:rsidR="00501FBC">
        <w:t xml:space="preserve"> the</w:t>
      </w:r>
      <w:r w:rsidRPr="003A53F5">
        <w:t xml:space="preserve"> northwestern Arabia</w:t>
      </w:r>
      <w:r w:rsidR="00501FBC">
        <w:t>n Peninsula</w:t>
      </w:r>
      <w:r w:rsidRPr="003A53F5">
        <w:t xml:space="preserve"> during late antiquity, I draw on two primary pools of evidence</w:t>
      </w:r>
      <w:r w:rsidR="002D0612" w:rsidRPr="003A53F5">
        <w:t xml:space="preserve">, one epigraphic and one literary. </w:t>
      </w:r>
      <w:r w:rsidR="00240819">
        <w:t>T</w:t>
      </w:r>
      <w:r w:rsidR="00E63E8A" w:rsidRPr="003A53F5">
        <w:t>he</w:t>
      </w:r>
      <w:r w:rsidRPr="003A53F5">
        <w:t xml:space="preserve"> </w:t>
      </w:r>
      <w:r w:rsidR="007530A2" w:rsidRPr="003A53F5">
        <w:t xml:space="preserve">inscriptions from </w:t>
      </w:r>
      <w:proofErr w:type="spellStart"/>
      <w:r w:rsidR="007530A2" w:rsidRPr="003A53F5">
        <w:t>Hegra</w:t>
      </w:r>
      <w:proofErr w:type="spellEnd"/>
      <w:r w:rsidR="006B6401">
        <w:t xml:space="preserve">, </w:t>
      </w:r>
      <w:proofErr w:type="spellStart"/>
      <w:r w:rsidR="006B6401">
        <w:t>Dedan</w:t>
      </w:r>
      <w:proofErr w:type="spellEnd"/>
      <w:r w:rsidR="006B6401">
        <w:t>, an</w:t>
      </w:r>
      <w:r w:rsidR="007530A2" w:rsidRPr="003A53F5">
        <w:t xml:space="preserve">d </w:t>
      </w:r>
      <w:r w:rsidR="00440BC4">
        <w:t>al-</w:t>
      </w:r>
      <w:proofErr w:type="spellStart"/>
      <w:r w:rsidR="007530A2" w:rsidRPr="003A53F5">
        <w:t>Jawf</w:t>
      </w:r>
      <w:proofErr w:type="spellEnd"/>
      <w:r w:rsidR="00240819">
        <w:t xml:space="preserve"> </w:t>
      </w:r>
      <w:r w:rsidR="005371EA">
        <w:t>demonstrate</w:t>
      </w:r>
      <w:r w:rsidR="00240819">
        <w:t xml:space="preserve"> evidence</w:t>
      </w:r>
      <w:r w:rsidR="00E031F9">
        <w:t xml:space="preserve"> of formal and informal literacy</w:t>
      </w:r>
      <w:r w:rsidR="00E919B8">
        <w:t>, while th</w:t>
      </w:r>
      <w:r w:rsidR="002D0612" w:rsidRPr="003A53F5">
        <w:t xml:space="preserve">e </w:t>
      </w:r>
      <w:r w:rsidR="00D138A3" w:rsidRPr="003A53F5">
        <w:t>letters, histories, and hagiographies</w:t>
      </w:r>
      <w:r w:rsidR="00FB6307" w:rsidRPr="003A53F5">
        <w:t xml:space="preserve"> surrounding Syrian and Arabian </w:t>
      </w:r>
      <w:r w:rsidR="00330D88" w:rsidRPr="003A53F5">
        <w:t>Christianity</w:t>
      </w:r>
      <w:r w:rsidR="00FB6307" w:rsidRPr="003A53F5">
        <w:t xml:space="preserve"> during Late Antiquity</w:t>
      </w:r>
      <w:r w:rsidR="00735D62">
        <w:t xml:space="preserve"> indicate some of the forces that encouraged, and discouraged, specific kinds of literacy</w:t>
      </w:r>
      <w:r w:rsidR="00FB6307" w:rsidRPr="003A53F5">
        <w:t xml:space="preserve">. </w:t>
      </w:r>
      <w:r w:rsidR="00E919B8">
        <w:t xml:space="preserve">Taken together, these two streams of </w:t>
      </w:r>
      <w:r w:rsidR="00617A4A">
        <w:t xml:space="preserve">evidence attest changes in literacy during late antiquity that </w:t>
      </w:r>
      <w:r w:rsidR="00207539">
        <w:t>reflect</w:t>
      </w:r>
      <w:r w:rsidR="00617A4A">
        <w:t xml:space="preserve"> the broader shifts in culture in the Arabian </w:t>
      </w:r>
      <w:r w:rsidR="00501FBC">
        <w:t>Peninsula</w:t>
      </w:r>
      <w:r w:rsidR="00617A4A">
        <w:t>.</w:t>
      </w:r>
    </w:p>
    <w:p w14:paraId="5DD1DE39" w14:textId="77777777" w:rsidR="00333A5B" w:rsidRPr="00035BB9" w:rsidRDefault="00333A5B" w:rsidP="00035BB9">
      <w:pPr>
        <w:pStyle w:val="Heading1"/>
      </w:pPr>
      <w:r w:rsidRPr="00035BB9">
        <w:t>Inscriptions</w:t>
      </w:r>
    </w:p>
    <w:p w14:paraId="0A45603D" w14:textId="22975FFD" w:rsidR="00285696" w:rsidRDefault="0037485A" w:rsidP="003A53F5">
      <w:r>
        <w:t xml:space="preserve">In addition to the famous archaeological evidence in Petra, </w:t>
      </w:r>
      <w:r w:rsidR="00392C02">
        <w:t xml:space="preserve">Nabataean inscriptions have been found in the Sinai, in </w:t>
      </w:r>
      <w:proofErr w:type="spellStart"/>
      <w:r w:rsidR="00392C02">
        <w:t>Hegra</w:t>
      </w:r>
      <w:proofErr w:type="spellEnd"/>
      <w:r w:rsidR="00392C02">
        <w:t xml:space="preserve"> (modern </w:t>
      </w:r>
      <w:proofErr w:type="spellStart"/>
      <w:r w:rsidR="00392C02">
        <w:t>Mada’in</w:t>
      </w:r>
      <w:proofErr w:type="spellEnd"/>
      <w:r w:rsidR="00392C02">
        <w:t xml:space="preserve"> Sal</w:t>
      </w:r>
      <w:r w:rsidR="00A1533E">
        <w:t>e</w:t>
      </w:r>
      <w:r w:rsidR="00392C02">
        <w:t>h)</w:t>
      </w:r>
      <w:r w:rsidR="0062692A">
        <w:t xml:space="preserve">, </w:t>
      </w:r>
      <w:proofErr w:type="spellStart"/>
      <w:r w:rsidR="00A367F4" w:rsidRPr="00A367F4">
        <w:t>D</w:t>
      </w:r>
      <w:r w:rsidR="009004E3">
        <w:t>u</w:t>
      </w:r>
      <w:r w:rsidR="00A367F4" w:rsidRPr="00A367F4">
        <w:t>mat</w:t>
      </w:r>
      <w:proofErr w:type="spellEnd"/>
      <w:r w:rsidR="00A367F4" w:rsidRPr="00A367F4">
        <w:t xml:space="preserve"> </w:t>
      </w:r>
      <w:r w:rsidR="00440BC4">
        <w:t>al-</w:t>
      </w:r>
      <w:proofErr w:type="spellStart"/>
      <w:r w:rsidR="00A367F4" w:rsidRPr="00A367F4">
        <w:t>Janda</w:t>
      </w:r>
      <w:r w:rsidR="009D55C8">
        <w:t>l</w:t>
      </w:r>
      <w:proofErr w:type="spellEnd"/>
      <w:r w:rsidR="0062692A">
        <w:t>, and elsewhere</w:t>
      </w:r>
      <w:r w:rsidR="005D33B3" w:rsidRPr="00CF2661">
        <w:rPr>
          <w:rStyle w:val="FootnoteReference"/>
        </w:rPr>
        <w:footnoteReference w:id="2"/>
      </w:r>
      <w:r w:rsidR="00537BCE">
        <w:t>.</w:t>
      </w:r>
      <w:r w:rsidR="0062692A">
        <w:t xml:space="preserve"> </w:t>
      </w:r>
      <w:r w:rsidR="00537BCE">
        <w:t>T</w:t>
      </w:r>
      <w:r w:rsidR="0062692A">
        <w:t xml:space="preserve">he inscriptions in </w:t>
      </w:r>
      <w:proofErr w:type="spellStart"/>
      <w:r w:rsidR="0062692A">
        <w:t>Hegra</w:t>
      </w:r>
      <w:proofErr w:type="spellEnd"/>
      <w:r w:rsidR="0062692A">
        <w:t xml:space="preserve"> and </w:t>
      </w:r>
      <w:proofErr w:type="spellStart"/>
      <w:r w:rsidR="00A367F4" w:rsidRPr="00A367F4">
        <w:t>Dûmat</w:t>
      </w:r>
      <w:proofErr w:type="spellEnd"/>
      <w:r w:rsidR="00A367F4" w:rsidRPr="00A367F4">
        <w:t xml:space="preserve"> </w:t>
      </w:r>
      <w:r w:rsidR="00440BC4">
        <w:t>al-</w:t>
      </w:r>
      <w:proofErr w:type="spellStart"/>
      <w:r w:rsidR="00A367F4" w:rsidRPr="00A367F4">
        <w:t>Janda</w:t>
      </w:r>
      <w:r w:rsidR="009D55C8">
        <w:t>l</w:t>
      </w:r>
      <w:proofErr w:type="spellEnd"/>
      <w:r w:rsidR="00A367F4">
        <w:t xml:space="preserve"> bear upon the question of literacy in </w:t>
      </w:r>
      <w:r w:rsidR="00834F62">
        <w:t xml:space="preserve">the </w:t>
      </w:r>
      <w:r w:rsidR="00A367F4">
        <w:t>northwestern Arabia</w:t>
      </w:r>
      <w:r w:rsidR="00834F62">
        <w:t>n Peninsula</w:t>
      </w:r>
      <w:r w:rsidR="009853A1">
        <w:t xml:space="preserve"> since they </w:t>
      </w:r>
      <w:r w:rsidR="00E7587B">
        <w:t>record</w:t>
      </w:r>
      <w:r w:rsidR="009853A1">
        <w:t xml:space="preserve"> the </w:t>
      </w:r>
      <w:r w:rsidR="00E7587B">
        <w:t>presence</w:t>
      </w:r>
      <w:r w:rsidR="009853A1">
        <w:t xml:space="preserve"> of a powerful literate culture in </w:t>
      </w:r>
      <w:r w:rsidR="00F21989">
        <w:t>the</w:t>
      </w:r>
      <w:r w:rsidR="009853A1">
        <w:t xml:space="preserve"> </w:t>
      </w:r>
      <w:r w:rsidR="004264D8">
        <w:t xml:space="preserve">region far from the </w:t>
      </w:r>
      <w:r w:rsidR="003928F1">
        <w:t>more densely populated networks of cities and villages</w:t>
      </w:r>
      <w:r w:rsidR="004264D8">
        <w:t xml:space="preserve"> in Egypt</w:t>
      </w:r>
      <w:r w:rsidR="00285696">
        <w:t xml:space="preserve"> and the Levant</w:t>
      </w:r>
      <w:r w:rsidR="00A92A32" w:rsidRPr="00CF2661">
        <w:rPr>
          <w:rStyle w:val="FootnoteReference"/>
        </w:rPr>
        <w:footnoteReference w:id="3"/>
      </w:r>
      <w:r w:rsidR="00285696">
        <w:t xml:space="preserve">. </w:t>
      </w:r>
    </w:p>
    <w:p w14:paraId="3F326738" w14:textId="4B5C88CA" w:rsidR="00D20B42" w:rsidRDefault="008E2AC4" w:rsidP="003A53F5">
      <w:r>
        <w:t xml:space="preserve">Nehme notes that </w:t>
      </w:r>
      <w:r w:rsidR="0049256B">
        <w:t>the inscriptions</w:t>
      </w:r>
      <w:r w:rsidR="009004E3">
        <w:t xml:space="preserve"> at </w:t>
      </w:r>
      <w:proofErr w:type="spellStart"/>
      <w:r w:rsidR="009004E3" w:rsidRPr="00A367F4">
        <w:t>D</w:t>
      </w:r>
      <w:r w:rsidR="009004E3">
        <w:t>u</w:t>
      </w:r>
      <w:r w:rsidR="009004E3" w:rsidRPr="00A367F4">
        <w:t>mat</w:t>
      </w:r>
      <w:proofErr w:type="spellEnd"/>
      <w:r w:rsidR="009004E3" w:rsidRPr="00A367F4">
        <w:t xml:space="preserve"> </w:t>
      </w:r>
      <w:r w:rsidR="00440BC4">
        <w:t>al-</w:t>
      </w:r>
      <w:proofErr w:type="spellStart"/>
      <w:r w:rsidR="009004E3" w:rsidRPr="00A367F4">
        <w:t>Janda</w:t>
      </w:r>
      <w:r w:rsidR="009004E3">
        <w:t>l</w:t>
      </w:r>
      <w:proofErr w:type="spellEnd"/>
      <w:r w:rsidR="0049256B">
        <w:t xml:space="preserve"> that do bear dates </w:t>
      </w:r>
      <w:r>
        <w:t xml:space="preserve">were inscribed early in the era of </w:t>
      </w:r>
      <w:proofErr w:type="spellStart"/>
      <w:r>
        <w:t>Provincia</w:t>
      </w:r>
      <w:proofErr w:type="spellEnd"/>
      <w:r>
        <w:t xml:space="preserve"> Arabia,</w:t>
      </w:r>
      <w:r w:rsidR="009004E3">
        <w:t xml:space="preserve"> that is, </w:t>
      </w:r>
      <w:r w:rsidR="00D20B42">
        <w:t>probably in the second century AD</w:t>
      </w:r>
      <w:r w:rsidR="006F3EE6" w:rsidRPr="00CF2661">
        <w:rPr>
          <w:rStyle w:val="FootnoteReference"/>
        </w:rPr>
        <w:footnoteReference w:id="4"/>
      </w:r>
      <w:r w:rsidR="00D20B42">
        <w:t>.</w:t>
      </w:r>
      <w:r w:rsidR="00B26FD1">
        <w:t xml:space="preserve"> </w:t>
      </w:r>
      <w:proofErr w:type="gramStart"/>
      <w:r w:rsidR="003D5F36">
        <w:t>The majority</w:t>
      </w:r>
      <w:r w:rsidR="00B26FD1">
        <w:t xml:space="preserve"> of</w:t>
      </w:r>
      <w:proofErr w:type="gramEnd"/>
      <w:r w:rsidR="00B26FD1">
        <w:t xml:space="preserve"> the </w:t>
      </w:r>
      <w:r w:rsidR="00C92FE4">
        <w:t xml:space="preserve">tomb </w:t>
      </w:r>
      <w:r w:rsidR="00B26FD1">
        <w:t xml:space="preserve">inscriptions at </w:t>
      </w:r>
      <w:proofErr w:type="spellStart"/>
      <w:r w:rsidR="00B26FD1">
        <w:t>Hegra</w:t>
      </w:r>
      <w:proofErr w:type="spellEnd"/>
      <w:r w:rsidR="00B26FD1">
        <w:t xml:space="preserve"> </w:t>
      </w:r>
      <w:r w:rsidR="00451684">
        <w:t xml:space="preserve">belong to the same time period, although </w:t>
      </w:r>
      <w:r w:rsidR="0097235E">
        <w:t xml:space="preserve">the chronology for most </w:t>
      </w:r>
      <w:r w:rsidR="0097235E">
        <w:lastRenderedPageBreak/>
        <w:t xml:space="preserve">inscriptions in Arabia is tenuous due to the lack of </w:t>
      </w:r>
      <w:r w:rsidR="005F7315">
        <w:t>an established chronology into which inscriptions can be placed</w:t>
      </w:r>
      <w:r w:rsidR="00F6674E" w:rsidRPr="00CF2661">
        <w:rPr>
          <w:rStyle w:val="FootnoteReference"/>
        </w:rPr>
        <w:footnoteReference w:id="5"/>
      </w:r>
      <w:r w:rsidR="00451684">
        <w:t>.</w:t>
      </w:r>
    </w:p>
    <w:p w14:paraId="1D684169" w14:textId="65063EC3" w:rsidR="007E5A82" w:rsidRDefault="004868AD" w:rsidP="003A53F5">
      <w:r>
        <w:t xml:space="preserve">In </w:t>
      </w:r>
      <w:proofErr w:type="spellStart"/>
      <w:r>
        <w:t>Hegra</w:t>
      </w:r>
      <w:proofErr w:type="spellEnd"/>
      <w:r>
        <w:t xml:space="preserve">, the epigraphic evidence consists of more than thirty </w:t>
      </w:r>
      <w:r w:rsidR="006F6EA2">
        <w:t>affirmations of ownership on tombs, copies of official records kept in parchment.</w:t>
      </w:r>
      <w:r w:rsidR="009541E0">
        <w:t xml:space="preserve"> </w:t>
      </w:r>
      <w:r w:rsidR="0020448C">
        <w:t>Nehme</w:t>
      </w:r>
      <w:r w:rsidR="001D77BF">
        <w:t xml:space="preserve"> notes the </w:t>
      </w:r>
      <w:r w:rsidR="00FB6A85">
        <w:t xml:space="preserve">comparatively higher quantity and </w:t>
      </w:r>
      <w:r w:rsidR="001D77BF">
        <w:t xml:space="preserve">lower quality of </w:t>
      </w:r>
      <w:r w:rsidR="00FB6A85">
        <w:t>tomb</w:t>
      </w:r>
      <w:r w:rsidR="001D77BF">
        <w:t xml:space="preserve"> inscriptions </w:t>
      </w:r>
      <w:r w:rsidR="00FB6A85">
        <w:t xml:space="preserve">at </w:t>
      </w:r>
      <w:proofErr w:type="spellStart"/>
      <w:r w:rsidR="00FB6A85">
        <w:t>Hegra</w:t>
      </w:r>
      <w:proofErr w:type="spellEnd"/>
      <w:r w:rsidR="00FB6A85">
        <w:t xml:space="preserve"> vis-à-vis </w:t>
      </w:r>
      <w:proofErr w:type="gramStart"/>
      <w:r w:rsidR="00FB6A85">
        <w:t>Petra, and</w:t>
      </w:r>
      <w:proofErr w:type="gramEnd"/>
      <w:r w:rsidR="00FB6A85">
        <w:t xml:space="preserve"> observes that </w:t>
      </w:r>
      <w:proofErr w:type="spellStart"/>
      <w:r w:rsidR="00FB6A85">
        <w:t>Hegra</w:t>
      </w:r>
      <w:proofErr w:type="spellEnd"/>
      <w:r w:rsidR="00FB6A85">
        <w:t xml:space="preserve"> had a </w:t>
      </w:r>
      <w:r w:rsidR="00E3499D">
        <w:t>‘</w:t>
      </w:r>
      <w:r w:rsidR="00FB6A85">
        <w:t>provincial</w:t>
      </w:r>
      <w:r w:rsidR="00E3499D">
        <w:t>’</w:t>
      </w:r>
      <w:r w:rsidR="00FB6A85">
        <w:t xml:space="preserve"> feel, as if </w:t>
      </w:r>
      <w:r w:rsidR="009F4C7A">
        <w:t>residents felt compelled to consume their Nabataean culture more conspicuously even though they were less refined</w:t>
      </w:r>
      <w:r w:rsidR="009541E0" w:rsidRPr="00CF2661">
        <w:rPr>
          <w:rStyle w:val="FootnoteReference"/>
        </w:rPr>
        <w:footnoteReference w:id="6"/>
      </w:r>
      <w:r w:rsidR="009F4C7A">
        <w:t>.</w:t>
      </w:r>
      <w:r w:rsidR="007E5A82">
        <w:t xml:space="preserve"> </w:t>
      </w:r>
      <w:r w:rsidR="00C54292">
        <w:t xml:space="preserve">The </w:t>
      </w:r>
      <w:proofErr w:type="spellStart"/>
      <w:r w:rsidR="00C54292">
        <w:t>Hegra</w:t>
      </w:r>
      <w:proofErr w:type="spellEnd"/>
      <w:r w:rsidR="00C54292">
        <w:t xml:space="preserve"> inscriptions demonstrate that </w:t>
      </w:r>
      <w:r w:rsidR="00DA7428">
        <w:t>people living far from the</w:t>
      </w:r>
      <w:r w:rsidR="00883D2F">
        <w:t xml:space="preserve"> perceived center of their culture may embrace the ways of this culture while adapting them to </w:t>
      </w:r>
      <w:r w:rsidR="00402B72">
        <w:t xml:space="preserve">suit their circumstances. </w:t>
      </w:r>
    </w:p>
    <w:p w14:paraId="5BFDEF27" w14:textId="7893A65F" w:rsidR="007B5EA3" w:rsidRDefault="000F1F03" w:rsidP="003A53F5">
      <w:r>
        <w:t xml:space="preserve">The tomb inscriptions at </w:t>
      </w:r>
      <w:proofErr w:type="spellStart"/>
      <w:r>
        <w:t>Hegra</w:t>
      </w:r>
      <w:proofErr w:type="spellEnd"/>
      <w:r>
        <w:t xml:space="preserve"> are placed high on the rock face at too great a distance to be read easily by casual passers-by</w:t>
      </w:r>
      <w:r w:rsidR="00BF2812" w:rsidRPr="00CF2661">
        <w:rPr>
          <w:rStyle w:val="FootnoteReference"/>
        </w:rPr>
        <w:footnoteReference w:id="7"/>
      </w:r>
      <w:r w:rsidR="004B30A6">
        <w:t xml:space="preserve">, and the tombs themselves were used by the </w:t>
      </w:r>
      <w:r w:rsidR="00090C41">
        <w:t>minority of the population that could afford them</w:t>
      </w:r>
      <w:r w:rsidR="00090C41" w:rsidRPr="00CF2661">
        <w:rPr>
          <w:rStyle w:val="FootnoteReference"/>
        </w:rPr>
        <w:footnoteReference w:id="8"/>
      </w:r>
      <w:r>
        <w:t xml:space="preserve">. </w:t>
      </w:r>
      <w:r w:rsidR="00DF07DC">
        <w:t>Many Nabataean-script inscriptions are of a much less formal nature</w:t>
      </w:r>
      <w:r w:rsidR="00EF18F7">
        <w:t>, however</w:t>
      </w:r>
      <w:r w:rsidR="00A31562">
        <w:t xml:space="preserve">. The graffiti found at </w:t>
      </w:r>
      <w:proofErr w:type="spellStart"/>
      <w:r w:rsidR="00A31562">
        <w:t>Dumat</w:t>
      </w:r>
      <w:proofErr w:type="spellEnd"/>
      <w:r w:rsidR="00A31562">
        <w:t xml:space="preserve"> </w:t>
      </w:r>
      <w:r w:rsidR="00440BC4">
        <w:t>al-</w:t>
      </w:r>
      <w:proofErr w:type="spellStart"/>
      <w:r w:rsidR="00A31562">
        <w:t>Jandal</w:t>
      </w:r>
      <w:proofErr w:type="spellEnd"/>
      <w:r w:rsidR="00A31562">
        <w:t xml:space="preserve">, around </w:t>
      </w:r>
      <w:proofErr w:type="spellStart"/>
      <w:r w:rsidR="00A31562">
        <w:t>Hegra</w:t>
      </w:r>
      <w:proofErr w:type="spellEnd"/>
      <w:r w:rsidR="00A31562">
        <w:t>,</w:t>
      </w:r>
      <w:r w:rsidR="007A1A3E">
        <w:t xml:space="preserve"> on the routes between these two sites, and</w:t>
      </w:r>
      <w:r w:rsidR="00A31562">
        <w:t xml:space="preserve"> </w:t>
      </w:r>
      <w:r w:rsidR="007A1A3E">
        <w:t>in the Sinai seems to be</w:t>
      </w:r>
      <w:r w:rsidR="00D2670F">
        <w:t xml:space="preserve"> inscribed by non-elites</w:t>
      </w:r>
      <w:r w:rsidR="00DA1C94">
        <w:t xml:space="preserve"> or at least a middle class</w:t>
      </w:r>
      <w:r w:rsidR="00111EC2">
        <w:t>; s</w:t>
      </w:r>
      <w:r w:rsidR="009B0FB7">
        <w:t xml:space="preserve">ome examples were left by </w:t>
      </w:r>
      <w:r w:rsidR="00EA69F3">
        <w:t>nomads and soldiers</w:t>
      </w:r>
      <w:r w:rsidR="004460C7" w:rsidRPr="00CF2661">
        <w:rPr>
          <w:rStyle w:val="FootnoteReference"/>
        </w:rPr>
        <w:footnoteReference w:id="9"/>
      </w:r>
      <w:r w:rsidR="009B0FB7">
        <w:t xml:space="preserve">, </w:t>
      </w:r>
      <w:r w:rsidR="000F41C3">
        <w:t>which suggests that a form of literacy was common</w:t>
      </w:r>
      <w:r w:rsidR="009B0FB7">
        <w:t xml:space="preserve"> </w:t>
      </w:r>
      <w:r w:rsidR="00E7700A">
        <w:t>among non-elites</w:t>
      </w:r>
      <w:r w:rsidR="0039092E">
        <w:t>.</w:t>
      </w:r>
    </w:p>
    <w:p w14:paraId="0632647E" w14:textId="6FABD108" w:rsidR="00727C8C" w:rsidRDefault="0086429A" w:rsidP="003A53F5">
      <w:r>
        <w:t>The Nabataeans’ civilization created norms of literacy that affected the tribes and peoples around them</w:t>
      </w:r>
      <w:r w:rsidR="001E3B9E">
        <w:t>.</w:t>
      </w:r>
      <w:r>
        <w:t xml:space="preserve"> </w:t>
      </w:r>
      <w:r w:rsidR="001E3B9E">
        <w:t>Macdonald notes that</w:t>
      </w:r>
      <w:r w:rsidR="00021DD1">
        <w:t xml:space="preserve"> nomads in the Sinai adopted Nabataean as their primary language of </w:t>
      </w:r>
      <w:r w:rsidR="00021DD1">
        <w:lastRenderedPageBreak/>
        <w:t>writing;</w:t>
      </w:r>
      <w:r>
        <w:t xml:space="preserve"> </w:t>
      </w:r>
      <w:r w:rsidR="002E1452">
        <w:t xml:space="preserve">Macdonald identifies Nabataean as the </w:t>
      </w:r>
      <w:r w:rsidR="00263410">
        <w:t>highest-status</w:t>
      </w:r>
      <w:r w:rsidR="002E1452">
        <w:t xml:space="preserve"> </w:t>
      </w:r>
      <w:r w:rsidR="00A0691B">
        <w:t xml:space="preserve">Semitic </w:t>
      </w:r>
      <w:r w:rsidR="002E1452">
        <w:t xml:space="preserve">language of </w:t>
      </w:r>
      <w:r w:rsidR="00BF31EF">
        <w:t xml:space="preserve">the </w:t>
      </w:r>
      <w:r w:rsidR="00C30879">
        <w:t xml:space="preserve">region </w:t>
      </w:r>
      <w:r w:rsidR="00A0691B">
        <w:t xml:space="preserve">extending from </w:t>
      </w:r>
      <w:r w:rsidR="00C30879">
        <w:t xml:space="preserve">southern Syria </w:t>
      </w:r>
      <w:r w:rsidR="00A0691B">
        <w:t>to the land north of</w:t>
      </w:r>
      <w:r w:rsidR="00C30879">
        <w:t xml:space="preserve"> </w:t>
      </w:r>
      <w:proofErr w:type="spellStart"/>
      <w:r w:rsidR="00365102">
        <w:t>Himya</w:t>
      </w:r>
      <w:r w:rsidR="00021DD1">
        <w:t>r</w:t>
      </w:r>
      <w:proofErr w:type="spellEnd"/>
      <w:r w:rsidR="00B23293" w:rsidRPr="00CF2661">
        <w:rPr>
          <w:rStyle w:val="FootnoteReference"/>
        </w:rPr>
        <w:footnoteReference w:id="10"/>
      </w:r>
      <w:r w:rsidR="00B23293">
        <w:t>.</w:t>
      </w:r>
      <w:r w:rsidR="00A0691B">
        <w:t xml:space="preserve"> </w:t>
      </w:r>
    </w:p>
    <w:p w14:paraId="0753DB19" w14:textId="01691925" w:rsidR="00727C8C" w:rsidRDefault="00BB3A77" w:rsidP="003A53F5">
      <w:r>
        <w:t xml:space="preserve">The inscriptions at </w:t>
      </w:r>
      <w:proofErr w:type="spellStart"/>
      <w:r>
        <w:t>Hegra</w:t>
      </w:r>
      <w:proofErr w:type="spellEnd"/>
      <w:r>
        <w:t xml:space="preserve"> and </w:t>
      </w:r>
      <w:proofErr w:type="spellStart"/>
      <w:r w:rsidRPr="00A367F4">
        <w:t>Dûmat</w:t>
      </w:r>
      <w:proofErr w:type="spellEnd"/>
      <w:r w:rsidRPr="00A367F4">
        <w:t xml:space="preserve"> </w:t>
      </w:r>
      <w:r w:rsidR="00440BC4">
        <w:t>al-</w:t>
      </w:r>
      <w:proofErr w:type="spellStart"/>
      <w:r w:rsidRPr="00A367F4">
        <w:t>Janda</w:t>
      </w:r>
      <w:r>
        <w:t>l</w:t>
      </w:r>
      <w:proofErr w:type="spellEnd"/>
      <w:r w:rsidR="006C6424">
        <w:t xml:space="preserve">, then, testify to certain types of public square literacy practiced in northwestern Arabia by the settled civilizations and the nomadic peoples with whom they interacted. </w:t>
      </w:r>
      <w:r w:rsidR="00727C8C">
        <w:t xml:space="preserve">On the other hand, these inscriptions </w:t>
      </w:r>
      <w:r w:rsidR="00C03844">
        <w:t xml:space="preserve">demonstrate literacy </w:t>
      </w:r>
      <w:r w:rsidR="00935C33">
        <w:t xml:space="preserve">in </w:t>
      </w:r>
      <w:r w:rsidR="00727C8C">
        <w:t>narrow linguistic domain</w:t>
      </w:r>
      <w:r w:rsidR="00136A25">
        <w:t>s</w:t>
      </w:r>
      <w:r w:rsidR="00727C8C">
        <w:t xml:space="preserve">: they focus </w:t>
      </w:r>
      <w:r w:rsidR="004B7FB6">
        <w:t>on formal declarations of property rights and on signatures invoking the blessings of the gods.</w:t>
      </w:r>
      <w:r w:rsidR="00C6724C" w:rsidRPr="00CF2661">
        <w:rPr>
          <w:rStyle w:val="FootnoteReference"/>
        </w:rPr>
        <w:footnoteReference w:id="11"/>
      </w:r>
      <w:r w:rsidR="004B7FB6">
        <w:t xml:space="preserve"> </w:t>
      </w:r>
    </w:p>
    <w:p w14:paraId="44B88C04" w14:textId="781567DE" w:rsidR="006141E7" w:rsidRDefault="006141E7" w:rsidP="003A53F5">
      <w:r>
        <w:t xml:space="preserve">Although most of the </w:t>
      </w:r>
      <w:r w:rsidR="008064E4">
        <w:t xml:space="preserve">evidence of Nabataean script is considered pre-fifth century, Macdonald makes the case that writing continued in this script after this, but </w:t>
      </w:r>
      <w:r w:rsidR="004C05BE">
        <w:t>on materials other than stone</w:t>
      </w:r>
      <w:r w:rsidR="004C05BE" w:rsidRPr="00CF2661">
        <w:rPr>
          <w:rStyle w:val="FootnoteReference"/>
        </w:rPr>
        <w:footnoteReference w:id="12"/>
      </w:r>
      <w:r w:rsidR="004C05BE">
        <w:t>.</w:t>
      </w:r>
      <w:r w:rsidR="009D2B30">
        <w:t xml:space="preserve"> This means that the evidence of literary activity during the fifth and sixth centuries is largely lost to us. However, Macdonald points to the inscriptions at </w:t>
      </w:r>
      <w:r w:rsidR="00CE2053" w:rsidRPr="00CE2053">
        <w:t xml:space="preserve">Jabal Umm </w:t>
      </w:r>
      <w:proofErr w:type="spellStart"/>
      <w:r w:rsidR="00CE2053" w:rsidRPr="00CE2053">
        <w:t>Jadhayidh</w:t>
      </w:r>
      <w:proofErr w:type="spellEnd"/>
      <w:r w:rsidR="00CE2053">
        <w:t xml:space="preserve">, some of which show a transition from </w:t>
      </w:r>
      <w:r w:rsidR="003E20A6">
        <w:t>Nabataean to Arabic script, as evidence that the language continued to be written and developed throughout late antiquity</w:t>
      </w:r>
      <w:r w:rsidR="008F48F0" w:rsidRPr="00CF2661">
        <w:rPr>
          <w:rStyle w:val="FootnoteReference"/>
        </w:rPr>
        <w:footnoteReference w:id="13"/>
      </w:r>
      <w:r w:rsidR="003E20A6">
        <w:t>.</w:t>
      </w:r>
    </w:p>
    <w:p w14:paraId="0DDB23A1" w14:textId="7CCAF4E6" w:rsidR="005C4514" w:rsidRDefault="005C4514" w:rsidP="003A53F5">
      <w:r>
        <w:t xml:space="preserve">The </w:t>
      </w:r>
      <w:r w:rsidR="00A0554E">
        <w:t>fact that</w:t>
      </w:r>
      <w:r>
        <w:t xml:space="preserve"> Arabic </w:t>
      </w:r>
      <w:r w:rsidR="00A0554E">
        <w:t xml:space="preserve">was a developed script </w:t>
      </w:r>
      <w:r w:rsidR="00BE42E3">
        <w:t xml:space="preserve">during the early Islamic period, appropriate as a prestige language for writing the </w:t>
      </w:r>
      <w:proofErr w:type="spellStart"/>
      <w:r w:rsidR="00BE42E3">
        <w:t>Qu’ran</w:t>
      </w:r>
      <w:proofErr w:type="spellEnd"/>
      <w:r w:rsidR="00BE42E3">
        <w:t>, leads Macdonald to argue that it had been widely used in the centuries leading up to the Hijra</w:t>
      </w:r>
      <w:r w:rsidR="00CB1BBB" w:rsidRPr="00CF2661">
        <w:rPr>
          <w:rStyle w:val="FootnoteReference"/>
        </w:rPr>
        <w:footnoteReference w:id="14"/>
      </w:r>
      <w:r w:rsidR="00BE42E3">
        <w:t xml:space="preserve">. </w:t>
      </w:r>
      <w:r w:rsidR="00AB4B0B">
        <w:t>The early Arabic inscription</w:t>
      </w:r>
      <w:r w:rsidR="00CF7EEC">
        <w:t xml:space="preserve"> at </w:t>
      </w:r>
      <w:proofErr w:type="spellStart"/>
      <w:r w:rsidR="00B85E8E">
        <w:t>Dumat</w:t>
      </w:r>
      <w:proofErr w:type="spellEnd"/>
      <w:r w:rsidR="00B85E8E">
        <w:t xml:space="preserve"> </w:t>
      </w:r>
      <w:r w:rsidR="00440BC4">
        <w:t>al-</w:t>
      </w:r>
      <w:proofErr w:type="spellStart"/>
      <w:r w:rsidR="00B85E8E">
        <w:t>Jandal</w:t>
      </w:r>
      <w:proofErr w:type="spellEnd"/>
      <w:r w:rsidR="00B3241E" w:rsidRPr="00CF2661">
        <w:rPr>
          <w:rStyle w:val="FootnoteReference"/>
        </w:rPr>
        <w:footnoteReference w:id="15"/>
      </w:r>
      <w:r w:rsidR="0052263D">
        <w:t xml:space="preserve">, </w:t>
      </w:r>
      <w:r w:rsidR="00D83030">
        <w:t xml:space="preserve">as well as the Arabic influenced inscriptions at </w:t>
      </w:r>
      <w:r w:rsidR="00CF7EEC" w:rsidRPr="00CE2053">
        <w:t xml:space="preserve">Jabal Umm </w:t>
      </w:r>
      <w:proofErr w:type="spellStart"/>
      <w:r w:rsidR="00CF7EEC" w:rsidRPr="00CE2053">
        <w:t>Jadhayidh</w:t>
      </w:r>
      <w:proofErr w:type="spellEnd"/>
      <w:r w:rsidR="00D83030">
        <w:t xml:space="preserve">, </w:t>
      </w:r>
      <w:r w:rsidR="000665C8">
        <w:t xml:space="preserve">provide evidence for </w:t>
      </w:r>
      <w:r w:rsidR="00602E51">
        <w:t>this continued practice of writing.</w:t>
      </w:r>
    </w:p>
    <w:p w14:paraId="59B11DC1" w14:textId="7D9AA051" w:rsidR="00602E51" w:rsidRDefault="008A3539" w:rsidP="003A53F5">
      <w:r>
        <w:lastRenderedPageBreak/>
        <w:t>Conve</w:t>
      </w:r>
      <w:r w:rsidR="00D13D04">
        <w:t>r</w:t>
      </w:r>
      <w:r>
        <w:t>sely, although inscriptions in stone</w:t>
      </w:r>
      <w:r w:rsidR="00D13D04">
        <w:t xml:space="preserve"> by their nature</w:t>
      </w:r>
      <w:r w:rsidR="009A476D">
        <w:t xml:space="preserve"> </w:t>
      </w:r>
      <w:r w:rsidR="00D13D04">
        <w:t>demonstrate literacy</w:t>
      </w:r>
      <w:r w:rsidR="009A476D">
        <w:t xml:space="preserve"> </w:t>
      </w:r>
      <w:r w:rsidR="000A2A64">
        <w:t>in narrow domains, the</w:t>
      </w:r>
      <w:r w:rsidR="00A01D0A">
        <w:t xml:space="preserve">ir </w:t>
      </w:r>
      <w:r w:rsidR="00254180">
        <w:t>testimony of</w:t>
      </w:r>
      <w:r w:rsidR="009A476D">
        <w:t xml:space="preserve"> legal and religious practice makes them relevant in tracking the effects of Christian activity in the region. Christians in the latter part of late antiquity tended to identify strongly with the Roman state</w:t>
      </w:r>
      <w:r w:rsidR="009A476D" w:rsidRPr="00CF2661">
        <w:rPr>
          <w:rStyle w:val="FootnoteReference"/>
        </w:rPr>
        <w:footnoteReference w:id="16"/>
      </w:r>
      <w:r w:rsidR="009A476D">
        <w:t>, and obviously resisted pagan practice</w:t>
      </w:r>
      <w:r w:rsidR="006666BB" w:rsidRPr="00CF2661">
        <w:rPr>
          <w:rStyle w:val="FootnoteReference"/>
        </w:rPr>
        <w:footnoteReference w:id="17"/>
      </w:r>
      <w:r w:rsidR="009A476D">
        <w:t xml:space="preserve">. </w:t>
      </w:r>
    </w:p>
    <w:p w14:paraId="6337498F" w14:textId="5B99C5DE" w:rsidR="009D25D0" w:rsidRDefault="00A66A5C" w:rsidP="003A53F5">
      <w:r>
        <w:t xml:space="preserve">Just to the south of </w:t>
      </w:r>
      <w:proofErr w:type="spellStart"/>
      <w:r>
        <w:t>Hegra</w:t>
      </w:r>
      <w:proofErr w:type="spellEnd"/>
      <w:r w:rsidR="00971218">
        <w:t xml:space="preserve"> lies the oasis of </w:t>
      </w:r>
      <w:proofErr w:type="spellStart"/>
      <w:r w:rsidR="00971218">
        <w:t>Dadan</w:t>
      </w:r>
      <w:proofErr w:type="spellEnd"/>
      <w:r w:rsidR="00971218">
        <w:t xml:space="preserve"> (</w:t>
      </w:r>
      <w:r w:rsidR="00440BC4">
        <w:t>al-</w:t>
      </w:r>
      <w:r w:rsidR="00971218">
        <w:t>Ula</w:t>
      </w:r>
      <w:r w:rsidR="00592B93">
        <w:t>)</w:t>
      </w:r>
      <w:r w:rsidR="00971218">
        <w:t xml:space="preserve">. </w:t>
      </w:r>
      <w:r w:rsidR="0011416F">
        <w:t xml:space="preserve">Many </w:t>
      </w:r>
      <w:proofErr w:type="spellStart"/>
      <w:r w:rsidR="0011416F">
        <w:t>Dadanitic</w:t>
      </w:r>
      <w:proofErr w:type="spellEnd"/>
      <w:r w:rsidR="0011416F">
        <w:t xml:space="preserve"> inscriptions have been found here</w:t>
      </w:r>
      <w:r w:rsidR="003548D1" w:rsidRPr="00CF2661">
        <w:rPr>
          <w:rStyle w:val="FootnoteReference"/>
        </w:rPr>
        <w:footnoteReference w:id="18"/>
      </w:r>
      <w:r w:rsidR="0011416F">
        <w:t xml:space="preserve">, although </w:t>
      </w:r>
      <w:r w:rsidR="006763B9">
        <w:t xml:space="preserve">because they were </w:t>
      </w:r>
      <w:r w:rsidR="006E2A67">
        <w:t xml:space="preserve">likely </w:t>
      </w:r>
      <w:r w:rsidR="006763B9">
        <w:t>left prior to the Nabataean control of the area I do not consider them central to my research</w:t>
      </w:r>
      <w:r w:rsidR="006E2A67" w:rsidRPr="00CF2661">
        <w:rPr>
          <w:rStyle w:val="FootnoteReference"/>
        </w:rPr>
        <w:footnoteReference w:id="19"/>
      </w:r>
      <w:r w:rsidR="006763B9">
        <w:t xml:space="preserve">. Along with the occasional </w:t>
      </w:r>
      <w:proofErr w:type="spellStart"/>
      <w:r w:rsidR="006763B9">
        <w:t>Minaic</w:t>
      </w:r>
      <w:proofErr w:type="spellEnd"/>
      <w:r w:rsidR="006763B9">
        <w:t xml:space="preserve">, Greek, and Latin inscriptions in the area, however, they do </w:t>
      </w:r>
      <w:r w:rsidR="008669BE">
        <w:t>suggest motiv</w:t>
      </w:r>
      <w:r w:rsidR="000C50B1">
        <w:t>e</w:t>
      </w:r>
      <w:r w:rsidR="008669BE">
        <w:t>s for</w:t>
      </w:r>
      <w:r w:rsidR="000C50B1">
        <w:t xml:space="preserve"> the development of literate societies, as </w:t>
      </w:r>
      <w:r w:rsidR="004F0295">
        <w:t>local tribes interacted with traders and merchants from South Arabia and the Mediterranean</w:t>
      </w:r>
      <w:r w:rsidR="006E2A67" w:rsidRPr="00CF2661">
        <w:rPr>
          <w:rStyle w:val="FootnoteReference"/>
        </w:rPr>
        <w:footnoteReference w:id="20"/>
      </w:r>
      <w:r w:rsidR="004F0295">
        <w:t>.</w:t>
      </w:r>
    </w:p>
    <w:p w14:paraId="65835DDC" w14:textId="70CE9D57" w:rsidR="00C64BE0" w:rsidRDefault="00C64BE0" w:rsidP="00C64BE0">
      <w:pPr>
        <w:pStyle w:val="Heading1"/>
      </w:pPr>
      <w:r>
        <w:t>Literature</w:t>
      </w:r>
    </w:p>
    <w:p w14:paraId="0EEA7DCF" w14:textId="77777777" w:rsidR="00582DC6" w:rsidRDefault="00C411C2" w:rsidP="008172C0">
      <w:r>
        <w:t>Beginning at</w:t>
      </w:r>
      <w:r w:rsidR="006D6A4A">
        <w:t xml:space="preserve"> its birth in </w:t>
      </w:r>
      <w:r>
        <w:t xml:space="preserve">Palestine, Christianity </w:t>
      </w:r>
      <w:r w:rsidR="00077450">
        <w:t>was planted in ‘Arabia</w:t>
      </w:r>
      <w:r w:rsidR="00EF56AD">
        <w:t>’</w:t>
      </w:r>
      <w:r w:rsidR="00142D12" w:rsidRPr="00CF2661">
        <w:rPr>
          <w:rStyle w:val="FootnoteReference"/>
        </w:rPr>
        <w:footnoteReference w:id="21"/>
      </w:r>
      <w:r w:rsidR="00F64BF7">
        <w:t>, though</w:t>
      </w:r>
      <w:r w:rsidR="00077450">
        <w:t xml:space="preserve"> the nature and extent of Arabian Christiani</w:t>
      </w:r>
      <w:r w:rsidR="00EF56AD">
        <w:t>ty in the first century is a matter of no consensus</w:t>
      </w:r>
      <w:r w:rsidR="00257679" w:rsidRPr="00CF2661">
        <w:rPr>
          <w:rStyle w:val="FootnoteReference"/>
        </w:rPr>
        <w:footnoteReference w:id="22"/>
      </w:r>
      <w:r w:rsidR="002E5FBB">
        <w:t xml:space="preserve">. </w:t>
      </w:r>
      <w:r w:rsidR="0085715A">
        <w:t>Between the first and sixth centuries</w:t>
      </w:r>
      <w:r w:rsidR="00065AE7">
        <w:t>, Arabia had seen a range of Christian activity</w:t>
      </w:r>
      <w:r w:rsidR="00C72CEA">
        <w:t xml:space="preserve"> by monks and Christian missionaries</w:t>
      </w:r>
      <w:r w:rsidR="00C72CEA" w:rsidRPr="00CF2661">
        <w:rPr>
          <w:rStyle w:val="FootnoteReference"/>
        </w:rPr>
        <w:footnoteReference w:id="23"/>
      </w:r>
      <w:r w:rsidR="00C72CEA">
        <w:t xml:space="preserve">. The </w:t>
      </w:r>
      <w:r w:rsidR="006924B4">
        <w:t xml:space="preserve">Romans administered the Syria and the northwestern Peninsula through Christian </w:t>
      </w:r>
      <w:r w:rsidR="00051F6E">
        <w:t xml:space="preserve">Arab tribes, </w:t>
      </w:r>
      <w:r w:rsidR="00933996">
        <w:t>some or many of the</w:t>
      </w:r>
      <w:r w:rsidR="00051F6E">
        <w:t xml:space="preserve"> </w:t>
      </w:r>
      <w:r w:rsidR="00933996">
        <w:t>inhabitants of Petra</w:t>
      </w:r>
      <w:r w:rsidR="00051F6E">
        <w:t xml:space="preserve"> had become Christian</w:t>
      </w:r>
      <w:r w:rsidR="001B15D7" w:rsidRPr="00CF2661">
        <w:rPr>
          <w:rStyle w:val="FootnoteReference"/>
        </w:rPr>
        <w:footnoteReference w:id="24"/>
      </w:r>
      <w:r w:rsidR="00051F6E">
        <w:t xml:space="preserve">, and </w:t>
      </w:r>
      <w:r w:rsidR="00051F6E">
        <w:lastRenderedPageBreak/>
        <w:t xml:space="preserve">monasteries had been established </w:t>
      </w:r>
      <w:r w:rsidR="0080631F">
        <w:t>in the</w:t>
      </w:r>
      <w:r w:rsidR="00051F6E">
        <w:t xml:space="preserve"> Sinai </w:t>
      </w:r>
      <w:r w:rsidR="0080631F">
        <w:t>and throughout the various areas sometimes called ‘Arabia’</w:t>
      </w:r>
      <w:r w:rsidR="001F6ED7" w:rsidRPr="00CF2661">
        <w:rPr>
          <w:rStyle w:val="FootnoteReference"/>
        </w:rPr>
        <w:footnoteReference w:id="25"/>
      </w:r>
      <w:r w:rsidR="003C396F">
        <w:t xml:space="preserve">. </w:t>
      </w:r>
    </w:p>
    <w:p w14:paraId="0E4F5AC0" w14:textId="7F424928" w:rsidR="00D302D7" w:rsidRDefault="00F86256" w:rsidP="008172C0">
      <w:r>
        <w:t>Arab Christians had their own bishops to represent them at ecclesiastical councils</w:t>
      </w:r>
      <w:r w:rsidR="00582DC6" w:rsidRPr="00CF2661">
        <w:rPr>
          <w:rStyle w:val="FootnoteReference"/>
        </w:rPr>
        <w:footnoteReference w:id="26"/>
      </w:r>
      <w:r w:rsidR="00FD1FEF">
        <w:t>, and the Christian communities of Arabia engaged in the controversies of the day; Epiphanius of Salamis</w:t>
      </w:r>
      <w:r w:rsidR="001958AA">
        <w:t xml:space="preserve"> devoted to chapters of his heresiology to errors </w:t>
      </w:r>
      <w:r w:rsidR="006C24B3">
        <w:t>that had cropped up in Arabia</w:t>
      </w:r>
      <w:r w:rsidR="00866621" w:rsidRPr="00CF2661">
        <w:rPr>
          <w:rStyle w:val="FootnoteReference"/>
        </w:rPr>
        <w:footnoteReference w:id="27"/>
      </w:r>
      <w:r w:rsidR="006C24B3">
        <w:t xml:space="preserve">. </w:t>
      </w:r>
      <w:r w:rsidR="00781B15">
        <w:t>In the first of these sections, Epiphanius copies a letter he had sent to the churches of Arabia</w:t>
      </w:r>
      <w:r w:rsidR="00107FCD">
        <w:t xml:space="preserve"> in which he laments the corruption of ‘the seemliest writers’</w:t>
      </w:r>
      <w:r w:rsidR="00107FCD" w:rsidRPr="00CF2661">
        <w:rPr>
          <w:rStyle w:val="FootnoteReference"/>
        </w:rPr>
        <w:footnoteReference w:id="28"/>
      </w:r>
      <w:r w:rsidR="00DB04B7">
        <w:t xml:space="preserve">. Epiphanius expected the churches in Arabia to ground their faith in what was established in the sacred text, and to express doctrine in writing. However, the location of </w:t>
      </w:r>
      <w:r w:rsidR="00FE72CB">
        <w:t xml:space="preserve">the communities to which Epiphanius wrote is unclear, since in his geographies he conceived of Arabia very broadly, a series of regions extending from Western Syria to </w:t>
      </w:r>
      <w:r w:rsidR="009E564F">
        <w:t>Yemen</w:t>
      </w:r>
      <w:r w:rsidR="00515827" w:rsidRPr="00CF2661">
        <w:rPr>
          <w:rStyle w:val="FootnoteReference"/>
        </w:rPr>
        <w:footnoteReference w:id="29"/>
      </w:r>
      <w:r w:rsidR="009E564F">
        <w:t>.</w:t>
      </w:r>
    </w:p>
    <w:p w14:paraId="0231192E" w14:textId="2EA1BFFF" w:rsidR="00561A2D" w:rsidRDefault="003C396F" w:rsidP="008172C0">
      <w:r>
        <w:t xml:space="preserve">The </w:t>
      </w:r>
      <w:r w:rsidR="00C13BC5">
        <w:t>thoroughness</w:t>
      </w:r>
      <w:r>
        <w:t xml:space="preserve"> of Christian conviction and practice</w:t>
      </w:r>
      <w:r w:rsidR="00C13BC5">
        <w:t>, and the subscription to official dogma,</w:t>
      </w:r>
      <w:r>
        <w:t xml:space="preserve"> that prevailed among the </w:t>
      </w:r>
      <w:r w:rsidR="006967D0">
        <w:t xml:space="preserve">Arab tribes </w:t>
      </w:r>
      <w:r w:rsidR="00347575">
        <w:t>varied</w:t>
      </w:r>
      <w:r w:rsidR="00347575" w:rsidRPr="00CF2661">
        <w:rPr>
          <w:rStyle w:val="FootnoteReference"/>
        </w:rPr>
        <w:footnoteReference w:id="30"/>
      </w:r>
      <w:r w:rsidR="0093631D">
        <w:t xml:space="preserve">, but Syriac </w:t>
      </w:r>
      <w:r w:rsidR="00640EC1">
        <w:t xml:space="preserve">and Greek ecclesiastical </w:t>
      </w:r>
      <w:r w:rsidR="0093631D">
        <w:t>sources speak of large numbers of conversions</w:t>
      </w:r>
      <w:r w:rsidR="00640EC1" w:rsidRPr="00CF2661">
        <w:rPr>
          <w:rStyle w:val="FootnoteReference"/>
        </w:rPr>
        <w:footnoteReference w:id="31"/>
      </w:r>
      <w:r w:rsidR="0093631D">
        <w:t xml:space="preserve">. </w:t>
      </w:r>
      <w:r w:rsidR="007B2E4D">
        <w:t xml:space="preserve">The </w:t>
      </w:r>
      <w:proofErr w:type="spellStart"/>
      <w:r w:rsidR="00855443">
        <w:t>Miaphysites</w:t>
      </w:r>
      <w:proofErr w:type="spellEnd"/>
      <w:r w:rsidR="00855443" w:rsidRPr="00CF2661">
        <w:rPr>
          <w:rStyle w:val="FootnoteReference"/>
        </w:rPr>
        <w:footnoteReference w:id="32"/>
      </w:r>
      <w:r w:rsidR="007B2E4D">
        <w:t xml:space="preserve"> were particularly energetic among the Arabs, </w:t>
      </w:r>
      <w:r w:rsidR="00303F9A">
        <w:t>multiplying churches even as</w:t>
      </w:r>
      <w:r w:rsidR="00EB71A6">
        <w:t xml:space="preserve"> imperial</w:t>
      </w:r>
      <w:r w:rsidR="00303F9A">
        <w:t xml:space="preserve"> </w:t>
      </w:r>
      <w:r w:rsidR="00EB71A6">
        <w:t>Chalcedonianism pushed them out of the center of the empire</w:t>
      </w:r>
      <w:r w:rsidR="00FA6F97" w:rsidRPr="00CF2661">
        <w:rPr>
          <w:rStyle w:val="FootnoteReference"/>
        </w:rPr>
        <w:footnoteReference w:id="33"/>
      </w:r>
      <w:r w:rsidR="00EB71A6">
        <w:t>.</w:t>
      </w:r>
      <w:r w:rsidR="00946E2F">
        <w:t xml:space="preserve"> </w:t>
      </w:r>
    </w:p>
    <w:p w14:paraId="790CC7FF" w14:textId="1EC39AEA" w:rsidR="003C396F" w:rsidRDefault="001C6D4B" w:rsidP="008172C0">
      <w:r>
        <w:lastRenderedPageBreak/>
        <w:t>This missionary impetus, expressed through ascetic practi</w:t>
      </w:r>
      <w:r w:rsidR="000173F1">
        <w:t xml:space="preserve">ces, had implications for literacy in the places it touched. </w:t>
      </w:r>
      <w:r w:rsidR="00586183">
        <w:t>Hagiographies of Syrian, Sinaitic, and Palestinian monks tended to focus not on the</w:t>
      </w:r>
      <w:r w:rsidR="00EC5BDC">
        <w:t xml:space="preserve"> monks’ community development, but on their personal ascetic practice</w:t>
      </w:r>
      <w:r w:rsidR="005646FE" w:rsidRPr="00CF2661">
        <w:rPr>
          <w:rStyle w:val="FootnoteReference"/>
        </w:rPr>
        <w:footnoteReference w:id="34"/>
      </w:r>
      <w:r w:rsidR="00DB5CF5">
        <w:t xml:space="preserve">. </w:t>
      </w:r>
      <w:r w:rsidR="00F863C7">
        <w:t xml:space="preserve"> </w:t>
      </w:r>
      <w:r w:rsidR="00BE16E7">
        <w:t xml:space="preserve">Even in these internally-focused accounts, however, the </w:t>
      </w:r>
      <w:r w:rsidR="003D13D5">
        <w:t xml:space="preserve">essential role of reading appears. For instance, </w:t>
      </w:r>
      <w:r w:rsidR="00D34119">
        <w:t xml:space="preserve">the monk </w:t>
      </w:r>
      <w:proofErr w:type="spellStart"/>
      <w:r w:rsidR="00D34119">
        <w:t>Marcianus</w:t>
      </w:r>
      <w:proofErr w:type="spellEnd"/>
      <w:r w:rsidR="00D34119">
        <w:t xml:space="preserve"> was sustained by reading the sacred oracles</w:t>
      </w:r>
      <w:r w:rsidR="00A31CE2" w:rsidRPr="00CF2661">
        <w:rPr>
          <w:rStyle w:val="FootnoteReference"/>
        </w:rPr>
        <w:footnoteReference w:id="35"/>
      </w:r>
      <w:r w:rsidR="000B7A53">
        <w:t xml:space="preserve">, </w:t>
      </w:r>
      <w:r w:rsidR="0085333A">
        <w:t>Cosmas the Eunuch was distinguished by his sustained reading</w:t>
      </w:r>
      <w:r w:rsidR="0085333A" w:rsidRPr="00CF2661">
        <w:rPr>
          <w:rStyle w:val="FootnoteReference"/>
        </w:rPr>
        <w:footnoteReference w:id="36"/>
      </w:r>
      <w:r w:rsidR="0085333A">
        <w:t xml:space="preserve">, and </w:t>
      </w:r>
      <w:r w:rsidR="00F63275">
        <w:t xml:space="preserve">Julian was said to have </w:t>
      </w:r>
      <w:r w:rsidR="00F47799">
        <w:t>read by miraculous light during the night</w:t>
      </w:r>
      <w:r w:rsidR="00F47799" w:rsidRPr="00CF2661">
        <w:rPr>
          <w:rStyle w:val="FootnoteReference"/>
        </w:rPr>
        <w:footnoteReference w:id="37"/>
      </w:r>
      <w:r w:rsidR="000B7A53">
        <w:t xml:space="preserve">. </w:t>
      </w:r>
      <w:r w:rsidR="003C2A33">
        <w:t>Howe</w:t>
      </w:r>
      <w:r w:rsidR="008777FE">
        <w:t xml:space="preserve">ver, this private piety spilled over into public influence. </w:t>
      </w:r>
      <w:proofErr w:type="spellStart"/>
      <w:r w:rsidR="008777FE">
        <w:t>Marcianus</w:t>
      </w:r>
      <w:proofErr w:type="spellEnd"/>
      <w:r w:rsidR="008777FE">
        <w:t xml:space="preserve"> </w:t>
      </w:r>
      <w:r w:rsidR="00551BA4">
        <w:t xml:space="preserve">relented from his solitude to </w:t>
      </w:r>
      <w:r w:rsidR="00C24491">
        <w:t xml:space="preserve">found schools of monastic </w:t>
      </w:r>
      <w:r w:rsidR="00E3499D">
        <w:t>‘</w:t>
      </w:r>
      <w:r w:rsidR="00C24491">
        <w:t>philosophy</w:t>
      </w:r>
      <w:r w:rsidR="00E3499D">
        <w:t>’</w:t>
      </w:r>
      <w:r w:rsidR="00C24491" w:rsidRPr="00CF2661">
        <w:rPr>
          <w:rStyle w:val="FootnoteReference"/>
        </w:rPr>
        <w:footnoteReference w:id="38"/>
      </w:r>
      <w:r w:rsidR="00874195">
        <w:t>.</w:t>
      </w:r>
      <w:r w:rsidR="00B5121A">
        <w:t xml:space="preserve"> </w:t>
      </w:r>
      <w:r w:rsidR="006B796D">
        <w:t xml:space="preserve">Even without the development of formalized education, the Christian reliance on </w:t>
      </w:r>
      <w:r w:rsidR="003832C2">
        <w:t xml:space="preserve">scriptures was communicated by example, as in the case of the conversion of </w:t>
      </w:r>
      <w:r w:rsidR="008B1C5F">
        <w:t>Mary the prostitute</w:t>
      </w:r>
      <w:r w:rsidR="00EF7388">
        <w:t xml:space="preserve"> through the reading of the Gospels</w:t>
      </w:r>
      <w:r w:rsidR="008B1C5F" w:rsidRPr="00CF2661">
        <w:rPr>
          <w:rStyle w:val="FootnoteReference"/>
        </w:rPr>
        <w:footnoteReference w:id="39"/>
      </w:r>
      <w:r w:rsidR="008B1C5F">
        <w:t xml:space="preserve">. </w:t>
      </w:r>
      <w:r w:rsidR="00C16AB5">
        <w:t xml:space="preserve">At other times, the monks were filled with civic concern and </w:t>
      </w:r>
      <w:r w:rsidR="00616681">
        <w:t xml:space="preserve">engaged in prophetic witness in the public square, as in the case of </w:t>
      </w:r>
      <w:proofErr w:type="spellStart"/>
      <w:r w:rsidR="00616681">
        <w:t>Aphrahat</w:t>
      </w:r>
      <w:proofErr w:type="spellEnd"/>
      <w:r w:rsidR="00616681">
        <w:t xml:space="preserve">, a Persian Christian who </w:t>
      </w:r>
      <w:r w:rsidR="003F4AB3">
        <w:t>settled in Antioch</w:t>
      </w:r>
      <w:r w:rsidR="00456192" w:rsidRPr="00CF2661">
        <w:rPr>
          <w:rStyle w:val="FootnoteReference"/>
        </w:rPr>
        <w:footnoteReference w:id="40"/>
      </w:r>
      <w:r w:rsidR="003F4AB3">
        <w:t xml:space="preserve">. </w:t>
      </w:r>
      <w:r w:rsidR="00EB2DEB">
        <w:t xml:space="preserve">Indeed, </w:t>
      </w:r>
      <w:r w:rsidR="00874195">
        <w:t xml:space="preserve">Ashkenazi has shown, </w:t>
      </w:r>
      <w:r w:rsidR="00EB2DEB">
        <w:t xml:space="preserve">that the </w:t>
      </w:r>
      <w:r w:rsidR="00764664">
        <w:t>impression given by the hagiographies of monks as solitary figures</w:t>
      </w:r>
      <w:r w:rsidR="00874195">
        <w:t xml:space="preserve"> can be misleading</w:t>
      </w:r>
      <w:r w:rsidR="00874195" w:rsidRPr="00CF2661">
        <w:rPr>
          <w:rStyle w:val="FootnoteReference"/>
        </w:rPr>
        <w:footnoteReference w:id="41"/>
      </w:r>
      <w:r w:rsidR="00874195">
        <w:t xml:space="preserve">. </w:t>
      </w:r>
      <w:r w:rsidR="004A154F">
        <w:t xml:space="preserve">Ashkenazi distinguishes between the holy man and the </w:t>
      </w:r>
      <w:proofErr w:type="gramStart"/>
      <w:r w:rsidR="004A154F">
        <w:t>monk, and</w:t>
      </w:r>
      <w:proofErr w:type="gramEnd"/>
      <w:r w:rsidR="004A154F">
        <w:t xml:space="preserve"> suggests that </w:t>
      </w:r>
      <w:r w:rsidR="00764664">
        <w:t xml:space="preserve">most </w:t>
      </w:r>
      <w:r w:rsidR="001C1DD6">
        <w:t xml:space="preserve">Palestinian </w:t>
      </w:r>
      <w:r w:rsidR="004A154F">
        <w:t xml:space="preserve">monks played a vital role in their communities. </w:t>
      </w:r>
    </w:p>
    <w:p w14:paraId="0D508929" w14:textId="43791668" w:rsidR="0009447B" w:rsidRDefault="001C1DD6" w:rsidP="008172C0">
      <w:r>
        <w:t xml:space="preserve">Even granted that the monks participated in their </w:t>
      </w:r>
      <w:r w:rsidR="008033F8">
        <w:t>local economies</w:t>
      </w:r>
      <w:r>
        <w:t xml:space="preserve"> </w:t>
      </w:r>
      <w:r w:rsidR="00B8476B">
        <w:t>by contributing to</w:t>
      </w:r>
      <w:r w:rsidR="008033F8">
        <w:t xml:space="preserve">, and drawing on, </w:t>
      </w:r>
      <w:r w:rsidR="00A757CF">
        <w:t xml:space="preserve">village life, the extent of their impact on </w:t>
      </w:r>
      <w:r w:rsidR="00355F6B">
        <w:t xml:space="preserve">literacy is unclear. </w:t>
      </w:r>
      <w:r w:rsidR="00D02A66">
        <w:t xml:space="preserve">Michael the Syrian </w:t>
      </w:r>
      <w:r w:rsidR="00D1212E">
        <w:t xml:space="preserve">has </w:t>
      </w:r>
      <w:r w:rsidR="00E3499D">
        <w:lastRenderedPageBreak/>
        <w:t>‘</w:t>
      </w:r>
      <w:r w:rsidR="00440BC4">
        <w:t>K</w:t>
      </w:r>
      <w:r w:rsidR="00D1212E">
        <w:t>ing</w:t>
      </w:r>
      <w:r w:rsidR="00E3499D">
        <w:t>’</w:t>
      </w:r>
      <w:r w:rsidR="00D1212E">
        <w:t xml:space="preserve"> </w:t>
      </w:r>
      <w:r w:rsidR="00D1212E" w:rsidRPr="00D1212E">
        <w:t>al-</w:t>
      </w:r>
      <w:proofErr w:type="spellStart"/>
      <w:r w:rsidR="00D1212E" w:rsidRPr="00D1212E">
        <w:t>Ḥārith</w:t>
      </w:r>
      <w:proofErr w:type="spellEnd"/>
      <w:r w:rsidR="00D1212E">
        <w:t xml:space="preserve">, the Arab </w:t>
      </w:r>
      <w:proofErr w:type="spellStart"/>
      <w:r w:rsidR="00D1212E">
        <w:t>Miaphysite</w:t>
      </w:r>
      <w:proofErr w:type="spellEnd"/>
      <w:r w:rsidR="00D1212E">
        <w:t xml:space="preserve"> champion</w:t>
      </w:r>
      <w:r w:rsidR="00536046">
        <w:t>, pointing out</w:t>
      </w:r>
      <w:r w:rsidR="00BA5045">
        <w:t xml:space="preserve"> to his Chalcedonian </w:t>
      </w:r>
      <w:r w:rsidR="00440BC4">
        <w:t>opponent</w:t>
      </w:r>
      <w:r w:rsidR="00536046">
        <w:t xml:space="preserve"> that </w:t>
      </w:r>
      <w:r w:rsidR="00E3499D">
        <w:t>‘</w:t>
      </w:r>
      <w:r w:rsidR="00536046">
        <w:t>I am a barbarian who does not know how to speak [properly], and I am illiterate</w:t>
      </w:r>
      <w:r w:rsidR="00E3499D">
        <w:t>’</w:t>
      </w:r>
      <w:r w:rsidR="00792887" w:rsidRPr="00CF2661">
        <w:rPr>
          <w:rStyle w:val="FootnoteReference"/>
        </w:rPr>
        <w:footnoteReference w:id="42"/>
      </w:r>
      <w:r w:rsidR="00792887">
        <w:t>.</w:t>
      </w:r>
      <w:r w:rsidR="00DE55A6">
        <w:t xml:space="preserve"> </w:t>
      </w:r>
      <w:r w:rsidR="00367F8B">
        <w:t>Perhaps Michael</w:t>
      </w:r>
      <w:r w:rsidR="00440BC4">
        <w:t>’s account</w:t>
      </w:r>
      <w:r w:rsidR="00367F8B">
        <w:t xml:space="preserve"> </w:t>
      </w:r>
      <w:r w:rsidR="00A35A61">
        <w:t xml:space="preserve">simply </w:t>
      </w:r>
      <w:r w:rsidR="00440BC4">
        <w:t>employs</w:t>
      </w:r>
      <w:r w:rsidR="00A35A61">
        <w:t xml:space="preserve"> the</w:t>
      </w:r>
      <w:r w:rsidR="00367F8B">
        <w:t xml:space="preserve"> </w:t>
      </w:r>
      <w:proofErr w:type="spellStart"/>
      <w:r w:rsidR="00367F8B">
        <w:rPr>
          <w:i/>
        </w:rPr>
        <w:t>topos</w:t>
      </w:r>
      <w:proofErr w:type="spellEnd"/>
      <w:r w:rsidR="00367F8B">
        <w:rPr>
          <w:i/>
        </w:rPr>
        <w:t xml:space="preserve"> </w:t>
      </w:r>
      <w:r w:rsidR="00367F8B">
        <w:t xml:space="preserve">of Arab </w:t>
      </w:r>
      <w:r w:rsidR="00A35A61">
        <w:t>barbarism</w:t>
      </w:r>
      <w:r w:rsidR="00A35A61" w:rsidRPr="00CF2661">
        <w:rPr>
          <w:rStyle w:val="FootnoteReference"/>
        </w:rPr>
        <w:footnoteReference w:id="43"/>
      </w:r>
      <w:r w:rsidR="00654404">
        <w:t xml:space="preserve"> to shame Chalcedonians; </w:t>
      </w:r>
      <w:r w:rsidR="00440BC4">
        <w:t>even an illiterate barbarian could see through their corruption. H</w:t>
      </w:r>
      <w:r w:rsidR="00654404">
        <w:t xml:space="preserve">is work </w:t>
      </w:r>
      <w:r w:rsidR="00AD0052">
        <w:t>is concerned with</w:t>
      </w:r>
      <w:r w:rsidR="00654404">
        <w:t xml:space="preserve"> </w:t>
      </w:r>
      <w:r w:rsidR="00AD0052">
        <w:t xml:space="preserve">Syrian Orthodox </w:t>
      </w:r>
      <w:r w:rsidR="008748E2">
        <w:t>lineage</w:t>
      </w:r>
      <w:r w:rsidR="00AD0052">
        <w:t xml:space="preserve"> more than with the stories of the Arabs</w:t>
      </w:r>
      <w:r w:rsidR="00AD0052" w:rsidRPr="00CF2661">
        <w:rPr>
          <w:rStyle w:val="FootnoteReference"/>
        </w:rPr>
        <w:footnoteReference w:id="44"/>
      </w:r>
      <w:r w:rsidR="00AD0052">
        <w:t xml:space="preserve">. </w:t>
      </w:r>
    </w:p>
    <w:p w14:paraId="42E5D565" w14:textId="77777777" w:rsidR="00440BC4" w:rsidRDefault="00440BC4" w:rsidP="00440BC4">
      <w:pPr>
        <w:pStyle w:val="Heading1"/>
      </w:pPr>
      <w:r>
        <w:t>Conclusion</w:t>
      </w:r>
    </w:p>
    <w:p w14:paraId="7A199723" w14:textId="77777777" w:rsidR="00135E0D" w:rsidRDefault="00FD1557" w:rsidP="00FD1557">
      <w:pPr>
        <w:rPr>
          <w:color w:val="806000" w:themeColor="accent4" w:themeShade="80"/>
        </w:rPr>
      </w:pPr>
      <w:r>
        <w:t>Whether real or imagined</w:t>
      </w:r>
      <w:r w:rsidR="00440BC4">
        <w:t>, al-</w:t>
      </w:r>
      <w:proofErr w:type="spellStart"/>
      <w:r w:rsidR="00440BC4" w:rsidRPr="0009447B">
        <w:t>Ḥārith</w:t>
      </w:r>
      <w:r w:rsidR="00440BC4">
        <w:t>’s</w:t>
      </w:r>
      <w:proofErr w:type="spellEnd"/>
      <w:r w:rsidR="00440BC4">
        <w:t xml:space="preserve"> professed illiteracy describes a world congruent with the testimony of the inscriptions in northwestern Arabia.</w:t>
      </w:r>
      <w:r w:rsidR="00440BC4" w:rsidRPr="00440BC4">
        <w:t xml:space="preserve"> </w:t>
      </w:r>
      <w:r w:rsidR="00440BC4" w:rsidRPr="00A73117">
        <w:t xml:space="preserve">Just as Nabataean religious structures </w:t>
      </w:r>
      <w:r w:rsidR="00440BC4">
        <w:t>had fallen</w:t>
      </w:r>
      <w:r w:rsidR="00440BC4" w:rsidRPr="00A73117">
        <w:t xml:space="preserve"> into disuse during the early years of Roman government</w:t>
      </w:r>
      <w:r w:rsidR="00440BC4" w:rsidRPr="00CF2661">
        <w:rPr>
          <w:rStyle w:val="FootnoteReference"/>
        </w:rPr>
        <w:footnoteReference w:id="45"/>
      </w:r>
      <w:r w:rsidR="00440BC4" w:rsidRPr="00A73117">
        <w:t xml:space="preserve">, the ongoing activities of Christian monks and missionaries in Arabia discouraged </w:t>
      </w:r>
      <w:r w:rsidR="00440BC4">
        <w:t>the kinds of</w:t>
      </w:r>
      <w:r w:rsidR="00440BC4" w:rsidRPr="00A73117">
        <w:t xml:space="preserve"> literate practices</w:t>
      </w:r>
      <w:r w:rsidR="00440BC4">
        <w:t xml:space="preserve"> in which</w:t>
      </w:r>
      <w:r w:rsidR="00440BC4" w:rsidRPr="00A73117">
        <w:t xml:space="preserve"> </w:t>
      </w:r>
      <w:r w:rsidR="00440BC4">
        <w:t xml:space="preserve">an elite like </w:t>
      </w:r>
      <w:r w:rsidR="00440BC4" w:rsidRPr="00D1212E">
        <w:t>al-</w:t>
      </w:r>
      <w:proofErr w:type="spellStart"/>
      <w:r w:rsidR="00440BC4" w:rsidRPr="00D1212E">
        <w:t>Ḥārith</w:t>
      </w:r>
      <w:proofErr w:type="spellEnd"/>
      <w:r w:rsidR="00440BC4" w:rsidRPr="00A73117">
        <w:t xml:space="preserve"> </w:t>
      </w:r>
      <w:r w:rsidR="00440BC4">
        <w:t>might have been competent. Meanwhile, the Christian networks were creating a new domain of religious literacy.  T</w:t>
      </w:r>
      <w:r w:rsidR="00440BC4" w:rsidRPr="00A73117">
        <w:t>he literary culture of the region was changing. From long-established traditions that saw writing as a means of recording the social status of members of Arab societies, writing was now becoming a means of spiritual expression. The old uses of writing dwindled as the social structure that had given them meaning was replaced</w:t>
      </w:r>
      <w:r w:rsidR="00440BC4" w:rsidRPr="00A73117">
        <w:rPr>
          <w:color w:val="806000" w:themeColor="accent4" w:themeShade="80"/>
        </w:rPr>
        <w:t xml:space="preserve">. </w:t>
      </w:r>
    </w:p>
    <w:p w14:paraId="48DE6458" w14:textId="5510A1BC" w:rsidR="00B63E4D" w:rsidRPr="00FD1557" w:rsidRDefault="00B63E4D" w:rsidP="00FD1557">
      <w:pPr>
        <w:rPr>
          <w:color w:val="806000" w:themeColor="accent4" w:themeShade="80"/>
        </w:rPr>
      </w:pPr>
      <w:r>
        <w:br w:type="page"/>
      </w:r>
    </w:p>
    <w:p w14:paraId="47D65BDE" w14:textId="56E65579" w:rsidR="0073495B" w:rsidRDefault="009F03B1" w:rsidP="00B63E4D">
      <w:pPr>
        <w:pStyle w:val="Heading1"/>
      </w:pPr>
      <w:r>
        <w:lastRenderedPageBreak/>
        <w:t>Sources</w:t>
      </w:r>
    </w:p>
    <w:p w14:paraId="709B2321" w14:textId="77777777" w:rsidR="00B87323" w:rsidRDefault="00C93648" w:rsidP="0079412A">
      <w:pPr>
        <w:widowControl w:val="0"/>
        <w:autoSpaceDE w:val="0"/>
        <w:autoSpaceDN w:val="0"/>
        <w:adjustRightInd w:val="0"/>
        <w:spacing w:after="120" w:line="360" w:lineRule="auto"/>
        <w:ind w:left="720" w:hanging="720"/>
      </w:pPr>
      <w:r>
        <w:fldChar w:fldCharType="begin"/>
      </w:r>
      <w:r w:rsidR="00B87323">
        <w:instrText xml:space="preserve"> ADDIN ZOTERO_BIBL {"uncited":[],"omitted":[],"custom":[]} CSL_BIBLIOGRAPHY </w:instrText>
      </w:r>
      <w:r>
        <w:fldChar w:fldCharType="separate"/>
      </w:r>
      <w:r w:rsidR="00B87323">
        <w:t xml:space="preserve">Ammonius Nilus and Caner, D.F. (2010) </w:t>
      </w:r>
      <w:r w:rsidR="00B87323">
        <w:rPr>
          <w:i/>
          <w:iCs/>
        </w:rPr>
        <w:t>History and Hagiography from the Late Antique Sinai: Including Translations of Pseudo-Nilus’ Narrations, Ammonius’ Report on the Slaughter of the Monks of Sinai and Rhaithou, and Anastasius of Saint Sinai’s Tales of the Sinai Fathers</w:t>
      </w:r>
      <w:r w:rsidR="00B87323">
        <w:t>. Translated by Caner, D.F. Liverpool: Liverpool Univ. Press.</w:t>
      </w:r>
    </w:p>
    <w:p w14:paraId="0A9FABF8" w14:textId="6517B00A" w:rsidR="00B87323" w:rsidRDefault="00B87323" w:rsidP="0079412A">
      <w:pPr>
        <w:widowControl w:val="0"/>
        <w:autoSpaceDE w:val="0"/>
        <w:autoSpaceDN w:val="0"/>
        <w:adjustRightInd w:val="0"/>
        <w:spacing w:after="120" w:line="360" w:lineRule="auto"/>
        <w:ind w:left="720" w:hanging="720"/>
      </w:pPr>
      <w:r>
        <w:t>Ashkenazi, Jacob (2017) 'The Letter of the Archimandrites of Arabia and Village Monasticism in the Levant', Nicosia: Cyprus.</w:t>
      </w:r>
    </w:p>
    <w:p w14:paraId="2A94F813" w14:textId="77777777" w:rsidR="00B87323" w:rsidRDefault="00B87323" w:rsidP="0079412A">
      <w:pPr>
        <w:widowControl w:val="0"/>
        <w:autoSpaceDE w:val="0"/>
        <w:autoSpaceDN w:val="0"/>
        <w:adjustRightInd w:val="0"/>
        <w:spacing w:after="120" w:line="360" w:lineRule="auto"/>
        <w:ind w:left="720" w:hanging="720"/>
      </w:pPr>
      <w:r>
        <w:t xml:space="preserve">Ashkenazi, Jakob (2014) 'Holy Man versus Monk—Village and Monastery in the Late Antique Levant: Between Hagiography and Archaeology', </w:t>
      </w:r>
      <w:r>
        <w:rPr>
          <w:i/>
          <w:iCs/>
        </w:rPr>
        <w:t>Journal of the Economic and Social History of the Orient</w:t>
      </w:r>
      <w:r>
        <w:t>, 57(5), pp. 745–65.</w:t>
      </w:r>
    </w:p>
    <w:p w14:paraId="2FFDC679" w14:textId="77777777" w:rsidR="00B87323" w:rsidRDefault="00B87323" w:rsidP="0079412A">
      <w:pPr>
        <w:widowControl w:val="0"/>
        <w:autoSpaceDE w:val="0"/>
        <w:autoSpaceDN w:val="0"/>
        <w:adjustRightInd w:val="0"/>
        <w:spacing w:after="120" w:line="360" w:lineRule="auto"/>
        <w:ind w:left="720" w:hanging="720"/>
      </w:pPr>
      <w:r>
        <w:t xml:space="preserve">Awad, N.G. (2012) 'Is Christianity from Arabia? Examining Two Contemporary Arabic Proposals on Christianity in the Pre-Islamic Period', In Martin Tamcke, ed. </w:t>
      </w:r>
      <w:r>
        <w:rPr>
          <w:i/>
          <w:iCs/>
        </w:rPr>
        <w:t>Orientalische Christen und Europa: Kulturbegegnung zwischen Interferenz, Partizipation und Antizipation</w:t>
      </w:r>
      <w:r>
        <w:t>,.</w:t>
      </w:r>
    </w:p>
    <w:p w14:paraId="35B3D411" w14:textId="77777777" w:rsidR="00B87323" w:rsidRDefault="00B87323" w:rsidP="0079412A">
      <w:pPr>
        <w:widowControl w:val="0"/>
        <w:autoSpaceDE w:val="0"/>
        <w:autoSpaceDN w:val="0"/>
        <w:adjustRightInd w:val="0"/>
        <w:spacing w:after="120" w:line="360" w:lineRule="auto"/>
        <w:ind w:left="720" w:hanging="720"/>
      </w:pPr>
      <w:r>
        <w:t xml:space="preserve">Bikai, P.M. (2002) 'The Churches of Byzantine Petra', </w:t>
      </w:r>
      <w:r>
        <w:rPr>
          <w:i/>
          <w:iCs/>
        </w:rPr>
        <w:t>Near Eastern Archaeology; Boston</w:t>
      </w:r>
      <w:r>
        <w:t>, 65(4), pp. 271–76.</w:t>
      </w:r>
    </w:p>
    <w:p w14:paraId="4EDB6E49" w14:textId="77777777" w:rsidR="00B87323" w:rsidRDefault="00B87323" w:rsidP="0079412A">
      <w:pPr>
        <w:widowControl w:val="0"/>
        <w:autoSpaceDE w:val="0"/>
        <w:autoSpaceDN w:val="0"/>
        <w:adjustRightInd w:val="0"/>
        <w:spacing w:after="120" w:line="360" w:lineRule="auto"/>
        <w:ind w:left="720" w:hanging="720"/>
      </w:pPr>
      <w:r>
        <w:t xml:space="preserve">Brown, P. (1971) 'The Rise and Function of the Holy Man in Late Antiquity', </w:t>
      </w:r>
      <w:r>
        <w:rPr>
          <w:i/>
          <w:iCs/>
        </w:rPr>
        <w:t>The Journal of Roman Studies</w:t>
      </w:r>
      <w:r>
        <w:t>, 61, pp. 80–101. DOI: 10.2307/300008.</w:t>
      </w:r>
    </w:p>
    <w:p w14:paraId="5322C5C1" w14:textId="77777777" w:rsidR="00B87323" w:rsidRDefault="00B87323" w:rsidP="0079412A">
      <w:pPr>
        <w:widowControl w:val="0"/>
        <w:autoSpaceDE w:val="0"/>
        <w:autoSpaceDN w:val="0"/>
        <w:adjustRightInd w:val="0"/>
        <w:spacing w:after="120" w:line="360" w:lineRule="auto"/>
        <w:ind w:left="720" w:hanging="720"/>
      </w:pPr>
      <w:r>
        <w:t xml:space="preserve">Charloux, G. Bouchaud, C. Durand, C. Monchot, H. and Thomas, A. (2016) 'Banqueting in a Northern Arabian Oasis: A Nabataean Triclinium at Dûmat Al-Jandal, Saudi Arabia', </w:t>
      </w:r>
      <w:r>
        <w:rPr>
          <w:i/>
          <w:iCs/>
        </w:rPr>
        <w:t>Bulletin of the American Schools of Oriental Research</w:t>
      </w:r>
      <w:r>
        <w:t>, (375), pp. 13–34. DOI: 10.5615/bullamerschoorie.375.0013.</w:t>
      </w:r>
    </w:p>
    <w:p w14:paraId="780951C7" w14:textId="77777777" w:rsidR="00B87323" w:rsidRDefault="00B87323" w:rsidP="0079412A">
      <w:pPr>
        <w:widowControl w:val="0"/>
        <w:autoSpaceDE w:val="0"/>
        <w:autoSpaceDN w:val="0"/>
        <w:adjustRightInd w:val="0"/>
        <w:spacing w:after="120" w:line="360" w:lineRule="auto"/>
        <w:ind w:left="720" w:hanging="720"/>
      </w:pPr>
      <w:r>
        <w:t xml:space="preserve">Debié, M. (2009) 'Syriac Historiography and Identity Formation', </w:t>
      </w:r>
      <w:r>
        <w:rPr>
          <w:i/>
          <w:iCs/>
        </w:rPr>
        <w:t>Church History and Religious Culture</w:t>
      </w:r>
      <w:r>
        <w:t>, 89(1), pp. 93–114. DOI: 10.1163/187124109X408014.</w:t>
      </w:r>
    </w:p>
    <w:p w14:paraId="50E610D0" w14:textId="1726CFC2" w:rsidR="009F03B1" w:rsidRDefault="009F03B1" w:rsidP="00ED5AB4">
      <w:pPr>
        <w:spacing w:after="120" w:line="360" w:lineRule="auto"/>
        <w:ind w:left="720" w:hanging="720"/>
      </w:pPr>
      <w:bookmarkStart w:id="0" w:name="_GoBack"/>
      <w:r w:rsidRPr="00866621">
        <w:t>Epiphanius</w:t>
      </w:r>
      <w:r>
        <w:t xml:space="preserve"> of Salamis</w:t>
      </w:r>
      <w:r w:rsidRPr="00866621">
        <w:t xml:space="preserve">, </w:t>
      </w:r>
      <w:r w:rsidRPr="00866621">
        <w:rPr>
          <w:i/>
        </w:rPr>
        <w:t>Panarion</w:t>
      </w:r>
      <w:r>
        <w:t>. F. Williams (trans.) 2013. Boston: Brill</w:t>
      </w:r>
      <w:r w:rsidR="00151D79">
        <w:t>.</w:t>
      </w:r>
    </w:p>
    <w:bookmarkEnd w:id="0"/>
    <w:p w14:paraId="656D6C12" w14:textId="77777777" w:rsidR="00B87323" w:rsidRDefault="00B87323" w:rsidP="0079412A">
      <w:pPr>
        <w:widowControl w:val="0"/>
        <w:autoSpaceDE w:val="0"/>
        <w:autoSpaceDN w:val="0"/>
        <w:adjustRightInd w:val="0"/>
        <w:spacing w:after="120" w:line="360" w:lineRule="auto"/>
        <w:ind w:left="720" w:hanging="720"/>
      </w:pPr>
      <w:r>
        <w:t xml:space="preserve">Fisher, G. Wood, P. Bevan, G. Greatrex, G. Hamarneh, B. Schadler, P. and Ward, W. (2017) 'Arabs and Christianity', In Greg Fisher, ed. </w:t>
      </w:r>
      <w:r>
        <w:rPr>
          <w:i/>
          <w:iCs/>
        </w:rPr>
        <w:t>Arabs and Empires before Islam</w:t>
      </w:r>
      <w:r>
        <w:t>, Reprint edition Oxford: Oxford University Press.</w:t>
      </w:r>
    </w:p>
    <w:p w14:paraId="31D7D03F" w14:textId="77777777" w:rsidR="00B87323" w:rsidRDefault="00B87323" w:rsidP="0079412A">
      <w:pPr>
        <w:widowControl w:val="0"/>
        <w:autoSpaceDE w:val="0"/>
        <w:autoSpaceDN w:val="0"/>
        <w:adjustRightInd w:val="0"/>
        <w:spacing w:after="120" w:line="360" w:lineRule="auto"/>
        <w:ind w:left="720" w:hanging="720"/>
      </w:pPr>
      <w:r>
        <w:lastRenderedPageBreak/>
        <w:t xml:space="preserve">Hoyland, R. (2009) 'Late Roman Provincia Arabia, Monophysite Monks and Arab Tribes: A Problem of Centre and Periphery', </w:t>
      </w:r>
      <w:r>
        <w:rPr>
          <w:i/>
          <w:iCs/>
        </w:rPr>
        <w:t>Semitica et Classica</w:t>
      </w:r>
      <w:r>
        <w:t>, 2, pp. 117–39. DOI: 10.1484/J.SEC.1.100513.</w:t>
      </w:r>
    </w:p>
    <w:p w14:paraId="5BD7A5A8" w14:textId="77777777" w:rsidR="009F03B1" w:rsidRDefault="009F03B1" w:rsidP="009F03B1">
      <w:pPr>
        <w:spacing w:after="120" w:line="240" w:lineRule="auto"/>
        <w:ind w:left="720" w:hanging="720"/>
      </w:pPr>
      <w:r>
        <w:t>John Moschus</w:t>
      </w:r>
      <w:r w:rsidRPr="00E533C1">
        <w:t xml:space="preserve">, </w:t>
      </w:r>
      <w:r w:rsidRPr="00471D87">
        <w:rPr>
          <w:i/>
        </w:rPr>
        <w:t xml:space="preserve">Pratum </w:t>
      </w:r>
      <w:r>
        <w:rPr>
          <w:i/>
        </w:rPr>
        <w:t>S</w:t>
      </w:r>
      <w:r w:rsidRPr="00471D87">
        <w:rPr>
          <w:i/>
        </w:rPr>
        <w:t>pirituale</w:t>
      </w:r>
      <w:r w:rsidRPr="00E533C1">
        <w:t xml:space="preserve">. </w:t>
      </w:r>
      <w:r>
        <w:t>B. Baker</w:t>
      </w:r>
      <w:r w:rsidRPr="00E533C1">
        <w:t xml:space="preserve"> (trans.)</w:t>
      </w:r>
      <w:r>
        <w:t xml:space="preserve"> Available at: </w:t>
      </w:r>
      <w:r w:rsidRPr="009F03B1">
        <w:t>http://www.monachos.net/contennt/patristics/patristicteksts/173-moschus-meadow</w:t>
      </w:r>
      <w:r>
        <w:t xml:space="preserve"> (Accessed: 15 January 2019).</w:t>
      </w:r>
    </w:p>
    <w:p w14:paraId="3F5CD555" w14:textId="47690307" w:rsidR="00B87323" w:rsidRDefault="00B87323" w:rsidP="0079412A">
      <w:pPr>
        <w:widowControl w:val="0"/>
        <w:autoSpaceDE w:val="0"/>
        <w:autoSpaceDN w:val="0"/>
        <w:adjustRightInd w:val="0"/>
        <w:spacing w:after="120" w:line="360" w:lineRule="auto"/>
        <w:ind w:left="720" w:hanging="720"/>
      </w:pPr>
      <w:r>
        <w:t xml:space="preserve">Macdonald, M.C.A. (2003) 'Languages, Scripts, and the Uses of Writing among the Nabataeans', In Glen Markoe, ed. </w:t>
      </w:r>
      <w:r>
        <w:rPr>
          <w:i/>
          <w:iCs/>
        </w:rPr>
        <w:t>Petra Rediscovered: Lost City of the Nabataeans</w:t>
      </w:r>
      <w:r>
        <w:t>, New York: Harry N Abrams.</w:t>
      </w:r>
    </w:p>
    <w:p w14:paraId="6770EC8D" w14:textId="22A60ADF" w:rsidR="00B87323" w:rsidRDefault="00B87323" w:rsidP="0079412A">
      <w:pPr>
        <w:widowControl w:val="0"/>
        <w:autoSpaceDE w:val="0"/>
        <w:autoSpaceDN w:val="0"/>
        <w:adjustRightInd w:val="0"/>
        <w:spacing w:after="120" w:line="360" w:lineRule="auto"/>
        <w:ind w:left="720" w:hanging="720"/>
      </w:pPr>
      <w:r>
        <w:t>Macdonald, M.C.A. (2018a) 'The Online Corpus of the Inscriptions of Ancient North Arabia. Smaller Collections', Available at: https://www.academia.edu/32137513/The_Online_Corpus_of_the_Inscriptions_of_Ancient_North_Arabia._Smaller_Collections (Accessed: 15 November 2018).</w:t>
      </w:r>
    </w:p>
    <w:p w14:paraId="722FD2C8" w14:textId="77777777" w:rsidR="00B87323" w:rsidRDefault="00B87323" w:rsidP="0079412A">
      <w:pPr>
        <w:widowControl w:val="0"/>
        <w:autoSpaceDE w:val="0"/>
        <w:autoSpaceDN w:val="0"/>
        <w:adjustRightInd w:val="0"/>
        <w:spacing w:after="120" w:line="360" w:lineRule="auto"/>
        <w:ind w:left="720" w:hanging="720"/>
      </w:pPr>
      <w:r>
        <w:t xml:space="preserve">Macdonald, M.C.A. (2015b) 'On the Uses of Writing in Ancient Arabia and the Role of Palaeography in Studying Them', </w:t>
      </w:r>
      <w:r>
        <w:rPr>
          <w:i/>
          <w:iCs/>
        </w:rPr>
        <w:t>Arabian Epigraphic Notes</w:t>
      </w:r>
      <w:r>
        <w:t>, 1, pp. 1–50.</w:t>
      </w:r>
    </w:p>
    <w:p w14:paraId="2FB642A3" w14:textId="15DA4D24" w:rsidR="00B87323" w:rsidRDefault="00B87323" w:rsidP="0079412A">
      <w:pPr>
        <w:widowControl w:val="0"/>
        <w:autoSpaceDE w:val="0"/>
        <w:autoSpaceDN w:val="0"/>
        <w:adjustRightInd w:val="0"/>
        <w:spacing w:after="120" w:line="360" w:lineRule="auto"/>
        <w:ind w:left="720" w:hanging="720"/>
      </w:pPr>
      <w:r>
        <w:t xml:space="preserve">Macdonald, M.C.A. (2008c) 'The Decline of the Epigraphic Habit in Late Antique Arabia: Some Questions', In Christian Julien Robin and Jeremie Schiettecatie, eds. </w:t>
      </w:r>
      <w:r>
        <w:rPr>
          <w:i/>
          <w:iCs/>
        </w:rPr>
        <w:t>L’Arabie à La Veille de l’Islam: Bilan Clinique</w:t>
      </w:r>
      <w:r>
        <w:t>, Orient &amp; Méditerranée 3 Paris: De Boccard.</w:t>
      </w:r>
    </w:p>
    <w:p w14:paraId="0A677971" w14:textId="77E5FE12" w:rsidR="00B87323" w:rsidRDefault="00B87323" w:rsidP="0079412A">
      <w:pPr>
        <w:widowControl w:val="0"/>
        <w:autoSpaceDE w:val="0"/>
        <w:autoSpaceDN w:val="0"/>
        <w:adjustRightInd w:val="0"/>
        <w:spacing w:after="120" w:line="360" w:lineRule="auto"/>
        <w:ind w:left="720" w:hanging="720"/>
      </w:pPr>
      <w:r>
        <w:t>Macdonald, M.C.A. (2018d) 'The Online Corpus of the Inscriptions of Ancient North Arabia. Dadanitic Corpus',. Available at: https://www.academia.edu/32137511/The_Online_Corpus_of_the_Inscriptions_of_Ancient_North_Arabia._Dadanitic_Corpus (Accessed: 15 November 2018).</w:t>
      </w:r>
    </w:p>
    <w:p w14:paraId="3EAAA1F1" w14:textId="77777777" w:rsidR="00B87323" w:rsidRDefault="00B87323" w:rsidP="0079412A">
      <w:pPr>
        <w:widowControl w:val="0"/>
        <w:autoSpaceDE w:val="0"/>
        <w:autoSpaceDN w:val="0"/>
        <w:adjustRightInd w:val="0"/>
        <w:spacing w:after="120" w:line="360" w:lineRule="auto"/>
        <w:ind w:left="720" w:hanging="720"/>
      </w:pPr>
      <w:r>
        <w:t xml:space="preserve">Nehmé, L. (2017) 'New Dated Inscriptions (Nabataean and Pre-Islamic Arabic) from a Site near Al-Jawf, Ancient Dūmah, Saudi Arabia', </w:t>
      </w:r>
      <w:r>
        <w:rPr>
          <w:i/>
          <w:iCs/>
        </w:rPr>
        <w:t>Arabian Epigraphic Notes</w:t>
      </w:r>
      <w:r>
        <w:t>, 3, pp. 121–64.</w:t>
      </w:r>
    </w:p>
    <w:p w14:paraId="331375BD" w14:textId="77777777" w:rsidR="00B87323" w:rsidRDefault="00B87323" w:rsidP="0079412A">
      <w:pPr>
        <w:widowControl w:val="0"/>
        <w:autoSpaceDE w:val="0"/>
        <w:autoSpaceDN w:val="0"/>
        <w:adjustRightInd w:val="0"/>
        <w:spacing w:after="120" w:line="360" w:lineRule="auto"/>
        <w:ind w:left="720" w:hanging="720"/>
      </w:pPr>
      <w:r>
        <w:t xml:space="preserve">Pierre Le Hir (2010) 'Sur La Piste Des Nabatéens: Archéologie Les Fouilles Menées à Madâ’in Sâlih, l’antique Hégra, Au Nord-Ouest de l’Arabie Saoudite, Font Revivre l’un Des Hauts Lieux de La Civilisation Des Caravaniers Qui Vivaient ...', </w:t>
      </w:r>
      <w:r>
        <w:rPr>
          <w:i/>
          <w:iCs/>
        </w:rPr>
        <w:t>Le Monde</w:t>
      </w:r>
      <w:r>
        <w:t>, pp. 17.</w:t>
      </w:r>
    </w:p>
    <w:p w14:paraId="0C98AFAD" w14:textId="77777777" w:rsidR="00B87323" w:rsidRDefault="00B87323" w:rsidP="0079412A">
      <w:pPr>
        <w:widowControl w:val="0"/>
        <w:autoSpaceDE w:val="0"/>
        <w:autoSpaceDN w:val="0"/>
        <w:adjustRightInd w:val="0"/>
        <w:spacing w:after="120" w:line="360" w:lineRule="auto"/>
        <w:ind w:left="720" w:hanging="720"/>
      </w:pPr>
      <w:r>
        <w:t xml:space="preserve">Powell, E.A. (2010) 'Petra’s Sister City', </w:t>
      </w:r>
      <w:r>
        <w:rPr>
          <w:i/>
          <w:iCs/>
        </w:rPr>
        <w:t>Archaeology</w:t>
      </w:r>
      <w:r>
        <w:t>, 63(4), pp. 20–26.</w:t>
      </w:r>
    </w:p>
    <w:p w14:paraId="5898356C" w14:textId="77777777" w:rsidR="00B87323" w:rsidRDefault="00B87323" w:rsidP="0079412A">
      <w:pPr>
        <w:widowControl w:val="0"/>
        <w:autoSpaceDE w:val="0"/>
        <w:autoSpaceDN w:val="0"/>
        <w:adjustRightInd w:val="0"/>
        <w:spacing w:after="120" w:line="360" w:lineRule="auto"/>
        <w:ind w:left="720" w:hanging="720"/>
      </w:pPr>
      <w:r>
        <w:t xml:space="preserve">Scythopolis, C.O. and Binns, J. (1991) </w:t>
      </w:r>
      <w:r>
        <w:rPr>
          <w:i/>
          <w:iCs/>
        </w:rPr>
        <w:t>The Lives of the Monks of Palestine</w:t>
      </w:r>
      <w:r>
        <w:t xml:space="preserve">. Translated by Price, </w:t>
      </w:r>
      <w:r>
        <w:lastRenderedPageBreak/>
        <w:t>R.M. Kalamazoo, Mich: Cistercian Publications.</w:t>
      </w:r>
    </w:p>
    <w:p w14:paraId="62464534" w14:textId="77777777" w:rsidR="00B87323" w:rsidRDefault="00B87323" w:rsidP="0079412A">
      <w:pPr>
        <w:widowControl w:val="0"/>
        <w:autoSpaceDE w:val="0"/>
        <w:autoSpaceDN w:val="0"/>
        <w:adjustRightInd w:val="0"/>
        <w:spacing w:after="120" w:line="360" w:lineRule="auto"/>
        <w:ind w:left="720" w:hanging="720"/>
      </w:pPr>
      <w:r>
        <w:t xml:space="preserve">Segal, J.B. (1984) 'Arabs in Syriac Literature before the Rise of Islam', </w:t>
      </w:r>
      <w:r>
        <w:rPr>
          <w:i/>
          <w:iCs/>
        </w:rPr>
        <w:t>Jerusalem Studies in Arabic and Islam</w:t>
      </w:r>
      <w:r>
        <w:t>, 4, pp. 89–123.</w:t>
      </w:r>
    </w:p>
    <w:p w14:paraId="3CD9B4FB" w14:textId="77777777" w:rsidR="00B87323" w:rsidRDefault="00B87323" w:rsidP="0079412A">
      <w:pPr>
        <w:widowControl w:val="0"/>
        <w:autoSpaceDE w:val="0"/>
        <w:autoSpaceDN w:val="0"/>
        <w:adjustRightInd w:val="0"/>
        <w:spacing w:after="120" w:line="360" w:lineRule="auto"/>
        <w:ind w:left="720" w:hanging="720"/>
      </w:pPr>
      <w:r>
        <w:t xml:space="preserve">The Khalili Research Centre, The University of Oxford, (2018) 'The Online Corpus of the Inscriptions of Ancient North Arabia - Database',. Database </w:t>
      </w:r>
      <w:r>
        <w:rPr>
          <w:i/>
          <w:iCs/>
        </w:rPr>
        <w:t>OCIANA</w:t>
      </w:r>
      <w:r>
        <w:t>,. Available at: http://krc2.orient.ox.ac.uk/ociana/index.php/database (Accessed: 15 November 2018).</w:t>
      </w:r>
    </w:p>
    <w:p w14:paraId="3C7FA40B" w14:textId="77777777" w:rsidR="009F03B1" w:rsidRDefault="009F03B1" w:rsidP="009F03B1">
      <w:pPr>
        <w:spacing w:after="120" w:line="240" w:lineRule="auto"/>
        <w:ind w:left="720" w:hanging="720"/>
      </w:pPr>
      <w:r>
        <w:t>Theodoret of Cyrrhus</w:t>
      </w:r>
      <w:r w:rsidRPr="00E533C1">
        <w:t xml:space="preserve">, </w:t>
      </w:r>
      <w:r>
        <w:rPr>
          <w:rStyle w:val="reference-text"/>
          <w:i/>
          <w:iCs/>
        </w:rPr>
        <w:t>Historia Religiosa</w:t>
      </w:r>
      <w:r w:rsidRPr="00E533C1">
        <w:t>. R.</w:t>
      </w:r>
      <w:r>
        <w:t>M.</w:t>
      </w:r>
      <w:r w:rsidRPr="00E533C1">
        <w:t xml:space="preserve"> </w:t>
      </w:r>
      <w:r>
        <w:t>Price</w:t>
      </w:r>
      <w:r w:rsidRPr="00E533C1">
        <w:t xml:space="preserve"> (trans.). 19</w:t>
      </w:r>
      <w:r>
        <w:t>85</w:t>
      </w:r>
      <w:r w:rsidRPr="00E533C1">
        <w:t xml:space="preserve">. </w:t>
      </w:r>
      <w:r>
        <w:t>Kalamazoo</w:t>
      </w:r>
      <w:r w:rsidRPr="00E533C1">
        <w:t xml:space="preserve">: </w:t>
      </w:r>
      <w:r>
        <w:t>Cistercian Publications</w:t>
      </w:r>
    </w:p>
    <w:p w14:paraId="0700D9E7" w14:textId="77777777" w:rsidR="00B87323" w:rsidRDefault="00B87323" w:rsidP="0079412A">
      <w:pPr>
        <w:widowControl w:val="0"/>
        <w:autoSpaceDE w:val="0"/>
        <w:autoSpaceDN w:val="0"/>
        <w:adjustRightInd w:val="0"/>
        <w:spacing w:after="120" w:line="360" w:lineRule="auto"/>
        <w:ind w:left="720" w:hanging="720"/>
      </w:pPr>
      <w:r>
        <w:t xml:space="preserve">Weltecke, D. (2009) 'Michael the Syrian and Syriac Orthodox Identity', </w:t>
      </w:r>
      <w:r>
        <w:rPr>
          <w:i/>
          <w:iCs/>
        </w:rPr>
        <w:t>Church History and Religious Culture</w:t>
      </w:r>
      <w:r>
        <w:t>, 89(1–3), pp. 115–25. DOI: 10.1163/187124109X08023.</w:t>
      </w:r>
    </w:p>
    <w:p w14:paraId="231D624B" w14:textId="27196EE4" w:rsidR="00C93648" w:rsidRPr="00C93648" w:rsidRDefault="00B87323" w:rsidP="0079412A">
      <w:pPr>
        <w:spacing w:after="120" w:line="360" w:lineRule="auto"/>
        <w:ind w:left="720" w:hanging="720"/>
      </w:pPr>
      <w:r>
        <w:t xml:space="preserve"> </w:t>
      </w:r>
      <w:r w:rsidR="00C93648">
        <w:fldChar w:fldCharType="end"/>
      </w:r>
    </w:p>
    <w:sectPr w:rsidR="00C93648" w:rsidRPr="00C93648" w:rsidSect="006E173A">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721DA" w14:textId="77777777" w:rsidR="00160DEA" w:rsidRDefault="00160DEA" w:rsidP="003A53F5">
      <w:r>
        <w:separator/>
      </w:r>
    </w:p>
  </w:endnote>
  <w:endnote w:type="continuationSeparator" w:id="0">
    <w:p w14:paraId="41D899E0" w14:textId="77777777" w:rsidR="00160DEA" w:rsidRDefault="00160DEA" w:rsidP="003A53F5">
      <w:r>
        <w:continuationSeparator/>
      </w:r>
    </w:p>
  </w:endnote>
  <w:endnote w:type="continuationNotice" w:id="1">
    <w:p w14:paraId="231B012B" w14:textId="77777777" w:rsidR="00160DEA" w:rsidRDefault="00160DE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8712893"/>
      <w:docPartObj>
        <w:docPartGallery w:val="Page Numbers (Bottom of Page)"/>
        <w:docPartUnique/>
      </w:docPartObj>
    </w:sdtPr>
    <w:sdtEndPr>
      <w:rPr>
        <w:noProof/>
      </w:rPr>
    </w:sdtEndPr>
    <w:sdtContent>
      <w:p w14:paraId="667B94E7" w14:textId="2A990265" w:rsidR="00990B21" w:rsidRPr="00990B21" w:rsidRDefault="00990B21" w:rsidP="003A53F5">
        <w:pPr>
          <w:pStyle w:val="Footer"/>
        </w:pPr>
        <w:r w:rsidRPr="00990B21">
          <w:fldChar w:fldCharType="begin"/>
        </w:r>
        <w:r w:rsidRPr="00990B21">
          <w:instrText xml:space="preserve"> PAGE   \* MERGEFORMAT </w:instrText>
        </w:r>
        <w:r w:rsidRPr="00990B21">
          <w:fldChar w:fldCharType="separate"/>
        </w:r>
        <w:r w:rsidRPr="00990B21">
          <w:rPr>
            <w:noProof/>
          </w:rPr>
          <w:t>2</w:t>
        </w:r>
        <w:r w:rsidRPr="00990B21">
          <w:rPr>
            <w:noProof/>
          </w:rPr>
          <w:fldChar w:fldCharType="end"/>
        </w:r>
      </w:p>
    </w:sdtContent>
  </w:sdt>
  <w:p w14:paraId="5B295B9A" w14:textId="77777777" w:rsidR="006E173A" w:rsidRDefault="006E173A" w:rsidP="003A5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A346C" w14:textId="77777777" w:rsidR="00160DEA" w:rsidRDefault="00160DEA" w:rsidP="003A53F5">
      <w:r>
        <w:separator/>
      </w:r>
    </w:p>
  </w:footnote>
  <w:footnote w:type="continuationSeparator" w:id="0">
    <w:p w14:paraId="74D51C9B" w14:textId="77777777" w:rsidR="00160DEA" w:rsidRDefault="00160DEA" w:rsidP="003A53F5">
      <w:r>
        <w:continuationSeparator/>
      </w:r>
    </w:p>
  </w:footnote>
  <w:footnote w:type="continuationNotice" w:id="1">
    <w:p w14:paraId="49388B8D" w14:textId="77777777" w:rsidR="00160DEA" w:rsidRDefault="00160DEA">
      <w:pPr>
        <w:spacing w:line="240" w:lineRule="auto"/>
      </w:pPr>
    </w:p>
  </w:footnote>
  <w:footnote w:id="2">
    <w:p w14:paraId="26F19611" w14:textId="5D12A8D8" w:rsidR="005D33B3" w:rsidRPr="009F03B1" w:rsidRDefault="005D33B3">
      <w:pPr>
        <w:pStyle w:val="FootnoteText"/>
      </w:pPr>
      <w:r w:rsidRPr="00CF2661">
        <w:rPr>
          <w:rStyle w:val="FootnoteReference"/>
        </w:rPr>
        <w:footnoteRef/>
      </w:r>
      <w:r w:rsidR="00537BCE" w:rsidRPr="009F03B1">
        <w:t>See the survey in</w:t>
      </w:r>
      <w:r w:rsidRPr="009F03B1">
        <w:t xml:space="preserve"> </w:t>
      </w:r>
      <w:r w:rsidRPr="009F03B1">
        <w:fldChar w:fldCharType="begin"/>
      </w:r>
      <w:r w:rsidR="00A92A32" w:rsidRPr="009F03B1">
        <w:instrText xml:space="preserve"> ADDIN ZOTERO_ITEM CSL_CITATION {"citationID":"MtsRkxh0","properties":{"formattedCitation":"Macdonald, 2003; Macdonald, 2018a; The Khalili Research Centre, The University of Oxford, 2018","plainCitation":"Macdonald, 2003; Macdonald, 2018a; The Khalili Research Centre, The University of Oxford, 2018","noteIndex":1},"citationItems":[{"id":541,"uris":["http://zotero.org/users/2150440/items/VPKMFG25"],"uri":["http://zotero.org/users/2150440/items/VPKMFG25"],"itemData":{"id":541,"type":"chapter","title":"Languages,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id":445,"uris":["http://zotero.org/users/2150440/items/8MNMEXYC"],"uri":["http://zotero.org/users/2150440/items/8MNMEXYC"],"itemData":{"id":445,"type":"article-journal","title":"The Online Corpus of the Inscriptions of Ancient North Arabia. Smaller Collections","source":"www.academia.edu","abstract":"The Online Corpus of the Inscriptions of Ancient North Arabia. Smaller Collections","URL":"https://www.academia.edu/32137513/The_Online_Corpus_of_the_Inscriptions_of_Ancient_North_Arabia._Smaller_Collections","language":"en","author":[{"family":"Macdonald","given":"Michael C. A."}],"accessed":{"date-parts":[["2018",11,15]]}}},{"id":409,"uris":["http://zotero.org/users/2150440/items/LPMBMIQS"],"uri":["http://zotero.org/users/2150440/items/LPMBMIQS"],"itemData":{"id":409,"type":"webpage","title":"The Online Corpus of the Inscriptions of Ancient North Arabia - Database","container-title":"OCIANA","genre":"Database","URL":"http://krc2.orient.ox.ac.uk/ociana/index.php/database","author":[{"family":"The Khalili Research Centre, The University of Oxford,","given":""}],"accessed":{"date-parts":[["2018",11,15]]}}}],"schema":"https://github.com/citation-style-language/schema/raw/master/csl-citation.json"} </w:instrText>
      </w:r>
      <w:r w:rsidRPr="009F03B1">
        <w:fldChar w:fldCharType="separate"/>
      </w:r>
      <w:r w:rsidR="005C1B75" w:rsidRPr="009F03B1">
        <w:t>Macdonald, 2003; Macdonald, 2018a; The Khalili Research Centre, The University of Oxford, 2018</w:t>
      </w:r>
      <w:r w:rsidRPr="009F03B1">
        <w:fldChar w:fldCharType="end"/>
      </w:r>
      <w:r w:rsidR="00537BCE" w:rsidRPr="009F03B1">
        <w:t>.</w:t>
      </w:r>
    </w:p>
  </w:footnote>
  <w:footnote w:id="3">
    <w:p w14:paraId="244A2DF3" w14:textId="3D63D0DC" w:rsidR="00A92A32" w:rsidRPr="009F03B1" w:rsidRDefault="00A92A32">
      <w:pPr>
        <w:pStyle w:val="FootnoteText"/>
      </w:pPr>
      <w:r w:rsidRPr="00CF2661">
        <w:rPr>
          <w:rStyle w:val="FootnoteReference"/>
        </w:rPr>
        <w:footnoteRef/>
      </w:r>
      <w:r w:rsidRPr="009F03B1">
        <w:t xml:space="preserve"> </w:t>
      </w:r>
      <w:r w:rsidRPr="009F03B1">
        <w:fldChar w:fldCharType="begin"/>
      </w:r>
      <w:r w:rsidRPr="009F03B1">
        <w:instrText xml:space="preserve"> ADDIN ZOTERO_ITEM CSL_CITATION {"citationID":"RIc37mem","properties":{"formattedCitation":"Powell, 2010, para. 3","plainCitation":"Powell, 2010, para. 3","noteIndex":2},"citationItems":[{"id":547,"uris":["http://zotero.org/users/2150440/items/IULSH3CZ"],"uri":["http://zotero.org/users/2150440/items/IULSH3CZ"],"itemData":{"id":547,"type":"article-journal","title":"Petra's Sister City","container-title":"Archaeology","page":"20-26","volume":"63","issue":"4","source":"EBSCOhost","abstract":"The article discusses excavations at the ancient city of Hegra, in Saudi Arabia, which was built by Arabic-speaking nomads called Nabataeans. Topics include an overview of the Nabataean culture, the survey of the sight using remote sensing, and the differences between Hegra and its sister city Petra in Jordan, such as the inscriptions engraved on the facades of monumental tombs. Also discussed is what each inscription, which are actually copies of papyrus deeds of ownership means, and why the tombs at Hegra have so many legalistic inscriptions compared to Petra, which has just one.","ISSN":"00038113","journalAbbreviation":"Archaeology","author":[{"family":"Powell","given":"Eric A."}],"issued":{"date-parts":[["2010",8,7]]}},"suffix":", para. 3"}],"schema":"https://github.com/citation-style-language/schema/raw/master/csl-citation.json"} </w:instrText>
      </w:r>
      <w:r w:rsidRPr="009F03B1">
        <w:fldChar w:fldCharType="separate"/>
      </w:r>
      <w:r w:rsidRPr="009F03B1">
        <w:t>Powell, 2010, para. 3</w:t>
      </w:r>
      <w:r w:rsidRPr="009F03B1">
        <w:fldChar w:fldCharType="end"/>
      </w:r>
    </w:p>
  </w:footnote>
  <w:footnote w:id="4">
    <w:p w14:paraId="13C5FCD1" w14:textId="6BD1EB02" w:rsidR="006F3EE6" w:rsidRPr="009F03B1" w:rsidRDefault="006F3EE6">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{"citationID":"3foVdT4S","properties":{"formattedCitation":"Nehm\\uc0\\u233{}, 2017","plainCitation":"Nehmé, 2017","noteIndex":3},"citationItems":[{"id":334,"uris":["http://zotero.org/users/2150440/items/RZURACSX"],"uri":["http://zotero.org/users/2150440/items/RZURACSX"],"itemData":{"id":334,"type":"article-journal","title":"New dated inscriptions (Nabataean and pre-Islamic Arabic) from a site near al-Jawf, ancient Dūmah, Saudi Arabia","container-title":"Arabian Epigraphic Notes","page":"121-164","volume":"3","source":"www.academia.edu","abstract":"This article publishes eighteen inscriptions: seventeen in the Nabataean script and one in the pre-Islamic Arabic script, all from the area of al-Jawf, ancient Dūmat al-Jandal, in north-west Arabia. It includes the edition of the texts as well as a","language":"en","author":[{"family":"Nehmé","given":"Laila"}],"issued":{"date-parts":[["2017",10,27]]}}}],"schema":"https://github.com/citation-style-language/schema/raw/master/csl-citation.json"} </w:instrText>
      </w:r>
      <w:r w:rsidRPr="009F03B1">
        <w:fldChar w:fldCharType="separate"/>
      </w:r>
      <w:proofErr w:type="spellStart"/>
      <w:r w:rsidR="005C1B75" w:rsidRPr="009F03B1">
        <w:t>Nehmé</w:t>
      </w:r>
      <w:proofErr w:type="spellEnd"/>
      <w:r w:rsidR="005C1B75" w:rsidRPr="009F03B1">
        <w:t>, 2017</w:t>
      </w:r>
      <w:r w:rsidRPr="009F03B1">
        <w:fldChar w:fldCharType="end"/>
      </w:r>
    </w:p>
  </w:footnote>
  <w:footnote w:id="5">
    <w:p w14:paraId="765F1876" w14:textId="1F68C5F9" w:rsidR="00F6674E" w:rsidRPr="009F03B1" w:rsidRDefault="00F6674E">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{"citationID":"FzSClkoL","properties":{"formattedCitation":"Powell, 2010, para. 13; Macdonald, 2015b, p. 2; for undated inscriptions, see for instance the collection discussed by Nehm\\uc0\\u233{}, 2017","plainCitation":"Powell, 2010, para. 13; Macdonald, 2015b, p. 2; for undated inscriptions, see for instance the collection discussed by Nehmé, 2017","noteIndex":4},"citationItems":[{"id":547,"uris":["http://zotero.org/users/2150440/items/IULSH3CZ"],"uri":["http://zotero.org/users/2150440/items/IULSH3CZ"],"itemData":{"id":547,"type":"article-journal","title":"Petra's Sister City","container-title":"Archaeology","page":"20-26","volume":"63","issue":"4","source":"EBSCOhost","abstract":"The article discusses excavations at the ancient city of Hegra, in Saudi Arabia, which was built by Arabic-speaking nomads called Nabataeans. Topics include an overview of the Nabataean culture, the survey of the sight using remote sensing, and the differences between Hegra and its sister city Petra in Jordan, such as the inscriptions engraved on the facades of monumental tombs. Also discussed is what each inscription, which are actually copies of papyrus deeds of ownership means, and why the tombs at Hegra have so many legalistic inscriptions compared to Petra, which has just one.","ISSN":"00038113","journalAbbreviation":"Archaeology","author":[{"family":"Powell","given":"Eric A."}],"issued":{"date-parts":[["2010",8,7]]}},"suffix":", para. 13"},{"id":588,"uris":["http://zotero.org/users/2150440/items/8TC2LUHQ"],"uri":["http://zotero.org/users/2150440/items/8TC2LUHQ"],"itemData":{"id":588,"type":"article-journal","title":"On the uses of writing in ancient Arabia and the role of palaeography in studying them","container-title":"Arabian Epigraphic Notes","page":"1-50","volume":"1","source":"www.academia.edu","abstract":"On the uses of writing in ancient Arabia and the role of palaeography in studying them","language":"en","author":[{"family":"Macdonald","given":"Michael C. A."}],"issued":{"date-parts":[["2015",5,5]]}},"locator":"2"},{"id":334,"uris":["http://zotero.org/users/2150440/items/RZURACSX"],"uri":["http://zotero.org/users/2150440/items/RZURACSX"],"itemData":{"id":334,"type":"article-journal","title":"New dated inscriptions (Nabataean and pre-Islamic Arabic) from a site near al-Jawf, ancient Dūmah, Saudi Arabia","container-title":"Arabian Epigraphic Notes","page":"121-164","volume":"3","source":"www.academia.edu","abstract":"This article publishes eighteen inscriptions: seventeen in the Nabataean script and one in the pre-Islamic Arabic script, all from the area of al-Jawf, ancient Dūmat al-Jandal, in north-west Arabia. It includes the edition of the texts as well as a","language":"en","author":[{"family":"Nehmé","given":"Laila"}],"issued":{"date-parts":[["2017",10,27]]}},"prefix":"for undated inscriptions, see for instance the collection discussed by "}],"schema":"https://github.com/citation-style-language/schema/raw/master/csl-citation.json"} </w:instrText>
      </w:r>
      <w:r w:rsidRPr="009F03B1">
        <w:fldChar w:fldCharType="separate"/>
      </w:r>
      <w:r w:rsidR="00B87323" w:rsidRPr="009F03B1">
        <w:t xml:space="preserve">Powell, 2010, para. 13; Macdonald, 2015b, p. 2; for undated inscriptions, see for instance the collection discussed by </w:t>
      </w:r>
      <w:proofErr w:type="spellStart"/>
      <w:r w:rsidR="00B87323" w:rsidRPr="009F03B1">
        <w:t>Nehmé</w:t>
      </w:r>
      <w:proofErr w:type="spellEnd"/>
      <w:r w:rsidR="00B87323" w:rsidRPr="009F03B1">
        <w:t>, 2017</w:t>
      </w:r>
      <w:r w:rsidRPr="009F03B1">
        <w:fldChar w:fldCharType="end"/>
      </w:r>
    </w:p>
  </w:footnote>
  <w:footnote w:id="6">
    <w:p w14:paraId="0205A511" w14:textId="1EA5B9BB" w:rsidR="009541E0" w:rsidRPr="009F03B1" w:rsidRDefault="009541E0">
      <w:pPr>
        <w:pStyle w:val="FootnoteText"/>
      </w:pPr>
      <w:r w:rsidRPr="00CF2661">
        <w:rPr>
          <w:rStyle w:val="FootnoteReference"/>
        </w:rPr>
        <w:footnoteRef/>
      </w:r>
      <w:r w:rsidRPr="009F03B1">
        <w:t xml:space="preserve"> </w:t>
      </w:r>
      <w:r w:rsidRPr="009F03B1">
        <w:fldChar w:fldCharType="begin"/>
      </w:r>
      <w:r w:rsidR="00345D8B" w:rsidRPr="009F03B1">
        <w:instrText xml:space="preserve"> ADDIN ZOTERO_ITEM CSL_CITATION {"citationID":"3AFosfCB","properties":{"formattedCitation":"Quoted in Powell, 2010, para. 12","plainCitation":"Quoted in Powell, 2010, para. 12","noteIndex":5},"citationItems":[{"id":547,"uris":["http://zotero.org/users/2150440/items/IULSH3CZ"],"uri":["http://zotero.org/users/2150440/items/IULSH3CZ"],"itemData":{"id":547,"type":"article-journal","title":"Petra's Sister City","container-title":"Archaeology","page":"20-26","volume":"63","issue":"4","source":"EBSCOhost","abstract":"The article discusses excavations at the ancient city of Hegra, in Saudi Arabia, which was built by Arabic-speaking nomads called Nabataeans. Topics include an overview of the Nabataean culture, the survey of the sight using remote sensing, and the differences between Hegra and its sister city Petra in Jordan, such as the inscriptions engraved on the facades of monumental tombs. Also discussed is what each inscription, which are actually copies of papyrus deeds of ownership means, and why the tombs at Hegra have so many legalistic inscriptions compared to Petra, which has just one.","ISSN":"00038113","journalAbbreviation":"Archaeology","author":[{"family":"Powell","given":"Eric A."}],"issued":{"date-parts":[["2010",8,7]]}},"prefix":"Quoted in","suffix":", para. 12"}],"schema":"https://github.com/citation-style-language/schema/raw/master/csl-citation.json"} </w:instrText>
      </w:r>
      <w:r w:rsidRPr="009F03B1">
        <w:fldChar w:fldCharType="separate"/>
      </w:r>
      <w:r w:rsidR="00345D8B" w:rsidRPr="009F03B1">
        <w:t>Quoted in Powell, 2010, para. 12</w:t>
      </w:r>
      <w:r w:rsidRPr="009F03B1">
        <w:fldChar w:fldCharType="end"/>
      </w:r>
    </w:p>
  </w:footnote>
  <w:footnote w:id="7">
    <w:p w14:paraId="24196F9A" w14:textId="60EAD2E0" w:rsidR="00BF2812" w:rsidRPr="009F03B1" w:rsidRDefault="00BF2812">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{"citationID":"G0Y3GUmX","properties":{"formattedCitation":"Macdonald, 2003, p. 43","plainCitation":"Macdonald, 2003, p. 43","noteIndex":6},"citationItems":[{"id":541,"uris":["http://zotero.org/users/2150440/items/VPKMFG25"],"uri":["http://zotero.org/users/2150440/items/VPKMFG25"],"itemData":{"id":541,"type":"chapter","title":"Languages,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A."}],"editor":[{"family":"Markoe","given":"Glen"}],"issued":{"date-parts":[["2003"]]},"accessed":{"date-parts":[["2019",1,3]]}},"locator":"43"}],"schema":"https://github.com/citation-style-language/schema/raw/master/csl-citation.json"} </w:instrText>
      </w:r>
      <w:r w:rsidRPr="009F03B1">
        <w:fldChar w:fldCharType="separate"/>
      </w:r>
      <w:r w:rsidR="005C1B75" w:rsidRPr="009F03B1">
        <w:t>Macdonald, 2003, p. 43</w:t>
      </w:r>
      <w:r w:rsidRPr="009F03B1">
        <w:fldChar w:fldCharType="end"/>
      </w:r>
    </w:p>
  </w:footnote>
  <w:footnote w:id="8">
    <w:p w14:paraId="06DA0795" w14:textId="605AA2B0" w:rsidR="00090C41" w:rsidRPr="009F03B1" w:rsidRDefault="00090C41">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{"citationID":"ouJYThSu","properties":{"formattedCitation":"Pierre Le Hir, 2010","plainCitation":"Pierre Le Hir, 2010","noteIndex":7},"citationItems":[{"id":568,"uris":["http://zotero.org/users/2150440/items/RHNKNL55"],"uri":["http://zotero.org/users/2150440/items/RHNKNL55"],"itemData":{"id":568,"type":"article-journal","title":"Sur la piste des Nabatéens: Archéologie Les fouilles menées à Madâ'in Sâlih, l'antique Hégra, au nord-ouest de l'Arabie saoudite, font revivre l'un des hauts lieux de la civilisation des caravaniers qui vivaient ...","container-title":"Le Monde","page":"17","source":"EBSCOhost","abstract":"C'est au soleil couchant, quand la lumière vient caresser la roche couleur de miel et de grenade, que revit Madâ'in Sâlih. L'antique Hégra, en arabe Al-Hijr. Alors, à cette heure paisible où hommes et bêtes, fourbus, aspirent au repos, le pèlerin moderne imagine, au pied des hautes falaises de grès découpant l'horizon, le bivouac des caravanes de bédouins qui, voilà deux mille ans, avaient établi ici leur campement. (English)","ISSN":"03952037","shortTitle":"Sur la piste des Nabatéens","journalAbbreviation":"Le Monde","author":[{"literal":"Pierre Le Hir"}],"issued":{"date-parts":[["2010",3,6]]}}}],"schema":"https://github.com/citation-style-language/schema/raw/master/csl-citation.json"} </w:instrText>
      </w:r>
      <w:r w:rsidRPr="009F03B1">
        <w:fldChar w:fldCharType="separate"/>
      </w:r>
      <w:r w:rsidR="005C1B75" w:rsidRPr="009F03B1">
        <w:t xml:space="preserve">Pierre Le </w:t>
      </w:r>
      <w:proofErr w:type="spellStart"/>
      <w:r w:rsidR="005C1B75" w:rsidRPr="009F03B1">
        <w:t>Hir</w:t>
      </w:r>
      <w:proofErr w:type="spellEnd"/>
      <w:r w:rsidR="005C1B75" w:rsidRPr="009F03B1">
        <w:t>, 2010</w:t>
      </w:r>
      <w:r w:rsidRPr="009F03B1">
        <w:fldChar w:fldCharType="end"/>
      </w:r>
    </w:p>
  </w:footnote>
  <w:footnote w:id="9">
    <w:p w14:paraId="53D89F9D" w14:textId="6C50C5D9" w:rsidR="004460C7" w:rsidRPr="009F03B1" w:rsidRDefault="004460C7">
      <w:pPr>
        <w:pStyle w:val="FootnoteText"/>
      </w:pPr>
      <w:r w:rsidRPr="00CF2661">
        <w:rPr>
          <w:rStyle w:val="FootnoteReference"/>
        </w:rPr>
        <w:footnoteRef/>
      </w:r>
      <w:r w:rsidRPr="009F03B1">
        <w:t xml:space="preserve"> </w:t>
      </w:r>
      <w:r w:rsidRPr="009F03B1">
        <w:fldChar w:fldCharType="begin"/>
      </w:r>
      <w:r w:rsidRPr="009F03B1">
        <w:instrText xml:space="preserve"> ADDIN ZOTERO_ITEM CSL_CITATION {"citationID":"5pTevbO6","properties":{"formattedCitation":"Macdonald, 2003, pp. 44, 48","plainCitation":"Macdonald, 2003, pp. 44, 48","noteIndex":8},"citationItems":[{"id":541,"uris":["http://zotero.org/users/2150440/items/VPKMFG25"],"uri":["http://zotero.org/users/2150440/items/VPKMFG25"],"itemData":{"id":541,"type":"chapter","title":"Languages,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A."}],"editor":[{"family":"Markoe","given":"Glen"}],"issued":{"date-parts":[["2003"]]},"accessed":{"date-parts":[["2019",1,3]]}},"locator":"44, 48"}],"schema":"https://github.com/citation-style-language/schema/raw/master/csl-citation.json"} </w:instrText>
      </w:r>
      <w:r w:rsidRPr="009F03B1">
        <w:fldChar w:fldCharType="separate"/>
      </w:r>
      <w:r w:rsidRPr="009F03B1">
        <w:t>Macdonald, 2003, pp. 44, 48</w:t>
      </w:r>
      <w:r w:rsidRPr="009F03B1">
        <w:fldChar w:fldCharType="end"/>
      </w:r>
    </w:p>
  </w:footnote>
  <w:footnote w:id="10">
    <w:p w14:paraId="0FD64001" w14:textId="5B11D327" w:rsidR="00B23293" w:rsidRPr="009F03B1" w:rsidRDefault="00B23293">
      <w:pPr>
        <w:pStyle w:val="FootnoteText"/>
      </w:pPr>
      <w:r w:rsidRPr="00CF2661">
        <w:rPr>
          <w:rStyle w:val="FootnoteReference"/>
        </w:rPr>
        <w:footnoteRef/>
      </w:r>
      <w:r w:rsidRPr="009F03B1">
        <w:t xml:space="preserve"> </w:t>
      </w:r>
      <w:r w:rsidRPr="009F03B1">
        <w:fldChar w:fldCharType="begin"/>
      </w:r>
      <w:r w:rsidR="0028494E" w:rsidRPr="009F03B1">
        <w:instrText xml:space="preserve"> ADDIN ZOTERO_ITEM CSL_CITATION {"citationID":"TenNPKA7","properties":{"formattedCitation":"Macdonald, 2003, p. 48","plainCitation":"Macdonald, 2003, p. 48","noteIndex":9},"citationItems":[{"id":541,"uris":["http://zotero.org/users/2150440/items/VPKMFG25"],"uri":["http://zotero.org/users/2150440/items/VPKMFG25"],"itemData":{"id":541,"type":"chapter","title":"Languages,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A."}],"editor":[{"family":"Markoe","given":"Glen"}],"issued":{"date-parts":[["2003"]]},"accessed":{"date-parts":[["2019",1,3]]}},"locator":"48"}],"schema":"https://github.com/citation-style-language/schema/raw/master/csl-citation.json"} </w:instrText>
      </w:r>
      <w:r w:rsidRPr="009F03B1">
        <w:fldChar w:fldCharType="separate"/>
      </w:r>
      <w:r w:rsidR="0028494E" w:rsidRPr="009F03B1">
        <w:t>Macdonald, 2003, p. 48</w:t>
      </w:r>
      <w:r w:rsidRPr="009F03B1">
        <w:fldChar w:fldCharType="end"/>
      </w:r>
    </w:p>
  </w:footnote>
  <w:footnote w:id="11">
    <w:p w14:paraId="7C1ED4E2" w14:textId="53525927" w:rsidR="00C6724C" w:rsidRPr="009F03B1" w:rsidRDefault="00C6724C">
      <w:pPr>
        <w:pStyle w:val="FootnoteText"/>
      </w:pPr>
      <w:r w:rsidRPr="00CF2661">
        <w:rPr>
          <w:rStyle w:val="FootnoteReference"/>
        </w:rPr>
        <w:footnoteRef/>
      </w:r>
      <w:r w:rsidRPr="009F03B1">
        <w:t xml:space="preserve"> </w:t>
      </w:r>
      <w:r w:rsidRPr="009F03B1">
        <w:fldChar w:fldCharType="begin"/>
      </w:r>
      <w:r w:rsidR="00744FDA" w:rsidRPr="009F03B1">
        <w:instrText xml:space="preserve"> ADDIN ZOTERO_ITEM CSL_CITATION {"citationID":"qKM0qWXK","properties":{"formattedCitation":"Macdonald, 2003, pp. 43\\uc0\\u8211{}44; Nehm\\uc0\\u233{}, 2017","plainCitation":"Macdonald, 2003, pp. 43–44; Nehmé, 2017","noteIndex":10},"citationItems":[{"id":541,"uris":["http://zotero.org/users/2150440/items/VPKMFG25"],"uri":["http://zotero.org/users/2150440/items/VPKMFG25"],"itemData":{"id":541,"type":"chapter","title":"Languages,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43-44"},{"id":334,"uris":["http://zotero.org/users/2150440/items/RZURACSX"],"uri":["http://zotero.org/users/2150440/items/RZURACSX"],"itemData":{"id":334,"type":"article-journal","title":"New dated inscriptions (Nabataean and pre-Islamic Arabic) from a site near al-Jawf, ancient Dūmah, Saudi Arabia","container-title":"Arabian Epigraphic Notes","page":"121-164","volume":"3","source":"www.academia.edu","abstract":"This article publishes eighteen inscriptions: seventeen in the Nabataean script and one in the pre-Islamic Arabic script, all from the area of al-Jawf, ancient Dūmat al-Jandal, in north-west Arabia. It includes the edition of the texts as well as a","language":"en","author":[{"family":"Nehmé","given":"Laila"}],"issued":{"date-parts":[["2017",10,27]]}}}],"schema":"https://github.com/citation-style-language/schema/raw/master/csl-citation.json"} </w:instrText>
      </w:r>
      <w:r w:rsidRPr="009F03B1">
        <w:fldChar w:fldCharType="separate"/>
      </w:r>
      <w:r w:rsidR="00744FDA" w:rsidRPr="009F03B1">
        <w:t xml:space="preserve">Macdonald, 2003, pp. 43–44; </w:t>
      </w:r>
      <w:proofErr w:type="spellStart"/>
      <w:r w:rsidR="00744FDA" w:rsidRPr="009F03B1">
        <w:t>Nehmé</w:t>
      </w:r>
      <w:proofErr w:type="spellEnd"/>
      <w:r w:rsidR="00744FDA" w:rsidRPr="009F03B1">
        <w:t>, 2017</w:t>
      </w:r>
      <w:r w:rsidRPr="009F03B1">
        <w:fldChar w:fldCharType="end"/>
      </w:r>
    </w:p>
  </w:footnote>
  <w:footnote w:id="12">
    <w:p w14:paraId="293AC489" w14:textId="04E7887A" w:rsidR="004C05BE" w:rsidRPr="009F03B1" w:rsidRDefault="004C05BE">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{"citationID":"uq80w13t","properties":{"formattedCitation":"Macdonald, 2008c, p. 24","plainCitation":"Macdonald, 2008c, p. 24","noteIndex":11},"citationItems":[{"id":452,"uris":["http://zotero.org/users/2150440/items/LSX4TC3G"],"uri":["http://zotero.org/users/2150440/items/LSX4TC3G"],"itemData":{"id":452,"type":"chapter","title":"The decline of the epigraphic habit in late antique Arabia: Some Questions","container-title":"L'Arabie à la veille de l'Islam: bilan clinique","collection-title":"Orient &amp; Méditerranée","collection-number":"3","publisher":"De Boccard","publisher-place":"Paris","source":"www.academia.edu","event-place":"Paris","abstract":"The decline of the epigraphic habit in late antique Arabia_some questions","URL":"https://www.academia.edu/4421634/The_decline_of_the_epigraphic_habit_in_late_antique_Arabia_some_questions","language":"en","author":[{"family":"Macdonald","given":"Michael C. A."}],"editor":[{"family":"Robin","given":"Christian Julien"},{"family":"Schiettecatie","given":"Jeremie"}],"issued":{"date-parts":[["2008"]]},"accessed":{"date-parts":[["2018",11,15]]}},"locator":"24"}],"schema":"https://github.com/citation-style-language/schema/raw/master/csl-citation.json"} </w:instrText>
      </w:r>
      <w:r w:rsidRPr="009F03B1">
        <w:fldChar w:fldCharType="separate"/>
      </w:r>
      <w:r w:rsidR="00B87323" w:rsidRPr="009F03B1">
        <w:t>Macdonald, 2008c, p. 24</w:t>
      </w:r>
      <w:r w:rsidRPr="009F03B1">
        <w:fldChar w:fldCharType="end"/>
      </w:r>
    </w:p>
  </w:footnote>
  <w:footnote w:id="13">
    <w:p w14:paraId="683EA210" w14:textId="202D9FA7" w:rsidR="008F48F0" w:rsidRPr="009F03B1" w:rsidRDefault="008F48F0">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{"citationID":"ckRRpa1W","properties":{"formattedCitation":"Macdonald, 2008c, p. 24","plainCitation":"Macdonald, 2008c, p. 24","noteIndex":12},"citationItems":[{"id":452,"uris":["http://zotero.org/users/2150440/items/LSX4TC3G"],"uri":["http://zotero.org/users/2150440/items/LSX4TC3G"],"itemData":{"id":452,"type":"chapter","title":"The decline of the epigraphic habit in late antique Arabia: Some Questions","container-title":"L'Arabie à la veille de l'Islam: bilan clinique","collection-title":"Orient &amp; Méditerranée","collection-number":"3","publisher":"De Boccard","publisher-place":"Paris","source":"www.academia.edu","event-place":"Paris","abstract":"The decline of the epigraphic habit in late antique Arabia_some questions","URL":"https://www.academia.edu/4421634/The_decline_of_the_epigraphic_habit_in_late_antique_Arabia_some_questions","language":"en","author":[{"family":"Macdonald","given":"Michael C. A."}],"editor":[{"family":"Robin","given":"Christian Julien"},{"family":"Schiettecatie","given":"Jeremie"}],"issued":{"date-parts":[["2008"]]},"accessed":{"date-parts":[["2018",11,15]]}},"locator":"24"}],"schema":"https://github.com/citation-style-language/schema/raw/master/csl-citation.json"} </w:instrText>
      </w:r>
      <w:r w:rsidRPr="009F03B1">
        <w:fldChar w:fldCharType="separate"/>
      </w:r>
      <w:r w:rsidR="00B87323" w:rsidRPr="009F03B1">
        <w:t>Macdonald, 2008c, p. 24</w:t>
      </w:r>
      <w:r w:rsidRPr="009F03B1">
        <w:fldChar w:fldCharType="end"/>
      </w:r>
    </w:p>
  </w:footnote>
  <w:footnote w:id="14">
    <w:p w14:paraId="33B1FC3A" w14:textId="4FF2365D" w:rsidR="00CB1BBB" w:rsidRPr="009F03B1" w:rsidRDefault="00CB1BBB">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{"citationID":"tglufv56","properties":{"formattedCitation":"Macdonald, 2008c, p. 24","plainCitation":"Macdonald, 2008c, p. 24","noteIndex":13},"citationItems":[{"id":452,"uris":["http://zotero.org/users/2150440/items/LSX4TC3G"],"uri":["http://zotero.org/users/2150440/items/LSX4TC3G"],"itemData":{"id":452,"type":"chapter","title":"The decline of the epigraphic habit in late antique Arabia: Some Questions","container-title":"L'Arabie à la veille de l'Islam: bilan clinique","collection-title":"Orient &amp; Méditerranée","collection-number":"3","publisher":"De Boccard","publisher-place":"Paris","source":"www.academia.edu","event-place":"Paris","abstract":"The decline of the epigraphic habit in late antique Arabia_some questions","URL":"https://www.academia.edu/4421634/The_decline_of_the_epigraphic_habit_in_late_antique_Arabia_some_questions","language":"en","author":[{"family":"Macdonald","given":"Michael C. A."}],"editor":[{"family":"Robin","given":"Christian Julien"},{"family":"Schiettecatie","given":"Jeremie"}],"issued":{"date-parts":[["2008"]]},"accessed":{"date-parts":[["2018",11,15]]}},"locator":"24"}],"schema":"https://github.com/citation-style-language/schema/raw/master/csl-citation.json"} </w:instrText>
      </w:r>
      <w:r w:rsidRPr="009F03B1">
        <w:fldChar w:fldCharType="separate"/>
      </w:r>
      <w:r w:rsidR="00B87323" w:rsidRPr="009F03B1">
        <w:t>Macdonald, 2008c, p. 24</w:t>
      </w:r>
      <w:r w:rsidRPr="009F03B1">
        <w:fldChar w:fldCharType="end"/>
      </w:r>
    </w:p>
  </w:footnote>
  <w:footnote w:id="15">
    <w:p w14:paraId="221AB421" w14:textId="7FC69079" w:rsidR="00B3241E" w:rsidRPr="009F03B1" w:rsidRDefault="00B3241E">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{"citationID":"MXLU0jq5","properties":{"formattedCitation":"Nehm\\uc0\\u233{}, 2017, DaJ144PAr1","plainCitation":"Nehmé, 2017, DaJ144PAr1","noteIndex":14},"citationItems":[{"id":334,"uris":["http://zotero.org/users/2150440/items/RZURACSX"],"uri":["http://zotero.org/users/2150440/items/RZURACSX"],"itemData":{"id":334,"type":"article-journal","title":"New dated inscriptions (Nabataean and pre-Islamic Arabic) from a site near al-Jawf, ancient Dūmah, Saudi Arabia","container-title":"Arabian Epigraphic Notes","page":"121-164","volume":"3","source":"www.academia.edu","abstract":"This article publishes eighteen inscriptions: seventeen in the Nabataean script and one in the pre-Islamic Arabic script, all from the area of al-Jawf, ancient Dūmat al-Jandal, in north-west Arabia. It includes the edition of the texts as well as a","language":"en","author":[{"family":"Nehmé","given":"Laila"}],"issued":{"date-parts":[["2017",10,27]]}},"label":"figure","suffix":", DaJ144PAr1"}],"schema":"https://github.com/citation-style-language/schema/raw/master/csl-citation.json"} </w:instrText>
      </w:r>
      <w:r w:rsidRPr="009F03B1">
        <w:fldChar w:fldCharType="separate"/>
      </w:r>
      <w:proofErr w:type="spellStart"/>
      <w:r w:rsidR="009C02B1" w:rsidRPr="009F03B1">
        <w:t>Nehmé</w:t>
      </w:r>
      <w:proofErr w:type="spellEnd"/>
      <w:r w:rsidR="009C02B1" w:rsidRPr="009F03B1">
        <w:t>, 2017, DaJ144PAr1</w:t>
      </w:r>
      <w:r w:rsidRPr="009F03B1">
        <w:fldChar w:fldCharType="end"/>
      </w:r>
    </w:p>
  </w:footnote>
  <w:footnote w:id="16">
    <w:p w14:paraId="64D9A0B6" w14:textId="79A4F5CD" w:rsidR="009A476D" w:rsidRPr="009F03B1" w:rsidRDefault="009A476D" w:rsidP="009A476D">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{"citationID":"LaLKulA5","properties":{"formattedCitation":"Fisher et al., 2015, chap. chap. 6","plainCitation":"Fisher et al., 2015, chap. chap. 6","noteIndex":15},"citationItems":[{"id":551,"uris":["http://zotero.org/users/2150440/items/2S75ET6R"],"uri":["http://zotero.org/users/2150440/items/2S75ET6R"],"itemData":{"id":551,"type":"chapter","title":"Arabs and Christianity","container-title":"Arabs and Empires before Islam","publisher":"Oxford University Press","source":"www.oxfordscholarship.com.ezproxy.uwtsd.ac.uk","abstract":"This chapter examines the relationship between Arabs and Christianity in late antiquity, covering the patronage of the cult of St Sergius by the Jafnids (including an examination of a newly discovered mosaic inscription from Jordan), the links between the Jafnid family and the so-called Miaphysite Christians, and the arm’s-length association between the Naṣrids and the Christian faith. This chapter covers a range of literary, epigraphic, and material sources, including a consideration of the mosaic pavements from two churches linked with the Jafnids, and sections from the Ecclesiastical History of John of Ephesus, the Chronicle of Seert, and the Khuzistan Chronicle. The chapter concludes with a consideration of so-called Abrahamic descent (Ishmaelite identity).","URL":"http://www.oxfordscholarship.com/view/10.1093/acprof:oso/9780199654529.001.0001/acprof-9780199654529-chapter-7","ISBN":"978-0-19-180143-3","language":"en_US","author":[{"family":"Fisher","given":"Greg"},{"family":"Wood","given":"Philip"},{"family":"Bevan","given":"George"},{"family":"Greatrex","given":"Geoffrey"},{"family":"Hamarneh","given":"Basema"},{"family":"Schadler","given":"Peter"},{"family":"Ward","given":"Walter"}],"editor":[{"family":"Fisher","given":"Greg"}],"issued":{"date-parts":[["2015",7,1]]},"accessed":{"date-parts":[["2019",1,9]]}},"locator":"6","label":"chapter"}],"schema":"https://github.com/citation-style-language/schema/raw/master/csl-citation.json"} </w:instrText>
      </w:r>
      <w:r w:rsidRPr="009F03B1">
        <w:fldChar w:fldCharType="separate"/>
      </w:r>
      <w:r w:rsidR="005C1B75" w:rsidRPr="009F03B1">
        <w:t>Fisher et al., 2015, chap. chap. 6</w:t>
      </w:r>
      <w:r w:rsidRPr="009F03B1">
        <w:fldChar w:fldCharType="end"/>
      </w:r>
    </w:p>
  </w:footnote>
  <w:footnote w:id="17">
    <w:p w14:paraId="30054162" w14:textId="01572A2A" w:rsidR="006666BB" w:rsidRPr="009F03B1" w:rsidRDefault="006666BB">
      <w:pPr>
        <w:pStyle w:val="FootnoteText"/>
      </w:pPr>
      <w:r w:rsidRPr="00CF2661">
        <w:rPr>
          <w:rStyle w:val="FootnoteReference"/>
        </w:rPr>
        <w:footnoteRef/>
      </w:r>
      <w:r w:rsidRPr="009F03B1">
        <w:t xml:space="preserve"> </w:t>
      </w:r>
      <w:r w:rsidRPr="009F03B1">
        <w:fldChar w:fldCharType="begin"/>
      </w:r>
      <w:r w:rsidR="00271858" w:rsidRPr="009F03B1">
        <w:instrText xml:space="preserve"> ADDIN ZOTERO_ITEM CSL_CITATION {"citationID":"Ma4t9rcI","properties":{"formattedCitation":"Theodoret, Life of Symeon, 13, cited in Fisher et al., 2017, p. 297","plainCitation":"Theodoret, Life of Symeon, 13, cited in Fisher et al., 2017, p. 297","noteIndex":16},"citationItems":[{"id":574,"uris":["http://zotero.org/users/2150440/items/RL2GNGHA"],"uri":["http://zotero.org/users/2150440/items/RL2GNGHA"],"itemData":{"id":574,"type":"chapter","title":"Arabs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297","prefix":"Theodoret, Life of Symeon, 13, cited in"}],"schema":"https://github.com/citation-style-language/schema/raw/master/csl-citation.json"} </w:instrText>
      </w:r>
      <w:r w:rsidRPr="009F03B1">
        <w:fldChar w:fldCharType="separate"/>
      </w:r>
      <w:proofErr w:type="spellStart"/>
      <w:r w:rsidR="00271858" w:rsidRPr="009F03B1">
        <w:t>Theodoret</w:t>
      </w:r>
      <w:proofErr w:type="spellEnd"/>
      <w:r w:rsidR="00271858" w:rsidRPr="009F03B1">
        <w:t xml:space="preserve">, </w:t>
      </w:r>
      <w:r w:rsidR="00271858" w:rsidRPr="009F03B1">
        <w:rPr>
          <w:i/>
        </w:rPr>
        <w:t xml:space="preserve">Life of </w:t>
      </w:r>
      <w:proofErr w:type="spellStart"/>
      <w:r w:rsidR="00271858" w:rsidRPr="009F03B1">
        <w:rPr>
          <w:i/>
        </w:rPr>
        <w:t>Symeon</w:t>
      </w:r>
      <w:proofErr w:type="spellEnd"/>
      <w:r w:rsidR="00271858" w:rsidRPr="009F03B1">
        <w:rPr>
          <w:i/>
        </w:rPr>
        <w:t>,</w:t>
      </w:r>
      <w:r w:rsidR="00271858" w:rsidRPr="009F03B1">
        <w:t xml:space="preserve"> 13, cited in Fisher et al., 2017, p. 297</w:t>
      </w:r>
      <w:r w:rsidRPr="009F03B1">
        <w:fldChar w:fldCharType="end"/>
      </w:r>
    </w:p>
  </w:footnote>
  <w:footnote w:id="18">
    <w:p w14:paraId="15D61FCF" w14:textId="3F66C04B" w:rsidR="003548D1" w:rsidRPr="009F03B1" w:rsidRDefault="003548D1">
      <w:pPr>
        <w:pStyle w:val="FootnoteText"/>
      </w:pPr>
      <w:r w:rsidRPr="00CF2661">
        <w:rPr>
          <w:rStyle w:val="FootnoteReference"/>
        </w:rPr>
        <w:footnoteRef/>
      </w:r>
      <w:r w:rsidRPr="009F03B1">
        <w:t xml:space="preserve"> </w:t>
      </w:r>
      <w:r w:rsidRPr="009F03B1">
        <w:fldChar w:fldCharType="begin"/>
      </w:r>
      <w:r w:rsidR="00271858" w:rsidRPr="009F03B1">
        <w:instrText xml:space="preserve"> ADDIN ZOTERO_ITEM CSL_CITATION {"citationID":"suvC7iuM","properties":{"formattedCitation":"See the corpus at Macdonald, 2018d; Macdonald, 2003, p. 44","plainCitation":"See the corpus at Macdonald, 2018d; Macdonald, 2003, p. 44","noteIndex":17},"citationItems":[{"id":439,"uris":["http://zotero.org/users/2150440/items/BGMYFWT4"],"uri":["http://zotero.org/users/2150440/items/BGMYFWT4"],"itemData":{"id":439,"type":"article-journal","title":"The Online Corpus of the Inscriptions of Ancient North Arabia. Dadanitic Corpus","source":"www.academia.edu","abstract":"This is a Corpus of all the Dadanitic inscriptions known to date.","URL":"https://www.academia.edu/32137511/The_Online_Corpus_of_the_Inscriptions_of_Ancient_North_Arabia._Dadanitic_Corpus","language":"en","author":[{"family":"Macdonald","given":"Michael C. A."}],"accessed":{"date-parts":[["2018",11,15]]}},"prefix":"See the corpus at"},{"id":541,"uris":["http://zotero.org/users/2150440/items/VPKMFG25"],"uri":["http://zotero.org/users/2150440/items/VPKMFG25"],"itemData":{"id":541,"type":"chapter","title":"Languages,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A."}],"editor":[{"family":"Markoe","given":"Glen"}],"issued":{"date-parts":[["2003"]]},"accessed":{"date-parts":[["2019",1,3]]}},"locator":"44"}],"schema":"https://github.com/citation-style-language/schema/raw/master/csl-citation.json"} </w:instrText>
      </w:r>
      <w:r w:rsidRPr="009F03B1">
        <w:fldChar w:fldCharType="separate"/>
      </w:r>
      <w:r w:rsidR="00A77D7C" w:rsidRPr="009F03B1">
        <w:t>See the corpus at Macdonald, 2018d; Macdonald, 2003, p. 44</w:t>
      </w:r>
      <w:r w:rsidRPr="009F03B1">
        <w:fldChar w:fldCharType="end"/>
      </w:r>
    </w:p>
  </w:footnote>
  <w:footnote w:id="19">
    <w:p w14:paraId="708041E5" w14:textId="3A3795CF" w:rsidR="006E2A67" w:rsidRPr="009F03B1" w:rsidRDefault="006E2A67">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{"citationID":"AURgvQIW","properties":{"formattedCitation":"Macdonald, 2003, p. 51","plainCitation":"Macdonald, 2003, p. 51","noteIndex":18},"citationItems":[{"id":541,"uris":["http://zotero.org/users/2150440/items/VPKMFG25"],"uri":["http://zotero.org/users/2150440/items/VPKMFG25"],"itemData":{"id":541,"type":"chapter","title":"Languages,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A."}],"editor":[{"family":"Markoe","given":"Glen"}],"issued":{"date-parts":[["2003"]]},"accessed":{"date-parts":[["2019",1,3]]}},"locator":"51"}],"schema":"https://github.com/citation-style-language/schema/raw/master/csl-citation.json"} </w:instrText>
      </w:r>
      <w:r w:rsidRPr="009F03B1">
        <w:fldChar w:fldCharType="separate"/>
      </w:r>
      <w:r w:rsidR="00B9247C" w:rsidRPr="009F03B1">
        <w:t>Macdonald, 2003, p. 51</w:t>
      </w:r>
      <w:r w:rsidRPr="009F03B1">
        <w:fldChar w:fldCharType="end"/>
      </w:r>
    </w:p>
  </w:footnote>
  <w:footnote w:id="20">
    <w:p w14:paraId="3548CC1C" w14:textId="7B9A578C" w:rsidR="006E2A67" w:rsidRPr="009F03B1" w:rsidRDefault="006E2A67">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{"citationID":"c7L6sHMn","properties":{"formattedCitation":"Macdonald, 2003, p. 49; Powell, 2010, para. 2","plainCitation":"Macdonald, 2003, p. 49; Powell, 2010, para. 2","noteIndex":19},"citationItems":[{"id":541,"uris":["http://zotero.org/users/2150440/items/VPKMFG25"],"uri":["http://zotero.org/users/2150440/items/VPKMFG25"],"itemData":{"id":541,"type":"chapter","title":"Languages, Scripts, and the Uses of Writing among the Nabataeans","container-title":"Petra Rediscovered: Lost City of the Nabataeans","publisher":"Harry N Abrams","publisher-place":"New York","page":"288","source":"www.academia.edu","event-place":"New York","abstract":"Languages, scripts, and the uses of writing among the Nabataeans","URL":"https://www.academia.edu/4587486/Languages_scripts_and_the_uses_of_writing_among_the_Nabataeans","ISBN":"978-0-8109-9128-6","shortTitle":"Petra Rediscovered","language":"en","author":[{"family":"Macdonald","given":"Michael C. A."}],"editor":[{"family":"Markoe","given":"Glen"}],"issued":{"date-parts":[["2003"]]},"accessed":{"date-parts":[["2019",1,3]]}},"locator":"49"},{"id":547,"uris":["http://zotero.org/users/2150440/items/IULSH3CZ"],"uri":["http://zotero.org/users/2150440/items/IULSH3CZ"],"itemData":{"id":547,"type":"article-journal","title":"Petra's Sister City","container-title":"Archaeology","page":"20-26","volume":"63","issue":"4","source":"EBSCOhost","abstract":"The article discusses excavations at the ancient city of Hegra, in Saudi Arabia, which was built by Arabic-speaking nomads called Nabataeans. Topics include an overview of the Nabataean culture, the survey of the sight using remote sensing, and the differences between Hegra and its sister city Petra in Jordan, such as the inscriptions engraved on the facades of monumental tombs. Also discussed is what each inscription, which are actually copies of papyrus deeds of ownership means, and why the tombs at Hegra have so many legalistic inscriptions compared to Petra, which has just one.","ISSN":"00038113","journalAbbreviation":"Archaeology","author":[{"family":"Powell","given":"Eric A."}],"issued":{"date-parts":[["2010",8,7]]}},"suffix":", para. 2"}],"schema":"https://github.com/citation-style-language/schema/raw/master/csl-citation.json"} </w:instrText>
      </w:r>
      <w:r w:rsidRPr="009F03B1">
        <w:fldChar w:fldCharType="separate"/>
      </w:r>
      <w:r w:rsidR="00A92A32" w:rsidRPr="009F03B1">
        <w:t>Macdonald, 2003, p. 49; Powell, 2010, para. 2</w:t>
      </w:r>
      <w:r w:rsidRPr="009F03B1">
        <w:fldChar w:fldCharType="end"/>
      </w:r>
    </w:p>
  </w:footnote>
  <w:footnote w:id="21">
    <w:p w14:paraId="576BF090" w14:textId="577A6D95" w:rsidR="00142D12" w:rsidRPr="009F03B1" w:rsidRDefault="00142D12">
      <w:pPr>
        <w:pStyle w:val="FootnoteText"/>
      </w:pPr>
      <w:r w:rsidRPr="00CF2661">
        <w:rPr>
          <w:rStyle w:val="FootnoteReference"/>
        </w:rPr>
        <w:footnoteRef/>
      </w:r>
      <w:r w:rsidRPr="009F03B1">
        <w:t xml:space="preserve"> Acts </w:t>
      </w:r>
      <w:r w:rsidR="0018766C" w:rsidRPr="009F03B1">
        <w:t xml:space="preserve">2:8-11, Galatians </w:t>
      </w:r>
      <w:r w:rsidR="00257679" w:rsidRPr="009F03B1">
        <w:t>1:17</w:t>
      </w:r>
    </w:p>
  </w:footnote>
  <w:footnote w:id="22">
    <w:p w14:paraId="16848FA5" w14:textId="75D3A9C7" w:rsidR="00257679" w:rsidRPr="009F03B1" w:rsidRDefault="00257679">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{"citationID":"LYMWD7rr","properties":{"formattedCitation":"Awad, 2012, pp. 34\\uc0\\u8211{}36","plainCitation":"Awad, 2012, pp. 34–36","noteIndex":21},"citationItems":[{"id":572,"uris":["http://zotero.org/users/2150440/items/KNNQ6EIF"],"uri":["http://zotero.org/users/2150440/items/KNNQ6EIF"],"itemData":{"id":572,"type":"chapter","title":"Is Christianity from Arabia? Examining Two Contemporary Arabic Proposals on Christianity in the Pre-Islamic Period","container-title":"Orientalische Christen und Europa: Kulturbegegnung zwischen Interferenz, Partizipation und Antizipation","page":"33-58","source":"Open WorldCat","ISBN":"978-3-447-06757-7","note":"OCLC: 810121493","language":"German and English.","editor":[{"family":"Tamcke","given":"Martin"}],"author":[{"family":"Awad","given":"Najib George"}],"issued":{"date-parts":[["2012"]]}},"locator":"34-36"}],"schema":"https://github.com/citation-style-language/schema/raw/master/csl-citation.json"} </w:instrText>
      </w:r>
      <w:r w:rsidRPr="009F03B1">
        <w:fldChar w:fldCharType="separate"/>
      </w:r>
      <w:proofErr w:type="spellStart"/>
      <w:r w:rsidR="002928C2" w:rsidRPr="009F03B1">
        <w:t>Awad</w:t>
      </w:r>
      <w:proofErr w:type="spellEnd"/>
      <w:r w:rsidR="002928C2" w:rsidRPr="009F03B1">
        <w:t>, 2012, pp. 34–36</w:t>
      </w:r>
      <w:r w:rsidRPr="009F03B1">
        <w:fldChar w:fldCharType="end"/>
      </w:r>
    </w:p>
  </w:footnote>
  <w:footnote w:id="23">
    <w:p w14:paraId="7E804F64" w14:textId="362008E7" w:rsidR="00C72CEA" w:rsidRPr="009F03B1" w:rsidRDefault="00C72CEA" w:rsidP="00C72CEA">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{"citationID":"bH6Z5LnJ","properties":{"formattedCitation":"See the survey in Fisher et al., 2017","plainCitation":"See the survey in Fisher et al., 2017","noteIndex":22},"citationItems":[{"id":574,"uris":["http://zotero.org/users/2150440/items/RL2GNGHA"],"uri":["http://zotero.org/users/2150440/items/RL2GNGHA"],"itemData":{"id":574,"type":"chapter","title":"Arabs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prefix":"See the survey in "}],"schema":"https://github.com/citation-style-language/schema/raw/master/csl-citation.json"} </w:instrText>
      </w:r>
      <w:r w:rsidRPr="009F03B1">
        <w:fldChar w:fldCharType="separate"/>
      </w:r>
      <w:r w:rsidR="00633251" w:rsidRPr="009F03B1">
        <w:t>See the survey in Fisher et al., 2017</w:t>
      </w:r>
      <w:r w:rsidRPr="009F03B1">
        <w:fldChar w:fldCharType="end"/>
      </w:r>
    </w:p>
  </w:footnote>
  <w:footnote w:id="24">
    <w:p w14:paraId="631C6700" w14:textId="392ABE26" w:rsidR="001B15D7" w:rsidRPr="009F03B1" w:rsidRDefault="001B15D7">
      <w:pPr>
        <w:pStyle w:val="FootnoteText"/>
      </w:pPr>
      <w:r w:rsidRPr="00CF2661">
        <w:rPr>
          <w:rStyle w:val="FootnoteReference"/>
        </w:rPr>
        <w:footnoteRef/>
      </w:r>
      <w:r w:rsidRPr="009F03B1">
        <w:t xml:space="preserve"> </w:t>
      </w:r>
      <w:r w:rsidRPr="009F03B1">
        <w:fldChar w:fldCharType="begin"/>
      </w:r>
      <w:r w:rsidR="00E603B9" w:rsidRPr="009F03B1">
        <w:instrText xml:space="preserve"> ADDIN ZOTERO_ITEM CSL_CITATION {"citationID":"t5bN01t9","properties":{"formattedCitation":"Bikai, 2002, p. 271","plainCitation":"Bikai, 2002, p. 271","noteIndex":23},"citationItems":[{"id":590,"uris":["http://zotero.org/users/2150440/items/GR7EKQFM"],"uri":["http://zotero.org/users/2150440/items/GR7EKQFM"],"itemData":{"id":590,"type":"article-journal","title":"The Churches of Byzantine Petra","container-title":"Near Eastern Archaeology; Boston","page":"271-276","volume":"65","issue":"4","source":"ProQuest","abstract":"It has long been known that the city of Petra was severely affected by the great earthquake of 363 CE, and it once seemed that after that earthquake, the city was inhabited by only a very small number of persons, some of whom were Christian. In 1974, Browning wrote that by the Byzantine period the \"vitality of the people was being sapped by squalor.\" He continued: \"Without even vain hope, a sort of torpor settled across Petra; life became an existence valued for its own precarious self and not for any prospect of achievement\" (1974: 58). Although traces of buildings that could be churches had been noted by explorers, the only certain church in Petra was a Nabataean tomb, the Urn Tomb, converted for ecclesiastical use in 446 CE (McKenzie 1990: pi. 97), a conversion that gave the impression that the Christian population of Petra in this period was so limited and poor that they did not even have the resources to build a church. This was a very bleak picture of Byzantine Petra. [PUBLICATION ABSTRACT]","ISSN":"10942076","language":"English","author":[{"family":"Bikai","given":"Patricia Maynor"}],"issued":{"date-parts":[["2002",12]]}},"locator":"271"}],"schema":"https://github.com/citation-style-language/schema/raw/master/csl-citation.json"} </w:instrText>
      </w:r>
      <w:r w:rsidRPr="009F03B1">
        <w:fldChar w:fldCharType="separate"/>
      </w:r>
      <w:proofErr w:type="spellStart"/>
      <w:r w:rsidR="00E603B9" w:rsidRPr="009F03B1">
        <w:t>Bikai</w:t>
      </w:r>
      <w:proofErr w:type="spellEnd"/>
      <w:r w:rsidR="00E603B9" w:rsidRPr="009F03B1">
        <w:t>, 2002, p. 271</w:t>
      </w:r>
      <w:r w:rsidRPr="009F03B1">
        <w:fldChar w:fldCharType="end"/>
      </w:r>
    </w:p>
  </w:footnote>
  <w:footnote w:id="25">
    <w:p w14:paraId="19994A0F" w14:textId="71EA8FAA" w:rsidR="001F6ED7" w:rsidRPr="009F03B1" w:rsidRDefault="001F6ED7">
      <w:pPr>
        <w:pStyle w:val="FootnoteText"/>
      </w:pPr>
      <w:r w:rsidRPr="00CF2661">
        <w:rPr>
          <w:rStyle w:val="FootnoteReference"/>
        </w:rPr>
        <w:footnoteRef/>
      </w:r>
      <w:r w:rsidRPr="009F03B1">
        <w:t xml:space="preserve"> </w:t>
      </w:r>
      <w:r w:rsidRPr="009F03B1">
        <w:fldChar w:fldCharType="begin"/>
      </w:r>
      <w:r w:rsidR="00376498" w:rsidRPr="009F03B1">
        <w:instrText xml:space="preserve"> ADDIN ZOTERO_ITEM CSL_CITATION {"citationID":"9YYWbcyh","properties":{"formattedCitation":"Syria and the Peninsula: Hoyland, 2009, pp. 117\\uc0\\u8211{}18; Mesopotamia: Segal, 1984, p. 90; Sinai: Ammonius, Nilus, and Caner, 2010, pp. 17\\uc0\\u8211{}39","plainCitation":"Syria and the Peninsula: Hoyland, 2009, pp. 117–18; Mesopotamia: Segal, 1984, p. 90; Sinai: Ammonius, Nilus, and Caner, 2010, pp. 17–39","noteIndex":24},"citationItems":[{"id":394,"uris":["http://zotero.org/users/2150440/items/3QQFLFV2"],"uri":["http://zotero.org/users/2150440/items/3QQFLFV2"],"itemData":{"id":394,"type":"article-journal","title":"Late Roman Provincia Arabia, Monophysite Monks and Arab Tribes: a Problem of Centre and Periphery","container-title":"Semitica et Classica","page":"117-139","volume":"2","source":"brepolsonline.net (Atypon)","abstract":"This paper continues the exploration of the socio-political situation in the province of Arabia at around the time of the birth of the prophet Muhammad that was initiated by Fergus Millar in the preceding article. However, whereas Fergus Millar approaches this topic from the perspective of the imperial authorities, I am trying to see it through the eyes of the Ghassanid Arab phylarchs and the monks who inhabited this province. I use the letter disavowing tritheism signed by the Monophysite archimandrites of Arabia to examine the geographical distribution of the Monophysite monasteries of this region and the way in which they interacted with the imperial administration and the Ghassanid phylarchate. Conclusions are drawn about the organisation of the Monophysite church in Arabia and its relations with Byzantium’s Arab allies and with the wider Monophysite church in the East.","DOI":"10.1484/J.SEC.1.100513","ISSN":"2031-5937","shortTitle":"Late Roman Provincia Arabia, Monophysite Monks and Arab Tribes","journalAbbreviation":"Semitica et Classica","author":[{"family":"Hoyland","given":"Robert"}],"issued":{"date-parts":[["2009",1,1]]}},"locator":"117-18","prefix":"Syria and the Peninsula:"},{"id":575,"uris":["http://zotero.org/users/2150440/items/NNG7PH3K"],"uri":["http://zotero.org/users/2150440/items/NNG7PH3K"],"itemData":{"id":575,"type":"article-journal","title":"Arabs in Syriac Literature before the Rise of Islam","container-title":"Jerusalem Studies in Arabic and Islam","page":"89-123","volume":"4","journalAbbreviation":"JSAI","author":[{"family":"Segal","given":"J.B."}],"issued":{"date-parts":[["1984"]]}},"locator":"90","prefix":"Mesopotamia:"},{"id":391,"uris":["http://zotero.org/users/2150440/items/GSYFUWZN"],"uri":["http://zotero.org/users/2150440/items/GSYFUWZN"],"itemData":{"id":391,"type":"book","title":"History and hagiography from the late antique Sinai: including translations of Pseudo-Nilus' Narrations, Ammonius' Report on the Slaughter of the Monks of Sinai and Rhaithou, and Anastasius of Saint Sinai's Tales of the Sinai Fathers","publisher":"Liverpool Univ. Press","publisher-place":"Liverpool","source":"Open WorldCat","event-place":"Liverpool","note":"OCLC: 654357746","shortTitle":"History and hagiography from the late antique Sinai","language":"English","author":[{"literal":"Ammonius"},{"literal":"Nilus"},{"family":"Caner","given":"Daniel F"}],"translator":[{"family":"Caner","given":"Daniel F"}],"issued":{"date-parts":[["2010"]]}},"locator":"17-39","prefix":"Sinai: "}],"schema":"https://github.com/citation-style-language/schema/raw/master/csl-citation.json"} </w:instrText>
      </w:r>
      <w:r w:rsidRPr="009F03B1">
        <w:fldChar w:fldCharType="separate"/>
      </w:r>
      <w:r w:rsidR="00376498" w:rsidRPr="009F03B1">
        <w:t xml:space="preserve">Syria and the Peninsula: </w:t>
      </w:r>
      <w:proofErr w:type="spellStart"/>
      <w:r w:rsidR="00376498" w:rsidRPr="009F03B1">
        <w:t>Hoyland</w:t>
      </w:r>
      <w:proofErr w:type="spellEnd"/>
      <w:r w:rsidR="00376498" w:rsidRPr="009F03B1">
        <w:t xml:space="preserve">, 2009, pp. 117–18; Mesopotamia: Segal, 1984, p. 90; Sinai: </w:t>
      </w:r>
      <w:proofErr w:type="spellStart"/>
      <w:r w:rsidR="00376498" w:rsidRPr="009F03B1">
        <w:t>Ammonius</w:t>
      </w:r>
      <w:proofErr w:type="spellEnd"/>
      <w:r w:rsidR="00376498" w:rsidRPr="009F03B1">
        <w:t xml:space="preserve">, </w:t>
      </w:r>
      <w:proofErr w:type="spellStart"/>
      <w:r w:rsidR="00376498" w:rsidRPr="009F03B1">
        <w:t>Nilus</w:t>
      </w:r>
      <w:proofErr w:type="spellEnd"/>
      <w:r w:rsidR="00376498" w:rsidRPr="009F03B1">
        <w:t>, and Caner, 2010, pp. 17–39</w:t>
      </w:r>
      <w:r w:rsidRPr="009F03B1">
        <w:fldChar w:fldCharType="end"/>
      </w:r>
    </w:p>
  </w:footnote>
  <w:footnote w:id="26">
    <w:p w14:paraId="7543990D" w14:textId="5FCEA2FB" w:rsidR="00582DC6" w:rsidRPr="009F03B1" w:rsidRDefault="00582DC6">
      <w:pPr>
        <w:pStyle w:val="FootnoteText"/>
      </w:pPr>
      <w:r w:rsidRPr="00CF2661">
        <w:rPr>
          <w:rStyle w:val="FootnoteReference"/>
        </w:rPr>
        <w:footnoteRef/>
      </w:r>
      <w:r w:rsidRPr="009F03B1">
        <w:t xml:space="preserve"> </w:t>
      </w:r>
      <w:r w:rsidRPr="009F03B1">
        <w:fldChar w:fldCharType="begin"/>
      </w:r>
      <w:r w:rsidRPr="009F03B1">
        <w:instrText xml:space="preserve"> ADDIN ZOTERO_ITEM CSL_CITATION {"citationID":"ImHNQz86","properties":{"formattedCitation":"Fisher et al., 2017, p. 286","plainCitation":"Fisher et al., 2017, p. 286","noteIndex":25},"citationItems":[{"id":574,"uris":["http://zotero.org/users/2150440/items/RL2GNGHA"],"uri":["http://zotero.org/users/2150440/items/RL2GNGHA"],"itemData":{"id":574,"type":"chapter","title":"Arabs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286"}],"schema":"https://github.com/citation-style-language/schema/raw/master/csl-citation.json"} </w:instrText>
      </w:r>
      <w:r w:rsidRPr="009F03B1">
        <w:fldChar w:fldCharType="separate"/>
      </w:r>
      <w:r w:rsidRPr="009F03B1">
        <w:t>Fisher et al., 2017, p. 286</w:t>
      </w:r>
      <w:r w:rsidRPr="009F03B1">
        <w:fldChar w:fldCharType="end"/>
      </w:r>
    </w:p>
  </w:footnote>
  <w:footnote w:id="27">
    <w:p w14:paraId="74BB426A" w14:textId="4974DA65" w:rsidR="00866621" w:rsidRPr="009F03B1" w:rsidRDefault="00866621">
      <w:pPr>
        <w:pStyle w:val="FootnoteText"/>
      </w:pPr>
      <w:r w:rsidRPr="00CF2661">
        <w:rPr>
          <w:rStyle w:val="FootnoteReference"/>
        </w:rPr>
        <w:footnoteRef/>
      </w:r>
      <w:r w:rsidRPr="009F03B1">
        <w:t xml:space="preserve"> Epiphanius of Salamis, </w:t>
      </w:r>
      <w:proofErr w:type="spellStart"/>
      <w:r w:rsidRPr="009F03B1">
        <w:rPr>
          <w:i/>
        </w:rPr>
        <w:t>Panarion</w:t>
      </w:r>
      <w:proofErr w:type="spellEnd"/>
      <w:r w:rsidRPr="009F03B1">
        <w:t xml:space="preserve"> 78-79</w:t>
      </w:r>
    </w:p>
  </w:footnote>
  <w:footnote w:id="28">
    <w:p w14:paraId="0BC1665B" w14:textId="4A40699F" w:rsidR="00107FCD" w:rsidRPr="009F03B1" w:rsidRDefault="00107FCD">
      <w:pPr>
        <w:pStyle w:val="FootnoteText"/>
      </w:pPr>
      <w:r w:rsidRPr="00CF2661">
        <w:rPr>
          <w:rStyle w:val="FootnoteReference"/>
        </w:rPr>
        <w:footnoteRef/>
      </w:r>
      <w:r w:rsidRPr="009F03B1">
        <w:t xml:space="preserve"> </w:t>
      </w:r>
      <w:r w:rsidR="0033530A" w:rsidRPr="009F03B1">
        <w:t xml:space="preserve">Epiphanius, </w:t>
      </w:r>
      <w:proofErr w:type="spellStart"/>
      <w:r w:rsidR="0033530A" w:rsidRPr="009F03B1">
        <w:rPr>
          <w:i/>
        </w:rPr>
        <w:t>Panarion</w:t>
      </w:r>
      <w:proofErr w:type="spellEnd"/>
      <w:r w:rsidR="0033530A" w:rsidRPr="009F03B1">
        <w:t xml:space="preserve"> 78.2.5</w:t>
      </w:r>
      <w:r w:rsidR="003A08C4" w:rsidRPr="009F03B1">
        <w:t>, 78.7.1</w:t>
      </w:r>
    </w:p>
  </w:footnote>
  <w:footnote w:id="29">
    <w:p w14:paraId="0D073E78" w14:textId="71B6323D" w:rsidR="00515827" w:rsidRPr="009F03B1" w:rsidRDefault="00515827">
      <w:pPr>
        <w:pStyle w:val="FootnoteText"/>
      </w:pPr>
      <w:r w:rsidRPr="00CF2661">
        <w:rPr>
          <w:rStyle w:val="FootnoteReference"/>
        </w:rPr>
        <w:footnoteRef/>
      </w:r>
      <w:r w:rsidRPr="009F03B1">
        <w:t xml:space="preserve"> Epiphanius, </w:t>
      </w:r>
      <w:proofErr w:type="spellStart"/>
      <w:r w:rsidRPr="009F03B1">
        <w:rPr>
          <w:i/>
        </w:rPr>
        <w:t>Panarion</w:t>
      </w:r>
      <w:proofErr w:type="spellEnd"/>
      <w:r w:rsidRPr="009F03B1">
        <w:t xml:space="preserve"> 2.2.8-9, </w:t>
      </w:r>
      <w:r w:rsidR="00A20553" w:rsidRPr="009F03B1">
        <w:t>4.1.8</w:t>
      </w:r>
    </w:p>
  </w:footnote>
  <w:footnote w:id="30">
    <w:p w14:paraId="44A3AAB9" w14:textId="6BDF23A3" w:rsidR="00347575" w:rsidRPr="009F03B1" w:rsidRDefault="00347575">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{"citationID":"oz2M2Wnd","properties":{"formattedCitation":"Segal, 1984; Fisher et al., 2017, pp. 278\\uc0\\u8211{}84","plainCitation":"Segal, 1984; Fisher et al., 2017, pp. 278–84","noteIndex":29},"citationItems":[{"id":575,"uris":["http://zotero.org/users/2150440/items/NNG7PH3K"],"uri":["http://zotero.org/users/2150440/items/NNG7PH3K"],"itemData":{"id":575,"type":"article-journal","title":"Arabs in Syriac Literature before the Rise of Islam","container-title":"Jerusalem Studies in Arabic and Islam","page":"89-123","volume":"4","journalAbbreviation":"JSAI","author":[{"family":"Segal","given":"J.B."}],"issued":{"date-parts":[["1984"]]}}},{"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278-84"}],"schema":"https://github.com/citation-style-language/schema/raw/master/csl-citation.json"} </w:instrText>
      </w:r>
      <w:r w:rsidRPr="009F03B1">
        <w:fldChar w:fldCharType="separate"/>
      </w:r>
      <w:r w:rsidR="00CB48CA" w:rsidRPr="009F03B1">
        <w:t>Segal, 1984; Fisher et al., 2017, pp. 278–84</w:t>
      </w:r>
      <w:r w:rsidRPr="009F03B1">
        <w:fldChar w:fldCharType="end"/>
      </w:r>
    </w:p>
  </w:footnote>
  <w:footnote w:id="31">
    <w:p w14:paraId="5B67D57A" w14:textId="6761DDB2" w:rsidR="00640EC1" w:rsidRPr="009F03B1" w:rsidRDefault="00640EC1">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{"citationID":"soyntpwD","properties":{"formattedCitation":"For instance, see the overview of sources in Fisher et al., 2017, pp. 287\\uc0\\u8211{}300","plainCitation":"For instance, see the overview of sources in Fisher et al., 2017, pp. 287–300","noteIndex":30},"citationItems":[{"id":574,"uris":["http://zotero.org/users/2150440/items/RL2GNGHA"],"uri":["http://zotero.org/users/2150440/items/RL2GNGHA"],"itemData":{"id":574,"type":"chapter","title":"Arabs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287-300","prefix":"For instance, see the overview of sources in"}],"schema":"https://github.com/citation-style-language/schema/raw/master/csl-citation.json"} </w:instrText>
      </w:r>
      <w:r w:rsidRPr="009F03B1">
        <w:fldChar w:fldCharType="separate"/>
      </w:r>
      <w:r w:rsidR="008334DB" w:rsidRPr="009F03B1">
        <w:t>For instance, see the overview of sources in Fisher et al., 2017, pp. 287–300</w:t>
      </w:r>
      <w:r w:rsidRPr="009F03B1">
        <w:fldChar w:fldCharType="end"/>
      </w:r>
    </w:p>
  </w:footnote>
  <w:footnote w:id="32">
    <w:p w14:paraId="23E2F7F7" w14:textId="05AD906E" w:rsidR="00855443" w:rsidRPr="009F03B1" w:rsidRDefault="00855443">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{"citationID":"D79I2cbl","properties":{"formattedCitation":"A problematic term; see Fisher et al., 2017, p. 279. I shall use it throughout as other terms such as Monophysite may be worse.","plainCitation":"A problematic term; see Fisher et al., 2017, p. 279. I shall use it throughout as other terms such as Monophysite may be worse.","noteIndex":31},"citationItems":[{"id":574,"uris":["http://zotero.org/users/2150440/items/RL2GNGHA"],"uri":["http://zotero.org/users/2150440/items/RL2GNGHA"],"itemData":{"id":574,"type":"chapter","title":"Arabs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279","prefix":"A problematic term; see","suffix":". I shall use it throughout as other terms such as Monophysite may be worse."}],"schema":"https://github.com/citation-style-language/schema/raw/master/csl-citation.json"} </w:instrText>
      </w:r>
      <w:r w:rsidRPr="009F03B1">
        <w:fldChar w:fldCharType="separate"/>
      </w:r>
      <w:r w:rsidR="00262437" w:rsidRPr="009F03B1">
        <w:t xml:space="preserve">A problematic term; see Fisher et al., 2017, p. 279. I shall use it throughout as other terms such as </w:t>
      </w:r>
      <w:proofErr w:type="spellStart"/>
      <w:r w:rsidR="00262437" w:rsidRPr="009F03B1">
        <w:t>Monophysite</w:t>
      </w:r>
      <w:proofErr w:type="spellEnd"/>
      <w:r w:rsidR="00262437" w:rsidRPr="009F03B1">
        <w:t xml:space="preserve"> may be worse.</w:t>
      </w:r>
      <w:r w:rsidRPr="009F03B1">
        <w:fldChar w:fldCharType="end"/>
      </w:r>
    </w:p>
  </w:footnote>
  <w:footnote w:id="33">
    <w:p w14:paraId="499782C5" w14:textId="04689974" w:rsidR="00FA6F97" w:rsidRPr="009F03B1" w:rsidRDefault="00FA6F97">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{"citationID":"5TLNx3Js","properties":{"formattedCitation":"Segal, 1984, p. 121","plainCitation":"Segal, 1984, p. 121","noteIndex":32},"citationItems":[{"id":575,"uris":["http://zotero.org/users/2150440/items/NNG7PH3K"],"uri":["http://zotero.org/users/2150440/items/NNG7PH3K"],"itemData":{"id":575,"type":"article-journal","title":"Arabs in Syriac Literature before the Rise of Islam","container-title":"Jerusalem Studies in Arabic and Islam","page":"89-123","volume":"4","journalAbbreviation":"JSAI","author":[{"family":"Segal","given":"J.B."}],"issued":{"date-parts":[["1984"]]}},"locator":"121"}],"schema":"https://github.com/citation-style-language/schema/raw/master/csl-citation.json"} </w:instrText>
      </w:r>
      <w:r w:rsidRPr="009F03B1">
        <w:fldChar w:fldCharType="separate"/>
      </w:r>
      <w:r w:rsidR="00946E2F" w:rsidRPr="009F03B1">
        <w:t>Segal, 1984, p. 121</w:t>
      </w:r>
      <w:r w:rsidRPr="009F03B1">
        <w:fldChar w:fldCharType="end"/>
      </w:r>
    </w:p>
  </w:footnote>
  <w:footnote w:id="34">
    <w:p w14:paraId="3D3BD0EA" w14:textId="1EF73D1A" w:rsidR="005646FE" w:rsidRPr="009F03B1" w:rsidRDefault="005646FE">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{"citationID":"oFGqxXvx","properties":{"formattedCitation":"This is the overwhelming focus in Scythopolis and Binns, 1991; Ammonius, Nilus, and Caner, 2010; Moschus, 1992","plainCitation":"This is the overwhelming focus in Scythopolis and Binns, 1991; Ammonius, Nilus, and Caner, 2010; Moschus, 1992","noteIndex":33},"citationItems":[{"id":385,"uris":["http://zotero.org/users/2150440/items/YWM6BYCV"],"uri":["http://zotero.org/users/2150440/items/YWM6BYCV"],"itemData":{"id":385,"type":"book","title":"The Lives of the Monks of Palestine","publisher":"Cistercian Publications","publisher-place":"Kalamazoo, Mich","number-of-pages":"306","source":"Amazon","event-place":"Kalamazoo, Mich","abstract":"The narrow stretch of desert between the Jordan Valley and the hill country of Judea drew great biblical prophets 'Elijah and John the Baptist 'and unforgettable christian ascetics. Our best source of information on this movement from AD 400-600 comes from Cyril's pen.","ISBN":"978-0-87907-914-7","language":"English","author":[{"family":"Scythopolis","given":"Cyril Of"},{"family":"Binns","given":"John"}],"translator":[{"family":"Price","given":"R. M."}],"issued":{"date-parts":[["1991",11,1]]}},"prefix":"This is the overwhelming focus in"},{"id":391,"uris":["http://zotero.org/users/2150440/items/GSYFUWZN"],"uri":["http://zotero.org/users/2150440/items/GSYFUWZN"],"itemData":{"id":391,"type":"book","title":"History and hagiography from the late antique Sinai: including translations of Pseudo-Nilus' Narrations, Ammonius' Report on the Slaughter of the Monks of Sinai and Rhaithou, and Anastasius of Saint Sinai's Tales of the Sinai Fathers","publisher":"Liverpool Univ. Press","publisher-place":"Liverpool","source":"Open WorldCat","event-place":"Liverpool","note":"OCLC: 654357746","shortTitle":"History and hagiography from the late antique Sinai","language":"English","author":[{"literal":"Ammonius"},{"literal":"Nilus"},{"family":"Caner","given":"Daniel F"}],"translator":[{"family":"Caner","given":"Daniel F"}],"issued":{"date-parts":[["2010"]]}}},{"id":460,"uris":["http://zotero.org/users/2150440/items/BLKFSYCB"],"uri":["http://zotero.org/users/2150440/items/BLKFSYCB"],"itemData":{"id":460,"type":"book","title":"Spiritual Meadow by John Moschos","publisher":"Cistercian Publications","publisher-place":"Kalamazoo, Mich. ; Spencer, Mass","number-of-pages":"312","source":"Amazon","event-place":"Kalamazoo, Mich. ; Spencer, Mass","abstract":"'I have plucked the finest flowers of the unmown meadow and worked them into a row which I now offer to you', wrote John Moschos as he began his tales of the holy men of seventh-century Palestine and Egypt. This translation offers readers contemporary insights into the spirituality of the desert.","ISBN":"978-0-87907-539-2","language":"English","author":[{"family":"Moschus","given":"John"}],"translator":[{"family":"Wortley","given":"John"}],"issued":{"date-parts":[["1992",1,1]]}}}],"schema":"https://github.com/citation-style-language/schema/raw/master/csl-citation.json"} </w:instrText>
      </w:r>
      <w:r w:rsidRPr="009F03B1">
        <w:fldChar w:fldCharType="separate"/>
      </w:r>
      <w:r w:rsidR="00376498" w:rsidRPr="009F03B1">
        <w:t xml:space="preserve">This is the overwhelming focus in </w:t>
      </w:r>
      <w:proofErr w:type="spellStart"/>
      <w:r w:rsidR="00376498" w:rsidRPr="009F03B1">
        <w:t>Scythopolis</w:t>
      </w:r>
      <w:proofErr w:type="spellEnd"/>
      <w:r w:rsidR="00376498" w:rsidRPr="009F03B1">
        <w:t xml:space="preserve"> and </w:t>
      </w:r>
      <w:proofErr w:type="spellStart"/>
      <w:r w:rsidR="00376498" w:rsidRPr="009F03B1">
        <w:t>Binns</w:t>
      </w:r>
      <w:proofErr w:type="spellEnd"/>
      <w:r w:rsidR="00376498" w:rsidRPr="009F03B1">
        <w:t xml:space="preserve">, 1991; </w:t>
      </w:r>
      <w:proofErr w:type="spellStart"/>
      <w:r w:rsidR="00376498" w:rsidRPr="009F03B1">
        <w:t>Ammonius</w:t>
      </w:r>
      <w:proofErr w:type="spellEnd"/>
      <w:r w:rsidR="00376498" w:rsidRPr="009F03B1">
        <w:t xml:space="preserve">, </w:t>
      </w:r>
      <w:proofErr w:type="spellStart"/>
      <w:r w:rsidR="00376498" w:rsidRPr="009F03B1">
        <w:t>Nilus</w:t>
      </w:r>
      <w:proofErr w:type="spellEnd"/>
      <w:r w:rsidR="00376498" w:rsidRPr="009F03B1">
        <w:t>, and Caner, 2010; Moschus, 1992</w:t>
      </w:r>
      <w:r w:rsidRPr="009F03B1">
        <w:fldChar w:fldCharType="end"/>
      </w:r>
      <w:r w:rsidR="00BE16E7" w:rsidRPr="009F03B1">
        <w:t>.</w:t>
      </w:r>
    </w:p>
  </w:footnote>
  <w:footnote w:id="35">
    <w:p w14:paraId="257C2C30" w14:textId="3AF570D8" w:rsidR="00A31CE2" w:rsidRPr="009F03B1" w:rsidRDefault="00A31CE2">
      <w:pPr>
        <w:pStyle w:val="FootnoteText"/>
        <w:rPr>
          <w:i/>
        </w:rPr>
      </w:pPr>
      <w:r w:rsidRPr="00CF2661">
        <w:rPr>
          <w:rStyle w:val="FootnoteReference"/>
        </w:rPr>
        <w:footnoteRef/>
      </w:r>
      <w:r w:rsidRPr="009F03B1">
        <w:t xml:space="preserve"> </w:t>
      </w:r>
      <w:proofErr w:type="spellStart"/>
      <w:r w:rsidR="002D4FCA" w:rsidRPr="009F03B1">
        <w:rPr>
          <w:rStyle w:val="reference-text"/>
        </w:rPr>
        <w:t>Theodoret</w:t>
      </w:r>
      <w:proofErr w:type="spellEnd"/>
      <w:r w:rsidR="002D4FCA" w:rsidRPr="009F03B1">
        <w:rPr>
          <w:rStyle w:val="reference-text"/>
        </w:rPr>
        <w:t xml:space="preserve">, </w:t>
      </w:r>
      <w:r w:rsidR="002D4FCA" w:rsidRPr="009F03B1">
        <w:rPr>
          <w:rStyle w:val="reference-text"/>
          <w:i/>
          <w:iCs/>
        </w:rPr>
        <w:t xml:space="preserve">Historia </w:t>
      </w:r>
      <w:proofErr w:type="spellStart"/>
      <w:r w:rsidR="002D4FCA" w:rsidRPr="009F03B1">
        <w:rPr>
          <w:rStyle w:val="reference-text"/>
          <w:i/>
          <w:iCs/>
        </w:rPr>
        <w:t>Religiosa</w:t>
      </w:r>
      <w:proofErr w:type="spellEnd"/>
      <w:r w:rsidR="002D4FCA" w:rsidRPr="009F03B1">
        <w:rPr>
          <w:rStyle w:val="reference-text"/>
        </w:rPr>
        <w:t xml:space="preserve">, </w:t>
      </w:r>
      <w:r w:rsidR="00437564" w:rsidRPr="009F03B1">
        <w:rPr>
          <w:rStyle w:val="reference-text"/>
        </w:rPr>
        <w:t>3</w:t>
      </w:r>
    </w:p>
  </w:footnote>
  <w:footnote w:id="36">
    <w:p w14:paraId="4ED3B45B" w14:textId="6A311153" w:rsidR="0085333A" w:rsidRPr="009F03B1" w:rsidRDefault="0085333A">
      <w:pPr>
        <w:pStyle w:val="FootnoteText"/>
      </w:pPr>
      <w:r w:rsidRPr="00CF2661">
        <w:rPr>
          <w:rStyle w:val="FootnoteReference"/>
        </w:rPr>
        <w:footnoteRef/>
      </w:r>
      <w:r w:rsidRPr="009F03B1">
        <w:t xml:space="preserve"> Moschus, </w:t>
      </w:r>
      <w:r w:rsidRPr="009F03B1">
        <w:rPr>
          <w:i/>
        </w:rPr>
        <w:t xml:space="preserve">Prat. Hist. </w:t>
      </w:r>
      <w:r w:rsidRPr="009F03B1">
        <w:t>40</w:t>
      </w:r>
      <w:r w:rsidR="00A05451" w:rsidRPr="009F03B1">
        <w:t>.12</w:t>
      </w:r>
    </w:p>
  </w:footnote>
  <w:footnote w:id="37">
    <w:p w14:paraId="1313EFF1" w14:textId="772AE2B2" w:rsidR="00F47799" w:rsidRPr="009F03B1" w:rsidRDefault="00F47799">
      <w:pPr>
        <w:pStyle w:val="FootnoteText"/>
      </w:pPr>
      <w:r w:rsidRPr="00CF2661">
        <w:rPr>
          <w:rStyle w:val="FootnoteReference"/>
        </w:rPr>
        <w:footnoteRef/>
      </w:r>
      <w:r w:rsidRPr="009F03B1">
        <w:t xml:space="preserve"> Moschus, </w:t>
      </w:r>
      <w:r w:rsidRPr="009F03B1">
        <w:rPr>
          <w:i/>
        </w:rPr>
        <w:t>Prat. Hist.</w:t>
      </w:r>
      <w:r w:rsidRPr="009F03B1">
        <w:t xml:space="preserve"> </w:t>
      </w:r>
      <w:r w:rsidR="00EE3C43" w:rsidRPr="009F03B1">
        <w:t>51.2</w:t>
      </w:r>
    </w:p>
  </w:footnote>
  <w:footnote w:id="38">
    <w:p w14:paraId="75FA04AC" w14:textId="468EC024" w:rsidR="00C24491" w:rsidRPr="009F03B1" w:rsidRDefault="00C24491">
      <w:pPr>
        <w:pStyle w:val="FootnoteText"/>
      </w:pPr>
      <w:r w:rsidRPr="00CF2661">
        <w:rPr>
          <w:rStyle w:val="FootnoteReference"/>
        </w:rPr>
        <w:footnoteRef/>
      </w:r>
      <w:r w:rsidRPr="009F03B1">
        <w:t xml:space="preserve"> </w:t>
      </w:r>
      <w:proofErr w:type="spellStart"/>
      <w:r w:rsidRPr="009F03B1">
        <w:t>Theodoret</w:t>
      </w:r>
      <w:proofErr w:type="spellEnd"/>
      <w:r w:rsidRPr="009F03B1">
        <w:t xml:space="preserve">, </w:t>
      </w:r>
      <w:r w:rsidRPr="009F03B1">
        <w:rPr>
          <w:i/>
        </w:rPr>
        <w:t xml:space="preserve">Historia </w:t>
      </w:r>
      <w:proofErr w:type="spellStart"/>
      <w:r w:rsidRPr="009F03B1">
        <w:rPr>
          <w:i/>
        </w:rPr>
        <w:t>Religiosa</w:t>
      </w:r>
      <w:proofErr w:type="spellEnd"/>
      <w:r w:rsidRPr="009F03B1">
        <w:rPr>
          <w:i/>
        </w:rPr>
        <w:t xml:space="preserve">, </w:t>
      </w:r>
      <w:r w:rsidRPr="009F03B1">
        <w:t>3</w:t>
      </w:r>
    </w:p>
  </w:footnote>
  <w:footnote w:id="39">
    <w:p w14:paraId="6546B086" w14:textId="54CCC7B6" w:rsidR="008B1C5F" w:rsidRPr="009F03B1" w:rsidRDefault="008B1C5F">
      <w:pPr>
        <w:pStyle w:val="FootnoteText"/>
      </w:pPr>
      <w:r w:rsidRPr="00CF2661">
        <w:rPr>
          <w:rStyle w:val="FootnoteReference"/>
        </w:rPr>
        <w:footnoteRef/>
      </w:r>
      <w:r w:rsidRPr="009F03B1">
        <w:t xml:space="preserve"> Moschus,</w:t>
      </w:r>
      <w:r w:rsidR="00F765D7" w:rsidRPr="009F03B1">
        <w:rPr>
          <w:i/>
        </w:rPr>
        <w:t xml:space="preserve"> Prat. Spirit.</w:t>
      </w:r>
      <w:r w:rsidR="00EF7388" w:rsidRPr="009F03B1">
        <w:t xml:space="preserve"> 31</w:t>
      </w:r>
      <w:r w:rsidR="002A0321" w:rsidRPr="009F03B1">
        <w:t xml:space="preserve">. See also the conversion of </w:t>
      </w:r>
      <w:proofErr w:type="spellStart"/>
      <w:r w:rsidR="002A0321" w:rsidRPr="009F03B1">
        <w:t>Babylas</w:t>
      </w:r>
      <w:proofErr w:type="spellEnd"/>
      <w:r w:rsidR="002A0321" w:rsidRPr="009F03B1">
        <w:t xml:space="preserve"> and his concubines</w:t>
      </w:r>
      <w:r w:rsidR="0076070A" w:rsidRPr="009F03B1">
        <w:t xml:space="preserve">, </w:t>
      </w:r>
      <w:r w:rsidR="0076070A" w:rsidRPr="009F03B1">
        <w:rPr>
          <w:i/>
        </w:rPr>
        <w:t>Prat. Spirit.</w:t>
      </w:r>
      <w:r w:rsidR="0076070A" w:rsidRPr="009F03B1">
        <w:t xml:space="preserve"> 32.</w:t>
      </w:r>
    </w:p>
  </w:footnote>
  <w:footnote w:id="40">
    <w:p w14:paraId="511AD1C2" w14:textId="24803C06" w:rsidR="00456192" w:rsidRPr="009F03B1" w:rsidRDefault="00456192">
      <w:pPr>
        <w:pStyle w:val="FootnoteText"/>
      </w:pPr>
      <w:r w:rsidRPr="00CF2661">
        <w:rPr>
          <w:rStyle w:val="FootnoteReference"/>
        </w:rPr>
        <w:footnoteRef/>
      </w:r>
      <w:r w:rsidRPr="009F03B1">
        <w:t xml:space="preserve"> </w:t>
      </w:r>
      <w:proofErr w:type="spellStart"/>
      <w:r w:rsidR="009405BC" w:rsidRPr="009F03B1">
        <w:t>Theodoret</w:t>
      </w:r>
      <w:proofErr w:type="spellEnd"/>
      <w:r w:rsidR="009405BC" w:rsidRPr="009F03B1">
        <w:t xml:space="preserve">, </w:t>
      </w:r>
      <w:r w:rsidR="009405BC" w:rsidRPr="009F03B1">
        <w:rPr>
          <w:i/>
        </w:rPr>
        <w:t xml:space="preserve">Historia </w:t>
      </w:r>
      <w:proofErr w:type="spellStart"/>
      <w:r w:rsidR="009405BC" w:rsidRPr="009F03B1">
        <w:rPr>
          <w:i/>
        </w:rPr>
        <w:t>Religiosa</w:t>
      </w:r>
      <w:proofErr w:type="spellEnd"/>
      <w:r w:rsidR="009405BC" w:rsidRPr="009F03B1">
        <w:t>, 8.8</w:t>
      </w:r>
    </w:p>
  </w:footnote>
  <w:footnote w:id="41">
    <w:p w14:paraId="5DA22EA7" w14:textId="6928521E" w:rsidR="00874195" w:rsidRPr="009F03B1" w:rsidRDefault="00874195" w:rsidP="00874195">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{"citationID":"ofQnSgpw","properties":{"formattedCitation":"Jacob Ashkenazi, 2017, p. 8; Jakob Ashkenazi, 2014, pp. 1\\uc0\\u8211{}2; see also Brown, 1971, though his analysis does not sufficiently account for monastic motivation.","plainCitation":"Jacob Ashkenazi, 2017, p. 8; Jakob Ashkenazi, 2014, pp. 1–2; see also Brown, 1971, though his analysis does not sufficiently account for monastic motivation.","noteIndex":40},"citationItems":[{"id":468,"uris":["http://zotero.org/users/2150440/items/4MWDALZG"],"uri":["http://zotero.org/users/2150440/items/4MWDALZG"],"itemData":{"id":468,"type":"paper-conference","title":"The letter of the Archimandrites of Arabia and village monasticism in the Levant","publisher":"Cyprus","publisher-place":"Nicosia","source":"www.academia.edu","event":"First Conference of Byzantine and Medieval Studies","event-place":"Nicosia","abstract":"The letter of the Archimandrites of Arabia and village monasticism in the Levant","URL":"https://www.academia.edu/32170100/The_letter_of_the_Archimandrites_of_Arabia_and_village_monasticism_in_the_Levant","language":"en","author":[{"family":"Ashkenazi","given":"Jacob"}],"issued":{"date-parts":[["2017",1]]},"accessed":{"date-parts":[["2018",11,17]]}},"locator":"8"},{"id":556,"uris":["http://zotero.org/users/2150440/items/T2N23HK6"],"uri":["http://zotero.org/users/2150440/items/T2N23HK6"],"itemData":{"id":556,"type":"article-journal","title":"Holy Man versus Monk—Village and Monastery in the Late Antique Levant: Between Hagiography and Archaeology","container-title":"Journal of the Economic and Social History of the Orient","page":"745-765","volume":"57","issue":"5","source":"www.academia.edu","abstract":"In this essay I set out to offer a new interpretation of rural monasticism in Late Antiquity. The commonsensical understanding of the monk is of a holy man who played a key role in shaping the rural landscapes of Late Antique Levant. I want to","ISSN":"0022-4995","shortTitle":"Holy Man versus Monk—Village and Monastery in the Late Antique Levant","journalAbbreviation":"JESHO","language":"en","author":[{"family":"Ashkenazi","given":"Jakob"}],"issued":{"date-parts":[["2014"]]}},"locator":"1-2"},{"id":483,"uris":["http://zotero.org/users/2150440/items/5GU39ZE5"],"uri":["http://zotero.org/users/2150440/items/5GU39ZE5"],"itemData":{"id":483,"type":"article-journal","title":"The Rise and Function of the Holy Man in Late Antiquity","container-title":"The Journal of Roman Studies","page":"80-101","volume":"61","source":"JSTOR","DOI":"10.2307/300008","ISSN":"0075-4358","author":[{"family":"Brown","given":"Peter"}],"issued":{"date-parts":[["1971"]]}},"prefix":"see also ","suffix":", though his analysis does not sufficiently account for monastic motivation."}],"schema":"https://github.com/citation-style-language/schema/raw/master/csl-citation.json"} </w:instrText>
      </w:r>
      <w:r w:rsidRPr="009F03B1">
        <w:fldChar w:fldCharType="separate"/>
      </w:r>
      <w:r w:rsidR="008033F8" w:rsidRPr="009F03B1">
        <w:t>Jacob Ashkenazi, 2017, p. 8; Jakob Ashkenazi, 2014, pp. 1–2; see also Brown, 1971, though his analysis does not sufficiently account for monastic motivation.</w:t>
      </w:r>
      <w:r w:rsidRPr="009F03B1">
        <w:fldChar w:fldCharType="end"/>
      </w:r>
    </w:p>
  </w:footnote>
  <w:footnote w:id="42">
    <w:p w14:paraId="2AC6CA60" w14:textId="1885C909" w:rsidR="00792887" w:rsidRPr="009F03B1" w:rsidRDefault="00792887">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{"citationID":"Mc0WzANt","properties":{"formattedCitation":"Michael the Syrian, 2018 (trans. Bedrosian), 102; Fisher et al., 2017, p. 317, where note a different translation.","plainCitation":"Michael the Syrian, 2018 (trans. Bedrosian), 102; Fisher et al., 2017, p. 317, where note a different translation.","dontUpdate":true,"noteIndex":41},"citationItems":[{"id":403,"uris":["http://zotero.org/users/2150440/items/WX8T3KWU"],"uri":["http://zotero.org/users/2150440/items/WX8T3KWU"],"itemData":{"id":403,"type":"book","title":"Chronicle of Michael the Great, Patriarch of the Syrians","source":"Internet Archive","abstract":"English translation of the 13th-century Armenian abridgements of Michael's Chronicle.  The Chronicle was compiled in Syriac by Michael, Patriarch of the Syrian Orthodox Church (1166-1199) from earlier historians, some of whose works are lost.  It also contains  Michael's invaluable description of his own era.  Michael's work covers the period from Creation until 1195, and is probably the longest medieval chronicle known in the West.  Unfortunately, only one Syriac manuscript has survived, damaged at the beginning and with lacunae.  The work was translated and abridged in Armenian twice in the first half of the 13th century.  More than 60 Armenian manuscripts of this work survive, most likely surviving because of their shorter length, and more engaging narrative style.   Translated from the Classical Armenian editions of Jerusalem, 1870 and Jerusalem, 1871 by Robert Bedrosian.  Includes several beautiful maps from Heinrich Kiepert's Atlas Antiquus (Berlin, 1869). Zipped HTML (msyr.zip) or pdf formats available.","URL":"http://archive.org/details/ChronicleOfMichaelTheGreatPatriarchOfTheSyrians","shortTitle":"Chronicle","language":"English","author":[{"literal":"Michael the Syrian"}],"translator":[{"family":"Bedrosian","given":"Robert"}],"accessed":{"date-parts":[["2018",11,15]]}},"suffix":"(trans. Bedrosian), 102"},{"id":574,"uris":["http://zotero.org/users/2150440/items/RL2GNGHA"],"uri":["http://zotero.org/users/2150440/items/RL2GNGHA"],"itemData":{"id":574,"type":"chapter","title":"Arabs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317","suffix":", where note a different translation."}],"schema":"https://github.com/citation-style-language/schema/raw/master/csl-citation.json"} </w:instrText>
      </w:r>
      <w:r w:rsidRPr="009F03B1">
        <w:fldChar w:fldCharType="separate"/>
      </w:r>
      <w:r w:rsidR="00440BC4" w:rsidRPr="009F03B1">
        <w:t xml:space="preserve">Michael the Syrian, </w:t>
      </w:r>
      <w:r w:rsidR="00440BC4" w:rsidRPr="009F03B1">
        <w:rPr>
          <w:i/>
        </w:rPr>
        <w:t xml:space="preserve">Chronicle </w:t>
      </w:r>
      <w:r w:rsidR="00440BC4" w:rsidRPr="009F03B1">
        <w:t xml:space="preserve">(trans. </w:t>
      </w:r>
      <w:proofErr w:type="spellStart"/>
      <w:r w:rsidR="00440BC4" w:rsidRPr="009F03B1">
        <w:t>Bedrosian</w:t>
      </w:r>
      <w:proofErr w:type="spellEnd"/>
      <w:r w:rsidR="00440BC4" w:rsidRPr="009F03B1">
        <w:t>), 102; Fisher et al., 2017, p. 317</w:t>
      </w:r>
      <w:r w:rsidR="00093700" w:rsidRPr="009F03B1">
        <w:t>-18</w:t>
      </w:r>
      <w:r w:rsidR="00440BC4" w:rsidRPr="009F03B1">
        <w:t>, where note a different translation.</w:t>
      </w:r>
      <w:r w:rsidRPr="009F03B1">
        <w:fldChar w:fldCharType="end"/>
      </w:r>
    </w:p>
  </w:footnote>
  <w:footnote w:id="43">
    <w:p w14:paraId="38E108F8" w14:textId="6F29157A" w:rsidR="00A35A61" w:rsidRPr="009F03B1" w:rsidRDefault="00A35A61">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{"citationID":"iGihOvE8","properties":{"formattedCitation":"Fisher et al., 2017, p. 369","plainCitation":"Fisher et al., 2017, p. 369","noteIndex":42},"citationItems":[{"id":574,"uris":["http://zotero.org/users/2150440/items/RL2GNGHA"],"uri":["http://zotero.org/users/2150440/items/RL2GNGHA"],"itemData":{"id":574,"type":"chapter","title":"Arabs and Christianity","container-title":"Arabs and Empires before Islam","publisher":"Oxford University Press","publisher-place":"Oxford","page":"276-372","edition":"Reprint edition","source":"Amazon","event-place":"Oxford","abstract":"Arabs and Empires before Islam illuminates the history of the Arabs before the emergence of Islam, collating nearly 250 translated extracts from an extensive array of ancient sources. Drawn from a broad period between the eighth century BC and the Middle Ages, the sources include texts originally written in Greek, Latin, Syriac, Persian, and Arabic, inscriptions in a variety of languages and alphabets, and discussions of archaeological sites from across the Near East. More than twenty international experts from the fields of archaeology, classics and ancient history, linguistics and philology, epigraphy, and art history provide detailed commentary on and analysis of this diverse selection of material. Richly illustrated with sixteen colour plates, fifteen maps, and over seventy in-text images, the volume provides a comprehensive, wide-ranging, and up-to-date examination of what ancient sources had to say about the politics, culture, and religion of the Arabs in the pre-Islamic period. It offers a full consideration of the traces which the Arabs have left in the epigraphic, literary, and archaeological records, and sheds light on their relationship with their often more-powerful neighbours: the states and empires of the ancient Near East. Arabs and Empires before Islam gathers together a host of material never before collected into a single volume--some of which appears in English translation for the very first time--and provides a single point of reference for a vibrant and dynamic area of research.","ISBN":"978-0-19-881014-8","language":"English","editor":[{"family":"Fisher","given":"Greg"}],"author":[{"family":"Fisher","given":"Greg"},{"family":"Wood","given":"Philip"},{"family":"Bevan","given":"George"},{"family":"Greatrex","given":"Geoffrey"},{"family":"Hamarneh","given":"Basema"},{"family":"Schadler","given":"Peter"},{"family":"Ward","given":"Walter"}],"issued":{"date-parts":[["2017",12,19]]}},"locator":"369"}],"schema":"https://github.com/citation-style-language/schema/raw/master/csl-citation.json"} </w:instrText>
      </w:r>
      <w:r w:rsidRPr="009F03B1">
        <w:fldChar w:fldCharType="separate"/>
      </w:r>
      <w:r w:rsidR="0005349C" w:rsidRPr="009F03B1">
        <w:t>Fisher et al., 2017, p. 369</w:t>
      </w:r>
      <w:r w:rsidRPr="009F03B1">
        <w:fldChar w:fldCharType="end"/>
      </w:r>
    </w:p>
  </w:footnote>
  <w:footnote w:id="44">
    <w:p w14:paraId="63510D02" w14:textId="3146B9AE" w:rsidR="00AD0052" w:rsidRPr="009F03B1" w:rsidRDefault="00AD0052">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{"citationID":"bXuubPEN","properties":{"formattedCitation":"Weltecke, 2009, p. 123; Debi\\uc0\\u233{}, 2009, pp. 93\\uc0\\u8211{}94","plainCitation":"Weltecke, 2009, p. 123; Debié, 2009, pp. 93–94","noteIndex":43},"citationItems":[{"id":582,"uris":["http://zotero.org/users/2150440/items/MSYWQHHB"],"uri":["http://zotero.org/users/2150440/items/MSYWQHHB"],"itemData":{"id":582,"type":"article-journal","title":"Michael the Syrian and Syriac Orthodox identity","container-title":"Church History and Religious Culture","page":"115-125","volume":"89","issue":"1-3","source":"EBSCOhost","DOI":"10.1163/187124109X08023","ISSN":"1871-241X","journalAbbreviation":"Church History and Religious Culture","author":[{"family":"Weltecke","given":"Dorothea"}],"issued":{"date-parts":[["2009"]]}},"locator":"123"},{"id":581,"uris":["http://zotero.org/users/2150440/items/I35C3TKW"],"uri":["http://zotero.org/users/2150440/items/I35C3TKW"],"itemData":{"id":581,"type":"article-journal","title":"Syriac Historiography and Identity Formation","container-title":"Church History and Religious Culture","page":"93-114","volume":"89","issue":"1","source":"brill-com.ezproxy.uwtsd.ac.uk","DOI":"10.1163/187124109X408014","ISSN":"1871-2428, 1871-241X","language":"en","author":[{"family":"Debié","given":"Muriel"}],"issued":{"date-parts":[["2009",1,1]]}},"locator":"93-94"}],"schema":"https://github.com/citation-style-language/schema/raw/master/csl-citation.json"} </w:instrText>
      </w:r>
      <w:r w:rsidRPr="009F03B1">
        <w:fldChar w:fldCharType="separate"/>
      </w:r>
      <w:proofErr w:type="spellStart"/>
      <w:r w:rsidR="00C26D35" w:rsidRPr="009F03B1">
        <w:t>Weltecke</w:t>
      </w:r>
      <w:proofErr w:type="spellEnd"/>
      <w:r w:rsidR="00C26D35" w:rsidRPr="009F03B1">
        <w:t xml:space="preserve">, 2009, p. 123; </w:t>
      </w:r>
      <w:proofErr w:type="spellStart"/>
      <w:r w:rsidR="00C26D35" w:rsidRPr="009F03B1">
        <w:t>Debié</w:t>
      </w:r>
      <w:proofErr w:type="spellEnd"/>
      <w:r w:rsidR="00C26D35" w:rsidRPr="009F03B1">
        <w:t>, 2009, pp. 93–94</w:t>
      </w:r>
      <w:r w:rsidRPr="009F03B1">
        <w:fldChar w:fldCharType="end"/>
      </w:r>
    </w:p>
  </w:footnote>
  <w:footnote w:id="45">
    <w:p w14:paraId="61DEC37F" w14:textId="02235909" w:rsidR="00440BC4" w:rsidRPr="009F03B1" w:rsidRDefault="00440BC4" w:rsidP="00440BC4">
      <w:pPr>
        <w:pStyle w:val="FootnoteText"/>
      </w:pPr>
      <w:r w:rsidRPr="00CF2661">
        <w:rPr>
          <w:rStyle w:val="FootnoteReference"/>
        </w:rPr>
        <w:footnoteRef/>
      </w:r>
      <w:r w:rsidRPr="009F03B1">
        <w:t xml:space="preserve"> </w:t>
      </w:r>
      <w:r w:rsidRPr="009F03B1">
        <w:fldChar w:fldCharType="begin"/>
      </w:r>
      <w:r w:rsidR="00B87323" w:rsidRPr="009F03B1">
        <w:instrText xml:space="preserve"> ADDIN ZOTERO_ITEM CSL_CITATION {"citationID":"yydPySbh","properties":{"formattedCitation":"Charloux et al., 2016, p. 13; Powell, 2010, para. para. 17","plainCitation":"Charloux et al., 2016, p. 13; Powell, 2010, para. para. 17","dontUpdate":true,"noteIndex":44},"citationItems":[{"id":545,"uris":["http://zotero.org/users/2150440/items/XTYN5HPB"],"uri":["http://zotero.org/users/2150440/items/XTYN5HPB"],"itemData":{"id":545,"type":"article-journal","title":"Banqueting in a Northern Arabian Oasis: A Nabataean Triclinium at Dûmat al-Jandal, Saudi Arabia","container-title":"Bulletin of the American Schools of Oriental Research","page":"13-34","issue":"375","source":"EBSCOhost","abstract":"A large U-shaped building made of stones discovered in 2011 at the top of a promontory in Dümat al-Jandal (modern Dumat, Saudi Arabia) is interpreted as a vast freestanding open-air Nabataean triclinium. Radiocarbon dating and pottery readings set the main occupation of this triclinium during a relatively short period, between the late first century b.c. and the late first century/early second century a.d. Excavation of the structure reveals pottery dishes and fireplaces regularly distributed throughout the occupation surface. Multidisciplinary studies of the archaeological material (pottery, bone, and plant remains) provide an opportunity to focus on the activities carried out within this type of cultic structure. By comparing the data with that of other studies undertaken in similar Nabataean triclinia found in Petra, Jordan, and Hegra, Saudi Arabia, in particular, this article seeks to give new insights into the question of \"ritual meals\". Moreover, this discovery of a first typical Nabataean building in Dümat al-Jandal confirms Nabataean control over trade routes north of the Arabian Peninsula at the turn of the Christian era.","DOI":"10.5615/bullamerschoorie.375.0013","ISSN":"0003097X","shortTitle":"Banqueting in a Northern Arabian Oasis","journalAbbreviation":"Bulletin of the American Schools of Oriental Research","author":[{"family":"Charloux","given":"Guillaume"},{"family":"Bouchaud","given":"Charlène"},{"family":"Durand","given":"Caroline"},{"family":"Monchot","given":"Hervé"},{"family":"Thomas","given":"Ariane"}],"issued":{"date-parts":[["2016",5]]}},"locator":"13"},{"id":547,"uris":["http://zotero.org/users/2150440/items/IULSH3CZ"],"uri":["http://zotero.org/users/2150440/items/IULSH3CZ"],"itemData":{"id":547,"type":"article-journal","title":"Petra's Sister City","container-title":"Archaeology","page":"20-26","volume":"63","issue":"4","source":"EBSCOhost","abstract":"The article discusses excavations at the ancient city of Hegra, in Saudi Arabia, which was built by Arabic-speaking nomads called Nabataeans. Topics include an overview of the Nabataean culture, the survey of the sight using remote sensing, and the differences between Hegra and its sister city Petra in Jordan, such as the inscriptions engraved on the facades of monumental tombs. Also discussed is what each inscription, which are actually copies of papyrus deeds of ownership means, and why the tombs at Hegra have so many legalistic inscriptions compared to Petra, which has just one.","ISSN":"00038113","journalAbbreviation":"Archaeology","author":[{"family":"Powell","given":"Eric A."}],"issued":{"date-parts":[["2010",8,7]]}},"locator":"17","label":"paragraph"}],"schema":"https://github.com/citation-style-language/schema/raw/master/csl-citation.json"} </w:instrText>
      </w:r>
      <w:r w:rsidRPr="009F03B1">
        <w:fldChar w:fldCharType="separate"/>
      </w:r>
      <w:proofErr w:type="spellStart"/>
      <w:r w:rsidR="00A84AEC" w:rsidRPr="009F03B1">
        <w:t>Charloux</w:t>
      </w:r>
      <w:proofErr w:type="spellEnd"/>
      <w:r w:rsidR="00A84AEC" w:rsidRPr="009F03B1">
        <w:t xml:space="preserve"> et al., 2016, p. 13; Powell, 2010, para. 17</w:t>
      </w:r>
      <w:r w:rsidRPr="009F03B1">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24C01" w14:textId="13828A43" w:rsidR="006E173A" w:rsidRPr="00A535CE" w:rsidRDefault="00A535CE" w:rsidP="003A53F5">
    <w:pPr>
      <w:pStyle w:val="Header"/>
    </w:pPr>
    <w:r w:rsidRPr="00A535CE">
      <w:t>Critical Review of Sources for Arabian Literacy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13EF1"/>
    <w:multiLevelType w:val="hybridMultilevel"/>
    <w:tmpl w:val="997CB6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2C3646"/>
    <w:multiLevelType w:val="hybridMultilevel"/>
    <w:tmpl w:val="D834C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F14527"/>
    <w:multiLevelType w:val="hybridMultilevel"/>
    <w:tmpl w:val="68DAD0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060960"/>
    <w:multiLevelType w:val="hybridMultilevel"/>
    <w:tmpl w:val="9ECA1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793C95"/>
    <w:multiLevelType w:val="hybridMultilevel"/>
    <w:tmpl w:val="533EC4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B45"/>
    <w:rsid w:val="000147EC"/>
    <w:rsid w:val="000157B7"/>
    <w:rsid w:val="000173F1"/>
    <w:rsid w:val="00021DD1"/>
    <w:rsid w:val="00035BB9"/>
    <w:rsid w:val="000409C6"/>
    <w:rsid w:val="00051F6E"/>
    <w:rsid w:val="0005349C"/>
    <w:rsid w:val="00056FF6"/>
    <w:rsid w:val="00060C3A"/>
    <w:rsid w:val="00065AE7"/>
    <w:rsid w:val="000665C8"/>
    <w:rsid w:val="00077450"/>
    <w:rsid w:val="00084D75"/>
    <w:rsid w:val="00090C41"/>
    <w:rsid w:val="00091664"/>
    <w:rsid w:val="00093700"/>
    <w:rsid w:val="000941A9"/>
    <w:rsid w:val="0009447B"/>
    <w:rsid w:val="000A2A64"/>
    <w:rsid w:val="000B1B16"/>
    <w:rsid w:val="000B22CE"/>
    <w:rsid w:val="000B7A53"/>
    <w:rsid w:val="000C0DE7"/>
    <w:rsid w:val="000C50B1"/>
    <w:rsid w:val="000E5703"/>
    <w:rsid w:val="000E5760"/>
    <w:rsid w:val="000F1F03"/>
    <w:rsid w:val="000F41C3"/>
    <w:rsid w:val="000F6829"/>
    <w:rsid w:val="00107FCD"/>
    <w:rsid w:val="00111EC2"/>
    <w:rsid w:val="001128B6"/>
    <w:rsid w:val="0011416F"/>
    <w:rsid w:val="00116906"/>
    <w:rsid w:val="001219FF"/>
    <w:rsid w:val="00127B4C"/>
    <w:rsid w:val="00135E0D"/>
    <w:rsid w:val="00136A25"/>
    <w:rsid w:val="00142D12"/>
    <w:rsid w:val="00145738"/>
    <w:rsid w:val="00151D79"/>
    <w:rsid w:val="00160DEA"/>
    <w:rsid w:val="00174A10"/>
    <w:rsid w:val="0018766C"/>
    <w:rsid w:val="001958AA"/>
    <w:rsid w:val="001B15D7"/>
    <w:rsid w:val="001C1DD6"/>
    <w:rsid w:val="001C45A6"/>
    <w:rsid w:val="001C6D4B"/>
    <w:rsid w:val="001D77BF"/>
    <w:rsid w:val="001E3B9E"/>
    <w:rsid w:val="001F50C2"/>
    <w:rsid w:val="001F6ED7"/>
    <w:rsid w:val="00202FC7"/>
    <w:rsid w:val="0020448C"/>
    <w:rsid w:val="00207539"/>
    <w:rsid w:val="00227596"/>
    <w:rsid w:val="002303C7"/>
    <w:rsid w:val="00231222"/>
    <w:rsid w:val="002360C1"/>
    <w:rsid w:val="00240819"/>
    <w:rsid w:val="00254180"/>
    <w:rsid w:val="00257679"/>
    <w:rsid w:val="00262437"/>
    <w:rsid w:val="00263410"/>
    <w:rsid w:val="0026448D"/>
    <w:rsid w:val="00271858"/>
    <w:rsid w:val="0028494E"/>
    <w:rsid w:val="00285696"/>
    <w:rsid w:val="002904FE"/>
    <w:rsid w:val="002928C2"/>
    <w:rsid w:val="002A0321"/>
    <w:rsid w:val="002A7CA5"/>
    <w:rsid w:val="002B306D"/>
    <w:rsid w:val="002C0443"/>
    <w:rsid w:val="002D0612"/>
    <w:rsid w:val="002D4FCA"/>
    <w:rsid w:val="002E1452"/>
    <w:rsid w:val="002E24B9"/>
    <w:rsid w:val="002E5FBB"/>
    <w:rsid w:val="002F01DA"/>
    <w:rsid w:val="002F44AE"/>
    <w:rsid w:val="003007A3"/>
    <w:rsid w:val="00302F92"/>
    <w:rsid w:val="00303F9A"/>
    <w:rsid w:val="00316290"/>
    <w:rsid w:val="00330D88"/>
    <w:rsid w:val="00333A5B"/>
    <w:rsid w:val="003343BA"/>
    <w:rsid w:val="0033530A"/>
    <w:rsid w:val="003428D8"/>
    <w:rsid w:val="0034304A"/>
    <w:rsid w:val="00345D8B"/>
    <w:rsid w:val="00346547"/>
    <w:rsid w:val="00347575"/>
    <w:rsid w:val="003548D1"/>
    <w:rsid w:val="003548DD"/>
    <w:rsid w:val="00355F6B"/>
    <w:rsid w:val="00362DA1"/>
    <w:rsid w:val="00365102"/>
    <w:rsid w:val="00367F8B"/>
    <w:rsid w:val="00374690"/>
    <w:rsid w:val="0037485A"/>
    <w:rsid w:val="00376498"/>
    <w:rsid w:val="003770E3"/>
    <w:rsid w:val="003832C2"/>
    <w:rsid w:val="0039092E"/>
    <w:rsid w:val="003928F1"/>
    <w:rsid w:val="00392C02"/>
    <w:rsid w:val="003A08C4"/>
    <w:rsid w:val="003A3382"/>
    <w:rsid w:val="003A53F5"/>
    <w:rsid w:val="003A76F2"/>
    <w:rsid w:val="003B2C3F"/>
    <w:rsid w:val="003C23F9"/>
    <w:rsid w:val="003C2A33"/>
    <w:rsid w:val="003C396F"/>
    <w:rsid w:val="003C5C71"/>
    <w:rsid w:val="003D13D5"/>
    <w:rsid w:val="003D5F36"/>
    <w:rsid w:val="003E1B6A"/>
    <w:rsid w:val="003E20A6"/>
    <w:rsid w:val="003F26F5"/>
    <w:rsid w:val="003F3C18"/>
    <w:rsid w:val="003F3D7C"/>
    <w:rsid w:val="003F492A"/>
    <w:rsid w:val="003F4AB3"/>
    <w:rsid w:val="003F6E9B"/>
    <w:rsid w:val="00402B72"/>
    <w:rsid w:val="00403A81"/>
    <w:rsid w:val="004055F8"/>
    <w:rsid w:val="004264D8"/>
    <w:rsid w:val="00437564"/>
    <w:rsid w:val="00440BC4"/>
    <w:rsid w:val="004411A8"/>
    <w:rsid w:val="004460C7"/>
    <w:rsid w:val="00447353"/>
    <w:rsid w:val="004504C6"/>
    <w:rsid w:val="00451684"/>
    <w:rsid w:val="00456192"/>
    <w:rsid w:val="00471D87"/>
    <w:rsid w:val="004846BD"/>
    <w:rsid w:val="004868AD"/>
    <w:rsid w:val="0049256B"/>
    <w:rsid w:val="004A0733"/>
    <w:rsid w:val="004A154F"/>
    <w:rsid w:val="004B30A6"/>
    <w:rsid w:val="004B76E5"/>
    <w:rsid w:val="004B7B45"/>
    <w:rsid w:val="004B7FB6"/>
    <w:rsid w:val="004C05BE"/>
    <w:rsid w:val="004C2219"/>
    <w:rsid w:val="004C25E3"/>
    <w:rsid w:val="004C696B"/>
    <w:rsid w:val="004E6852"/>
    <w:rsid w:val="004F0295"/>
    <w:rsid w:val="00501FBC"/>
    <w:rsid w:val="00511D1E"/>
    <w:rsid w:val="00514BA7"/>
    <w:rsid w:val="00515827"/>
    <w:rsid w:val="00520A3D"/>
    <w:rsid w:val="00521F9B"/>
    <w:rsid w:val="0052263D"/>
    <w:rsid w:val="00524E0A"/>
    <w:rsid w:val="00536046"/>
    <w:rsid w:val="005371EA"/>
    <w:rsid w:val="00537BCE"/>
    <w:rsid w:val="00544066"/>
    <w:rsid w:val="005458DB"/>
    <w:rsid w:val="00547038"/>
    <w:rsid w:val="00551BA4"/>
    <w:rsid w:val="00561A2D"/>
    <w:rsid w:val="005638C1"/>
    <w:rsid w:val="005646FE"/>
    <w:rsid w:val="00582DC6"/>
    <w:rsid w:val="00586183"/>
    <w:rsid w:val="00592B93"/>
    <w:rsid w:val="00593C26"/>
    <w:rsid w:val="005B39B1"/>
    <w:rsid w:val="005C1A77"/>
    <w:rsid w:val="005C1B75"/>
    <w:rsid w:val="005C4514"/>
    <w:rsid w:val="005C7AC0"/>
    <w:rsid w:val="005D33B3"/>
    <w:rsid w:val="005D6DF2"/>
    <w:rsid w:val="005E079D"/>
    <w:rsid w:val="005E78F7"/>
    <w:rsid w:val="005F7315"/>
    <w:rsid w:val="00602E51"/>
    <w:rsid w:val="006035B6"/>
    <w:rsid w:val="006141E7"/>
    <w:rsid w:val="00616681"/>
    <w:rsid w:val="00617A4A"/>
    <w:rsid w:val="00620FD3"/>
    <w:rsid w:val="0062692A"/>
    <w:rsid w:val="00633251"/>
    <w:rsid w:val="006337FD"/>
    <w:rsid w:val="00634668"/>
    <w:rsid w:val="006369EE"/>
    <w:rsid w:val="00640EC1"/>
    <w:rsid w:val="00652AE4"/>
    <w:rsid w:val="00654404"/>
    <w:rsid w:val="00660317"/>
    <w:rsid w:val="00662AC1"/>
    <w:rsid w:val="0066527C"/>
    <w:rsid w:val="006666BB"/>
    <w:rsid w:val="00671DE9"/>
    <w:rsid w:val="00674329"/>
    <w:rsid w:val="006763B9"/>
    <w:rsid w:val="00681DB0"/>
    <w:rsid w:val="006924B4"/>
    <w:rsid w:val="006967D0"/>
    <w:rsid w:val="006B6401"/>
    <w:rsid w:val="006B796D"/>
    <w:rsid w:val="006C24B3"/>
    <w:rsid w:val="006C2D77"/>
    <w:rsid w:val="006C36F0"/>
    <w:rsid w:val="006C6424"/>
    <w:rsid w:val="006C6FB0"/>
    <w:rsid w:val="006D6A4A"/>
    <w:rsid w:val="006E173A"/>
    <w:rsid w:val="006E2A67"/>
    <w:rsid w:val="006E302B"/>
    <w:rsid w:val="006F3EE6"/>
    <w:rsid w:val="006F6EA2"/>
    <w:rsid w:val="00707301"/>
    <w:rsid w:val="00707DC9"/>
    <w:rsid w:val="0071623E"/>
    <w:rsid w:val="00727C8C"/>
    <w:rsid w:val="0073495B"/>
    <w:rsid w:val="00735B81"/>
    <w:rsid w:val="00735D62"/>
    <w:rsid w:val="0074152C"/>
    <w:rsid w:val="00744FDA"/>
    <w:rsid w:val="007530A2"/>
    <w:rsid w:val="0076070A"/>
    <w:rsid w:val="007632E6"/>
    <w:rsid w:val="00764664"/>
    <w:rsid w:val="00767229"/>
    <w:rsid w:val="00780B1E"/>
    <w:rsid w:val="00781B15"/>
    <w:rsid w:val="0078637F"/>
    <w:rsid w:val="00792887"/>
    <w:rsid w:val="0079412A"/>
    <w:rsid w:val="007A03F0"/>
    <w:rsid w:val="007A1A3E"/>
    <w:rsid w:val="007A4B9B"/>
    <w:rsid w:val="007B090A"/>
    <w:rsid w:val="007B2E4D"/>
    <w:rsid w:val="007B59F9"/>
    <w:rsid w:val="007B5EA3"/>
    <w:rsid w:val="007C4056"/>
    <w:rsid w:val="007D33CA"/>
    <w:rsid w:val="007E178D"/>
    <w:rsid w:val="007E5A82"/>
    <w:rsid w:val="00801134"/>
    <w:rsid w:val="008033F8"/>
    <w:rsid w:val="0080631F"/>
    <w:rsid w:val="008064E4"/>
    <w:rsid w:val="008172C0"/>
    <w:rsid w:val="008327B9"/>
    <w:rsid w:val="0083336A"/>
    <w:rsid w:val="008334DB"/>
    <w:rsid w:val="00834F62"/>
    <w:rsid w:val="00843C25"/>
    <w:rsid w:val="0085333A"/>
    <w:rsid w:val="00855443"/>
    <w:rsid w:val="0085715A"/>
    <w:rsid w:val="008632C1"/>
    <w:rsid w:val="0086429A"/>
    <w:rsid w:val="00866621"/>
    <w:rsid w:val="008669BE"/>
    <w:rsid w:val="00866A52"/>
    <w:rsid w:val="00874195"/>
    <w:rsid w:val="008748E2"/>
    <w:rsid w:val="00876ECF"/>
    <w:rsid w:val="008777FE"/>
    <w:rsid w:val="0088097F"/>
    <w:rsid w:val="00883D2F"/>
    <w:rsid w:val="00894753"/>
    <w:rsid w:val="008A3539"/>
    <w:rsid w:val="008B1C5F"/>
    <w:rsid w:val="008B32E9"/>
    <w:rsid w:val="008B4A7D"/>
    <w:rsid w:val="008B6B92"/>
    <w:rsid w:val="008B6C3F"/>
    <w:rsid w:val="008C636D"/>
    <w:rsid w:val="008D48C9"/>
    <w:rsid w:val="008D6801"/>
    <w:rsid w:val="008E2AC4"/>
    <w:rsid w:val="008F48F0"/>
    <w:rsid w:val="009004E3"/>
    <w:rsid w:val="009047A0"/>
    <w:rsid w:val="00933996"/>
    <w:rsid w:val="00935C33"/>
    <w:rsid w:val="0093631D"/>
    <w:rsid w:val="009405BC"/>
    <w:rsid w:val="009429C0"/>
    <w:rsid w:val="0094370A"/>
    <w:rsid w:val="00944828"/>
    <w:rsid w:val="00946E2F"/>
    <w:rsid w:val="009541E0"/>
    <w:rsid w:val="00955142"/>
    <w:rsid w:val="00956D2B"/>
    <w:rsid w:val="00971218"/>
    <w:rsid w:val="0097235E"/>
    <w:rsid w:val="009740E5"/>
    <w:rsid w:val="009853A1"/>
    <w:rsid w:val="00990B21"/>
    <w:rsid w:val="00991DC0"/>
    <w:rsid w:val="009932B6"/>
    <w:rsid w:val="009A476D"/>
    <w:rsid w:val="009B0FB7"/>
    <w:rsid w:val="009C02B1"/>
    <w:rsid w:val="009D25D0"/>
    <w:rsid w:val="009D2B30"/>
    <w:rsid w:val="009D4ABD"/>
    <w:rsid w:val="009D55C8"/>
    <w:rsid w:val="009E4BA3"/>
    <w:rsid w:val="009E564F"/>
    <w:rsid w:val="009F03B1"/>
    <w:rsid w:val="009F2F66"/>
    <w:rsid w:val="009F47E1"/>
    <w:rsid w:val="009F4C7A"/>
    <w:rsid w:val="00A01D0A"/>
    <w:rsid w:val="00A05451"/>
    <w:rsid w:val="00A0554E"/>
    <w:rsid w:val="00A0691B"/>
    <w:rsid w:val="00A1533E"/>
    <w:rsid w:val="00A15519"/>
    <w:rsid w:val="00A20553"/>
    <w:rsid w:val="00A305A9"/>
    <w:rsid w:val="00A31562"/>
    <w:rsid w:val="00A31CE2"/>
    <w:rsid w:val="00A326CE"/>
    <w:rsid w:val="00A35A61"/>
    <w:rsid w:val="00A367F4"/>
    <w:rsid w:val="00A52F6C"/>
    <w:rsid w:val="00A535CE"/>
    <w:rsid w:val="00A66A5C"/>
    <w:rsid w:val="00A73117"/>
    <w:rsid w:val="00A757CF"/>
    <w:rsid w:val="00A77D7C"/>
    <w:rsid w:val="00A84AEC"/>
    <w:rsid w:val="00A86A7E"/>
    <w:rsid w:val="00A92A32"/>
    <w:rsid w:val="00A9398F"/>
    <w:rsid w:val="00AB1D5C"/>
    <w:rsid w:val="00AB2231"/>
    <w:rsid w:val="00AB4860"/>
    <w:rsid w:val="00AB4B0B"/>
    <w:rsid w:val="00AB4FEF"/>
    <w:rsid w:val="00AD0052"/>
    <w:rsid w:val="00AF0C9D"/>
    <w:rsid w:val="00AF6FD4"/>
    <w:rsid w:val="00B16DAD"/>
    <w:rsid w:val="00B23293"/>
    <w:rsid w:val="00B2413F"/>
    <w:rsid w:val="00B26FD1"/>
    <w:rsid w:val="00B3241E"/>
    <w:rsid w:val="00B45416"/>
    <w:rsid w:val="00B4694A"/>
    <w:rsid w:val="00B5121A"/>
    <w:rsid w:val="00B51845"/>
    <w:rsid w:val="00B520BA"/>
    <w:rsid w:val="00B610A5"/>
    <w:rsid w:val="00B61759"/>
    <w:rsid w:val="00B63E4D"/>
    <w:rsid w:val="00B72461"/>
    <w:rsid w:val="00B74052"/>
    <w:rsid w:val="00B8476B"/>
    <w:rsid w:val="00B85E8E"/>
    <w:rsid w:val="00B87323"/>
    <w:rsid w:val="00B90445"/>
    <w:rsid w:val="00B91BCB"/>
    <w:rsid w:val="00B9247C"/>
    <w:rsid w:val="00BA5045"/>
    <w:rsid w:val="00BB3A77"/>
    <w:rsid w:val="00BC06B6"/>
    <w:rsid w:val="00BE16E7"/>
    <w:rsid w:val="00BE42E3"/>
    <w:rsid w:val="00BF2812"/>
    <w:rsid w:val="00BF31EF"/>
    <w:rsid w:val="00BF6092"/>
    <w:rsid w:val="00BF7041"/>
    <w:rsid w:val="00BF71E7"/>
    <w:rsid w:val="00C03844"/>
    <w:rsid w:val="00C0417C"/>
    <w:rsid w:val="00C13BC5"/>
    <w:rsid w:val="00C16AB5"/>
    <w:rsid w:val="00C24491"/>
    <w:rsid w:val="00C26D35"/>
    <w:rsid w:val="00C30879"/>
    <w:rsid w:val="00C40108"/>
    <w:rsid w:val="00C411C2"/>
    <w:rsid w:val="00C448CB"/>
    <w:rsid w:val="00C54282"/>
    <w:rsid w:val="00C54292"/>
    <w:rsid w:val="00C64BE0"/>
    <w:rsid w:val="00C6724C"/>
    <w:rsid w:val="00C72793"/>
    <w:rsid w:val="00C72CEA"/>
    <w:rsid w:val="00C92FE4"/>
    <w:rsid w:val="00C93648"/>
    <w:rsid w:val="00CB1BBB"/>
    <w:rsid w:val="00CB1FF5"/>
    <w:rsid w:val="00CB48CA"/>
    <w:rsid w:val="00CC4A4C"/>
    <w:rsid w:val="00CD3AA1"/>
    <w:rsid w:val="00CD7FDA"/>
    <w:rsid w:val="00CE2053"/>
    <w:rsid w:val="00CF2661"/>
    <w:rsid w:val="00CF6971"/>
    <w:rsid w:val="00CF7EEC"/>
    <w:rsid w:val="00D02A66"/>
    <w:rsid w:val="00D1212E"/>
    <w:rsid w:val="00D138A3"/>
    <w:rsid w:val="00D13D04"/>
    <w:rsid w:val="00D16250"/>
    <w:rsid w:val="00D20B42"/>
    <w:rsid w:val="00D2670F"/>
    <w:rsid w:val="00D302D7"/>
    <w:rsid w:val="00D31183"/>
    <w:rsid w:val="00D33F1F"/>
    <w:rsid w:val="00D34119"/>
    <w:rsid w:val="00D3473F"/>
    <w:rsid w:val="00D34AC7"/>
    <w:rsid w:val="00D8074B"/>
    <w:rsid w:val="00D83030"/>
    <w:rsid w:val="00D83AEB"/>
    <w:rsid w:val="00DA1C94"/>
    <w:rsid w:val="00DA7428"/>
    <w:rsid w:val="00DB04B7"/>
    <w:rsid w:val="00DB5CF5"/>
    <w:rsid w:val="00DC3515"/>
    <w:rsid w:val="00DD4015"/>
    <w:rsid w:val="00DE2F11"/>
    <w:rsid w:val="00DE43BB"/>
    <w:rsid w:val="00DE55A6"/>
    <w:rsid w:val="00DE738D"/>
    <w:rsid w:val="00DE778D"/>
    <w:rsid w:val="00DF07DC"/>
    <w:rsid w:val="00DF5905"/>
    <w:rsid w:val="00E01260"/>
    <w:rsid w:val="00E031F9"/>
    <w:rsid w:val="00E22704"/>
    <w:rsid w:val="00E33484"/>
    <w:rsid w:val="00E33715"/>
    <w:rsid w:val="00E3499D"/>
    <w:rsid w:val="00E52120"/>
    <w:rsid w:val="00E533C1"/>
    <w:rsid w:val="00E603B9"/>
    <w:rsid w:val="00E619FB"/>
    <w:rsid w:val="00E63E8A"/>
    <w:rsid w:val="00E7587B"/>
    <w:rsid w:val="00E7700A"/>
    <w:rsid w:val="00E919B8"/>
    <w:rsid w:val="00E93EC9"/>
    <w:rsid w:val="00E97671"/>
    <w:rsid w:val="00EA3DFA"/>
    <w:rsid w:val="00EA69F3"/>
    <w:rsid w:val="00EA7EF1"/>
    <w:rsid w:val="00EB2DEB"/>
    <w:rsid w:val="00EB6BB6"/>
    <w:rsid w:val="00EB71A6"/>
    <w:rsid w:val="00EC4AB2"/>
    <w:rsid w:val="00EC5BDC"/>
    <w:rsid w:val="00ED5AB4"/>
    <w:rsid w:val="00EE3C43"/>
    <w:rsid w:val="00EF18F7"/>
    <w:rsid w:val="00EF56AD"/>
    <w:rsid w:val="00EF7388"/>
    <w:rsid w:val="00F0251A"/>
    <w:rsid w:val="00F028E6"/>
    <w:rsid w:val="00F1451B"/>
    <w:rsid w:val="00F21989"/>
    <w:rsid w:val="00F47799"/>
    <w:rsid w:val="00F52F31"/>
    <w:rsid w:val="00F5395B"/>
    <w:rsid w:val="00F63275"/>
    <w:rsid w:val="00F63F5F"/>
    <w:rsid w:val="00F64BF7"/>
    <w:rsid w:val="00F6674E"/>
    <w:rsid w:val="00F70589"/>
    <w:rsid w:val="00F765D7"/>
    <w:rsid w:val="00F8179C"/>
    <w:rsid w:val="00F85DE2"/>
    <w:rsid w:val="00F86256"/>
    <w:rsid w:val="00F863C7"/>
    <w:rsid w:val="00F90FD0"/>
    <w:rsid w:val="00F92E6A"/>
    <w:rsid w:val="00FA6F97"/>
    <w:rsid w:val="00FB6307"/>
    <w:rsid w:val="00FB6A85"/>
    <w:rsid w:val="00FB7D2C"/>
    <w:rsid w:val="00FC7DF7"/>
    <w:rsid w:val="00FD1557"/>
    <w:rsid w:val="00FD1FEF"/>
    <w:rsid w:val="00FE7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6BB2C"/>
  <w15:chartTrackingRefBased/>
  <w15:docId w15:val="{6A10965E-EA33-46CB-9665-D5F45765D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53F5"/>
    <w:pPr>
      <w:spacing w:after="0" w:line="48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035BB9"/>
    <w:pPr>
      <w:keepNext/>
      <w:keepLines/>
      <w:spacing w:before="120"/>
      <w:outlineLvl w:val="0"/>
    </w:pPr>
    <w:rPr>
      <w:rFonts w:eastAsiaTheme="majorEastAsia"/>
      <w:b/>
      <w:sz w:val="26"/>
      <w:szCs w:val="26"/>
    </w:rPr>
  </w:style>
  <w:style w:type="paragraph" w:styleId="Heading2">
    <w:name w:val="heading 2"/>
    <w:basedOn w:val="Normal"/>
    <w:next w:val="Normal"/>
    <w:link w:val="Heading2Char"/>
    <w:uiPriority w:val="9"/>
    <w:unhideWhenUsed/>
    <w:qFormat/>
    <w:rsid w:val="008B6C3F"/>
    <w:pPr>
      <w:keepNext/>
      <w:keepLines/>
      <w:spacing w:before="40"/>
      <w:outlineLvl w:val="1"/>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B45"/>
    <w:pPr>
      <w:ind w:left="720"/>
      <w:contextualSpacing/>
    </w:pPr>
  </w:style>
  <w:style w:type="character" w:styleId="CommentReference">
    <w:name w:val="annotation reference"/>
    <w:basedOn w:val="DefaultParagraphFont"/>
    <w:uiPriority w:val="99"/>
    <w:semiHidden/>
    <w:unhideWhenUsed/>
    <w:rsid w:val="005E079D"/>
    <w:rPr>
      <w:sz w:val="16"/>
      <w:szCs w:val="16"/>
    </w:rPr>
  </w:style>
  <w:style w:type="paragraph" w:styleId="CommentText">
    <w:name w:val="annotation text"/>
    <w:basedOn w:val="Normal"/>
    <w:link w:val="CommentTextChar"/>
    <w:uiPriority w:val="99"/>
    <w:unhideWhenUsed/>
    <w:rsid w:val="005E079D"/>
    <w:pPr>
      <w:spacing w:line="240" w:lineRule="auto"/>
    </w:pPr>
    <w:rPr>
      <w:sz w:val="20"/>
      <w:szCs w:val="20"/>
    </w:rPr>
  </w:style>
  <w:style w:type="character" w:customStyle="1" w:styleId="CommentTextChar">
    <w:name w:val="Comment Text Char"/>
    <w:basedOn w:val="DefaultParagraphFont"/>
    <w:link w:val="CommentText"/>
    <w:uiPriority w:val="99"/>
    <w:rsid w:val="005E079D"/>
    <w:rPr>
      <w:sz w:val="20"/>
      <w:szCs w:val="20"/>
    </w:rPr>
  </w:style>
  <w:style w:type="paragraph" w:styleId="CommentSubject">
    <w:name w:val="annotation subject"/>
    <w:basedOn w:val="CommentText"/>
    <w:next w:val="CommentText"/>
    <w:link w:val="CommentSubjectChar"/>
    <w:uiPriority w:val="99"/>
    <w:semiHidden/>
    <w:unhideWhenUsed/>
    <w:rsid w:val="005E079D"/>
    <w:rPr>
      <w:b/>
      <w:bCs/>
    </w:rPr>
  </w:style>
  <w:style w:type="character" w:customStyle="1" w:styleId="CommentSubjectChar">
    <w:name w:val="Comment Subject Char"/>
    <w:basedOn w:val="CommentTextChar"/>
    <w:link w:val="CommentSubject"/>
    <w:uiPriority w:val="99"/>
    <w:semiHidden/>
    <w:rsid w:val="005E079D"/>
    <w:rPr>
      <w:b/>
      <w:bCs/>
      <w:sz w:val="20"/>
      <w:szCs w:val="20"/>
    </w:rPr>
  </w:style>
  <w:style w:type="paragraph" w:styleId="BalloonText">
    <w:name w:val="Balloon Text"/>
    <w:basedOn w:val="Normal"/>
    <w:link w:val="BalloonTextChar"/>
    <w:uiPriority w:val="99"/>
    <w:semiHidden/>
    <w:unhideWhenUsed/>
    <w:rsid w:val="005E079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79D"/>
    <w:rPr>
      <w:rFonts w:ascii="Segoe UI" w:hAnsi="Segoe UI" w:cs="Segoe UI"/>
      <w:sz w:val="18"/>
      <w:szCs w:val="18"/>
    </w:rPr>
  </w:style>
  <w:style w:type="paragraph" w:styleId="FootnoteText">
    <w:name w:val="footnote text"/>
    <w:basedOn w:val="Normal"/>
    <w:link w:val="FootnoteTextChar"/>
    <w:uiPriority w:val="99"/>
    <w:unhideWhenUsed/>
    <w:rsid w:val="005E079D"/>
    <w:pPr>
      <w:spacing w:line="240" w:lineRule="auto"/>
    </w:pPr>
    <w:rPr>
      <w:sz w:val="20"/>
      <w:szCs w:val="20"/>
    </w:rPr>
  </w:style>
  <w:style w:type="character" w:customStyle="1" w:styleId="FootnoteTextChar">
    <w:name w:val="Footnote Text Char"/>
    <w:basedOn w:val="DefaultParagraphFont"/>
    <w:link w:val="FootnoteText"/>
    <w:uiPriority w:val="99"/>
    <w:rsid w:val="005E079D"/>
    <w:rPr>
      <w:sz w:val="20"/>
      <w:szCs w:val="20"/>
    </w:rPr>
  </w:style>
  <w:style w:type="character" w:styleId="FootnoteReference">
    <w:name w:val="footnote reference"/>
    <w:basedOn w:val="DefaultParagraphFont"/>
    <w:uiPriority w:val="99"/>
    <w:semiHidden/>
    <w:unhideWhenUsed/>
    <w:rsid w:val="005E079D"/>
    <w:rPr>
      <w:vertAlign w:val="superscript"/>
    </w:rPr>
  </w:style>
  <w:style w:type="character" w:customStyle="1" w:styleId="Heading1Char">
    <w:name w:val="Heading 1 Char"/>
    <w:basedOn w:val="DefaultParagraphFont"/>
    <w:link w:val="Heading1"/>
    <w:uiPriority w:val="9"/>
    <w:rsid w:val="00035BB9"/>
    <w:rPr>
      <w:rFonts w:ascii="Times New Roman" w:eastAsiaTheme="majorEastAsia" w:hAnsi="Times New Roman" w:cs="Times New Roman"/>
      <w:b/>
      <w:sz w:val="26"/>
      <w:szCs w:val="26"/>
    </w:rPr>
  </w:style>
  <w:style w:type="paragraph" w:styleId="Title">
    <w:name w:val="Title"/>
    <w:basedOn w:val="Normal"/>
    <w:next w:val="Normal"/>
    <w:link w:val="TitleChar"/>
    <w:uiPriority w:val="10"/>
    <w:qFormat/>
    <w:rsid w:val="00671DE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DE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E173A"/>
    <w:pPr>
      <w:tabs>
        <w:tab w:val="center" w:pos="4680"/>
        <w:tab w:val="right" w:pos="9360"/>
      </w:tabs>
      <w:spacing w:line="240" w:lineRule="auto"/>
    </w:pPr>
  </w:style>
  <w:style w:type="character" w:customStyle="1" w:styleId="HeaderChar">
    <w:name w:val="Header Char"/>
    <w:basedOn w:val="DefaultParagraphFont"/>
    <w:link w:val="Header"/>
    <w:uiPriority w:val="99"/>
    <w:rsid w:val="006E173A"/>
  </w:style>
  <w:style w:type="paragraph" w:styleId="Footer">
    <w:name w:val="footer"/>
    <w:basedOn w:val="Normal"/>
    <w:link w:val="FooterChar"/>
    <w:uiPriority w:val="99"/>
    <w:unhideWhenUsed/>
    <w:rsid w:val="006E173A"/>
    <w:pPr>
      <w:tabs>
        <w:tab w:val="center" w:pos="4680"/>
        <w:tab w:val="right" w:pos="9360"/>
      </w:tabs>
      <w:spacing w:line="240" w:lineRule="auto"/>
    </w:pPr>
  </w:style>
  <w:style w:type="character" w:customStyle="1" w:styleId="FooterChar">
    <w:name w:val="Footer Char"/>
    <w:basedOn w:val="DefaultParagraphFont"/>
    <w:link w:val="Footer"/>
    <w:uiPriority w:val="99"/>
    <w:rsid w:val="006E173A"/>
  </w:style>
  <w:style w:type="paragraph" w:styleId="Subtitle">
    <w:name w:val="Subtitle"/>
    <w:basedOn w:val="Normal"/>
    <w:next w:val="Normal"/>
    <w:link w:val="SubtitleChar"/>
    <w:uiPriority w:val="11"/>
    <w:qFormat/>
    <w:rsid w:val="002A7CA5"/>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2A7CA5"/>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8B6C3F"/>
    <w:rPr>
      <w:rFonts w:ascii="Times New Roman" w:eastAsiaTheme="majorEastAsia" w:hAnsi="Times New Roman" w:cs="Times New Roman"/>
      <w:b/>
      <w:sz w:val="24"/>
      <w:szCs w:val="24"/>
    </w:rPr>
  </w:style>
  <w:style w:type="paragraph" w:styleId="Bibliography">
    <w:name w:val="Bibliography"/>
    <w:basedOn w:val="Normal"/>
    <w:next w:val="Normal"/>
    <w:uiPriority w:val="37"/>
    <w:unhideWhenUsed/>
    <w:rsid w:val="00231222"/>
  </w:style>
  <w:style w:type="character" w:styleId="EndnoteReference">
    <w:name w:val="endnote reference"/>
    <w:basedOn w:val="DefaultParagraphFont"/>
    <w:uiPriority w:val="99"/>
    <w:semiHidden/>
    <w:unhideWhenUsed/>
    <w:rsid w:val="005C1B75"/>
    <w:rPr>
      <w:vertAlign w:val="superscript"/>
    </w:rPr>
  </w:style>
  <w:style w:type="character" w:customStyle="1" w:styleId="reference-text">
    <w:name w:val="reference-text"/>
    <w:basedOn w:val="DefaultParagraphFont"/>
    <w:rsid w:val="002D4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327237">
      <w:bodyDiv w:val="1"/>
      <w:marLeft w:val="0"/>
      <w:marRight w:val="0"/>
      <w:marTop w:val="0"/>
      <w:marBottom w:val="0"/>
      <w:divBdr>
        <w:top w:val="none" w:sz="0" w:space="0" w:color="auto"/>
        <w:left w:val="none" w:sz="0" w:space="0" w:color="auto"/>
        <w:bottom w:val="none" w:sz="0" w:space="0" w:color="auto"/>
        <w:right w:val="none" w:sz="0" w:space="0" w:color="auto"/>
      </w:divBdr>
      <w:divsChild>
        <w:div w:id="1505436471">
          <w:marLeft w:val="0"/>
          <w:marRight w:val="0"/>
          <w:marTop w:val="0"/>
          <w:marBottom w:val="0"/>
          <w:divBdr>
            <w:top w:val="none" w:sz="0" w:space="0" w:color="auto"/>
            <w:left w:val="none" w:sz="0" w:space="0" w:color="auto"/>
            <w:bottom w:val="none" w:sz="0" w:space="0" w:color="auto"/>
            <w:right w:val="none" w:sz="0" w:space="0" w:color="auto"/>
          </w:divBdr>
          <w:divsChild>
            <w:div w:id="60438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72002">
      <w:bodyDiv w:val="1"/>
      <w:marLeft w:val="0"/>
      <w:marRight w:val="0"/>
      <w:marTop w:val="0"/>
      <w:marBottom w:val="0"/>
      <w:divBdr>
        <w:top w:val="none" w:sz="0" w:space="0" w:color="auto"/>
        <w:left w:val="none" w:sz="0" w:space="0" w:color="auto"/>
        <w:bottom w:val="none" w:sz="0" w:space="0" w:color="auto"/>
        <w:right w:val="none" w:sz="0" w:space="0" w:color="auto"/>
      </w:divBdr>
    </w:div>
    <w:div w:id="2076079839">
      <w:bodyDiv w:val="1"/>
      <w:marLeft w:val="0"/>
      <w:marRight w:val="0"/>
      <w:marTop w:val="0"/>
      <w:marBottom w:val="0"/>
      <w:divBdr>
        <w:top w:val="none" w:sz="0" w:space="0" w:color="auto"/>
        <w:left w:val="none" w:sz="0" w:space="0" w:color="auto"/>
        <w:bottom w:val="none" w:sz="0" w:space="0" w:color="auto"/>
        <w:right w:val="none" w:sz="0" w:space="0" w:color="auto"/>
      </w:divBdr>
      <w:divsChild>
        <w:div w:id="772095314">
          <w:marLeft w:val="0"/>
          <w:marRight w:val="0"/>
          <w:marTop w:val="0"/>
          <w:marBottom w:val="0"/>
          <w:divBdr>
            <w:top w:val="none" w:sz="0" w:space="0" w:color="auto"/>
            <w:left w:val="none" w:sz="0" w:space="0" w:color="auto"/>
            <w:bottom w:val="none" w:sz="0" w:space="0" w:color="auto"/>
            <w:right w:val="none" w:sz="0" w:space="0" w:color="auto"/>
          </w:divBdr>
          <w:divsChild>
            <w:div w:id="13685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Gou05</b:Tag>
    <b:SourceType>JournalArticle</b:SourceType>
    <b:Guid>{978EC2D4-A546-4F01-BC94-475F1DC88A5F}</b:Guid>
    <b:Author>
      <b:Author>
        <b:NameList xmlns:msxsl="urn:schemas-microsoft-com:xslt" xmlns:b="http://schemas.openxmlformats.org/officeDocument/2006/bibliography">
          <b:Person>
            <b:Last>Gould</b:Last>
            <b:First>Graham</b:First>
            <b:Middle/>
          </b:Person>
        </b:NameList>
      </b:Author>
    </b:Author>
    <b:Title>Theodoret of Cyrrhus. The Bishop and the Holy Man</b:Title>
    <b:JournalName>Byzantine and Modern Greek Studies</b:JournalName>
    <b:City/>
    <b:Year>2005</b:Year>
    <b:Month/>
    <b:Day/>
    <b:Pages>244-245</b:Pages>
    <b:Publisher/>
    <b:Volume>29</b:Volume>
    <b:Issue>2</b:Issue>
    <b:ShortTitle/>
    <b:StandardNumber/>
    <b:Comments/>
    <b:Medium/>
    <b:YearAccessed>2019</b:YearAccessed>
    <b:MonthAccessed>1</b:MonthAccessed>
    <b:DayAccessed>15</b:DayAccessed>
    <b:URL>https://cambridge.org/core/journals/byzantine-and-modern-greek-studies/article/div-classtitleurbainczyk-theresa-theodoret-of-cyrrhus-the-bishop-and-the-holy-man-ann-arbor-mi-the-university-of-michigan-press-2002-pp-x-174div/3691bb1964885990196d781a7110b7b0</b:URL>
    <b:DOI/>
    <b:RefOrder>1</b:RefOrder>
  </b:Source>
</b:Sources>
</file>

<file path=customXml/itemProps1.xml><?xml version="1.0" encoding="utf-8"?>
<ds:datastoreItem xmlns:ds="http://schemas.openxmlformats.org/officeDocument/2006/customXml" ds:itemID="{6CDDA2E5-5FAF-4C94-9AB6-D9EDE9DC8952}">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Hilty</dc:creator>
  <cp:keywords/>
  <dc:description/>
  <cp:lastModifiedBy>Lucas Hilty</cp:lastModifiedBy>
  <cp:revision>2</cp:revision>
  <dcterms:created xsi:type="dcterms:W3CDTF">2019-01-15T23:58:00Z</dcterms:created>
  <dcterms:modified xsi:type="dcterms:W3CDTF">2019-01-15T23:58:00Z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id="9UeenJPX"/&gt;&lt;style id="http://www.zotero.org/styles/uwtsd-harvard-with-footnotes-gb-mod19"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