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1FF255" w14:textId="77777777" w:rsidR="009505EC" w:rsidRPr="009505EC" w:rsidRDefault="009505EC" w:rsidP="009505EC">
      <w:pPr>
        <w:rPr>
          <w:rFonts w:ascii="Arial" w:hAnsi="Arial" w:cs="Arial"/>
          <w:b/>
          <w:bCs/>
          <w:lang w:val="en-US"/>
        </w:rPr>
      </w:pPr>
      <w:r w:rsidRPr="009505EC">
        <w:rPr>
          <w:rFonts w:ascii="Arial" w:hAnsi="Arial" w:cs="Arial"/>
          <w:b/>
          <w:bCs/>
          <w:lang w:val="en-US"/>
        </w:rPr>
        <w:t>Irina-Diana Buture</w:t>
      </w:r>
    </w:p>
    <w:p w14:paraId="5FA06CB6" w14:textId="629ACAD4" w:rsidR="009505EC" w:rsidRPr="009505EC" w:rsidRDefault="009505EC" w:rsidP="009505EC">
      <w:pPr>
        <w:rPr>
          <w:rFonts w:ascii="Arial" w:hAnsi="Arial" w:cs="Arial"/>
          <w:b/>
          <w:bCs/>
          <w:color w:val="242130"/>
          <w:shd w:val="clear" w:color="auto" w:fill="FFFFFF"/>
        </w:rPr>
      </w:pPr>
      <w:r>
        <w:rPr>
          <w:rFonts w:ascii="Arial" w:hAnsi="Arial" w:cs="Arial"/>
          <w:b/>
          <w:bCs/>
          <w:color w:val="242130"/>
          <w:shd w:val="clear" w:color="auto" w:fill="FFFFFF"/>
        </w:rPr>
        <w:t xml:space="preserve">Student number: </w:t>
      </w:r>
      <w:r w:rsidRPr="009505EC">
        <w:rPr>
          <w:rFonts w:ascii="Arial" w:hAnsi="Arial" w:cs="Arial"/>
          <w:b/>
          <w:bCs/>
          <w:color w:val="242130"/>
          <w:shd w:val="clear" w:color="auto" w:fill="FFFFFF"/>
        </w:rPr>
        <w:t>2239006</w:t>
      </w:r>
    </w:p>
    <w:p w14:paraId="2877670C" w14:textId="77777777" w:rsidR="009505EC" w:rsidRPr="009505EC" w:rsidRDefault="009505EC" w:rsidP="009505EC">
      <w:pPr>
        <w:rPr>
          <w:rFonts w:ascii="Arial" w:hAnsi="Arial" w:cs="Arial"/>
          <w:b/>
          <w:bCs/>
        </w:rPr>
      </w:pPr>
      <w:r w:rsidRPr="009505EC">
        <w:rPr>
          <w:rFonts w:ascii="Arial" w:hAnsi="Arial" w:cs="Arial"/>
          <w:b/>
          <w:bCs/>
        </w:rPr>
        <w:t>Foreign Languages and Cultural Awareness</w:t>
      </w:r>
    </w:p>
    <w:p w14:paraId="07B9048A" w14:textId="77777777" w:rsidR="009505EC" w:rsidRPr="009505EC" w:rsidRDefault="009505EC" w:rsidP="009505EC">
      <w:pPr>
        <w:rPr>
          <w:rFonts w:ascii="Arial" w:hAnsi="Arial" w:cs="Arial"/>
          <w:b/>
          <w:bCs/>
        </w:rPr>
      </w:pPr>
      <w:r w:rsidRPr="009505EC">
        <w:rPr>
          <w:rFonts w:ascii="Arial" w:hAnsi="Arial" w:cs="Arial"/>
          <w:b/>
          <w:bCs/>
        </w:rPr>
        <w:t>BMIH5003</w:t>
      </w:r>
    </w:p>
    <w:p w14:paraId="5FEFD90E" w14:textId="77777777" w:rsidR="009505EC" w:rsidRDefault="009505EC" w:rsidP="009505EC">
      <w:pPr>
        <w:rPr>
          <w:rFonts w:ascii="Arial" w:hAnsi="Arial" w:cs="Arial"/>
          <w:b/>
          <w:bCs/>
        </w:rPr>
      </w:pPr>
      <w:r w:rsidRPr="009505EC">
        <w:rPr>
          <w:rFonts w:ascii="Arial" w:hAnsi="Arial" w:cs="Arial"/>
          <w:b/>
          <w:bCs/>
        </w:rPr>
        <w:t>Giulia Chifari</w:t>
      </w:r>
    </w:p>
    <w:p w14:paraId="07C2E6B6" w14:textId="77777777" w:rsidR="009505EC" w:rsidRPr="009505EC" w:rsidRDefault="009505EC" w:rsidP="009505EC">
      <w:pPr>
        <w:rPr>
          <w:rFonts w:ascii="Arial" w:hAnsi="Arial" w:cs="Arial"/>
          <w:b/>
          <w:bCs/>
          <w:lang w:val="en-US"/>
        </w:rPr>
      </w:pPr>
    </w:p>
    <w:p w14:paraId="7EC5C8F8" w14:textId="77777777" w:rsidR="009505EC" w:rsidRDefault="009505EC" w:rsidP="009505EC">
      <w:pPr>
        <w:spacing w:before="100" w:beforeAutospacing="1" w:after="100" w:afterAutospacing="1" w:line="360" w:lineRule="auto"/>
        <w:rPr>
          <w:rFonts w:ascii="Arial" w:eastAsia="Times New Roman" w:hAnsi="Arial" w:cs="Arial"/>
          <w:b/>
          <w:bCs/>
          <w:kern w:val="0"/>
          <w:lang w:eastAsia="en-GB"/>
          <w14:ligatures w14:val="none"/>
        </w:rPr>
      </w:pPr>
    </w:p>
    <w:p w14:paraId="5FC6595B" w14:textId="115EFD7E" w:rsidR="009505EC" w:rsidRDefault="006366C0" w:rsidP="006366C0">
      <w:pPr>
        <w:spacing w:before="100" w:beforeAutospacing="1" w:after="100" w:afterAutospacing="1" w:line="360" w:lineRule="auto"/>
        <w:jc w:val="center"/>
        <w:rPr>
          <w:rFonts w:ascii="Arial" w:eastAsia="Times New Roman" w:hAnsi="Arial" w:cs="Arial"/>
          <w:b/>
          <w:bCs/>
          <w:kern w:val="0"/>
          <w:lang w:eastAsia="en-GB"/>
          <w14:ligatures w14:val="none"/>
        </w:rPr>
      </w:pPr>
      <w:r>
        <w:rPr>
          <w:rFonts w:ascii="Arial" w:eastAsia="Times New Roman" w:hAnsi="Arial" w:cs="Arial"/>
          <w:b/>
          <w:bCs/>
          <w:kern w:val="0"/>
          <w:lang w:eastAsia="en-GB"/>
          <w14:ligatures w14:val="none"/>
        </w:rPr>
        <w:t>PORTOFOLIO</w:t>
      </w:r>
    </w:p>
    <w:p w14:paraId="6D2B44C4" w14:textId="77777777" w:rsidR="009505EC" w:rsidRDefault="009505EC" w:rsidP="009505EC">
      <w:pPr>
        <w:spacing w:before="100" w:beforeAutospacing="1" w:after="100" w:afterAutospacing="1" w:line="360" w:lineRule="auto"/>
        <w:rPr>
          <w:rFonts w:ascii="Arial" w:eastAsia="Times New Roman" w:hAnsi="Arial" w:cs="Arial"/>
          <w:b/>
          <w:bCs/>
          <w:kern w:val="0"/>
          <w:lang w:eastAsia="en-GB"/>
          <w14:ligatures w14:val="none"/>
        </w:rPr>
      </w:pPr>
    </w:p>
    <w:p w14:paraId="24D35078" w14:textId="77777777" w:rsidR="009505EC" w:rsidRDefault="009505EC" w:rsidP="009505EC">
      <w:pPr>
        <w:spacing w:before="100" w:beforeAutospacing="1" w:after="100" w:afterAutospacing="1" w:line="360" w:lineRule="auto"/>
        <w:rPr>
          <w:rFonts w:ascii="Arial" w:eastAsia="Times New Roman" w:hAnsi="Arial" w:cs="Arial"/>
          <w:b/>
          <w:bCs/>
          <w:kern w:val="0"/>
          <w:lang w:eastAsia="en-GB"/>
          <w14:ligatures w14:val="none"/>
        </w:rPr>
      </w:pPr>
    </w:p>
    <w:p w14:paraId="56104C93" w14:textId="2FF9FFB3" w:rsidR="009505EC" w:rsidRPr="009505EC" w:rsidRDefault="009505EC" w:rsidP="009505EC">
      <w:pPr>
        <w:spacing w:before="100" w:beforeAutospacing="1" w:after="100" w:afterAutospacing="1" w:line="360" w:lineRule="auto"/>
        <w:rPr>
          <w:rFonts w:ascii="Arial" w:eastAsia="Times New Roman" w:hAnsi="Arial" w:cs="Arial"/>
          <w:kern w:val="0"/>
          <w:lang w:eastAsia="en-GB"/>
          <w14:ligatures w14:val="none"/>
        </w:rPr>
      </w:pPr>
      <w:r w:rsidRPr="009505EC">
        <w:rPr>
          <w:rFonts w:ascii="Arial" w:eastAsia="Times New Roman" w:hAnsi="Arial" w:cs="Arial"/>
          <w:b/>
          <w:bCs/>
          <w:kern w:val="0"/>
          <w:lang w:eastAsia="en-GB"/>
          <w14:ligatures w14:val="none"/>
        </w:rPr>
        <w:t>Component 1: Professional Reflection</w:t>
      </w:r>
    </w:p>
    <w:p w14:paraId="0FC25271" w14:textId="77777777" w:rsidR="009505EC" w:rsidRPr="009505EC" w:rsidRDefault="009505EC" w:rsidP="009505EC">
      <w:pPr>
        <w:spacing w:line="360" w:lineRule="auto"/>
        <w:rPr>
          <w:rFonts w:ascii="Arial" w:hAnsi="Arial" w:cs="Arial"/>
          <w:b/>
          <w:bCs/>
        </w:rPr>
      </w:pPr>
      <w:r w:rsidRPr="009505EC">
        <w:rPr>
          <w:rFonts w:ascii="Arial" w:hAnsi="Arial" w:cs="Arial"/>
          <w:b/>
          <w:bCs/>
        </w:rPr>
        <w:t>Introduction</w:t>
      </w:r>
    </w:p>
    <w:p w14:paraId="2CE17824" w14:textId="77777777" w:rsidR="009505EC" w:rsidRPr="009505EC" w:rsidRDefault="009505EC" w:rsidP="009505EC">
      <w:pPr>
        <w:spacing w:line="360" w:lineRule="auto"/>
        <w:rPr>
          <w:rFonts w:ascii="Arial" w:hAnsi="Arial" w:cs="Arial"/>
        </w:rPr>
      </w:pPr>
      <w:r w:rsidRPr="009505EC">
        <w:rPr>
          <w:rFonts w:ascii="Arial" w:hAnsi="Arial" w:cs="Arial"/>
        </w:rPr>
        <w:t>The hospitality industry serves as a platform for cultural exchange, where individuals from diverse backgrounds come together to experience culinary traditions and social interactions (Lashley, 2018). Restaurants, as focal points of hospitality, offer unique dining experiences shaped by ambience, service, and menu offerings. However, language barriers present significant challenges for both staff and guests, influencing the quality of service delivery and customer satisfaction (Gursoy &amp; Chi, 2020).</w:t>
      </w:r>
    </w:p>
    <w:p w14:paraId="60CAD4AB" w14:textId="77777777" w:rsidR="009505EC" w:rsidRPr="009505EC" w:rsidRDefault="009505EC" w:rsidP="009505EC">
      <w:pPr>
        <w:spacing w:line="360" w:lineRule="auto"/>
        <w:rPr>
          <w:rFonts w:ascii="Arial" w:hAnsi="Arial" w:cs="Arial"/>
        </w:rPr>
      </w:pPr>
      <w:r w:rsidRPr="009505EC">
        <w:rPr>
          <w:rFonts w:ascii="Arial" w:hAnsi="Arial" w:cs="Arial"/>
        </w:rPr>
        <w:t>This paper examines a real-world scenario within a Mediterranean restaurant, analysing communication challenges faced by a non-native English-speaking employee. Through an exploration of cross-cultural interactions, this reflection highlights the complexities of communication in hospitality and its implications for professional growth.</w:t>
      </w:r>
    </w:p>
    <w:p w14:paraId="604D8AEC" w14:textId="77777777" w:rsidR="009505EC" w:rsidRPr="009505EC" w:rsidRDefault="009505EC" w:rsidP="009505EC">
      <w:pPr>
        <w:spacing w:line="360" w:lineRule="auto"/>
        <w:rPr>
          <w:rFonts w:ascii="Arial" w:hAnsi="Arial" w:cs="Arial"/>
          <w:b/>
          <w:bCs/>
        </w:rPr>
      </w:pPr>
      <w:r w:rsidRPr="009505EC">
        <w:rPr>
          <w:rFonts w:ascii="Arial" w:hAnsi="Arial" w:cs="Arial"/>
          <w:b/>
          <w:bCs/>
        </w:rPr>
        <w:t>Scenario Description</w:t>
      </w:r>
    </w:p>
    <w:p w14:paraId="19D761AB" w14:textId="77777777" w:rsidR="009505EC" w:rsidRPr="009505EC" w:rsidRDefault="009505EC" w:rsidP="009505EC">
      <w:pPr>
        <w:spacing w:line="360" w:lineRule="auto"/>
        <w:rPr>
          <w:rFonts w:ascii="Arial" w:hAnsi="Arial" w:cs="Arial"/>
        </w:rPr>
      </w:pPr>
      <w:r w:rsidRPr="009505EC">
        <w:rPr>
          <w:rFonts w:ascii="Arial" w:hAnsi="Arial" w:cs="Arial"/>
        </w:rPr>
        <w:t xml:space="preserve">The setting is a Mediterranean restaurant during a Christmas celebration, where six guests gather for a festive meal. The protagonist, a newly employed staff member with limited English proficiency, struggles to communicate effectively. With the </w:t>
      </w:r>
      <w:r w:rsidRPr="009505EC">
        <w:rPr>
          <w:rFonts w:ascii="Arial" w:hAnsi="Arial" w:cs="Arial"/>
        </w:rPr>
        <w:lastRenderedPageBreak/>
        <w:t>guidance of the restaurant manager, who speaks a shared native language, the employee learns menu details and service protocols.</w:t>
      </w:r>
    </w:p>
    <w:p w14:paraId="76CAA01B" w14:textId="77777777" w:rsidR="009505EC" w:rsidRPr="009505EC" w:rsidRDefault="009505EC" w:rsidP="009505EC">
      <w:pPr>
        <w:spacing w:line="360" w:lineRule="auto"/>
        <w:rPr>
          <w:rFonts w:ascii="Arial" w:hAnsi="Arial" w:cs="Arial"/>
        </w:rPr>
      </w:pPr>
      <w:r w:rsidRPr="009505EC">
        <w:rPr>
          <w:rFonts w:ascii="Arial" w:hAnsi="Arial" w:cs="Arial"/>
        </w:rPr>
        <w:t>During the meal, a guest ambiguously orders "lamb" without specifying whether they prefer the Rack of Lamb or Lamb Chops. Despite the protagonist's efforts, a miscommunication occurs, leading to guest dissatisfaction and criticism of the employee’s language skills. This incident becomes a pivotal moment for reflection and a catalyst for the protagonist’s commitment to professional development.</w:t>
      </w:r>
    </w:p>
    <w:p w14:paraId="566D147B" w14:textId="77777777" w:rsidR="009505EC" w:rsidRPr="009505EC" w:rsidRDefault="009505EC" w:rsidP="009505EC">
      <w:pPr>
        <w:spacing w:line="360" w:lineRule="auto"/>
        <w:rPr>
          <w:rFonts w:ascii="Arial" w:hAnsi="Arial" w:cs="Arial"/>
          <w:b/>
          <w:bCs/>
        </w:rPr>
      </w:pPr>
      <w:r w:rsidRPr="009505EC">
        <w:rPr>
          <w:rFonts w:ascii="Arial" w:hAnsi="Arial" w:cs="Arial"/>
          <w:b/>
          <w:bCs/>
        </w:rPr>
        <w:t>Analysis and Reflection</w:t>
      </w:r>
    </w:p>
    <w:p w14:paraId="31B7A972" w14:textId="77777777" w:rsidR="009505EC" w:rsidRPr="009505EC" w:rsidRDefault="009505EC" w:rsidP="009505EC">
      <w:pPr>
        <w:spacing w:line="360" w:lineRule="auto"/>
        <w:rPr>
          <w:rFonts w:ascii="Arial" w:hAnsi="Arial" w:cs="Arial"/>
        </w:rPr>
      </w:pPr>
      <w:r w:rsidRPr="009505EC">
        <w:rPr>
          <w:rFonts w:ascii="Arial" w:hAnsi="Arial" w:cs="Arial"/>
        </w:rPr>
        <w:t>Cross-cultural communication plays a critical role in guest satisfaction within the hospitality industry (Chaney &amp; Martin, 2019). The scenario highlights the importance of language proficiency, active listening, and clarification techniques in ensuring smooth service interactions. Studies emphasise that miscommunication can lead to customer dissatisfaction and negative reviews, affecting business reputation (Kandampully, Zhang, &amp; Bilgihan, 2015).</w:t>
      </w:r>
    </w:p>
    <w:p w14:paraId="6DEC506E" w14:textId="77777777" w:rsidR="009505EC" w:rsidRPr="009505EC" w:rsidRDefault="009505EC" w:rsidP="009505EC">
      <w:pPr>
        <w:spacing w:line="360" w:lineRule="auto"/>
        <w:rPr>
          <w:rFonts w:ascii="Arial" w:hAnsi="Arial" w:cs="Arial"/>
        </w:rPr>
      </w:pPr>
      <w:r w:rsidRPr="009505EC">
        <w:rPr>
          <w:rFonts w:ascii="Arial" w:hAnsi="Arial" w:cs="Arial"/>
        </w:rPr>
        <w:t>Despite initial setbacks, this experience fosters resilience and self-improvement. By acknowledging language limitations, the protagonist embraces continuous learning, enrolling in training programmes to enhance linguistic skills. Research suggests that structured employee training improves service quality and workplace confidence (Baum, 2020).</w:t>
      </w:r>
    </w:p>
    <w:p w14:paraId="1DD679E2" w14:textId="77777777" w:rsidR="009505EC" w:rsidRPr="009505EC" w:rsidRDefault="009505EC" w:rsidP="009505EC">
      <w:pPr>
        <w:spacing w:line="360" w:lineRule="auto"/>
        <w:rPr>
          <w:rFonts w:ascii="Arial" w:hAnsi="Arial" w:cs="Arial"/>
          <w:b/>
          <w:bCs/>
        </w:rPr>
      </w:pPr>
      <w:r w:rsidRPr="009505EC">
        <w:rPr>
          <w:rFonts w:ascii="Arial" w:hAnsi="Arial" w:cs="Arial"/>
          <w:b/>
          <w:bCs/>
        </w:rPr>
        <w:t>Conclusion</w:t>
      </w:r>
    </w:p>
    <w:p w14:paraId="480E988F" w14:textId="77777777" w:rsidR="009505EC" w:rsidRPr="009505EC" w:rsidRDefault="009505EC" w:rsidP="009505EC">
      <w:pPr>
        <w:spacing w:line="360" w:lineRule="auto"/>
        <w:rPr>
          <w:rFonts w:ascii="Arial" w:hAnsi="Arial" w:cs="Arial"/>
        </w:rPr>
      </w:pPr>
      <w:r w:rsidRPr="009505EC">
        <w:rPr>
          <w:rFonts w:ascii="Arial" w:hAnsi="Arial" w:cs="Arial"/>
        </w:rPr>
        <w:t>This reflection illustrates the intricacies of language barriers in a hospitality setting and underscores the significance of effective communication in guest interactions. By investing in language training and cultural awareness, restaurants can foster inclusive environments that enhance both employee competence and customer satisfaction.</w:t>
      </w:r>
    </w:p>
    <w:p w14:paraId="72FF8E65" w14:textId="77777777" w:rsidR="009505EC" w:rsidRPr="009505EC" w:rsidRDefault="009505EC" w:rsidP="009505EC">
      <w:pPr>
        <w:spacing w:line="360" w:lineRule="auto"/>
        <w:rPr>
          <w:rFonts w:ascii="Arial" w:hAnsi="Arial" w:cs="Arial"/>
        </w:rPr>
      </w:pPr>
      <w:r w:rsidRPr="009505EC">
        <w:rPr>
          <w:rFonts w:ascii="Arial" w:hAnsi="Arial" w:cs="Arial"/>
        </w:rPr>
        <w:t>________________________________________</w:t>
      </w:r>
    </w:p>
    <w:p w14:paraId="5106C0D6" w14:textId="77777777" w:rsidR="009505EC" w:rsidRPr="009505EC" w:rsidRDefault="009505EC" w:rsidP="009505EC">
      <w:pPr>
        <w:spacing w:line="360" w:lineRule="auto"/>
        <w:rPr>
          <w:rFonts w:ascii="Arial" w:hAnsi="Arial" w:cs="Arial"/>
          <w:b/>
          <w:bCs/>
        </w:rPr>
      </w:pPr>
      <w:r w:rsidRPr="009505EC">
        <w:rPr>
          <w:rFonts w:ascii="Arial" w:hAnsi="Arial" w:cs="Arial"/>
          <w:b/>
          <w:bCs/>
        </w:rPr>
        <w:t>Component 2: Training Plan</w:t>
      </w:r>
    </w:p>
    <w:p w14:paraId="0B20AD3C" w14:textId="77777777" w:rsidR="009505EC" w:rsidRPr="009505EC" w:rsidRDefault="009505EC" w:rsidP="009505EC">
      <w:pPr>
        <w:spacing w:line="360" w:lineRule="auto"/>
        <w:rPr>
          <w:rFonts w:ascii="Arial" w:hAnsi="Arial" w:cs="Arial"/>
          <w:b/>
          <w:bCs/>
        </w:rPr>
      </w:pPr>
      <w:r w:rsidRPr="009505EC">
        <w:rPr>
          <w:rFonts w:ascii="Arial" w:hAnsi="Arial" w:cs="Arial"/>
          <w:b/>
          <w:bCs/>
        </w:rPr>
        <w:t>Introduction</w:t>
      </w:r>
    </w:p>
    <w:p w14:paraId="7FA281F4" w14:textId="77777777" w:rsidR="009505EC" w:rsidRPr="009505EC" w:rsidRDefault="009505EC" w:rsidP="009505EC">
      <w:pPr>
        <w:spacing w:line="360" w:lineRule="auto"/>
        <w:rPr>
          <w:rFonts w:ascii="Arial" w:hAnsi="Arial" w:cs="Arial"/>
        </w:rPr>
      </w:pPr>
      <w:r w:rsidRPr="009505EC">
        <w:rPr>
          <w:rFonts w:ascii="Arial" w:hAnsi="Arial" w:cs="Arial"/>
        </w:rPr>
        <w:t xml:space="preserve">Effective communication and cultural adaptability are fundamental to the hospitality industry’s success (Nickson, 2017). This section explores a structured training plan </w:t>
      </w:r>
      <w:r w:rsidRPr="009505EC">
        <w:rPr>
          <w:rFonts w:ascii="Arial" w:hAnsi="Arial" w:cs="Arial"/>
        </w:rPr>
        <w:lastRenderedPageBreak/>
        <w:t>to address linguistic challenges faced by hospitality employees, ensuring improved service delivery and professional growth.</w:t>
      </w:r>
    </w:p>
    <w:p w14:paraId="18605F76" w14:textId="77777777" w:rsidR="009505EC" w:rsidRPr="009505EC" w:rsidRDefault="009505EC" w:rsidP="009505EC">
      <w:pPr>
        <w:spacing w:line="360" w:lineRule="auto"/>
        <w:rPr>
          <w:rFonts w:ascii="Arial" w:hAnsi="Arial" w:cs="Arial"/>
          <w:b/>
          <w:bCs/>
        </w:rPr>
      </w:pPr>
      <w:r w:rsidRPr="009505EC">
        <w:rPr>
          <w:rFonts w:ascii="Arial" w:hAnsi="Arial" w:cs="Arial"/>
          <w:b/>
          <w:bCs/>
        </w:rPr>
        <w:t>Reflection on Linguistic Challenges and Professional Development</w:t>
      </w:r>
    </w:p>
    <w:p w14:paraId="443AE20C" w14:textId="77777777" w:rsidR="009505EC" w:rsidRPr="009505EC" w:rsidRDefault="009505EC" w:rsidP="009505EC">
      <w:pPr>
        <w:spacing w:line="360" w:lineRule="auto"/>
        <w:rPr>
          <w:rFonts w:ascii="Arial" w:hAnsi="Arial" w:cs="Arial"/>
        </w:rPr>
      </w:pPr>
      <w:r w:rsidRPr="009505EC">
        <w:rPr>
          <w:rFonts w:ascii="Arial" w:hAnsi="Arial" w:cs="Arial"/>
        </w:rPr>
        <w:t>Language barriers in service interactions can impact guest satisfaction and employee confidence (Gursoy, Maier, &amp; Chi, 2008). Initially, the protagonist struggled with English proficiency but recognised the need for improvement. Through mentorship and workplace exposure, language skills were gradually refined, leading to enhanced communication and service efficiency.</w:t>
      </w:r>
    </w:p>
    <w:p w14:paraId="21FEB855" w14:textId="77777777" w:rsidR="009505EC" w:rsidRPr="009505EC" w:rsidRDefault="009505EC" w:rsidP="009505EC">
      <w:pPr>
        <w:spacing w:line="360" w:lineRule="auto"/>
        <w:rPr>
          <w:rFonts w:ascii="Arial" w:hAnsi="Arial" w:cs="Arial"/>
        </w:rPr>
      </w:pPr>
      <w:r w:rsidRPr="009505EC">
        <w:rPr>
          <w:rFonts w:ascii="Arial" w:hAnsi="Arial" w:cs="Arial"/>
        </w:rPr>
        <w:t>Studies show that language training programmes significantly improve employee engagement and customer interactions (Baum &amp; Mooney, 2019). By incorporating real-life role-playing exercises, employees can practise guest interactions and menu explanations in a supportive environment.</w:t>
      </w:r>
    </w:p>
    <w:p w14:paraId="43F263C7" w14:textId="77777777" w:rsidR="009505EC" w:rsidRPr="009505EC" w:rsidRDefault="009505EC" w:rsidP="009505EC">
      <w:pPr>
        <w:spacing w:line="360" w:lineRule="auto"/>
        <w:rPr>
          <w:rFonts w:ascii="Arial" w:hAnsi="Arial" w:cs="Arial"/>
          <w:b/>
          <w:bCs/>
        </w:rPr>
      </w:pPr>
      <w:r w:rsidRPr="009505EC">
        <w:rPr>
          <w:rFonts w:ascii="Arial" w:hAnsi="Arial" w:cs="Arial"/>
          <w:b/>
          <w:bCs/>
        </w:rPr>
        <w:t>Promoting Effective Communication and Service Excellence</w:t>
      </w:r>
    </w:p>
    <w:p w14:paraId="44EAAD66" w14:textId="77777777" w:rsidR="009505EC" w:rsidRPr="009505EC" w:rsidRDefault="009505EC" w:rsidP="009505EC">
      <w:pPr>
        <w:spacing w:line="360" w:lineRule="auto"/>
        <w:rPr>
          <w:rFonts w:ascii="Arial" w:hAnsi="Arial" w:cs="Arial"/>
        </w:rPr>
      </w:pPr>
      <w:r w:rsidRPr="009505EC">
        <w:rPr>
          <w:rFonts w:ascii="Arial" w:hAnsi="Arial" w:cs="Arial"/>
        </w:rPr>
        <w:t>To enhance communication and service delivery, the following training plan is proposed:</w:t>
      </w:r>
    </w:p>
    <w:p w14:paraId="7A0AEF4D" w14:textId="77777777" w:rsidR="009505EC" w:rsidRPr="009505EC" w:rsidRDefault="009505EC" w:rsidP="009505EC">
      <w:pPr>
        <w:spacing w:line="360" w:lineRule="auto"/>
        <w:rPr>
          <w:rFonts w:ascii="Arial" w:hAnsi="Arial" w:cs="Arial"/>
        </w:rPr>
      </w:pPr>
      <w:r w:rsidRPr="009505EC">
        <w:rPr>
          <w:rFonts w:ascii="Arial" w:hAnsi="Arial" w:cs="Arial"/>
        </w:rPr>
        <w:t>1.</w:t>
      </w:r>
      <w:r w:rsidRPr="009505EC">
        <w:rPr>
          <w:rFonts w:ascii="Arial" w:hAnsi="Arial" w:cs="Arial"/>
        </w:rPr>
        <w:tab/>
        <w:t>Language Training Workshops: Weekly sessions focusing on hospitality-specific vocabulary, pronunciation, and customer interaction.</w:t>
      </w:r>
    </w:p>
    <w:p w14:paraId="108B6798" w14:textId="77777777" w:rsidR="009505EC" w:rsidRPr="009505EC" w:rsidRDefault="009505EC" w:rsidP="009505EC">
      <w:pPr>
        <w:spacing w:line="360" w:lineRule="auto"/>
        <w:rPr>
          <w:rFonts w:ascii="Arial" w:hAnsi="Arial" w:cs="Arial"/>
        </w:rPr>
      </w:pPr>
      <w:r w:rsidRPr="009505EC">
        <w:rPr>
          <w:rFonts w:ascii="Arial" w:hAnsi="Arial" w:cs="Arial"/>
        </w:rPr>
        <w:t>2.</w:t>
      </w:r>
      <w:r w:rsidRPr="009505EC">
        <w:rPr>
          <w:rFonts w:ascii="Arial" w:hAnsi="Arial" w:cs="Arial"/>
        </w:rPr>
        <w:tab/>
        <w:t>Role-Playing Exercises: Simulated guest interactions to improve clarity and confidence.</w:t>
      </w:r>
    </w:p>
    <w:p w14:paraId="4F11E731" w14:textId="77777777" w:rsidR="009505EC" w:rsidRPr="009505EC" w:rsidRDefault="009505EC" w:rsidP="009505EC">
      <w:pPr>
        <w:spacing w:line="360" w:lineRule="auto"/>
        <w:rPr>
          <w:rFonts w:ascii="Arial" w:hAnsi="Arial" w:cs="Arial"/>
        </w:rPr>
      </w:pPr>
      <w:r w:rsidRPr="009505EC">
        <w:rPr>
          <w:rFonts w:ascii="Arial" w:hAnsi="Arial" w:cs="Arial"/>
        </w:rPr>
        <w:t>3.</w:t>
      </w:r>
      <w:r w:rsidRPr="009505EC">
        <w:rPr>
          <w:rFonts w:ascii="Arial" w:hAnsi="Arial" w:cs="Arial"/>
        </w:rPr>
        <w:tab/>
        <w:t>Cultural Sensitivity Training: Understanding diverse customer expectations and service preferences (Hofstede, 2001).</w:t>
      </w:r>
    </w:p>
    <w:p w14:paraId="7CDF2CBF" w14:textId="77777777" w:rsidR="009505EC" w:rsidRPr="009505EC" w:rsidRDefault="009505EC" w:rsidP="009505EC">
      <w:pPr>
        <w:spacing w:line="360" w:lineRule="auto"/>
        <w:rPr>
          <w:rFonts w:ascii="Arial" w:hAnsi="Arial" w:cs="Arial"/>
        </w:rPr>
      </w:pPr>
      <w:r w:rsidRPr="009505EC">
        <w:rPr>
          <w:rFonts w:ascii="Arial" w:hAnsi="Arial" w:cs="Arial"/>
        </w:rPr>
        <w:t>4.</w:t>
      </w:r>
      <w:r w:rsidRPr="009505EC">
        <w:rPr>
          <w:rFonts w:ascii="Arial" w:hAnsi="Arial" w:cs="Arial"/>
        </w:rPr>
        <w:tab/>
        <w:t>Mentorship Programmes: Pairing new employees with experienced staff for hands-on learning.</w:t>
      </w:r>
    </w:p>
    <w:p w14:paraId="18C49573" w14:textId="77777777" w:rsidR="009505EC" w:rsidRPr="009505EC" w:rsidRDefault="009505EC" w:rsidP="009505EC">
      <w:pPr>
        <w:spacing w:line="360" w:lineRule="auto"/>
        <w:rPr>
          <w:rFonts w:ascii="Arial" w:hAnsi="Arial" w:cs="Arial"/>
        </w:rPr>
      </w:pPr>
      <w:r w:rsidRPr="009505EC">
        <w:rPr>
          <w:rFonts w:ascii="Arial" w:hAnsi="Arial" w:cs="Arial"/>
        </w:rPr>
        <w:t>5.</w:t>
      </w:r>
      <w:r w:rsidRPr="009505EC">
        <w:rPr>
          <w:rFonts w:ascii="Arial" w:hAnsi="Arial" w:cs="Arial"/>
        </w:rPr>
        <w:tab/>
        <w:t>Feedback Mechanism: Regular performance assessments and constructive feedback sessions.</w:t>
      </w:r>
    </w:p>
    <w:p w14:paraId="48A60C35" w14:textId="77777777" w:rsidR="009505EC" w:rsidRPr="009505EC" w:rsidRDefault="009505EC" w:rsidP="009505EC">
      <w:pPr>
        <w:spacing w:line="360" w:lineRule="auto"/>
        <w:rPr>
          <w:rFonts w:ascii="Arial" w:hAnsi="Arial" w:cs="Arial"/>
          <w:b/>
          <w:bCs/>
        </w:rPr>
      </w:pPr>
      <w:r w:rsidRPr="009505EC">
        <w:rPr>
          <w:rFonts w:ascii="Arial" w:hAnsi="Arial" w:cs="Arial"/>
          <w:b/>
          <w:bCs/>
        </w:rPr>
        <w:t>Conclusion</w:t>
      </w:r>
    </w:p>
    <w:p w14:paraId="252F2645" w14:textId="77777777" w:rsidR="009505EC" w:rsidRPr="009505EC" w:rsidRDefault="009505EC" w:rsidP="009505EC">
      <w:pPr>
        <w:spacing w:line="360" w:lineRule="auto"/>
        <w:rPr>
          <w:rFonts w:ascii="Arial" w:hAnsi="Arial" w:cs="Arial"/>
        </w:rPr>
      </w:pPr>
      <w:r w:rsidRPr="009505EC">
        <w:rPr>
          <w:rFonts w:ascii="Arial" w:hAnsi="Arial" w:cs="Arial"/>
        </w:rPr>
        <w:t xml:space="preserve">A structured training plan fosters professional growth and enhances customer experiences. By prioritising language proficiency and cultural awareness, hospitality establishments can create inclusive workplaces that cater to diverse clientele, </w:t>
      </w:r>
      <w:r w:rsidRPr="009505EC">
        <w:rPr>
          <w:rFonts w:ascii="Arial" w:hAnsi="Arial" w:cs="Arial"/>
        </w:rPr>
        <w:lastRenderedPageBreak/>
        <w:t>ultimately strengthening brand reputation and employee satisfaction (Solnet, Kralj, &amp; Baum, 2015).</w:t>
      </w:r>
    </w:p>
    <w:p w14:paraId="1CDBF6D1" w14:textId="77777777" w:rsidR="009505EC" w:rsidRPr="009505EC" w:rsidRDefault="009505EC" w:rsidP="009505EC">
      <w:pPr>
        <w:spacing w:line="360" w:lineRule="auto"/>
        <w:rPr>
          <w:rFonts w:ascii="Arial" w:hAnsi="Arial" w:cs="Arial"/>
        </w:rPr>
      </w:pPr>
      <w:r w:rsidRPr="009505EC">
        <w:rPr>
          <w:rFonts w:ascii="Arial" w:hAnsi="Arial" w:cs="Arial"/>
        </w:rPr>
        <w:t>________________________________________</w:t>
      </w:r>
    </w:p>
    <w:p w14:paraId="3D9869EC" w14:textId="77777777" w:rsidR="009505EC" w:rsidRPr="009505EC" w:rsidRDefault="009505EC" w:rsidP="009505EC">
      <w:pPr>
        <w:spacing w:line="360" w:lineRule="auto"/>
        <w:rPr>
          <w:rFonts w:ascii="Arial" w:hAnsi="Arial" w:cs="Arial"/>
          <w:b/>
          <w:bCs/>
        </w:rPr>
      </w:pPr>
      <w:r w:rsidRPr="009505EC">
        <w:rPr>
          <w:rFonts w:ascii="Arial" w:hAnsi="Arial" w:cs="Arial"/>
          <w:b/>
          <w:bCs/>
        </w:rPr>
        <w:t>Component 3: Student Self-Reflection</w:t>
      </w:r>
    </w:p>
    <w:p w14:paraId="1B244CD7" w14:textId="77777777" w:rsidR="009505EC" w:rsidRPr="009505EC" w:rsidRDefault="009505EC" w:rsidP="009505EC">
      <w:pPr>
        <w:spacing w:line="360" w:lineRule="auto"/>
        <w:rPr>
          <w:rFonts w:ascii="Arial" w:hAnsi="Arial" w:cs="Arial"/>
          <w:b/>
          <w:bCs/>
        </w:rPr>
      </w:pPr>
      <w:r w:rsidRPr="009505EC">
        <w:rPr>
          <w:rFonts w:ascii="Arial" w:hAnsi="Arial" w:cs="Arial"/>
          <w:b/>
          <w:bCs/>
        </w:rPr>
        <w:t>Introduction</w:t>
      </w:r>
    </w:p>
    <w:p w14:paraId="5AA4A03B" w14:textId="77777777" w:rsidR="009505EC" w:rsidRPr="009505EC" w:rsidRDefault="009505EC" w:rsidP="009505EC">
      <w:pPr>
        <w:spacing w:line="360" w:lineRule="auto"/>
        <w:rPr>
          <w:rFonts w:ascii="Arial" w:hAnsi="Arial" w:cs="Arial"/>
        </w:rPr>
      </w:pPr>
      <w:r w:rsidRPr="009505EC">
        <w:rPr>
          <w:rFonts w:ascii="Arial" w:hAnsi="Arial" w:cs="Arial"/>
        </w:rPr>
        <w:t>Adapting to a new country as a young adult presents linguistic and cultural challenges (Kinginger, 2013). This self-reflection explores an individual’s journey of language acquisition and cultural integration in England, highlighting personal growth and learning experiences.</w:t>
      </w:r>
    </w:p>
    <w:p w14:paraId="78A3E640" w14:textId="77777777" w:rsidR="009505EC" w:rsidRPr="009505EC" w:rsidRDefault="009505EC" w:rsidP="009505EC">
      <w:pPr>
        <w:spacing w:line="360" w:lineRule="auto"/>
        <w:rPr>
          <w:rFonts w:ascii="Arial" w:hAnsi="Arial" w:cs="Arial"/>
          <w:b/>
          <w:bCs/>
        </w:rPr>
      </w:pPr>
      <w:r w:rsidRPr="009505EC">
        <w:rPr>
          <w:rFonts w:ascii="Arial" w:hAnsi="Arial" w:cs="Arial"/>
          <w:b/>
          <w:bCs/>
        </w:rPr>
        <w:t>Reflection on Initial Challenges and Learning Endeavours</w:t>
      </w:r>
    </w:p>
    <w:p w14:paraId="42C517E4" w14:textId="77777777" w:rsidR="009505EC" w:rsidRPr="009505EC" w:rsidRDefault="009505EC" w:rsidP="009505EC">
      <w:pPr>
        <w:spacing w:line="360" w:lineRule="auto"/>
        <w:rPr>
          <w:rFonts w:ascii="Arial" w:hAnsi="Arial" w:cs="Arial"/>
        </w:rPr>
      </w:pPr>
      <w:r w:rsidRPr="009505EC">
        <w:rPr>
          <w:rFonts w:ascii="Arial" w:hAnsi="Arial" w:cs="Arial"/>
        </w:rPr>
        <w:t>Relocating to England required overcoming significant language barriers. Initial struggles included basic numeracy, grammar, and workplace communication. Research indicates that language acquisition is a key determinant of successful cultural adaptation (Ward, Bochner, &amp; Furnham, 2001).</w:t>
      </w:r>
    </w:p>
    <w:p w14:paraId="1E325C5F" w14:textId="77777777" w:rsidR="009505EC" w:rsidRPr="009505EC" w:rsidRDefault="009505EC" w:rsidP="009505EC">
      <w:pPr>
        <w:spacing w:line="360" w:lineRule="auto"/>
        <w:rPr>
          <w:rFonts w:ascii="Arial" w:hAnsi="Arial" w:cs="Arial"/>
        </w:rPr>
      </w:pPr>
      <w:r w:rsidRPr="009505EC">
        <w:rPr>
          <w:rFonts w:ascii="Arial" w:hAnsi="Arial" w:cs="Arial"/>
        </w:rPr>
        <w:t>Despite initial apprehensions, workplace interactions provided valuable learning opportunities. Engaging with diverse colleagues and customers facilitated practical language application, reinforcing the importance of immersion in language learning (Dörnyei, 2005).</w:t>
      </w:r>
    </w:p>
    <w:p w14:paraId="0D0E7A7D" w14:textId="77777777" w:rsidR="009505EC" w:rsidRPr="009505EC" w:rsidRDefault="009505EC" w:rsidP="009505EC">
      <w:pPr>
        <w:spacing w:line="360" w:lineRule="auto"/>
        <w:rPr>
          <w:rFonts w:ascii="Arial" w:hAnsi="Arial" w:cs="Arial"/>
          <w:b/>
          <w:bCs/>
        </w:rPr>
      </w:pPr>
      <w:r w:rsidRPr="009505EC">
        <w:rPr>
          <w:rFonts w:ascii="Arial" w:hAnsi="Arial" w:cs="Arial"/>
          <w:b/>
          <w:bCs/>
        </w:rPr>
        <w:t>Cultural Enrichment and Personal Growth</w:t>
      </w:r>
    </w:p>
    <w:p w14:paraId="7F7DB5F1" w14:textId="77777777" w:rsidR="009505EC" w:rsidRPr="009505EC" w:rsidRDefault="009505EC" w:rsidP="009505EC">
      <w:pPr>
        <w:spacing w:line="360" w:lineRule="auto"/>
        <w:rPr>
          <w:rFonts w:ascii="Arial" w:hAnsi="Arial" w:cs="Arial"/>
        </w:rPr>
      </w:pPr>
      <w:r w:rsidRPr="009505EC">
        <w:rPr>
          <w:rFonts w:ascii="Arial" w:hAnsi="Arial" w:cs="Arial"/>
        </w:rPr>
        <w:t>Exposure to multicultural environments fosters adaptability and broadens worldviews (Spencer-Oatey &amp; Franklin, 2009). By engaging in daily conversations and actively listening, the individual gained confidence in cross-cultural communication. Studies highlight that cultural intelligence enhances professional and personal development (Ang &amp; Van Dyne, 2015).</w:t>
      </w:r>
    </w:p>
    <w:p w14:paraId="14B9E905" w14:textId="77777777" w:rsidR="009505EC" w:rsidRPr="009505EC" w:rsidRDefault="009505EC" w:rsidP="009505EC">
      <w:pPr>
        <w:spacing w:line="360" w:lineRule="auto"/>
        <w:rPr>
          <w:rFonts w:ascii="Arial" w:hAnsi="Arial" w:cs="Arial"/>
          <w:b/>
          <w:bCs/>
        </w:rPr>
      </w:pPr>
      <w:r w:rsidRPr="009505EC">
        <w:rPr>
          <w:rFonts w:ascii="Arial" w:hAnsi="Arial" w:cs="Arial"/>
          <w:b/>
          <w:bCs/>
        </w:rPr>
        <w:t>Looking Towards the Future</w:t>
      </w:r>
    </w:p>
    <w:p w14:paraId="3B2D3211" w14:textId="77777777" w:rsidR="009505EC" w:rsidRPr="009505EC" w:rsidRDefault="009505EC" w:rsidP="009505EC">
      <w:pPr>
        <w:spacing w:line="360" w:lineRule="auto"/>
        <w:rPr>
          <w:rFonts w:ascii="Arial" w:hAnsi="Arial" w:cs="Arial"/>
        </w:rPr>
      </w:pPr>
      <w:r w:rsidRPr="009505EC">
        <w:rPr>
          <w:rFonts w:ascii="Arial" w:hAnsi="Arial" w:cs="Arial"/>
        </w:rPr>
        <w:t>Future aspirations include continued language improvement and advocacy for linguistic inclusivity. Multilingual proficiency enhances career prospects and fosters global connectivity (Crystal, 2003). A commitment to lifelong learning ensures continued personal and professional growth in diverse settings.</w:t>
      </w:r>
    </w:p>
    <w:p w14:paraId="4FE69A6E" w14:textId="77777777" w:rsidR="009505EC" w:rsidRPr="009505EC" w:rsidRDefault="009505EC" w:rsidP="009505EC">
      <w:pPr>
        <w:spacing w:line="360" w:lineRule="auto"/>
        <w:rPr>
          <w:rFonts w:ascii="Arial" w:hAnsi="Arial" w:cs="Arial"/>
          <w:b/>
          <w:bCs/>
        </w:rPr>
      </w:pPr>
      <w:r w:rsidRPr="009505EC">
        <w:rPr>
          <w:rFonts w:ascii="Arial" w:hAnsi="Arial" w:cs="Arial"/>
          <w:b/>
          <w:bCs/>
        </w:rPr>
        <w:lastRenderedPageBreak/>
        <w:t>Conclusion</w:t>
      </w:r>
    </w:p>
    <w:p w14:paraId="5CBF4926" w14:textId="77777777" w:rsidR="009505EC" w:rsidRPr="009505EC" w:rsidRDefault="009505EC" w:rsidP="009505EC">
      <w:pPr>
        <w:spacing w:line="360" w:lineRule="auto"/>
        <w:rPr>
          <w:rFonts w:ascii="Arial" w:hAnsi="Arial" w:cs="Arial"/>
        </w:rPr>
      </w:pPr>
      <w:r w:rsidRPr="009505EC">
        <w:rPr>
          <w:rFonts w:ascii="Arial" w:hAnsi="Arial" w:cs="Arial"/>
        </w:rPr>
        <w:t>This self-reflection underscores the transformative impact of linguistic and cultural adaptation. By embracing challenges and investing in self-improvement, individuals can navigate new environments with confidence, fostering cross-cultural understanding and meaningful connections.</w:t>
      </w:r>
    </w:p>
    <w:p w14:paraId="316612D1" w14:textId="77777777" w:rsidR="009505EC" w:rsidRPr="009505EC" w:rsidRDefault="009505EC" w:rsidP="009505EC">
      <w:pPr>
        <w:spacing w:line="360" w:lineRule="auto"/>
        <w:rPr>
          <w:rFonts w:ascii="Arial" w:hAnsi="Arial" w:cs="Arial"/>
        </w:rPr>
      </w:pPr>
    </w:p>
    <w:p w14:paraId="33ECB7DD" w14:textId="77777777" w:rsidR="009505EC" w:rsidRPr="009505EC" w:rsidRDefault="009505EC" w:rsidP="009505EC">
      <w:pPr>
        <w:spacing w:line="360" w:lineRule="auto"/>
        <w:rPr>
          <w:rFonts w:ascii="Arial" w:hAnsi="Arial" w:cs="Arial"/>
          <w:b/>
          <w:bCs/>
        </w:rPr>
      </w:pPr>
      <w:r w:rsidRPr="009505EC">
        <w:rPr>
          <w:rFonts w:ascii="Arial" w:hAnsi="Arial" w:cs="Arial"/>
          <w:b/>
          <w:bCs/>
        </w:rPr>
        <w:t xml:space="preserve">References: </w:t>
      </w:r>
    </w:p>
    <w:p w14:paraId="1B566E42" w14:textId="77777777" w:rsidR="009505EC" w:rsidRPr="009505EC" w:rsidRDefault="009505EC" w:rsidP="009505EC">
      <w:pPr>
        <w:spacing w:line="360" w:lineRule="auto"/>
        <w:rPr>
          <w:rFonts w:ascii="Arial" w:hAnsi="Arial" w:cs="Arial"/>
        </w:rPr>
      </w:pPr>
      <w:r w:rsidRPr="009505EC">
        <w:rPr>
          <w:rFonts w:ascii="Arial" w:hAnsi="Arial" w:cs="Arial"/>
        </w:rPr>
        <w:t>Ang, S. and Van Dyne, L. (2015) Handbook of cultural intelligence: theory, measurement, and applications. New York: Routledge.</w:t>
      </w:r>
    </w:p>
    <w:p w14:paraId="5DD08CB4" w14:textId="77777777" w:rsidR="009505EC" w:rsidRPr="009505EC" w:rsidRDefault="009505EC" w:rsidP="009505EC">
      <w:pPr>
        <w:spacing w:line="360" w:lineRule="auto"/>
        <w:rPr>
          <w:rFonts w:ascii="Arial" w:hAnsi="Arial" w:cs="Arial"/>
        </w:rPr>
      </w:pPr>
      <w:r w:rsidRPr="009505EC">
        <w:rPr>
          <w:rFonts w:ascii="Arial" w:hAnsi="Arial" w:cs="Arial"/>
        </w:rPr>
        <w:t>Baum, T. (2020) Human resource management for the hospitality and tourism industries. 2nd edn. London: Routledge.</w:t>
      </w:r>
    </w:p>
    <w:p w14:paraId="24B2AE1C" w14:textId="77777777" w:rsidR="009505EC" w:rsidRPr="009505EC" w:rsidRDefault="009505EC" w:rsidP="009505EC">
      <w:pPr>
        <w:spacing w:line="360" w:lineRule="auto"/>
        <w:rPr>
          <w:rFonts w:ascii="Arial" w:hAnsi="Arial" w:cs="Arial"/>
        </w:rPr>
      </w:pPr>
      <w:r w:rsidRPr="009505EC">
        <w:rPr>
          <w:rFonts w:ascii="Arial" w:hAnsi="Arial" w:cs="Arial"/>
        </w:rPr>
        <w:t>Baum, T. and Mooney, S. (2019) 'Perspectives on language and communication in the hospitality and tourism industry', International Journal of Hospitality Management, 83, pp. 1-7.</w:t>
      </w:r>
    </w:p>
    <w:p w14:paraId="75CE1E0B" w14:textId="77777777" w:rsidR="009505EC" w:rsidRPr="009505EC" w:rsidRDefault="009505EC" w:rsidP="009505EC">
      <w:pPr>
        <w:spacing w:line="360" w:lineRule="auto"/>
        <w:rPr>
          <w:rFonts w:ascii="Arial" w:hAnsi="Arial" w:cs="Arial"/>
        </w:rPr>
      </w:pPr>
      <w:r w:rsidRPr="009505EC">
        <w:rPr>
          <w:rFonts w:ascii="Arial" w:hAnsi="Arial" w:cs="Arial"/>
        </w:rPr>
        <w:t>Chaney, L. and Martin, J. (2019) Intercultural business communication. 6th edn. Boston: Pearson.</w:t>
      </w:r>
    </w:p>
    <w:p w14:paraId="7F637CD6" w14:textId="77777777" w:rsidR="009505EC" w:rsidRPr="009505EC" w:rsidRDefault="009505EC" w:rsidP="009505EC">
      <w:pPr>
        <w:spacing w:line="360" w:lineRule="auto"/>
        <w:rPr>
          <w:rFonts w:ascii="Arial" w:hAnsi="Arial" w:cs="Arial"/>
        </w:rPr>
      </w:pPr>
      <w:r w:rsidRPr="009505EC">
        <w:rPr>
          <w:rFonts w:ascii="Arial" w:hAnsi="Arial" w:cs="Arial"/>
        </w:rPr>
        <w:t>Crystal, D. (2003) English as a global language. 2nd edn. Cambridge: Cambridge University Press.</w:t>
      </w:r>
    </w:p>
    <w:p w14:paraId="26B90CDD" w14:textId="77777777" w:rsidR="009505EC" w:rsidRPr="009505EC" w:rsidRDefault="009505EC" w:rsidP="009505EC">
      <w:pPr>
        <w:spacing w:line="360" w:lineRule="auto"/>
        <w:rPr>
          <w:rFonts w:ascii="Arial" w:hAnsi="Arial" w:cs="Arial"/>
        </w:rPr>
      </w:pPr>
      <w:r w:rsidRPr="009505EC">
        <w:rPr>
          <w:rFonts w:ascii="Arial" w:hAnsi="Arial" w:cs="Arial"/>
        </w:rPr>
        <w:t>Dörnyei, Z. (2005) The psychology of the language learner: individual differences in second language acquisition. Mahwah, NJ: Lawrence Erlbaum Associates.</w:t>
      </w:r>
    </w:p>
    <w:p w14:paraId="242F3C26" w14:textId="77777777" w:rsidR="009505EC" w:rsidRPr="009505EC" w:rsidRDefault="009505EC" w:rsidP="009505EC">
      <w:pPr>
        <w:spacing w:line="360" w:lineRule="auto"/>
        <w:rPr>
          <w:rFonts w:ascii="Arial" w:hAnsi="Arial" w:cs="Arial"/>
        </w:rPr>
      </w:pPr>
      <w:r w:rsidRPr="009505EC">
        <w:rPr>
          <w:rFonts w:ascii="Arial" w:hAnsi="Arial" w:cs="Arial"/>
        </w:rPr>
        <w:t>Gursoy, D. and Chi, C. (2020) 'The impact of cultural distance on guest satisfaction in hospitality services', Tourism Management, 78, pp. 1-10.</w:t>
      </w:r>
    </w:p>
    <w:p w14:paraId="43234AAE" w14:textId="77777777" w:rsidR="009505EC" w:rsidRPr="009505EC" w:rsidRDefault="009505EC" w:rsidP="009505EC">
      <w:pPr>
        <w:spacing w:line="360" w:lineRule="auto"/>
        <w:rPr>
          <w:rFonts w:ascii="Arial" w:hAnsi="Arial" w:cs="Arial"/>
        </w:rPr>
      </w:pPr>
      <w:r w:rsidRPr="009505EC">
        <w:rPr>
          <w:rFonts w:ascii="Arial" w:hAnsi="Arial" w:cs="Arial"/>
        </w:rPr>
        <w:t>Gursoy, D., Maier, T. and Chi, C. (2008) 'Generational differences in work values and attitudes among frontline employees in the hospitality industry', International Journal of Hospitality Management, 27(3), pp. 448-458.</w:t>
      </w:r>
    </w:p>
    <w:p w14:paraId="3BF4DCFD" w14:textId="77777777" w:rsidR="009505EC" w:rsidRPr="009505EC" w:rsidRDefault="009505EC" w:rsidP="009505EC">
      <w:pPr>
        <w:spacing w:line="360" w:lineRule="auto"/>
        <w:rPr>
          <w:rFonts w:ascii="Arial" w:hAnsi="Arial" w:cs="Arial"/>
        </w:rPr>
      </w:pPr>
      <w:r w:rsidRPr="009505EC">
        <w:rPr>
          <w:rFonts w:ascii="Arial" w:hAnsi="Arial" w:cs="Arial"/>
        </w:rPr>
        <w:t>Hofstede, G. (2001) Culture’s consequences: comparing values, behaviours, institutions, and organisations across nations. 2nd edn. London: Sage Publications.</w:t>
      </w:r>
    </w:p>
    <w:p w14:paraId="3BCE9F57" w14:textId="77777777" w:rsidR="009505EC" w:rsidRPr="009505EC" w:rsidRDefault="009505EC" w:rsidP="009505EC">
      <w:pPr>
        <w:spacing w:line="360" w:lineRule="auto"/>
        <w:rPr>
          <w:rFonts w:ascii="Arial" w:hAnsi="Arial" w:cs="Arial"/>
        </w:rPr>
      </w:pPr>
      <w:r w:rsidRPr="009505EC">
        <w:rPr>
          <w:rFonts w:ascii="Arial" w:hAnsi="Arial" w:cs="Arial"/>
        </w:rPr>
        <w:lastRenderedPageBreak/>
        <w:t>Kandampully, J., Zhang, T. and Bilgihan, A. (2015) 'Customer loyalty: A review and future directions with a special focus on the hospitality industry', International Journal of Contemporary Hospitality Management, 27(3), pp. 379-414.</w:t>
      </w:r>
    </w:p>
    <w:p w14:paraId="00C3A6C0" w14:textId="77777777" w:rsidR="009505EC" w:rsidRPr="009505EC" w:rsidRDefault="009505EC" w:rsidP="009505EC">
      <w:pPr>
        <w:spacing w:line="360" w:lineRule="auto"/>
        <w:rPr>
          <w:rFonts w:ascii="Arial" w:hAnsi="Arial" w:cs="Arial"/>
        </w:rPr>
      </w:pPr>
      <w:r w:rsidRPr="009505EC">
        <w:rPr>
          <w:rFonts w:ascii="Arial" w:hAnsi="Arial" w:cs="Arial"/>
        </w:rPr>
        <w:t>Kinginger, C. (2013) 'Social and cultural aspects of language learning in study abroad', Language Learning Journal, 41(2), pp. 1-10.</w:t>
      </w:r>
    </w:p>
    <w:p w14:paraId="6CE0B491" w14:textId="77777777" w:rsidR="009505EC" w:rsidRPr="009505EC" w:rsidRDefault="009505EC" w:rsidP="009505EC">
      <w:pPr>
        <w:spacing w:line="360" w:lineRule="auto"/>
        <w:rPr>
          <w:rFonts w:ascii="Arial" w:hAnsi="Arial" w:cs="Arial"/>
        </w:rPr>
      </w:pPr>
      <w:r w:rsidRPr="009505EC">
        <w:rPr>
          <w:rFonts w:ascii="Arial" w:hAnsi="Arial" w:cs="Arial"/>
        </w:rPr>
        <w:t>Lashley, C. (2018) Hospitality management: a brief introduction. Oxford: Goodfellow Publishers.</w:t>
      </w:r>
    </w:p>
    <w:p w14:paraId="037C0DF3" w14:textId="77777777" w:rsidR="009505EC" w:rsidRPr="009505EC" w:rsidRDefault="009505EC" w:rsidP="009505EC">
      <w:pPr>
        <w:spacing w:line="360" w:lineRule="auto"/>
        <w:rPr>
          <w:rFonts w:ascii="Arial" w:hAnsi="Arial" w:cs="Arial"/>
        </w:rPr>
      </w:pPr>
      <w:r w:rsidRPr="009505EC">
        <w:rPr>
          <w:rFonts w:ascii="Arial" w:hAnsi="Arial" w:cs="Arial"/>
        </w:rPr>
        <w:t>Nickson, D. (2017) Human resource management for hospitality and tourism. 2nd edn. London: Routledge.</w:t>
      </w:r>
    </w:p>
    <w:p w14:paraId="492FD840" w14:textId="77777777" w:rsidR="009505EC" w:rsidRPr="009505EC" w:rsidRDefault="009505EC" w:rsidP="009505EC">
      <w:pPr>
        <w:spacing w:line="360" w:lineRule="auto"/>
        <w:rPr>
          <w:rFonts w:ascii="Arial" w:hAnsi="Arial" w:cs="Arial"/>
        </w:rPr>
      </w:pPr>
      <w:r w:rsidRPr="009505EC">
        <w:rPr>
          <w:rFonts w:ascii="Arial" w:hAnsi="Arial" w:cs="Arial"/>
        </w:rPr>
        <w:t>Solnet, D., Kralj, A. and Baum, T. (2015) 'Generation Y employees: An examination of work attitude differences in the hospitality industry', International Journal of Hospitality Management, 45, pp. 14-22.</w:t>
      </w:r>
    </w:p>
    <w:p w14:paraId="4B87F933" w14:textId="77777777" w:rsidR="009505EC" w:rsidRPr="009505EC" w:rsidRDefault="009505EC" w:rsidP="009505EC">
      <w:pPr>
        <w:spacing w:line="360" w:lineRule="auto"/>
        <w:rPr>
          <w:rFonts w:ascii="Arial" w:hAnsi="Arial" w:cs="Arial"/>
        </w:rPr>
      </w:pPr>
      <w:r w:rsidRPr="009505EC">
        <w:rPr>
          <w:rFonts w:ascii="Arial" w:hAnsi="Arial" w:cs="Arial"/>
        </w:rPr>
        <w:t>Spencer-Oatey, H. and Franklin, P. (2009) Intercultural interaction: a multidisciplinary approach to intercultural communication. Basingstoke: Palgrave Macmillan.</w:t>
      </w:r>
    </w:p>
    <w:p w14:paraId="1B145EA1" w14:textId="3A6FED39" w:rsidR="009505EC" w:rsidRDefault="009505EC" w:rsidP="009505EC">
      <w:pPr>
        <w:spacing w:line="360" w:lineRule="auto"/>
        <w:rPr>
          <w:rFonts w:ascii="Arial" w:hAnsi="Arial" w:cs="Arial"/>
        </w:rPr>
      </w:pPr>
      <w:r w:rsidRPr="009505EC">
        <w:rPr>
          <w:rFonts w:ascii="Arial" w:hAnsi="Arial" w:cs="Arial"/>
        </w:rPr>
        <w:t>Ward, C., Bochner, S. and Furnham, A. (2001) The psychology of culture shock. 2nd edn. London: Routledge.</w:t>
      </w:r>
    </w:p>
    <w:p w14:paraId="444C5794" w14:textId="77777777" w:rsidR="00EF3354" w:rsidRDefault="00EF3354" w:rsidP="009505EC">
      <w:pPr>
        <w:spacing w:line="360" w:lineRule="auto"/>
        <w:rPr>
          <w:rFonts w:ascii="Arial" w:hAnsi="Arial" w:cs="Arial"/>
        </w:rPr>
      </w:pPr>
    </w:p>
    <w:p w14:paraId="0F85E0D0" w14:textId="77777777" w:rsidR="00EF3354" w:rsidRDefault="00EF3354" w:rsidP="009505EC">
      <w:pPr>
        <w:spacing w:line="360" w:lineRule="auto"/>
        <w:rPr>
          <w:rFonts w:ascii="Arial" w:hAnsi="Arial" w:cs="Arial"/>
        </w:rPr>
      </w:pPr>
    </w:p>
    <w:p w14:paraId="21CF08BE" w14:textId="2572DE97" w:rsidR="00EF3354" w:rsidRDefault="00EF3354" w:rsidP="009505EC">
      <w:pPr>
        <w:spacing w:line="360" w:lineRule="auto"/>
        <w:rPr>
          <w:rFonts w:ascii="Arial" w:hAnsi="Arial" w:cs="Arial"/>
          <w:b/>
          <w:bCs/>
        </w:rPr>
      </w:pPr>
      <w:r w:rsidRPr="00EF3354">
        <w:rPr>
          <w:rFonts w:ascii="Arial" w:hAnsi="Arial" w:cs="Arial"/>
          <w:b/>
          <w:bCs/>
        </w:rPr>
        <w:t xml:space="preserve">Component 4: Presentation </w:t>
      </w:r>
    </w:p>
    <w:p w14:paraId="119385F8" w14:textId="77777777" w:rsidR="00EF3354" w:rsidRDefault="00EF3354" w:rsidP="009505EC">
      <w:pPr>
        <w:spacing w:line="360" w:lineRule="auto"/>
        <w:rPr>
          <w:rFonts w:ascii="Arial" w:hAnsi="Arial" w:cs="Arial"/>
          <w:b/>
          <w:bCs/>
        </w:rPr>
      </w:pPr>
    </w:p>
    <w:p w14:paraId="55F2731D" w14:textId="77777777" w:rsidR="00EF3354" w:rsidRDefault="00EF3354" w:rsidP="009505EC">
      <w:pPr>
        <w:spacing w:line="360" w:lineRule="auto"/>
        <w:rPr>
          <w:rFonts w:ascii="Arial" w:hAnsi="Arial" w:cs="Arial"/>
          <w:b/>
          <w:bCs/>
        </w:rPr>
      </w:pPr>
    </w:p>
    <w:p w14:paraId="45518650" w14:textId="17BC2F29" w:rsidR="00EF3354" w:rsidRDefault="00EF3354" w:rsidP="009505EC">
      <w:pPr>
        <w:spacing w:line="360" w:lineRule="auto"/>
        <w:rPr>
          <w:rFonts w:ascii="Arial" w:hAnsi="Arial" w:cs="Arial"/>
          <w:b/>
          <w:bCs/>
        </w:rPr>
      </w:pPr>
      <w:r w:rsidRPr="00EF3354">
        <w:rPr>
          <w:rFonts w:ascii="Arial" w:hAnsi="Arial" w:cs="Arial"/>
          <w:b/>
          <w:bCs/>
        </w:rPr>
        <w:lastRenderedPageBreak/>
        <w:drawing>
          <wp:inline distT="0" distB="0" distL="0" distR="0" wp14:anchorId="2969F689" wp14:editId="10F5CC57">
            <wp:extent cx="5731510" cy="3223895"/>
            <wp:effectExtent l="0" t="0" r="2540" b="0"/>
            <wp:docPr id="78049870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0498707" name=""/>
                    <pic:cNvPicPr/>
                  </pic:nvPicPr>
                  <pic:blipFill>
                    <a:blip r:embed="rId5">
                      <a:extLst>
                        <a:ext uri="{96DAC541-7B7A-43D3-8B79-37D633B846F1}">
                          <asvg:svgBlip xmlns:asvg="http://schemas.microsoft.com/office/drawing/2016/SVG/main" r:embed="rId6"/>
                        </a:ext>
                      </a:extLst>
                    </a:blip>
                    <a:stretch>
                      <a:fillRect/>
                    </a:stretch>
                  </pic:blipFill>
                  <pic:spPr>
                    <a:xfrm>
                      <a:off x="0" y="0"/>
                      <a:ext cx="5731510" cy="3223895"/>
                    </a:xfrm>
                    <a:prstGeom prst="rect">
                      <a:avLst/>
                    </a:prstGeom>
                  </pic:spPr>
                </pic:pic>
              </a:graphicData>
            </a:graphic>
          </wp:inline>
        </w:drawing>
      </w:r>
    </w:p>
    <w:p w14:paraId="036CEFC1" w14:textId="61E8345C" w:rsidR="00EF3354" w:rsidRDefault="00EF3354" w:rsidP="009505EC">
      <w:pPr>
        <w:spacing w:line="360" w:lineRule="auto"/>
        <w:rPr>
          <w:rFonts w:ascii="Arial" w:hAnsi="Arial" w:cs="Arial"/>
          <w:b/>
          <w:bCs/>
        </w:rPr>
      </w:pPr>
      <w:r w:rsidRPr="00EF3354">
        <w:rPr>
          <w:rFonts w:ascii="Arial" w:hAnsi="Arial" w:cs="Arial"/>
          <w:b/>
          <w:bCs/>
        </w:rPr>
        <w:drawing>
          <wp:inline distT="0" distB="0" distL="0" distR="0" wp14:anchorId="242D91E7" wp14:editId="50546663">
            <wp:extent cx="5731510" cy="3223895"/>
            <wp:effectExtent l="0" t="0" r="2540" b="0"/>
            <wp:docPr id="75226047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2260474" name=""/>
                    <pic:cNvPicPr/>
                  </pic:nvPicPr>
                  <pic:blipFill>
                    <a:blip r:embed="rId7">
                      <a:extLst>
                        <a:ext uri="{96DAC541-7B7A-43D3-8B79-37D633B846F1}">
                          <asvg:svgBlip xmlns:asvg="http://schemas.microsoft.com/office/drawing/2016/SVG/main" r:embed="rId8"/>
                        </a:ext>
                      </a:extLst>
                    </a:blip>
                    <a:stretch>
                      <a:fillRect/>
                    </a:stretch>
                  </pic:blipFill>
                  <pic:spPr>
                    <a:xfrm>
                      <a:off x="0" y="0"/>
                      <a:ext cx="5731510" cy="3223895"/>
                    </a:xfrm>
                    <a:prstGeom prst="rect">
                      <a:avLst/>
                    </a:prstGeom>
                  </pic:spPr>
                </pic:pic>
              </a:graphicData>
            </a:graphic>
          </wp:inline>
        </w:drawing>
      </w:r>
    </w:p>
    <w:p w14:paraId="53F545CA" w14:textId="25F837D0" w:rsidR="00EF3354" w:rsidRDefault="00EF3354" w:rsidP="009505EC">
      <w:pPr>
        <w:spacing w:line="360" w:lineRule="auto"/>
        <w:rPr>
          <w:rFonts w:ascii="Arial" w:hAnsi="Arial" w:cs="Arial"/>
          <w:b/>
          <w:bCs/>
        </w:rPr>
      </w:pPr>
      <w:r w:rsidRPr="00EF3354">
        <w:rPr>
          <w:rFonts w:ascii="Arial" w:hAnsi="Arial" w:cs="Arial"/>
          <w:b/>
          <w:bCs/>
        </w:rPr>
        <w:lastRenderedPageBreak/>
        <w:drawing>
          <wp:inline distT="0" distB="0" distL="0" distR="0" wp14:anchorId="3E81E906" wp14:editId="31DAFC53">
            <wp:extent cx="5731510" cy="3223895"/>
            <wp:effectExtent l="0" t="0" r="2540" b="0"/>
            <wp:docPr id="116815473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8154731" name=""/>
                    <pic:cNvPicPr/>
                  </pic:nvPicPr>
                  <pic:blipFill>
                    <a:blip r:embed="rId9">
                      <a:extLst>
                        <a:ext uri="{96DAC541-7B7A-43D3-8B79-37D633B846F1}">
                          <asvg:svgBlip xmlns:asvg="http://schemas.microsoft.com/office/drawing/2016/SVG/main" r:embed="rId10"/>
                        </a:ext>
                      </a:extLst>
                    </a:blip>
                    <a:stretch>
                      <a:fillRect/>
                    </a:stretch>
                  </pic:blipFill>
                  <pic:spPr>
                    <a:xfrm>
                      <a:off x="0" y="0"/>
                      <a:ext cx="5731510" cy="3223895"/>
                    </a:xfrm>
                    <a:prstGeom prst="rect">
                      <a:avLst/>
                    </a:prstGeom>
                  </pic:spPr>
                </pic:pic>
              </a:graphicData>
            </a:graphic>
          </wp:inline>
        </w:drawing>
      </w:r>
    </w:p>
    <w:p w14:paraId="07B44585" w14:textId="0C2BF0BC" w:rsidR="00EF3354" w:rsidRDefault="00EF3354" w:rsidP="009505EC">
      <w:pPr>
        <w:spacing w:line="360" w:lineRule="auto"/>
        <w:rPr>
          <w:rFonts w:ascii="Arial" w:hAnsi="Arial" w:cs="Arial"/>
          <w:b/>
          <w:bCs/>
        </w:rPr>
      </w:pPr>
      <w:r w:rsidRPr="00EF3354">
        <w:rPr>
          <w:rFonts w:ascii="Arial" w:hAnsi="Arial" w:cs="Arial"/>
          <w:b/>
          <w:bCs/>
        </w:rPr>
        <w:drawing>
          <wp:inline distT="0" distB="0" distL="0" distR="0" wp14:anchorId="0CBF018A" wp14:editId="038192B1">
            <wp:extent cx="5731510" cy="3223895"/>
            <wp:effectExtent l="0" t="0" r="2540" b="0"/>
            <wp:docPr id="12021218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212186"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5731510" cy="3223895"/>
                    </a:xfrm>
                    <a:prstGeom prst="rect">
                      <a:avLst/>
                    </a:prstGeom>
                  </pic:spPr>
                </pic:pic>
              </a:graphicData>
            </a:graphic>
          </wp:inline>
        </w:drawing>
      </w:r>
    </w:p>
    <w:p w14:paraId="5AA0B90E" w14:textId="1BCE64D7" w:rsidR="00EF3354" w:rsidRDefault="00EF3354" w:rsidP="009505EC">
      <w:pPr>
        <w:spacing w:line="360" w:lineRule="auto"/>
        <w:rPr>
          <w:rFonts w:ascii="Arial" w:hAnsi="Arial" w:cs="Arial"/>
          <w:b/>
          <w:bCs/>
        </w:rPr>
      </w:pPr>
      <w:r w:rsidRPr="00EF3354">
        <w:rPr>
          <w:rFonts w:ascii="Arial" w:hAnsi="Arial" w:cs="Arial"/>
          <w:b/>
          <w:bCs/>
        </w:rPr>
        <w:lastRenderedPageBreak/>
        <w:drawing>
          <wp:inline distT="0" distB="0" distL="0" distR="0" wp14:anchorId="57FF40B3" wp14:editId="65459878">
            <wp:extent cx="5731510" cy="3223895"/>
            <wp:effectExtent l="0" t="0" r="2540" b="0"/>
            <wp:docPr id="26617568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175688"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5731510" cy="3223895"/>
                    </a:xfrm>
                    <a:prstGeom prst="rect">
                      <a:avLst/>
                    </a:prstGeom>
                  </pic:spPr>
                </pic:pic>
              </a:graphicData>
            </a:graphic>
          </wp:inline>
        </w:drawing>
      </w:r>
    </w:p>
    <w:p w14:paraId="51849653" w14:textId="384C38B9" w:rsidR="00EF3354" w:rsidRDefault="00EF3354" w:rsidP="009505EC">
      <w:pPr>
        <w:spacing w:line="360" w:lineRule="auto"/>
        <w:rPr>
          <w:rFonts w:ascii="Arial" w:hAnsi="Arial" w:cs="Arial"/>
          <w:b/>
          <w:bCs/>
        </w:rPr>
      </w:pPr>
      <w:r w:rsidRPr="00EF3354">
        <w:rPr>
          <w:rFonts w:ascii="Arial" w:hAnsi="Arial" w:cs="Arial"/>
          <w:b/>
          <w:bCs/>
        </w:rPr>
        <w:drawing>
          <wp:inline distT="0" distB="0" distL="0" distR="0" wp14:anchorId="5F28F28A" wp14:editId="3810738E">
            <wp:extent cx="5731510" cy="3223895"/>
            <wp:effectExtent l="0" t="0" r="2540" b="0"/>
            <wp:docPr id="184258756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2587560"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5731510" cy="3223895"/>
                    </a:xfrm>
                    <a:prstGeom prst="rect">
                      <a:avLst/>
                    </a:prstGeom>
                  </pic:spPr>
                </pic:pic>
              </a:graphicData>
            </a:graphic>
          </wp:inline>
        </w:drawing>
      </w:r>
    </w:p>
    <w:p w14:paraId="142D3DB1" w14:textId="11C24EF7" w:rsidR="00EF3354" w:rsidRDefault="00EF3354" w:rsidP="009505EC">
      <w:pPr>
        <w:spacing w:line="360" w:lineRule="auto"/>
        <w:rPr>
          <w:rFonts w:ascii="Arial" w:hAnsi="Arial" w:cs="Arial"/>
          <w:b/>
          <w:bCs/>
        </w:rPr>
      </w:pPr>
      <w:r w:rsidRPr="00EF3354">
        <w:rPr>
          <w:rFonts w:ascii="Arial" w:hAnsi="Arial" w:cs="Arial"/>
          <w:b/>
          <w:bCs/>
        </w:rPr>
        <w:lastRenderedPageBreak/>
        <w:drawing>
          <wp:inline distT="0" distB="0" distL="0" distR="0" wp14:anchorId="665C1FC9" wp14:editId="3ACC077E">
            <wp:extent cx="5731510" cy="3223895"/>
            <wp:effectExtent l="0" t="0" r="2540" b="0"/>
            <wp:docPr id="114993073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9930731"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5731510" cy="3223895"/>
                    </a:xfrm>
                    <a:prstGeom prst="rect">
                      <a:avLst/>
                    </a:prstGeom>
                  </pic:spPr>
                </pic:pic>
              </a:graphicData>
            </a:graphic>
          </wp:inline>
        </w:drawing>
      </w:r>
    </w:p>
    <w:p w14:paraId="40144803" w14:textId="609F7DB4" w:rsidR="00EF3354" w:rsidRDefault="00EF3354" w:rsidP="009505EC">
      <w:pPr>
        <w:spacing w:line="360" w:lineRule="auto"/>
        <w:rPr>
          <w:rFonts w:ascii="Arial" w:hAnsi="Arial" w:cs="Arial"/>
          <w:b/>
          <w:bCs/>
        </w:rPr>
      </w:pPr>
      <w:r w:rsidRPr="00EF3354">
        <w:rPr>
          <w:rFonts w:ascii="Arial" w:hAnsi="Arial" w:cs="Arial"/>
          <w:b/>
          <w:bCs/>
        </w:rPr>
        <w:drawing>
          <wp:inline distT="0" distB="0" distL="0" distR="0" wp14:anchorId="61A65734" wp14:editId="09D652D7">
            <wp:extent cx="5731510" cy="3223895"/>
            <wp:effectExtent l="0" t="0" r="2540" b="0"/>
            <wp:docPr id="193197042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1970427" name=""/>
                    <pic:cNvPicPr/>
                  </pic:nvPicPr>
                  <pic:blipFill>
                    <a:blip r:embed="rId19">
                      <a:extLst>
                        <a:ext uri="{96DAC541-7B7A-43D3-8B79-37D633B846F1}">
                          <asvg:svgBlip xmlns:asvg="http://schemas.microsoft.com/office/drawing/2016/SVG/main" r:embed="rId20"/>
                        </a:ext>
                      </a:extLst>
                    </a:blip>
                    <a:stretch>
                      <a:fillRect/>
                    </a:stretch>
                  </pic:blipFill>
                  <pic:spPr>
                    <a:xfrm>
                      <a:off x="0" y="0"/>
                      <a:ext cx="5731510" cy="3223895"/>
                    </a:xfrm>
                    <a:prstGeom prst="rect">
                      <a:avLst/>
                    </a:prstGeom>
                  </pic:spPr>
                </pic:pic>
              </a:graphicData>
            </a:graphic>
          </wp:inline>
        </w:drawing>
      </w:r>
    </w:p>
    <w:p w14:paraId="7B508C8E" w14:textId="31388BDC" w:rsidR="00EF3354" w:rsidRDefault="00EF3354" w:rsidP="009505EC">
      <w:pPr>
        <w:spacing w:line="360" w:lineRule="auto"/>
        <w:rPr>
          <w:rFonts w:ascii="Arial" w:hAnsi="Arial" w:cs="Arial"/>
          <w:b/>
          <w:bCs/>
        </w:rPr>
      </w:pPr>
      <w:r w:rsidRPr="00EF3354">
        <w:rPr>
          <w:rFonts w:ascii="Arial" w:hAnsi="Arial" w:cs="Arial"/>
          <w:b/>
          <w:bCs/>
        </w:rPr>
        <w:lastRenderedPageBreak/>
        <w:drawing>
          <wp:inline distT="0" distB="0" distL="0" distR="0" wp14:anchorId="615A3EA0" wp14:editId="309D69C2">
            <wp:extent cx="5731510" cy="3223895"/>
            <wp:effectExtent l="0" t="0" r="2540" b="0"/>
            <wp:docPr id="166843194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8431942" name=""/>
                    <pic:cNvPicPr/>
                  </pic:nvPicPr>
                  <pic:blipFill>
                    <a:blip r:embed="rId21">
                      <a:extLst>
                        <a:ext uri="{96DAC541-7B7A-43D3-8B79-37D633B846F1}">
                          <asvg:svgBlip xmlns:asvg="http://schemas.microsoft.com/office/drawing/2016/SVG/main" r:embed="rId22"/>
                        </a:ext>
                      </a:extLst>
                    </a:blip>
                    <a:stretch>
                      <a:fillRect/>
                    </a:stretch>
                  </pic:blipFill>
                  <pic:spPr>
                    <a:xfrm>
                      <a:off x="0" y="0"/>
                      <a:ext cx="5731510" cy="3223895"/>
                    </a:xfrm>
                    <a:prstGeom prst="rect">
                      <a:avLst/>
                    </a:prstGeom>
                  </pic:spPr>
                </pic:pic>
              </a:graphicData>
            </a:graphic>
          </wp:inline>
        </w:drawing>
      </w:r>
    </w:p>
    <w:p w14:paraId="7E46C688" w14:textId="4349D7B3" w:rsidR="00EF3354" w:rsidRDefault="00EF3354" w:rsidP="009505EC">
      <w:pPr>
        <w:spacing w:line="360" w:lineRule="auto"/>
        <w:rPr>
          <w:rFonts w:ascii="Arial" w:hAnsi="Arial" w:cs="Arial"/>
          <w:b/>
          <w:bCs/>
        </w:rPr>
      </w:pPr>
      <w:r w:rsidRPr="00EF3354">
        <w:rPr>
          <w:rFonts w:ascii="Arial" w:hAnsi="Arial" w:cs="Arial"/>
          <w:b/>
          <w:bCs/>
        </w:rPr>
        <w:drawing>
          <wp:inline distT="0" distB="0" distL="0" distR="0" wp14:anchorId="02E4C3F9" wp14:editId="28116286">
            <wp:extent cx="5731510" cy="3223895"/>
            <wp:effectExtent l="0" t="0" r="2540" b="0"/>
            <wp:docPr id="67642560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6425604" name=""/>
                    <pic:cNvPicPr/>
                  </pic:nvPicPr>
                  <pic:blipFill>
                    <a:blip r:embed="rId23">
                      <a:extLst>
                        <a:ext uri="{96DAC541-7B7A-43D3-8B79-37D633B846F1}">
                          <asvg:svgBlip xmlns:asvg="http://schemas.microsoft.com/office/drawing/2016/SVG/main" r:embed="rId24"/>
                        </a:ext>
                      </a:extLst>
                    </a:blip>
                    <a:stretch>
                      <a:fillRect/>
                    </a:stretch>
                  </pic:blipFill>
                  <pic:spPr>
                    <a:xfrm>
                      <a:off x="0" y="0"/>
                      <a:ext cx="5731510" cy="3223895"/>
                    </a:xfrm>
                    <a:prstGeom prst="rect">
                      <a:avLst/>
                    </a:prstGeom>
                  </pic:spPr>
                </pic:pic>
              </a:graphicData>
            </a:graphic>
          </wp:inline>
        </w:drawing>
      </w:r>
    </w:p>
    <w:p w14:paraId="5E12DEDA" w14:textId="01AE4838" w:rsidR="00EF3354" w:rsidRDefault="00EF3354" w:rsidP="009505EC">
      <w:pPr>
        <w:spacing w:line="360" w:lineRule="auto"/>
        <w:rPr>
          <w:rFonts w:ascii="Arial" w:hAnsi="Arial" w:cs="Arial"/>
          <w:b/>
          <w:bCs/>
        </w:rPr>
      </w:pPr>
      <w:r w:rsidRPr="00EF3354">
        <w:rPr>
          <w:rFonts w:ascii="Arial" w:hAnsi="Arial" w:cs="Arial"/>
          <w:b/>
          <w:bCs/>
        </w:rPr>
        <w:lastRenderedPageBreak/>
        <w:drawing>
          <wp:inline distT="0" distB="0" distL="0" distR="0" wp14:anchorId="16152CB7" wp14:editId="16ECA623">
            <wp:extent cx="5731510" cy="3223895"/>
            <wp:effectExtent l="0" t="0" r="2540" b="0"/>
            <wp:docPr id="35899868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998689" name=""/>
                    <pic:cNvPicPr/>
                  </pic:nvPicPr>
                  <pic:blipFill>
                    <a:blip r:embed="rId25">
                      <a:extLst>
                        <a:ext uri="{96DAC541-7B7A-43D3-8B79-37D633B846F1}">
                          <asvg:svgBlip xmlns:asvg="http://schemas.microsoft.com/office/drawing/2016/SVG/main" r:embed="rId26"/>
                        </a:ext>
                      </a:extLst>
                    </a:blip>
                    <a:stretch>
                      <a:fillRect/>
                    </a:stretch>
                  </pic:blipFill>
                  <pic:spPr>
                    <a:xfrm>
                      <a:off x="0" y="0"/>
                      <a:ext cx="5731510" cy="3223895"/>
                    </a:xfrm>
                    <a:prstGeom prst="rect">
                      <a:avLst/>
                    </a:prstGeom>
                  </pic:spPr>
                </pic:pic>
              </a:graphicData>
            </a:graphic>
          </wp:inline>
        </w:drawing>
      </w:r>
    </w:p>
    <w:p w14:paraId="57C02567" w14:textId="4D0AAFCB" w:rsidR="00EF3354" w:rsidRPr="00EF3354" w:rsidRDefault="00EF3354" w:rsidP="009505EC">
      <w:pPr>
        <w:spacing w:line="360" w:lineRule="auto"/>
        <w:rPr>
          <w:rFonts w:ascii="Arial" w:hAnsi="Arial" w:cs="Arial"/>
          <w:b/>
          <w:bCs/>
        </w:rPr>
      </w:pPr>
      <w:r w:rsidRPr="00EF3354">
        <w:rPr>
          <w:rFonts w:ascii="Arial" w:hAnsi="Arial" w:cs="Arial"/>
          <w:b/>
          <w:bCs/>
        </w:rPr>
        <w:drawing>
          <wp:inline distT="0" distB="0" distL="0" distR="0" wp14:anchorId="2E06D18B" wp14:editId="2FB3F429">
            <wp:extent cx="5731510" cy="3223895"/>
            <wp:effectExtent l="0" t="0" r="2540" b="0"/>
            <wp:docPr id="203133489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1334890" name=""/>
                    <pic:cNvPicPr/>
                  </pic:nvPicPr>
                  <pic:blipFill>
                    <a:blip r:embed="rId27">
                      <a:extLst>
                        <a:ext uri="{96DAC541-7B7A-43D3-8B79-37D633B846F1}">
                          <asvg:svgBlip xmlns:asvg="http://schemas.microsoft.com/office/drawing/2016/SVG/main" r:embed="rId28"/>
                        </a:ext>
                      </a:extLst>
                    </a:blip>
                    <a:stretch>
                      <a:fillRect/>
                    </a:stretch>
                  </pic:blipFill>
                  <pic:spPr>
                    <a:xfrm>
                      <a:off x="0" y="0"/>
                      <a:ext cx="5731510" cy="3223895"/>
                    </a:xfrm>
                    <a:prstGeom prst="rect">
                      <a:avLst/>
                    </a:prstGeom>
                  </pic:spPr>
                </pic:pic>
              </a:graphicData>
            </a:graphic>
          </wp:inline>
        </w:drawing>
      </w:r>
    </w:p>
    <w:sectPr w:rsidR="00EF3354" w:rsidRPr="00EF3354">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E63D7D"/>
    <w:multiLevelType w:val="multilevel"/>
    <w:tmpl w:val="3DA656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139873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05EC"/>
    <w:rsid w:val="005D2A40"/>
    <w:rsid w:val="006366C0"/>
    <w:rsid w:val="009505EC"/>
    <w:rsid w:val="009E1020"/>
    <w:rsid w:val="00EF33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EA2D19"/>
  <w15:chartTrackingRefBased/>
  <w15:docId w15:val="{9D6C86AF-3F84-4F91-AE61-CC3DF0E6F2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505E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505E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505E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505E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505E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505E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505E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505E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505E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05E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505E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505E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505E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505E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505E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505E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505E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505EC"/>
    <w:rPr>
      <w:rFonts w:eastAsiaTheme="majorEastAsia" w:cstheme="majorBidi"/>
      <w:color w:val="272727" w:themeColor="text1" w:themeTint="D8"/>
    </w:rPr>
  </w:style>
  <w:style w:type="paragraph" w:styleId="Title">
    <w:name w:val="Title"/>
    <w:basedOn w:val="Normal"/>
    <w:next w:val="Normal"/>
    <w:link w:val="TitleChar"/>
    <w:uiPriority w:val="10"/>
    <w:qFormat/>
    <w:rsid w:val="009505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505E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505E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505E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505EC"/>
    <w:pPr>
      <w:spacing w:before="160"/>
      <w:jc w:val="center"/>
    </w:pPr>
    <w:rPr>
      <w:i/>
      <w:iCs/>
      <w:color w:val="404040" w:themeColor="text1" w:themeTint="BF"/>
    </w:rPr>
  </w:style>
  <w:style w:type="character" w:customStyle="1" w:styleId="QuoteChar">
    <w:name w:val="Quote Char"/>
    <w:basedOn w:val="DefaultParagraphFont"/>
    <w:link w:val="Quote"/>
    <w:uiPriority w:val="29"/>
    <w:rsid w:val="009505EC"/>
    <w:rPr>
      <w:i/>
      <w:iCs/>
      <w:color w:val="404040" w:themeColor="text1" w:themeTint="BF"/>
    </w:rPr>
  </w:style>
  <w:style w:type="paragraph" w:styleId="ListParagraph">
    <w:name w:val="List Paragraph"/>
    <w:basedOn w:val="Normal"/>
    <w:uiPriority w:val="34"/>
    <w:qFormat/>
    <w:rsid w:val="009505EC"/>
    <w:pPr>
      <w:ind w:left="720"/>
      <w:contextualSpacing/>
    </w:pPr>
  </w:style>
  <w:style w:type="character" w:styleId="IntenseEmphasis">
    <w:name w:val="Intense Emphasis"/>
    <w:basedOn w:val="DefaultParagraphFont"/>
    <w:uiPriority w:val="21"/>
    <w:qFormat/>
    <w:rsid w:val="009505EC"/>
    <w:rPr>
      <w:i/>
      <w:iCs/>
      <w:color w:val="2F5496" w:themeColor="accent1" w:themeShade="BF"/>
    </w:rPr>
  </w:style>
  <w:style w:type="paragraph" w:styleId="IntenseQuote">
    <w:name w:val="Intense Quote"/>
    <w:basedOn w:val="Normal"/>
    <w:next w:val="Normal"/>
    <w:link w:val="IntenseQuoteChar"/>
    <w:uiPriority w:val="30"/>
    <w:qFormat/>
    <w:rsid w:val="009505E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505EC"/>
    <w:rPr>
      <w:i/>
      <w:iCs/>
      <w:color w:val="2F5496" w:themeColor="accent1" w:themeShade="BF"/>
    </w:rPr>
  </w:style>
  <w:style w:type="character" w:styleId="IntenseReference">
    <w:name w:val="Intense Reference"/>
    <w:basedOn w:val="DefaultParagraphFont"/>
    <w:uiPriority w:val="32"/>
    <w:qFormat/>
    <w:rsid w:val="009505EC"/>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9067200">
      <w:bodyDiv w:val="1"/>
      <w:marLeft w:val="0"/>
      <w:marRight w:val="0"/>
      <w:marTop w:val="0"/>
      <w:marBottom w:val="0"/>
      <w:divBdr>
        <w:top w:val="none" w:sz="0" w:space="0" w:color="auto"/>
        <w:left w:val="none" w:sz="0" w:space="0" w:color="auto"/>
        <w:bottom w:val="none" w:sz="0" w:space="0" w:color="auto"/>
        <w:right w:val="none" w:sz="0" w:space="0" w:color="auto"/>
      </w:divBdr>
      <w:divsChild>
        <w:div w:id="63264665">
          <w:marLeft w:val="0"/>
          <w:marRight w:val="0"/>
          <w:marTop w:val="0"/>
          <w:marBottom w:val="0"/>
          <w:divBdr>
            <w:top w:val="none" w:sz="0" w:space="0" w:color="auto"/>
            <w:left w:val="none" w:sz="0" w:space="0" w:color="auto"/>
            <w:bottom w:val="none" w:sz="0" w:space="0" w:color="auto"/>
            <w:right w:val="none" w:sz="0" w:space="0" w:color="auto"/>
          </w:divBdr>
        </w:div>
        <w:div w:id="2007006855">
          <w:marLeft w:val="0"/>
          <w:marRight w:val="0"/>
          <w:marTop w:val="0"/>
          <w:marBottom w:val="0"/>
          <w:divBdr>
            <w:top w:val="none" w:sz="0" w:space="0" w:color="auto"/>
            <w:left w:val="none" w:sz="0" w:space="0" w:color="auto"/>
            <w:bottom w:val="none" w:sz="0" w:space="0" w:color="auto"/>
            <w:right w:val="none" w:sz="0" w:space="0" w:color="auto"/>
          </w:divBdr>
        </w:div>
      </w:divsChild>
    </w:div>
    <w:div w:id="1877545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svg"/><Relationship Id="rId13" Type="http://schemas.openxmlformats.org/officeDocument/2006/relationships/image" Target="media/image9.png"/><Relationship Id="rId18" Type="http://schemas.openxmlformats.org/officeDocument/2006/relationships/image" Target="media/image14.svg"/><Relationship Id="rId26" Type="http://schemas.openxmlformats.org/officeDocument/2006/relationships/image" Target="media/image22.svg"/><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svg"/><Relationship Id="rId17" Type="http://schemas.openxmlformats.org/officeDocument/2006/relationships/image" Target="media/image13.png"/><Relationship Id="rId25" Type="http://schemas.openxmlformats.org/officeDocument/2006/relationships/image" Target="media/image21.png"/><Relationship Id="rId2" Type="http://schemas.openxmlformats.org/officeDocument/2006/relationships/styles" Target="styles.xml"/><Relationship Id="rId16" Type="http://schemas.openxmlformats.org/officeDocument/2006/relationships/image" Target="media/image12.svg"/><Relationship Id="rId20" Type="http://schemas.openxmlformats.org/officeDocument/2006/relationships/image" Target="media/image16.sv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svg"/><Relationship Id="rId11" Type="http://schemas.openxmlformats.org/officeDocument/2006/relationships/image" Target="media/image7.png"/><Relationship Id="rId24" Type="http://schemas.openxmlformats.org/officeDocument/2006/relationships/image" Target="media/image20.sv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svg"/><Relationship Id="rId10" Type="http://schemas.openxmlformats.org/officeDocument/2006/relationships/image" Target="media/image6.sv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svg"/><Relationship Id="rId22" Type="http://schemas.openxmlformats.org/officeDocument/2006/relationships/image" Target="media/image18.svg"/><Relationship Id="rId27" Type="http://schemas.openxmlformats.org/officeDocument/2006/relationships/image" Target="media/image23.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1418</Words>
  <Characters>8089</Characters>
  <Application>Microsoft Office Word</Application>
  <DocSecurity>0</DocSecurity>
  <Lines>67</Lines>
  <Paragraphs>18</Paragraphs>
  <ScaleCrop>false</ScaleCrop>
  <Company/>
  <LinksUpToDate>false</LinksUpToDate>
  <CharactersWithSpaces>9489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Buture</dc:creator>
  <cp:keywords/>
  <dc:description/>
  <cp:lastModifiedBy>Irina Buture</cp:lastModifiedBy>
  <cp:revision>3</cp:revision>
  <dcterms:created xsi:type="dcterms:W3CDTF">2025-02-25T09:00:00Z</dcterms:created>
  <dcterms:modified xsi:type="dcterms:W3CDTF">2025-02-25T09:35:00Z</dcterms:modified>
</cp:coreProperties>
</file>