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57E5" w:rsidRPr="00AF3491" w:rsidRDefault="00364DE8" w:rsidP="002B60B5">
      <w:pPr>
        <w:spacing w:line="480" w:lineRule="auto"/>
        <w:jc w:val="center"/>
      </w:pPr>
      <w:hyperlink r:id="rId8" w:history="1">
        <w:r>
          <w:rPr>
            <w:rStyle w:val="Hyperlink"/>
            <w:rFonts w:ascii="Segoe UI" w:hAnsi="Segoe UI" w:cs="Segoe UI"/>
            <w:color w:val="00090E"/>
            <w:sz w:val="23"/>
            <w:szCs w:val="23"/>
            <w:shd w:val="clear" w:color="auto" w:fill="FBF7F5"/>
          </w:rPr>
          <w:t>1920733</w:t>
        </w:r>
      </w:hyperlink>
    </w:p>
    <w:p w:rsidR="00F857E5" w:rsidRPr="00AF3491" w:rsidRDefault="00F857E5" w:rsidP="002B60B5">
      <w:pPr>
        <w:spacing w:line="480" w:lineRule="auto"/>
        <w:jc w:val="center"/>
      </w:pPr>
    </w:p>
    <w:p w:rsidR="00A77B3E" w:rsidRPr="00AF3491" w:rsidRDefault="005B38AE" w:rsidP="002B60B5">
      <w:pPr>
        <w:spacing w:line="480" w:lineRule="auto"/>
        <w:jc w:val="center"/>
      </w:pPr>
    </w:p>
    <w:p w:rsidR="00AF3491" w:rsidRPr="00AF3491" w:rsidRDefault="00AF3491" w:rsidP="002B60B5">
      <w:pPr>
        <w:spacing w:line="480" w:lineRule="auto"/>
        <w:jc w:val="center"/>
        <w:rPr>
          <w:b/>
        </w:rPr>
      </w:pPr>
    </w:p>
    <w:p w:rsidR="00A77B3E" w:rsidRDefault="00140F71" w:rsidP="002B60B5">
      <w:pPr>
        <w:spacing w:line="480" w:lineRule="auto"/>
        <w:jc w:val="center"/>
        <w:rPr>
          <w:b/>
        </w:rPr>
      </w:pPr>
      <w:r>
        <w:rPr>
          <w:b/>
        </w:rPr>
        <w:t>Accounting Fundamentals</w:t>
      </w:r>
    </w:p>
    <w:p w:rsidR="00140F71" w:rsidRPr="00AF3491" w:rsidRDefault="00140F71" w:rsidP="002B60B5">
      <w:pPr>
        <w:spacing w:line="480" w:lineRule="auto"/>
        <w:jc w:val="center"/>
        <w:rPr>
          <w:b/>
        </w:rPr>
      </w:pPr>
      <w:r>
        <w:t>LCBB4001</w:t>
      </w:r>
    </w:p>
    <w:p w:rsidR="004D7F7F" w:rsidRPr="00AF3491" w:rsidRDefault="004D7F7F" w:rsidP="002B60B5">
      <w:pPr>
        <w:spacing w:line="480" w:lineRule="auto"/>
        <w:jc w:val="center"/>
        <w:rPr>
          <w:b/>
        </w:rPr>
      </w:pPr>
    </w:p>
    <w:p w:rsidR="00F857E5" w:rsidRDefault="008F1DB2" w:rsidP="002B60B5">
      <w:pPr>
        <w:spacing w:line="480" w:lineRule="auto"/>
        <w:jc w:val="center"/>
      </w:pPr>
      <w:r w:rsidRPr="00AF3491">
        <w:t>Student’s Name</w:t>
      </w:r>
      <w:r w:rsidR="005B70EC" w:rsidRPr="00AF3491">
        <w:t xml:space="preserve"> </w:t>
      </w:r>
    </w:p>
    <w:p w:rsidR="00140F71" w:rsidRPr="00AF3491" w:rsidRDefault="00140F71" w:rsidP="002B60B5">
      <w:pPr>
        <w:spacing w:line="480" w:lineRule="auto"/>
        <w:jc w:val="center"/>
      </w:pPr>
      <w:r>
        <w:t xml:space="preserve">Cristian Mihail Grigore </w:t>
      </w:r>
      <w:hyperlink r:id="rId9" w:history="1">
        <w:r>
          <w:rPr>
            <w:rStyle w:val="Hyperlink"/>
            <w:rFonts w:ascii="Segoe UI" w:hAnsi="Segoe UI" w:cs="Segoe UI"/>
            <w:color w:val="00090E"/>
            <w:sz w:val="23"/>
            <w:szCs w:val="23"/>
            <w:shd w:val="clear" w:color="auto" w:fill="FBF7F5"/>
          </w:rPr>
          <w:t>1920733</w:t>
        </w:r>
      </w:hyperlink>
    </w:p>
    <w:p w:rsidR="00140F71" w:rsidRPr="00AF3491" w:rsidRDefault="008F1DB2" w:rsidP="00140F71">
      <w:pPr>
        <w:spacing w:line="480" w:lineRule="auto"/>
        <w:jc w:val="center"/>
      </w:pPr>
      <w:r w:rsidRPr="00AF3491">
        <w:t>University</w:t>
      </w:r>
      <w:r w:rsidR="00140F71">
        <w:t xml:space="preserve"> of Wales</w:t>
      </w:r>
    </w:p>
    <w:p w:rsidR="00F857E5" w:rsidRDefault="008F1DB2" w:rsidP="002B60B5">
      <w:pPr>
        <w:spacing w:line="480" w:lineRule="auto"/>
        <w:jc w:val="center"/>
      </w:pPr>
      <w:r w:rsidRPr="00AF3491">
        <w:t>Professor</w:t>
      </w:r>
    </w:p>
    <w:p w:rsidR="00140F71" w:rsidRPr="00AF3491" w:rsidRDefault="00140F71" w:rsidP="002B60B5">
      <w:pPr>
        <w:spacing w:line="480" w:lineRule="auto"/>
        <w:jc w:val="center"/>
      </w:pPr>
      <w:r>
        <w:t>Widin Bongasu Sha’ven</w:t>
      </w:r>
    </w:p>
    <w:p w:rsidR="00F857E5" w:rsidRDefault="008F1DB2" w:rsidP="002B60B5">
      <w:pPr>
        <w:spacing w:line="480" w:lineRule="auto"/>
        <w:jc w:val="center"/>
      </w:pPr>
      <w:r w:rsidRPr="00AF3491">
        <w:t>Date</w:t>
      </w:r>
    </w:p>
    <w:p w:rsidR="00140F71" w:rsidRPr="00AF3491" w:rsidRDefault="00140F71" w:rsidP="002B60B5">
      <w:pPr>
        <w:spacing w:line="480" w:lineRule="auto"/>
        <w:jc w:val="center"/>
      </w:pPr>
      <w:r>
        <w:t>13.11.2020</w:t>
      </w:r>
    </w:p>
    <w:p w:rsidR="00F857E5" w:rsidRPr="00AF3491" w:rsidRDefault="00F857E5" w:rsidP="002B60B5">
      <w:pPr>
        <w:spacing w:line="480" w:lineRule="auto"/>
      </w:pPr>
      <w:r w:rsidRPr="00AF3491">
        <w:br w:type="page"/>
      </w:r>
    </w:p>
    <w:p w:rsidR="00AF3491" w:rsidRDefault="00AF3491" w:rsidP="00AF3491">
      <w:pPr>
        <w:spacing w:after="160" w:line="259" w:lineRule="auto"/>
        <w:contextualSpacing w:val="0"/>
        <w:jc w:val="center"/>
        <w:rPr>
          <w:rFonts w:eastAsiaTheme="minorHAnsi"/>
          <w:lang w:val="en-CA"/>
        </w:rPr>
      </w:pPr>
      <w:r>
        <w:rPr>
          <w:rFonts w:eastAsiaTheme="minorHAnsi"/>
          <w:lang w:val="en-CA"/>
        </w:rPr>
        <w:lastRenderedPageBreak/>
        <w:t>Finance &amp; Accounting</w:t>
      </w:r>
    </w:p>
    <w:p w:rsidR="00AF3491" w:rsidRPr="00AF3491" w:rsidRDefault="00AF3491" w:rsidP="00AF3491">
      <w:pPr>
        <w:spacing w:after="160" w:line="259" w:lineRule="auto"/>
        <w:contextualSpacing w:val="0"/>
        <w:rPr>
          <w:rFonts w:eastAsiaTheme="minorHAnsi"/>
          <w:lang w:val="en-CA"/>
        </w:rPr>
      </w:pPr>
      <w:r w:rsidRPr="00AF3491">
        <w:rPr>
          <w:rFonts w:eastAsiaTheme="minorHAnsi"/>
          <w:lang w:val="en-CA"/>
        </w:rPr>
        <w:t>Question 1</w:t>
      </w:r>
    </w:p>
    <w:p w:rsidR="00AF3491" w:rsidRPr="00AF3491" w:rsidRDefault="00AF3491" w:rsidP="00AF3491">
      <w:pPr>
        <w:numPr>
          <w:ilvl w:val="0"/>
          <w:numId w:val="3"/>
        </w:numPr>
        <w:spacing w:after="160" w:line="259" w:lineRule="auto"/>
        <w:contextualSpacing w:val="0"/>
        <w:rPr>
          <w:rFonts w:eastAsiaTheme="minorHAnsi"/>
          <w:lang w:val="en-CA"/>
        </w:rPr>
      </w:pPr>
    </w:p>
    <w:tbl>
      <w:tblPr>
        <w:tblStyle w:val="TableGrid"/>
        <w:tblW w:w="0" w:type="auto"/>
        <w:tblLook w:val="04A0"/>
      </w:tblPr>
      <w:tblGrid>
        <w:gridCol w:w="5035"/>
        <w:gridCol w:w="1980"/>
      </w:tblGrid>
      <w:tr w:rsidR="00AF3491" w:rsidRPr="00AF3491" w:rsidTr="002355B7">
        <w:trPr>
          <w:trHeight w:val="315"/>
        </w:trPr>
        <w:tc>
          <w:tcPr>
            <w:tcW w:w="7015" w:type="dxa"/>
            <w:gridSpan w:val="2"/>
            <w:noWrap/>
            <w:hideMark/>
          </w:tcPr>
          <w:p w:rsidR="00AF3491" w:rsidRPr="00AF3491" w:rsidRDefault="00AF3491" w:rsidP="00AF3491">
            <w:pPr>
              <w:contextualSpacing w:val="0"/>
              <w:jc w:val="center"/>
              <w:rPr>
                <w:rFonts w:ascii="Times New Roman" w:hAnsi="Times New Roman" w:cs="Times New Roman"/>
                <w:lang w:val="en-CA"/>
              </w:rPr>
            </w:pPr>
            <w:r w:rsidRPr="00AF3491">
              <w:rPr>
                <w:rFonts w:ascii="Times New Roman" w:hAnsi="Times New Roman" w:cs="Times New Roman"/>
                <w:lang w:val="en-CA"/>
              </w:rPr>
              <w:t>Eccles plc</w:t>
            </w:r>
          </w:p>
          <w:p w:rsidR="00AF3491" w:rsidRPr="00AF3491" w:rsidRDefault="00AF3491" w:rsidP="00AF3491">
            <w:pPr>
              <w:contextualSpacing w:val="0"/>
              <w:jc w:val="center"/>
              <w:rPr>
                <w:rFonts w:ascii="Times New Roman" w:hAnsi="Times New Roman" w:cs="Times New Roman"/>
                <w:lang w:val="en-CA"/>
              </w:rPr>
            </w:pPr>
            <w:r w:rsidRPr="00AF3491">
              <w:rPr>
                <w:rFonts w:ascii="Times New Roman" w:hAnsi="Times New Roman" w:cs="Times New Roman"/>
                <w:lang w:val="en-CA"/>
              </w:rPr>
              <w:t>Income Statement</w:t>
            </w:r>
          </w:p>
          <w:p w:rsidR="00AF3491" w:rsidRPr="00AF3491" w:rsidRDefault="00AF3491" w:rsidP="00AF3491">
            <w:pPr>
              <w:contextualSpacing w:val="0"/>
              <w:jc w:val="center"/>
              <w:rPr>
                <w:rFonts w:ascii="Times New Roman" w:hAnsi="Times New Roman" w:cs="Times New Roman"/>
              </w:rPr>
            </w:pPr>
            <w:r w:rsidRPr="00AF3491">
              <w:rPr>
                <w:rFonts w:ascii="Times New Roman" w:hAnsi="Times New Roman" w:cs="Times New Roman"/>
                <w:lang w:val="en-CA"/>
              </w:rPr>
              <w:t>For the year ended 31st December 2019 (in million Euros)</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Revenues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826,650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Cost of sales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578,650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Gross Profit</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248,000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Distribution Costs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(28,000)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Administrative Expenses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(30,000)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Commission Paid</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(3,000)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Directors Remuneration</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(5,000)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Operating Income</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182,000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Interest Paid</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(2,000)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Profit/Loss before taxation</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180,000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Taxation</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(68,000)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Profit for the year</w:t>
            </w:r>
          </w:p>
        </w:tc>
        <w:tc>
          <w:tcPr>
            <w:tcW w:w="1980"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112,000</w:t>
            </w:r>
          </w:p>
        </w:tc>
      </w:tr>
    </w:tbl>
    <w:p w:rsidR="00AF3491" w:rsidRPr="00AF3491" w:rsidRDefault="00AF3491" w:rsidP="00AF3491">
      <w:pPr>
        <w:spacing w:after="160" w:line="259" w:lineRule="auto"/>
        <w:contextualSpacing w:val="0"/>
        <w:rPr>
          <w:rFonts w:eastAsiaTheme="minorHAnsi"/>
          <w:lang w:val="en-CA"/>
        </w:rPr>
      </w:pPr>
    </w:p>
    <w:tbl>
      <w:tblPr>
        <w:tblStyle w:val="TableGrid"/>
        <w:tblW w:w="0" w:type="auto"/>
        <w:tblLook w:val="04A0"/>
      </w:tblPr>
      <w:tblGrid>
        <w:gridCol w:w="5035"/>
        <w:gridCol w:w="1980"/>
      </w:tblGrid>
      <w:tr w:rsidR="00AF3491" w:rsidRPr="00AF3491" w:rsidTr="002355B7">
        <w:trPr>
          <w:trHeight w:val="315"/>
        </w:trPr>
        <w:tc>
          <w:tcPr>
            <w:tcW w:w="7015" w:type="dxa"/>
            <w:gridSpan w:val="2"/>
            <w:noWrap/>
            <w:hideMark/>
          </w:tcPr>
          <w:p w:rsidR="00AF3491" w:rsidRPr="00AF3491" w:rsidRDefault="00AF3491" w:rsidP="00AF3491">
            <w:pPr>
              <w:contextualSpacing w:val="0"/>
              <w:jc w:val="center"/>
              <w:rPr>
                <w:rFonts w:ascii="Times New Roman" w:hAnsi="Times New Roman" w:cs="Times New Roman"/>
                <w:lang w:val="en-CA"/>
              </w:rPr>
            </w:pPr>
            <w:r w:rsidRPr="00AF3491">
              <w:rPr>
                <w:rFonts w:ascii="Times New Roman" w:hAnsi="Times New Roman" w:cs="Times New Roman"/>
                <w:lang w:val="en-CA"/>
              </w:rPr>
              <w:t>Eccles plc</w:t>
            </w:r>
          </w:p>
          <w:p w:rsidR="00AF3491" w:rsidRPr="00AF3491" w:rsidRDefault="00AF3491" w:rsidP="00AF3491">
            <w:pPr>
              <w:contextualSpacing w:val="0"/>
              <w:jc w:val="center"/>
              <w:rPr>
                <w:rFonts w:ascii="Times New Roman" w:hAnsi="Times New Roman" w:cs="Times New Roman"/>
                <w:lang w:val="en-CA"/>
              </w:rPr>
            </w:pPr>
            <w:r w:rsidRPr="00AF3491">
              <w:rPr>
                <w:rFonts w:ascii="Times New Roman" w:hAnsi="Times New Roman" w:cs="Times New Roman"/>
                <w:lang w:val="en-CA"/>
              </w:rPr>
              <w:t>Balance Sheet</w:t>
            </w:r>
          </w:p>
          <w:p w:rsidR="00AF3491" w:rsidRPr="00AF3491" w:rsidRDefault="00AF3491" w:rsidP="00AF3491">
            <w:pPr>
              <w:contextualSpacing w:val="0"/>
              <w:jc w:val="center"/>
              <w:rPr>
                <w:rFonts w:ascii="Times New Roman" w:hAnsi="Times New Roman" w:cs="Times New Roman"/>
              </w:rPr>
            </w:pPr>
            <w:r w:rsidRPr="00AF3491">
              <w:rPr>
                <w:rFonts w:ascii="Times New Roman" w:hAnsi="Times New Roman" w:cs="Times New Roman"/>
                <w:lang w:val="en-CA"/>
              </w:rPr>
              <w:t>As at 31</w:t>
            </w:r>
            <w:r w:rsidRPr="00AF3491">
              <w:rPr>
                <w:rFonts w:ascii="Times New Roman" w:hAnsi="Times New Roman" w:cs="Times New Roman"/>
                <w:vertAlign w:val="superscript"/>
                <w:lang w:val="en-CA"/>
              </w:rPr>
              <w:t>st</w:t>
            </w:r>
            <w:r w:rsidRPr="00AF3491">
              <w:rPr>
                <w:rFonts w:ascii="Times New Roman" w:hAnsi="Times New Roman" w:cs="Times New Roman"/>
                <w:lang w:val="en-CA"/>
              </w:rPr>
              <w:t xml:space="preserve"> December 2019 (in million Euros)</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Non-current Assets</w:t>
            </w:r>
          </w:p>
        </w:tc>
        <w:tc>
          <w:tcPr>
            <w:tcW w:w="198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Plant and Equipment</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632,730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p>
        </w:tc>
        <w:tc>
          <w:tcPr>
            <w:tcW w:w="198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Current Assets</w:t>
            </w:r>
          </w:p>
        </w:tc>
        <w:tc>
          <w:tcPr>
            <w:tcW w:w="198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Inventory</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329,620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Accounts Receivables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171,105</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 xml:space="preserve">Cash and Bank </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9,900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510,625</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 xml:space="preserve">Total Assets </w:t>
            </w:r>
          </w:p>
        </w:tc>
        <w:tc>
          <w:tcPr>
            <w:tcW w:w="1980"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1,143,355</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p>
        </w:tc>
        <w:tc>
          <w:tcPr>
            <w:tcW w:w="198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Current Liabilities</w:t>
            </w:r>
          </w:p>
        </w:tc>
        <w:tc>
          <w:tcPr>
            <w:tcW w:w="198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Trade Creditors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171,355</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171,355</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Non-current liabilities</w:t>
            </w:r>
          </w:p>
        </w:tc>
        <w:tc>
          <w:tcPr>
            <w:tcW w:w="198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4% Debentures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100,000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Net Assets</w:t>
            </w:r>
          </w:p>
        </w:tc>
        <w:tc>
          <w:tcPr>
            <w:tcW w:w="1980"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872,000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p>
        </w:tc>
        <w:tc>
          <w:tcPr>
            <w:tcW w:w="198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lastRenderedPageBreak/>
              <w:t xml:space="preserve">Equity </w:t>
            </w:r>
          </w:p>
        </w:tc>
        <w:tc>
          <w:tcPr>
            <w:tcW w:w="198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 ordinary shares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310,000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10% £1 preference shares</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300,000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 xml:space="preserve">Retained earnings </w:t>
            </w:r>
          </w:p>
        </w:tc>
        <w:tc>
          <w:tcPr>
            <w:tcW w:w="198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262,000</w:t>
            </w:r>
          </w:p>
        </w:tc>
      </w:tr>
      <w:tr w:rsidR="00AF3491" w:rsidRPr="00AF3491" w:rsidTr="002355B7">
        <w:trPr>
          <w:trHeight w:val="315"/>
        </w:trPr>
        <w:tc>
          <w:tcPr>
            <w:tcW w:w="5035" w:type="dxa"/>
            <w:noWrap/>
            <w:hideMark/>
          </w:tcPr>
          <w:p w:rsidR="00AF3491" w:rsidRPr="00AF3491" w:rsidRDefault="00AF3491" w:rsidP="00AF3491">
            <w:pPr>
              <w:contextualSpacing w:val="0"/>
              <w:rPr>
                <w:rFonts w:ascii="Times New Roman" w:hAnsi="Times New Roman" w:cs="Times New Roman"/>
                <w:b/>
                <w:bCs/>
                <w:lang w:val="en-CA"/>
              </w:rPr>
            </w:pPr>
          </w:p>
        </w:tc>
        <w:tc>
          <w:tcPr>
            <w:tcW w:w="1980"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872,000</w:t>
            </w:r>
          </w:p>
        </w:tc>
      </w:tr>
    </w:tbl>
    <w:p w:rsidR="00AF3491" w:rsidRPr="00AF3491" w:rsidRDefault="00AF3491" w:rsidP="00AF3491">
      <w:pPr>
        <w:spacing w:after="160" w:line="259" w:lineRule="auto"/>
        <w:contextualSpacing w:val="0"/>
        <w:rPr>
          <w:rFonts w:eastAsiaTheme="minorHAnsi"/>
          <w:lang w:val="en-CA"/>
        </w:rPr>
      </w:pPr>
    </w:p>
    <w:p w:rsidR="00AF3491" w:rsidRPr="00AF3491" w:rsidRDefault="00AF3491" w:rsidP="00AF3491">
      <w:pPr>
        <w:numPr>
          <w:ilvl w:val="0"/>
          <w:numId w:val="3"/>
        </w:numPr>
        <w:spacing w:after="160" w:line="259" w:lineRule="auto"/>
        <w:contextualSpacing w:val="0"/>
        <w:rPr>
          <w:rFonts w:eastAsiaTheme="minorHAnsi"/>
          <w:lang w:val="en-CA"/>
        </w:rPr>
      </w:pPr>
    </w:p>
    <w:p w:rsidR="00AF3491" w:rsidRPr="00AF3491" w:rsidRDefault="00AF3491" w:rsidP="00AF3491">
      <w:pPr>
        <w:spacing w:after="160" w:line="480" w:lineRule="auto"/>
        <w:ind w:firstLine="720"/>
        <w:contextualSpacing w:val="0"/>
        <w:rPr>
          <w:rFonts w:eastAsiaTheme="minorHAnsi"/>
          <w:lang w:val="en-CA"/>
        </w:rPr>
      </w:pPr>
      <w:r w:rsidRPr="00AF3491">
        <w:rPr>
          <w:rFonts w:eastAsiaTheme="minorHAnsi"/>
          <w:lang w:val="en-CA"/>
        </w:rPr>
        <w:t>The statement of financial position is also known as the balance or the statement of financial position. It shows the entity’s financial status or position at the end of the specified fiscal year (Weygandt, Kieso &amp; Kell, 2008). The statement comprises of three key elements, i.e., assets, liabilities, and shareholders’ equity. Normally, the balance sheet is structured in a manner that the total assets minus the total liabilities equal to the shareholders’ equity. In other instances, the balance sheet is structured in a way that the total assets equal to the sum of total liabilities and shareholders’ equity. Regardless of the approach, the balance sheet normally balances. That’s the reason it is called the balance sheet. The reason why a balance sheet balances always is because assets are financed by both internal and external sources, including share capital, retained earnings, trade creditors, bank loans, etc. Since total assets are financed by share capital, profits, and borrowings, then the balance sheet must balance (Weygandt, Kieso &amp; Kell, 2008).</w:t>
      </w:r>
    </w:p>
    <w:p w:rsidR="00AF3491" w:rsidRPr="00AF3491" w:rsidRDefault="00AF3491" w:rsidP="00AF3491">
      <w:pPr>
        <w:spacing w:after="160" w:line="259" w:lineRule="auto"/>
        <w:contextualSpacing w:val="0"/>
        <w:jc w:val="center"/>
        <w:rPr>
          <w:rFonts w:eastAsiaTheme="minorHAnsi"/>
          <w:b/>
          <w:bCs/>
          <w:lang w:val="en-CA"/>
        </w:rPr>
      </w:pPr>
      <w:r w:rsidRPr="00AF3491">
        <w:rPr>
          <w:rFonts w:eastAsiaTheme="minorHAnsi"/>
          <w:b/>
          <w:bCs/>
          <w:lang w:val="en-CA"/>
        </w:rPr>
        <w:t>Question 2</w:t>
      </w:r>
    </w:p>
    <w:p w:rsidR="00AF3491" w:rsidRPr="00AF3491" w:rsidRDefault="00AF3491" w:rsidP="00AF3491">
      <w:pPr>
        <w:numPr>
          <w:ilvl w:val="0"/>
          <w:numId w:val="4"/>
        </w:numPr>
        <w:spacing w:after="160" w:line="259" w:lineRule="auto"/>
        <w:contextualSpacing w:val="0"/>
        <w:rPr>
          <w:rFonts w:eastAsiaTheme="minorHAnsi"/>
          <w:lang w:val="en-CA"/>
        </w:rPr>
      </w:pPr>
    </w:p>
    <w:tbl>
      <w:tblPr>
        <w:tblStyle w:val="TableGrid"/>
        <w:tblW w:w="0" w:type="auto"/>
        <w:tblLook w:val="0000"/>
      </w:tblPr>
      <w:tblGrid>
        <w:gridCol w:w="3777"/>
        <w:gridCol w:w="1798"/>
        <w:gridCol w:w="1620"/>
      </w:tblGrid>
      <w:tr w:rsidR="00AF3491" w:rsidRPr="00AF3491" w:rsidTr="002355B7">
        <w:trPr>
          <w:trHeight w:val="240"/>
        </w:trPr>
        <w:tc>
          <w:tcPr>
            <w:tcW w:w="7195" w:type="dxa"/>
            <w:gridSpan w:val="3"/>
          </w:tcPr>
          <w:p w:rsidR="00AF3491" w:rsidRPr="00AF3491" w:rsidRDefault="00AF3491" w:rsidP="00AF3491">
            <w:pPr>
              <w:contextualSpacing w:val="0"/>
              <w:jc w:val="center"/>
              <w:rPr>
                <w:rFonts w:ascii="Times New Roman" w:hAnsi="Times New Roman" w:cs="Times New Roman"/>
                <w:lang w:val="en-CA"/>
              </w:rPr>
            </w:pPr>
            <w:r w:rsidRPr="00AF3491">
              <w:rPr>
                <w:rFonts w:ascii="Times New Roman" w:hAnsi="Times New Roman" w:cs="Times New Roman"/>
                <w:lang w:val="en-CA"/>
              </w:rPr>
              <w:t>Chocco plc Financial Ratios</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b/>
                <w:bCs/>
              </w:rPr>
            </w:pPr>
            <w:r w:rsidRPr="00AF3491">
              <w:rPr>
                <w:rFonts w:ascii="Times New Roman" w:hAnsi="Times New Roman" w:cs="Times New Roman"/>
                <w:b/>
                <w:bCs/>
                <w:lang w:val="en-CA"/>
              </w:rPr>
              <w:t>Liquidity Ratios</w:t>
            </w:r>
          </w:p>
        </w:tc>
        <w:tc>
          <w:tcPr>
            <w:tcW w:w="1798" w:type="dxa"/>
            <w:noWrap/>
            <w:hideMark/>
          </w:tcPr>
          <w:p w:rsidR="00AF3491" w:rsidRPr="00AF3491" w:rsidRDefault="00AF3491" w:rsidP="00AF3491">
            <w:pPr>
              <w:contextualSpacing w:val="0"/>
              <w:rPr>
                <w:rFonts w:ascii="Times New Roman" w:hAnsi="Times New Roman" w:cs="Times New Roman"/>
                <w:b/>
                <w:bCs/>
                <w:lang w:val="en-CA"/>
              </w:rPr>
            </w:pPr>
          </w:p>
        </w:tc>
        <w:tc>
          <w:tcPr>
            <w:tcW w:w="162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Current Ratio</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0.91716</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0.77315</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Quick Ratio</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0.63521</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0.5568</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 xml:space="preserve">Working Capital Ratio </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 £208M</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-£691M</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p>
        </w:tc>
        <w:tc>
          <w:tcPr>
            <w:tcW w:w="1798" w:type="dxa"/>
            <w:noWrap/>
            <w:hideMark/>
          </w:tcPr>
          <w:p w:rsidR="00AF3491" w:rsidRPr="00AF3491" w:rsidRDefault="00AF3491" w:rsidP="00AF3491">
            <w:pPr>
              <w:contextualSpacing w:val="0"/>
              <w:rPr>
                <w:rFonts w:ascii="Times New Roman" w:hAnsi="Times New Roman" w:cs="Times New Roman"/>
                <w:lang w:val="en-CA"/>
              </w:rPr>
            </w:pPr>
          </w:p>
        </w:tc>
        <w:tc>
          <w:tcPr>
            <w:tcW w:w="162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Profitability Ratios</w:t>
            </w:r>
          </w:p>
        </w:tc>
        <w:tc>
          <w:tcPr>
            <w:tcW w:w="1798" w:type="dxa"/>
            <w:noWrap/>
            <w:hideMark/>
          </w:tcPr>
          <w:p w:rsidR="00AF3491" w:rsidRPr="00AF3491" w:rsidRDefault="00AF3491" w:rsidP="00AF3491">
            <w:pPr>
              <w:contextualSpacing w:val="0"/>
              <w:rPr>
                <w:rFonts w:ascii="Times New Roman" w:hAnsi="Times New Roman" w:cs="Times New Roman"/>
                <w:b/>
                <w:bCs/>
                <w:lang w:val="en-CA"/>
              </w:rPr>
            </w:pPr>
          </w:p>
        </w:tc>
        <w:tc>
          <w:tcPr>
            <w:tcW w:w="162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bookmarkStart w:id="0" w:name="_Hlk56099769"/>
            <w:r w:rsidRPr="00AF3491">
              <w:rPr>
                <w:rFonts w:ascii="Times New Roman" w:hAnsi="Times New Roman" w:cs="Times New Roman"/>
                <w:lang w:val="en-CA"/>
              </w:rPr>
              <w:t>Gross Profit Margin</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51.99%</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51.93%</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Operating Profit Margin</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11.95%</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10.85%</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Net Profit Margin</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6.40%</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5.68%</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lastRenderedPageBreak/>
              <w:t>Return on Total Assets (ROA)</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0.04427</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0.03628</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Return on Stockholders’ Equity (ROE)</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0.13957</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0.12569</w:t>
            </w:r>
          </w:p>
        </w:tc>
      </w:tr>
      <w:bookmarkEnd w:id="0"/>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p>
        </w:tc>
        <w:tc>
          <w:tcPr>
            <w:tcW w:w="1798" w:type="dxa"/>
            <w:noWrap/>
            <w:hideMark/>
          </w:tcPr>
          <w:p w:rsidR="00AF3491" w:rsidRPr="00AF3491" w:rsidRDefault="00AF3491" w:rsidP="00AF3491">
            <w:pPr>
              <w:contextualSpacing w:val="0"/>
              <w:rPr>
                <w:rFonts w:ascii="Times New Roman" w:hAnsi="Times New Roman" w:cs="Times New Roman"/>
                <w:lang w:val="en-CA"/>
              </w:rPr>
            </w:pPr>
          </w:p>
        </w:tc>
        <w:tc>
          <w:tcPr>
            <w:tcW w:w="162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b/>
                <w:bCs/>
                <w:lang w:val="en-CA"/>
              </w:rPr>
            </w:pPr>
            <w:r w:rsidRPr="00AF3491">
              <w:rPr>
                <w:rFonts w:ascii="Times New Roman" w:hAnsi="Times New Roman" w:cs="Times New Roman"/>
                <w:b/>
                <w:bCs/>
                <w:lang w:val="en-CA"/>
              </w:rPr>
              <w:t>Leverage Ratios</w:t>
            </w:r>
          </w:p>
        </w:tc>
        <w:tc>
          <w:tcPr>
            <w:tcW w:w="1798" w:type="dxa"/>
            <w:noWrap/>
            <w:hideMark/>
          </w:tcPr>
          <w:p w:rsidR="00AF3491" w:rsidRPr="00AF3491" w:rsidRDefault="00AF3491" w:rsidP="00AF3491">
            <w:pPr>
              <w:contextualSpacing w:val="0"/>
              <w:rPr>
                <w:rFonts w:ascii="Times New Roman" w:hAnsi="Times New Roman" w:cs="Times New Roman"/>
                <w:b/>
                <w:bCs/>
                <w:lang w:val="en-CA"/>
              </w:rPr>
            </w:pPr>
          </w:p>
        </w:tc>
        <w:tc>
          <w:tcPr>
            <w:tcW w:w="162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Debt to Assets Ratio</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0.42492</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0.40934</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Debt Equity Ratio</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1.3397</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1.41793</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p>
        </w:tc>
        <w:tc>
          <w:tcPr>
            <w:tcW w:w="1798" w:type="dxa"/>
            <w:noWrap/>
            <w:hideMark/>
          </w:tcPr>
          <w:p w:rsidR="00AF3491" w:rsidRPr="00AF3491" w:rsidRDefault="00AF3491" w:rsidP="00AF3491">
            <w:pPr>
              <w:contextualSpacing w:val="0"/>
              <w:rPr>
                <w:rFonts w:ascii="Times New Roman" w:hAnsi="Times New Roman" w:cs="Times New Roman"/>
                <w:lang w:val="en-CA"/>
              </w:rPr>
            </w:pPr>
          </w:p>
        </w:tc>
        <w:tc>
          <w:tcPr>
            <w:tcW w:w="162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b/>
                <w:bCs/>
                <w:lang w:val="en-CA"/>
              </w:rPr>
            </w:pPr>
            <w:bookmarkStart w:id="1" w:name="_Hlk56102609"/>
            <w:r w:rsidRPr="00AF3491">
              <w:rPr>
                <w:rFonts w:ascii="Times New Roman" w:hAnsi="Times New Roman" w:cs="Times New Roman"/>
                <w:b/>
                <w:bCs/>
                <w:lang w:val="en-CA"/>
              </w:rPr>
              <w:t>Activity Ratios</w:t>
            </w:r>
          </w:p>
        </w:tc>
        <w:tc>
          <w:tcPr>
            <w:tcW w:w="1798" w:type="dxa"/>
            <w:noWrap/>
            <w:hideMark/>
          </w:tcPr>
          <w:p w:rsidR="00AF3491" w:rsidRPr="00AF3491" w:rsidRDefault="00AF3491" w:rsidP="00AF3491">
            <w:pPr>
              <w:contextualSpacing w:val="0"/>
              <w:rPr>
                <w:rFonts w:ascii="Times New Roman" w:hAnsi="Times New Roman" w:cs="Times New Roman"/>
                <w:b/>
                <w:bCs/>
                <w:lang w:val="en-CA"/>
              </w:rPr>
            </w:pPr>
          </w:p>
        </w:tc>
        <w:tc>
          <w:tcPr>
            <w:tcW w:w="1620" w:type="dxa"/>
            <w:noWrap/>
            <w:hideMark/>
          </w:tcPr>
          <w:p w:rsidR="00AF3491" w:rsidRPr="00AF3491" w:rsidRDefault="00AF3491" w:rsidP="00AF3491">
            <w:pPr>
              <w:contextualSpacing w:val="0"/>
              <w:rPr>
                <w:rFonts w:ascii="Times New Roman" w:hAnsi="Times New Roman" w:cs="Times New Roman"/>
                <w:lang w:val="en-CA"/>
              </w:rPr>
            </w:pP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Inventory Turnover</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9.13842</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9.39605</w:t>
            </w:r>
          </w:p>
        </w:tc>
      </w:tr>
      <w:tr w:rsidR="00AF3491" w:rsidRPr="00AF3491" w:rsidTr="002355B7">
        <w:tblPrEx>
          <w:tblLook w:val="04A0"/>
        </w:tblPrEx>
        <w:trPr>
          <w:trHeight w:val="315"/>
        </w:trPr>
        <w:tc>
          <w:tcPr>
            <w:tcW w:w="3777"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Assets Turnover</w:t>
            </w:r>
          </w:p>
        </w:tc>
        <w:tc>
          <w:tcPr>
            <w:tcW w:w="1798"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0.08854</w:t>
            </w:r>
          </w:p>
        </w:tc>
        <w:tc>
          <w:tcPr>
            <w:tcW w:w="1620" w:type="dxa"/>
            <w:noWrap/>
            <w:hideMark/>
          </w:tcPr>
          <w:p w:rsidR="00AF3491" w:rsidRPr="00AF3491" w:rsidRDefault="00AF3491" w:rsidP="00AF3491">
            <w:pPr>
              <w:contextualSpacing w:val="0"/>
              <w:rPr>
                <w:rFonts w:ascii="Times New Roman" w:hAnsi="Times New Roman" w:cs="Times New Roman"/>
                <w:lang w:val="en-CA"/>
              </w:rPr>
            </w:pPr>
            <w:r w:rsidRPr="00AF3491">
              <w:rPr>
                <w:rFonts w:ascii="Times New Roman" w:hAnsi="Times New Roman" w:cs="Times New Roman"/>
                <w:lang w:val="en-CA"/>
              </w:rPr>
              <w:t>0.07257</w:t>
            </w:r>
          </w:p>
        </w:tc>
      </w:tr>
      <w:bookmarkEnd w:id="1"/>
    </w:tbl>
    <w:p w:rsidR="00AF3491" w:rsidRPr="00AF3491" w:rsidRDefault="00AF3491" w:rsidP="00AF3491">
      <w:pPr>
        <w:spacing w:after="160" w:line="259" w:lineRule="auto"/>
        <w:contextualSpacing w:val="0"/>
        <w:rPr>
          <w:rFonts w:eastAsiaTheme="minorHAnsi"/>
          <w:lang w:val="en-CA"/>
        </w:rPr>
      </w:pPr>
    </w:p>
    <w:p w:rsidR="00AF3491" w:rsidRPr="00AF3491" w:rsidRDefault="00AF3491" w:rsidP="00AF3491">
      <w:pPr>
        <w:numPr>
          <w:ilvl w:val="0"/>
          <w:numId w:val="4"/>
        </w:numPr>
        <w:spacing w:after="160" w:line="259" w:lineRule="auto"/>
        <w:contextualSpacing w:val="0"/>
        <w:rPr>
          <w:rFonts w:eastAsiaTheme="minorHAnsi"/>
          <w:lang w:val="en-CA"/>
        </w:rPr>
      </w:pPr>
    </w:p>
    <w:p w:rsidR="00AF3491" w:rsidRPr="00AF3491" w:rsidRDefault="00AF3491" w:rsidP="00AF3491">
      <w:pPr>
        <w:spacing w:after="160" w:line="480" w:lineRule="auto"/>
        <w:ind w:firstLine="720"/>
        <w:contextualSpacing w:val="0"/>
        <w:rPr>
          <w:rFonts w:eastAsiaTheme="minorHAnsi"/>
          <w:lang w:val="en-CA"/>
        </w:rPr>
      </w:pPr>
      <w:r w:rsidRPr="00AF3491">
        <w:rPr>
          <w:rFonts w:eastAsiaTheme="minorHAnsi"/>
          <w:lang w:val="en-CA"/>
        </w:rPr>
        <w:t xml:space="preserve">Liquidity ratios are basically financial ratios that examines the ability of an entity to pay its short-term or current liabilities via the use of its current assets </w:t>
      </w:r>
      <w:bookmarkStart w:id="2" w:name="_Hlk56107232"/>
      <w:r w:rsidRPr="00AF3491">
        <w:rPr>
          <w:rFonts w:eastAsiaTheme="minorHAnsi"/>
          <w:lang w:val="en-CA"/>
        </w:rPr>
        <w:t>(Weygandt, Kieso &amp; Kell, 2008)</w:t>
      </w:r>
      <w:bookmarkEnd w:id="2"/>
      <w:r w:rsidRPr="00AF3491">
        <w:rPr>
          <w:rFonts w:eastAsiaTheme="minorHAnsi"/>
          <w:lang w:val="en-CA"/>
        </w:rPr>
        <w:t xml:space="preserve">. The most commonly used liquidity ratios are quick ratio, working capital ratio, and current ratio. In reference to the liquidity ratios above, it is evident that the current ratio increased from 0.7731 in 2018 to 0.9171 in 2019. Also, the quick ratio increased from 0.5568 in 2018 to 0.6352 in 2019. Although the current ratio and quick ratio are increased from 2018 to 2019, they are less than 1, and hence, Chocco plc is not in a position to pay its short-term debts. Furthermore, the working capital ratio for 2018 and 2019 is negative, and therefore, Chocco plc is left with no liquid capital to invest. </w:t>
      </w:r>
    </w:p>
    <w:p w:rsidR="00AF3491" w:rsidRPr="00AF3491" w:rsidRDefault="00AF3491" w:rsidP="00AF3491">
      <w:pPr>
        <w:spacing w:after="160" w:line="480" w:lineRule="auto"/>
        <w:ind w:firstLine="720"/>
        <w:contextualSpacing w:val="0"/>
        <w:rPr>
          <w:rFonts w:eastAsiaTheme="minorHAnsi"/>
          <w:lang w:val="en-CA"/>
        </w:rPr>
      </w:pPr>
      <w:r w:rsidRPr="00AF3491">
        <w:rPr>
          <w:rFonts w:eastAsiaTheme="minorHAnsi"/>
          <w:lang w:val="en-CA"/>
        </w:rPr>
        <w:t xml:space="preserve">Profitability ratios examine how efficient a company is in generating revenues (Weygandt, Kieso &amp; Kell, 2008). Gross profit margin increased from 51.93% in 2018 to 51.99% in 2019. Similarly, the operating profit margin increased from 10.85% in 2018 to 11.95% in 2019, and the net profit margin increased from 5.68% to 6.40% in 2019. This means Chocco plc is more profitable in 2019 compared to 2018. Furthermore, return on assets (ROA) increased from 0.0362 in 2018 to 0.0442 in 2019, and the return on equity (ROE) increased from 0.1256 in 2018 to 0.1395 in 2019. Hence, Chocco plc is more profitable in the current year. </w:t>
      </w:r>
    </w:p>
    <w:p w:rsidR="00AF3491" w:rsidRPr="00AF3491" w:rsidRDefault="00AF3491" w:rsidP="00AF3491">
      <w:pPr>
        <w:spacing w:after="160" w:line="480" w:lineRule="auto"/>
        <w:ind w:firstLine="720"/>
        <w:contextualSpacing w:val="0"/>
        <w:rPr>
          <w:rFonts w:eastAsiaTheme="minorHAnsi"/>
          <w:lang w:val="en-CA"/>
        </w:rPr>
      </w:pPr>
      <w:r w:rsidRPr="00AF3491">
        <w:rPr>
          <w:rFonts w:eastAsiaTheme="minorHAnsi"/>
          <w:lang w:val="en-CA"/>
        </w:rPr>
        <w:lastRenderedPageBreak/>
        <w:t>Leverage ratios indicate the amount of debt in relation to assets and equity. The debt to equity ratio increased from 0.4093 in 2018 to 0.4249 in 2019, meaning that the company has more debt in the current year than the previous year. The debt to equity ratio declined from 1.4179 in 2018 to 1.3397 in 2019. Since the debt to equity ratio is greater than 1, it means Chocco plc is financed by more debt than equity. The company risks being declared insolvent. The activity ratios, also referred to as efficiency ratio, examine how efficient a company effectively generates income from assets. Assets turnover increased from 0.07257 in 2018 to 0.08854 in 2019. Hence, more efficient in generating profit from its assets. Inventory turnover declined from 9.39 in 2018 to 9.13 in 2019, meaning Chocco plc takes less time to convert its inventory to sales and hence, effective.</w:t>
      </w:r>
    </w:p>
    <w:p w:rsidR="00ED76C0" w:rsidRDefault="00ED76C0" w:rsidP="00AF3491">
      <w:pPr>
        <w:spacing w:after="160" w:line="480" w:lineRule="auto"/>
        <w:contextualSpacing w:val="0"/>
        <w:jc w:val="center"/>
        <w:rPr>
          <w:rFonts w:eastAsiaTheme="minorHAnsi"/>
          <w:lang w:val="en-CA"/>
        </w:rPr>
      </w:pPr>
    </w:p>
    <w:p w:rsidR="00ED76C0" w:rsidRDefault="00ED76C0" w:rsidP="00AF3491">
      <w:pPr>
        <w:spacing w:after="160" w:line="480" w:lineRule="auto"/>
        <w:contextualSpacing w:val="0"/>
        <w:jc w:val="center"/>
        <w:rPr>
          <w:rFonts w:eastAsiaTheme="minorHAnsi"/>
          <w:lang w:val="en-CA"/>
        </w:rPr>
      </w:pPr>
    </w:p>
    <w:p w:rsidR="00ED76C0" w:rsidRDefault="00ED76C0" w:rsidP="00AF3491">
      <w:pPr>
        <w:spacing w:after="160" w:line="480" w:lineRule="auto"/>
        <w:contextualSpacing w:val="0"/>
        <w:jc w:val="center"/>
        <w:rPr>
          <w:rFonts w:eastAsiaTheme="minorHAnsi"/>
          <w:lang w:val="en-CA"/>
        </w:rPr>
      </w:pPr>
    </w:p>
    <w:p w:rsidR="00ED76C0" w:rsidRDefault="00ED76C0" w:rsidP="00AF3491">
      <w:pPr>
        <w:spacing w:after="160" w:line="480" w:lineRule="auto"/>
        <w:contextualSpacing w:val="0"/>
        <w:jc w:val="center"/>
        <w:rPr>
          <w:rFonts w:eastAsiaTheme="minorHAnsi"/>
          <w:lang w:val="en-CA"/>
        </w:rPr>
      </w:pPr>
    </w:p>
    <w:p w:rsidR="00ED76C0" w:rsidRDefault="00ED76C0" w:rsidP="00AF3491">
      <w:pPr>
        <w:spacing w:after="160" w:line="480" w:lineRule="auto"/>
        <w:contextualSpacing w:val="0"/>
        <w:jc w:val="center"/>
        <w:rPr>
          <w:rFonts w:eastAsiaTheme="minorHAnsi"/>
          <w:lang w:val="en-CA"/>
        </w:rPr>
      </w:pPr>
    </w:p>
    <w:p w:rsidR="00ED76C0" w:rsidRDefault="00ED76C0" w:rsidP="00AF3491">
      <w:pPr>
        <w:spacing w:after="160" w:line="480" w:lineRule="auto"/>
        <w:contextualSpacing w:val="0"/>
        <w:jc w:val="center"/>
        <w:rPr>
          <w:rFonts w:eastAsiaTheme="minorHAnsi"/>
          <w:lang w:val="en-CA"/>
        </w:rPr>
      </w:pPr>
    </w:p>
    <w:p w:rsidR="00ED76C0" w:rsidRDefault="00ED76C0" w:rsidP="00AF3491">
      <w:pPr>
        <w:spacing w:after="160" w:line="480" w:lineRule="auto"/>
        <w:contextualSpacing w:val="0"/>
        <w:jc w:val="center"/>
        <w:rPr>
          <w:rFonts w:eastAsiaTheme="minorHAnsi"/>
          <w:lang w:val="en-CA"/>
        </w:rPr>
      </w:pPr>
    </w:p>
    <w:p w:rsidR="00ED76C0" w:rsidRDefault="00ED76C0" w:rsidP="00AF3491">
      <w:pPr>
        <w:spacing w:after="160" w:line="480" w:lineRule="auto"/>
        <w:contextualSpacing w:val="0"/>
        <w:jc w:val="center"/>
        <w:rPr>
          <w:rFonts w:eastAsiaTheme="minorHAnsi"/>
          <w:lang w:val="en-CA"/>
        </w:rPr>
      </w:pPr>
    </w:p>
    <w:p w:rsidR="00ED76C0" w:rsidRDefault="00ED76C0" w:rsidP="00AF3491">
      <w:pPr>
        <w:spacing w:after="160" w:line="480" w:lineRule="auto"/>
        <w:contextualSpacing w:val="0"/>
        <w:jc w:val="center"/>
        <w:rPr>
          <w:rFonts w:eastAsiaTheme="minorHAnsi"/>
          <w:lang w:val="en-CA"/>
        </w:rPr>
      </w:pPr>
    </w:p>
    <w:p w:rsidR="00AF3491" w:rsidRPr="00AF3491" w:rsidRDefault="00AF3491" w:rsidP="00ED76C0">
      <w:pPr>
        <w:spacing w:line="480" w:lineRule="auto"/>
        <w:contextualSpacing w:val="0"/>
        <w:jc w:val="center"/>
        <w:rPr>
          <w:rFonts w:eastAsiaTheme="minorHAnsi"/>
          <w:lang w:val="en-CA"/>
        </w:rPr>
      </w:pPr>
      <w:bookmarkStart w:id="3" w:name="_GoBack"/>
      <w:r w:rsidRPr="00AF3491">
        <w:rPr>
          <w:rFonts w:eastAsiaTheme="minorHAnsi"/>
          <w:lang w:val="en-CA"/>
        </w:rPr>
        <w:t>References</w:t>
      </w:r>
    </w:p>
    <w:p w:rsidR="00AF3491" w:rsidRPr="00AF3491" w:rsidRDefault="00AF3491" w:rsidP="00ED76C0">
      <w:pPr>
        <w:spacing w:before="100" w:beforeAutospacing="1" w:line="480" w:lineRule="auto"/>
        <w:ind w:left="720" w:hanging="720"/>
        <w:contextualSpacing w:val="0"/>
        <w:rPr>
          <w:i/>
          <w:iCs/>
        </w:rPr>
      </w:pPr>
      <w:bookmarkStart w:id="4" w:name="_Hlk37603313"/>
      <w:r w:rsidRPr="00AF3491">
        <w:lastRenderedPageBreak/>
        <w:t>Weygandt, J. J., Kieso, D. E., &amp; Kell, W. G. (2008)</w:t>
      </w:r>
      <w:bookmarkEnd w:id="4"/>
      <w:r w:rsidRPr="00AF3491">
        <w:t xml:space="preserve">. </w:t>
      </w:r>
      <w:r w:rsidRPr="00AF3491">
        <w:rPr>
          <w:i/>
          <w:iCs/>
        </w:rPr>
        <w:t xml:space="preserve">Accounting Principles, </w:t>
      </w:r>
      <w:r w:rsidRPr="00AF3491">
        <w:t>8</w:t>
      </w:r>
      <w:r w:rsidRPr="00AF3491">
        <w:rPr>
          <w:vertAlign w:val="superscript"/>
        </w:rPr>
        <w:t>th</w:t>
      </w:r>
      <w:r w:rsidRPr="00AF3491">
        <w:t xml:space="preserve"> Edition. John Wiley &amp; Sons, Inc. p. 800</w:t>
      </w:r>
    </w:p>
    <w:p w:rsidR="00AF3491" w:rsidRPr="00AF3491" w:rsidRDefault="00AF3491" w:rsidP="00ED76C0">
      <w:pPr>
        <w:spacing w:line="480" w:lineRule="auto"/>
        <w:contextualSpacing w:val="0"/>
        <w:rPr>
          <w:rFonts w:eastAsiaTheme="minorHAnsi"/>
          <w:lang w:val="en-CA"/>
        </w:rPr>
      </w:pPr>
    </w:p>
    <w:bookmarkEnd w:id="3"/>
    <w:p w:rsidR="008924BE" w:rsidRPr="00AF3491" w:rsidRDefault="008924BE" w:rsidP="00ED76C0">
      <w:pPr>
        <w:pBdr>
          <w:left w:val="none" w:sz="0" w:space="31" w:color="auto"/>
        </w:pBdr>
        <w:spacing w:line="480" w:lineRule="auto"/>
        <w:ind w:left="720" w:hanging="720"/>
      </w:pPr>
    </w:p>
    <w:sectPr w:rsidR="008924BE" w:rsidRPr="00AF3491" w:rsidSect="00F857E5">
      <w:headerReference w:type="default" r:id="rId10"/>
      <w:headerReference w:type="firs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B38AE" w:rsidRDefault="005B38AE">
      <w:r>
        <w:separator/>
      </w:r>
    </w:p>
  </w:endnote>
  <w:endnote w:type="continuationSeparator" w:id="0">
    <w:p w:rsidR="005B38AE" w:rsidRDefault="005B38AE">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B38AE" w:rsidRDefault="005B38AE">
      <w:r>
        <w:separator/>
      </w:r>
    </w:p>
  </w:footnote>
  <w:footnote w:type="continuationSeparator" w:id="0">
    <w:p w:rsidR="005B38AE" w:rsidRDefault="005B38A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5726839"/>
      <w:docPartObj>
        <w:docPartGallery w:val="Page Numbers (Top of Page)"/>
        <w:docPartUnique/>
      </w:docPartObj>
    </w:sdtPr>
    <w:sdtEndPr>
      <w:rPr>
        <w:rFonts w:ascii="Times New Roman" w:hAnsi="Times New Roman"/>
        <w:noProof/>
        <w:sz w:val="24"/>
        <w:szCs w:val="24"/>
      </w:rPr>
    </w:sdtEndPr>
    <w:sdtContent>
      <w:p w:rsidR="00F857E5" w:rsidRPr="008F1DB2" w:rsidRDefault="006D3361">
        <w:pPr>
          <w:pStyle w:val="Header"/>
          <w:jc w:val="right"/>
          <w:rPr>
            <w:rFonts w:ascii="Times New Roman" w:hAnsi="Times New Roman"/>
            <w:sz w:val="24"/>
            <w:szCs w:val="24"/>
          </w:rPr>
        </w:pPr>
        <w:r w:rsidRPr="008F1DB2">
          <w:rPr>
            <w:rFonts w:ascii="Times New Roman" w:hAnsi="Times New Roman"/>
            <w:sz w:val="24"/>
            <w:szCs w:val="24"/>
          </w:rPr>
          <w:fldChar w:fldCharType="begin"/>
        </w:r>
        <w:r w:rsidR="00F857E5" w:rsidRPr="008F1DB2">
          <w:rPr>
            <w:rFonts w:ascii="Times New Roman" w:hAnsi="Times New Roman"/>
            <w:sz w:val="24"/>
            <w:szCs w:val="24"/>
          </w:rPr>
          <w:instrText xml:space="preserve"> PAGE   \* MERGEFORMAT </w:instrText>
        </w:r>
        <w:r w:rsidRPr="008F1DB2">
          <w:rPr>
            <w:rFonts w:ascii="Times New Roman" w:hAnsi="Times New Roman"/>
            <w:sz w:val="24"/>
            <w:szCs w:val="24"/>
          </w:rPr>
          <w:fldChar w:fldCharType="separate"/>
        </w:r>
        <w:r w:rsidR="00364DE8">
          <w:rPr>
            <w:rFonts w:ascii="Times New Roman" w:hAnsi="Times New Roman"/>
            <w:noProof/>
            <w:sz w:val="24"/>
            <w:szCs w:val="24"/>
          </w:rPr>
          <w:t>1</w:t>
        </w:r>
        <w:r w:rsidRPr="008F1DB2">
          <w:rPr>
            <w:rFonts w:ascii="Times New Roman" w:hAnsi="Times New Roman"/>
            <w:noProof/>
            <w:sz w:val="24"/>
            <w:szCs w:val="24"/>
          </w:rPr>
          <w:fldChar w:fldCharType="end"/>
        </w:r>
      </w:p>
    </w:sdtContent>
  </w:sdt>
  <w:p w:rsidR="00206D49" w:rsidRDefault="00206D49"/>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Look w:val="04A0"/>
    </w:tblPr>
    <w:tblGrid>
      <w:gridCol w:w="9240"/>
      <w:gridCol w:w="336"/>
    </w:tblGrid>
    <w:tr w:rsidR="00206D49">
      <w:tc>
        <w:tcPr>
          <w:tcW w:w="5000" w:type="pct"/>
        </w:tcPr>
        <w:p w:rsidR="00206D49" w:rsidRDefault="00B85DB9">
          <w:pPr>
            <w:spacing w:line="480" w:lineRule="auto"/>
            <w:contextualSpacing w:val="0"/>
            <w:rPr>
              <w:color w:val="000000"/>
            </w:rPr>
          </w:pPr>
          <w:r>
            <w:rPr>
              <w:color w:val="000000"/>
            </w:rPr>
            <w:t>Running head: GUIDED IMAGERY AND PROGRESSIVE MUSCLE RELAXATION</w:t>
          </w:r>
        </w:p>
        <w:p w:rsidR="00206D49" w:rsidRDefault="00206D49"/>
      </w:tc>
      <w:tc>
        <w:tcPr>
          <w:tcW w:w="0" w:type="pct"/>
        </w:tcPr>
        <w:p w:rsidR="00206D49" w:rsidRDefault="006D3361">
          <w:pPr>
            <w:jc w:val="right"/>
          </w:pPr>
          <w:r>
            <w:fldChar w:fldCharType="begin"/>
          </w:r>
          <w:r w:rsidR="00B85DB9">
            <w:instrText>PAGE</w:instrText>
          </w:r>
          <w:r>
            <w:fldChar w:fldCharType="separate"/>
          </w:r>
          <w:r w:rsidR="00F857E5">
            <w:rPr>
              <w:noProof/>
            </w:rPr>
            <w:t>2</w:t>
          </w:r>
          <w:r>
            <w:fldChar w:fldCharType="end"/>
          </w:r>
        </w:p>
      </w:tc>
    </w:tr>
  </w:tbl>
  <w:p w:rsidR="00206D49" w:rsidRDefault="00206D49"/>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BC2D3C"/>
    <w:multiLevelType w:val="hybridMultilevel"/>
    <w:tmpl w:val="6F8CECD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6C2CEF"/>
    <w:multiLevelType w:val="hybridMultilevel"/>
    <w:tmpl w:val="F56E104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9650BC1"/>
    <w:multiLevelType w:val="hybridMultilevel"/>
    <w:tmpl w:val="4248113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nsid w:val="7AE325E0"/>
    <w:multiLevelType w:val="hybridMultilevel"/>
    <w:tmpl w:val="F4ACEEC2"/>
    <w:lvl w:ilvl="0" w:tplc="6144EA7A">
      <w:start w:val="5"/>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noPunctuationKerning/>
  <w:characterSpacingControl w:val="doNotCompress"/>
  <w:hdrShapeDefaults>
    <o:shapedefaults v:ext="edit" spidmax="8194"/>
  </w:hdrShapeDefaults>
  <w:footnotePr>
    <w:footnote w:id="-1"/>
    <w:footnote w:id="0"/>
  </w:footnotePr>
  <w:endnotePr>
    <w:endnote w:id="-1"/>
    <w:endnote w:id="0"/>
  </w:endnotePr>
  <w:compat/>
  <w:rsids>
    <w:rsidRoot w:val="00206D49"/>
    <w:rsid w:val="000210B3"/>
    <w:rsid w:val="00027C7B"/>
    <w:rsid w:val="000337E7"/>
    <w:rsid w:val="000432A2"/>
    <w:rsid w:val="0005435D"/>
    <w:rsid w:val="00057F20"/>
    <w:rsid w:val="00075279"/>
    <w:rsid w:val="000A1868"/>
    <w:rsid w:val="000B131D"/>
    <w:rsid w:val="000E4FEB"/>
    <w:rsid w:val="0011349B"/>
    <w:rsid w:val="0012126F"/>
    <w:rsid w:val="00134F65"/>
    <w:rsid w:val="00140F71"/>
    <w:rsid w:val="00156956"/>
    <w:rsid w:val="001762D8"/>
    <w:rsid w:val="00190DE7"/>
    <w:rsid w:val="00193121"/>
    <w:rsid w:val="001C20D3"/>
    <w:rsid w:val="001E49FF"/>
    <w:rsid w:val="001F6BA4"/>
    <w:rsid w:val="00206D49"/>
    <w:rsid w:val="0021126A"/>
    <w:rsid w:val="00251BB5"/>
    <w:rsid w:val="00261446"/>
    <w:rsid w:val="0026530A"/>
    <w:rsid w:val="00285CD1"/>
    <w:rsid w:val="002B60B5"/>
    <w:rsid w:val="002D4D4C"/>
    <w:rsid w:val="003063EC"/>
    <w:rsid w:val="00321041"/>
    <w:rsid w:val="00323949"/>
    <w:rsid w:val="00337AC6"/>
    <w:rsid w:val="00340485"/>
    <w:rsid w:val="003404F6"/>
    <w:rsid w:val="00361E7C"/>
    <w:rsid w:val="00363E43"/>
    <w:rsid w:val="00364DE8"/>
    <w:rsid w:val="003759E0"/>
    <w:rsid w:val="0039226B"/>
    <w:rsid w:val="003A0C46"/>
    <w:rsid w:val="003A72DD"/>
    <w:rsid w:val="003B12CB"/>
    <w:rsid w:val="003B6790"/>
    <w:rsid w:val="003D1C7A"/>
    <w:rsid w:val="003E586F"/>
    <w:rsid w:val="003E6B77"/>
    <w:rsid w:val="00401464"/>
    <w:rsid w:val="0040351A"/>
    <w:rsid w:val="00412D95"/>
    <w:rsid w:val="004277D6"/>
    <w:rsid w:val="0049103C"/>
    <w:rsid w:val="004A3D17"/>
    <w:rsid w:val="004A5010"/>
    <w:rsid w:val="004B1235"/>
    <w:rsid w:val="004B1DF7"/>
    <w:rsid w:val="004B64E0"/>
    <w:rsid w:val="004B65ED"/>
    <w:rsid w:val="004C7924"/>
    <w:rsid w:val="004D7F7F"/>
    <w:rsid w:val="004E2754"/>
    <w:rsid w:val="004E4D83"/>
    <w:rsid w:val="00522107"/>
    <w:rsid w:val="005259DD"/>
    <w:rsid w:val="0053041D"/>
    <w:rsid w:val="00531467"/>
    <w:rsid w:val="00535AFC"/>
    <w:rsid w:val="00542DE9"/>
    <w:rsid w:val="0054722D"/>
    <w:rsid w:val="00567A17"/>
    <w:rsid w:val="00572992"/>
    <w:rsid w:val="0058132F"/>
    <w:rsid w:val="00592860"/>
    <w:rsid w:val="005A1751"/>
    <w:rsid w:val="005B38AE"/>
    <w:rsid w:val="005B70EC"/>
    <w:rsid w:val="005C569A"/>
    <w:rsid w:val="005D5FED"/>
    <w:rsid w:val="005E30D7"/>
    <w:rsid w:val="005E7D36"/>
    <w:rsid w:val="005F4614"/>
    <w:rsid w:val="005F76B1"/>
    <w:rsid w:val="00613B39"/>
    <w:rsid w:val="00617377"/>
    <w:rsid w:val="00630743"/>
    <w:rsid w:val="00651695"/>
    <w:rsid w:val="006719C2"/>
    <w:rsid w:val="006754B5"/>
    <w:rsid w:val="00685C59"/>
    <w:rsid w:val="006D3361"/>
    <w:rsid w:val="006F1C41"/>
    <w:rsid w:val="006F7604"/>
    <w:rsid w:val="00712E08"/>
    <w:rsid w:val="0071590B"/>
    <w:rsid w:val="0073302D"/>
    <w:rsid w:val="00734D66"/>
    <w:rsid w:val="00743914"/>
    <w:rsid w:val="007619CE"/>
    <w:rsid w:val="00764990"/>
    <w:rsid w:val="00774044"/>
    <w:rsid w:val="00776FEE"/>
    <w:rsid w:val="00781C05"/>
    <w:rsid w:val="007B1411"/>
    <w:rsid w:val="007C4B11"/>
    <w:rsid w:val="007F4362"/>
    <w:rsid w:val="00836FCF"/>
    <w:rsid w:val="008520F2"/>
    <w:rsid w:val="00883608"/>
    <w:rsid w:val="00886C06"/>
    <w:rsid w:val="008924BE"/>
    <w:rsid w:val="008A315C"/>
    <w:rsid w:val="008B01BF"/>
    <w:rsid w:val="008E3D00"/>
    <w:rsid w:val="008F1DB2"/>
    <w:rsid w:val="009067F7"/>
    <w:rsid w:val="00915464"/>
    <w:rsid w:val="00931E07"/>
    <w:rsid w:val="00937343"/>
    <w:rsid w:val="00962581"/>
    <w:rsid w:val="009736F3"/>
    <w:rsid w:val="0098400C"/>
    <w:rsid w:val="009A668C"/>
    <w:rsid w:val="009B2CA9"/>
    <w:rsid w:val="009B4245"/>
    <w:rsid w:val="009E3CA0"/>
    <w:rsid w:val="009E70D2"/>
    <w:rsid w:val="00A165FF"/>
    <w:rsid w:val="00A27AEA"/>
    <w:rsid w:val="00A31B06"/>
    <w:rsid w:val="00A35E55"/>
    <w:rsid w:val="00A87BDE"/>
    <w:rsid w:val="00A97D8E"/>
    <w:rsid w:val="00AA02EB"/>
    <w:rsid w:val="00AA4DC9"/>
    <w:rsid w:val="00AB16D7"/>
    <w:rsid w:val="00AC1541"/>
    <w:rsid w:val="00AD717C"/>
    <w:rsid w:val="00AE4464"/>
    <w:rsid w:val="00AF3491"/>
    <w:rsid w:val="00AF34D7"/>
    <w:rsid w:val="00B143E2"/>
    <w:rsid w:val="00B1484D"/>
    <w:rsid w:val="00B2236F"/>
    <w:rsid w:val="00B349F0"/>
    <w:rsid w:val="00B85DB9"/>
    <w:rsid w:val="00BC099A"/>
    <w:rsid w:val="00BE5129"/>
    <w:rsid w:val="00BF504E"/>
    <w:rsid w:val="00C13458"/>
    <w:rsid w:val="00CC0514"/>
    <w:rsid w:val="00CC0D48"/>
    <w:rsid w:val="00CE6530"/>
    <w:rsid w:val="00CE6580"/>
    <w:rsid w:val="00D22C2A"/>
    <w:rsid w:val="00D622C7"/>
    <w:rsid w:val="00D766BC"/>
    <w:rsid w:val="00DA7587"/>
    <w:rsid w:val="00DB31AB"/>
    <w:rsid w:val="00DB41EE"/>
    <w:rsid w:val="00DD17F7"/>
    <w:rsid w:val="00DD3230"/>
    <w:rsid w:val="00DD7B64"/>
    <w:rsid w:val="00DF5192"/>
    <w:rsid w:val="00E13C95"/>
    <w:rsid w:val="00E25035"/>
    <w:rsid w:val="00E56639"/>
    <w:rsid w:val="00E65033"/>
    <w:rsid w:val="00E92404"/>
    <w:rsid w:val="00ED76C0"/>
    <w:rsid w:val="00EE6A5E"/>
    <w:rsid w:val="00EF779D"/>
    <w:rsid w:val="00F22EC5"/>
    <w:rsid w:val="00F33C24"/>
    <w:rsid w:val="00F366B2"/>
    <w:rsid w:val="00F54ED0"/>
    <w:rsid w:val="00F61B84"/>
    <w:rsid w:val="00F84622"/>
    <w:rsid w:val="00F857E5"/>
    <w:rsid w:val="00FA5614"/>
    <w:rsid w:val="00FB3F85"/>
    <w:rsid w:val="00FD3129"/>
    <w:rsid w:val="00FE59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head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4FEB"/>
    <w:pPr>
      <w:contextualSpacing/>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
    <w:name w:val="citation"/>
    <w:basedOn w:val="DefaultParagraphFont"/>
    <w:rsid w:val="00F33C24"/>
  </w:style>
  <w:style w:type="character" w:customStyle="1" w:styleId="Contrib">
    <w:name w:val="Contrib"/>
    <w:basedOn w:val="DefaultParagraphFont"/>
    <w:rsid w:val="00F33C24"/>
  </w:style>
  <w:style w:type="character" w:customStyle="1" w:styleId="personal-comm">
    <w:name w:val="personal-comm"/>
    <w:basedOn w:val="DefaultParagraphFont"/>
    <w:rsid w:val="00F33C24"/>
  </w:style>
  <w:style w:type="character" w:customStyle="1" w:styleId="ReferenceBody">
    <w:name w:val="ReferenceBody"/>
    <w:basedOn w:val="DefaultParagraphFont"/>
    <w:rsid w:val="00F33C24"/>
  </w:style>
  <w:style w:type="character" w:customStyle="1" w:styleId="ContribSection">
    <w:name w:val="ContribSection"/>
    <w:basedOn w:val="DefaultParagraphFont"/>
    <w:rsid w:val="00F33C24"/>
  </w:style>
  <w:style w:type="character" w:customStyle="1" w:styleId="PrimaryContribGroup">
    <w:name w:val="PrimaryContribGroup"/>
    <w:basedOn w:val="DefaultParagraphFont"/>
    <w:rsid w:val="00F33C24"/>
  </w:style>
  <w:style w:type="character" w:customStyle="1" w:styleId="Person">
    <w:name w:val="Person"/>
    <w:basedOn w:val="DefaultParagraphFont"/>
    <w:rsid w:val="00F33C24"/>
  </w:style>
  <w:style w:type="character" w:customStyle="1" w:styleId="Surname">
    <w:name w:val="Surname"/>
    <w:basedOn w:val="DefaultParagraphFont"/>
    <w:rsid w:val="00F33C24"/>
  </w:style>
  <w:style w:type="character" w:customStyle="1" w:styleId="Initials">
    <w:name w:val="Initials"/>
    <w:basedOn w:val="DefaultParagraphFont"/>
    <w:rsid w:val="00F33C24"/>
  </w:style>
  <w:style w:type="character" w:customStyle="1" w:styleId="DateSection">
    <w:name w:val="DateSection"/>
    <w:basedOn w:val="DefaultParagraphFont"/>
    <w:rsid w:val="00F33C24"/>
  </w:style>
  <w:style w:type="character" w:customStyle="1" w:styleId="PublicationDate">
    <w:name w:val="PublicationDate"/>
    <w:basedOn w:val="DefaultParagraphFont"/>
    <w:rsid w:val="00F33C24"/>
  </w:style>
  <w:style w:type="paragraph" w:styleId="Date">
    <w:name w:val="Date"/>
    <w:basedOn w:val="Normal"/>
    <w:next w:val="Normal"/>
    <w:rsid w:val="00EF7B96"/>
  </w:style>
  <w:style w:type="character" w:customStyle="1" w:styleId="DateCharacter">
    <w:name w:val="Date Character"/>
    <w:basedOn w:val="DefaultParagraphFont"/>
    <w:rsid w:val="00F33C24"/>
  </w:style>
  <w:style w:type="character" w:customStyle="1" w:styleId="Year">
    <w:name w:val="Year"/>
    <w:basedOn w:val="DefaultParagraphFont"/>
    <w:rsid w:val="00F33C24"/>
  </w:style>
  <w:style w:type="character" w:customStyle="1" w:styleId="TitleSection">
    <w:name w:val="TitleSection"/>
    <w:basedOn w:val="DefaultParagraphFont"/>
    <w:rsid w:val="00F33C24"/>
  </w:style>
  <w:style w:type="paragraph" w:styleId="Title">
    <w:name w:val="Title"/>
    <w:basedOn w:val="Normal"/>
    <w:qFormat/>
    <w:rsid w:val="00EF7B96"/>
    <w:pPr>
      <w:spacing w:before="240" w:after="60"/>
      <w:jc w:val="center"/>
      <w:outlineLvl w:val="0"/>
    </w:pPr>
    <w:rPr>
      <w:rFonts w:ascii="Arial" w:hAnsi="Arial" w:cs="Arial"/>
      <w:b/>
      <w:bCs/>
      <w:kern w:val="28"/>
      <w:sz w:val="32"/>
      <w:szCs w:val="32"/>
    </w:rPr>
  </w:style>
  <w:style w:type="character" w:customStyle="1" w:styleId="TitleCharacter">
    <w:name w:val="Title Character"/>
    <w:basedOn w:val="DefaultParagraphFont"/>
    <w:rsid w:val="00F33C24"/>
  </w:style>
  <w:style w:type="character" w:customStyle="1" w:styleId="ReferenceBodyStyledTitle">
    <w:name w:val="ReferenceBody_StyledTitle"/>
    <w:basedOn w:val="DefaultParagraphFont"/>
    <w:rsid w:val="00F33C24"/>
    <w:rPr>
      <w:i/>
      <w:iCs/>
    </w:rPr>
  </w:style>
  <w:style w:type="character" w:customStyle="1" w:styleId="TitleName">
    <w:name w:val="TitleName"/>
    <w:basedOn w:val="DefaultParagraphFont"/>
    <w:rsid w:val="00F33C24"/>
  </w:style>
  <w:style w:type="character" w:customStyle="1" w:styleId="SourceSection">
    <w:name w:val="SourceSection"/>
    <w:basedOn w:val="DefaultParagraphFont"/>
    <w:rsid w:val="00F33C24"/>
  </w:style>
  <w:style w:type="character" w:customStyle="1" w:styleId="Publisher">
    <w:name w:val="Publisher"/>
    <w:basedOn w:val="DefaultParagraphFont"/>
    <w:rsid w:val="00F33C24"/>
  </w:style>
  <w:style w:type="character" w:customStyle="1" w:styleId="PublisherLocation">
    <w:name w:val="PublisherLocation"/>
    <w:basedOn w:val="DefaultParagraphFont"/>
    <w:rsid w:val="00F33C24"/>
  </w:style>
  <w:style w:type="character" w:customStyle="1" w:styleId="PublisherName">
    <w:name w:val="PublisherName"/>
    <w:basedOn w:val="DefaultParagraphFont"/>
    <w:rsid w:val="00F33C24"/>
  </w:style>
  <w:style w:type="character" w:customStyle="1" w:styleId="ReferenceBodyStyledText">
    <w:name w:val="ReferenceBody_StyledText"/>
    <w:basedOn w:val="DefaultParagraphFont"/>
    <w:rsid w:val="00F33C24"/>
    <w:rPr>
      <w:i/>
      <w:iCs/>
    </w:rPr>
  </w:style>
  <w:style w:type="character" w:customStyle="1" w:styleId="Series">
    <w:name w:val="Series"/>
    <w:basedOn w:val="DefaultParagraphFont"/>
    <w:rsid w:val="00F33C24"/>
  </w:style>
  <w:style w:type="character" w:customStyle="1" w:styleId="ReferenceBodyStyledVolume">
    <w:name w:val="ReferenceBody_StyledVolume"/>
    <w:basedOn w:val="DefaultParagraphFont"/>
    <w:rsid w:val="00F33C24"/>
    <w:rPr>
      <w:i/>
      <w:iCs/>
    </w:rPr>
  </w:style>
  <w:style w:type="character" w:customStyle="1" w:styleId="Volume">
    <w:name w:val="Volume"/>
    <w:basedOn w:val="DefaultParagraphFont"/>
    <w:rsid w:val="00F33C24"/>
  </w:style>
  <w:style w:type="character" w:customStyle="1" w:styleId="Pagination">
    <w:name w:val="Pagination"/>
    <w:basedOn w:val="DefaultParagraphFont"/>
    <w:rsid w:val="00F33C24"/>
  </w:style>
  <w:style w:type="character" w:customStyle="1" w:styleId="FirstPage">
    <w:name w:val="FirstPage"/>
    <w:basedOn w:val="DefaultParagraphFont"/>
    <w:rsid w:val="00F33C24"/>
  </w:style>
  <w:style w:type="character" w:customStyle="1" w:styleId="LastPage">
    <w:name w:val="LastPage"/>
    <w:basedOn w:val="DefaultParagraphFont"/>
    <w:rsid w:val="00F33C24"/>
  </w:style>
  <w:style w:type="character" w:customStyle="1" w:styleId="SourceLocation">
    <w:name w:val="SourceLocation"/>
    <w:basedOn w:val="DefaultParagraphFont"/>
    <w:rsid w:val="00F33C24"/>
  </w:style>
  <w:style w:type="character" w:customStyle="1" w:styleId="Doi">
    <w:name w:val="Doi"/>
    <w:basedOn w:val="DefaultParagraphFont"/>
    <w:rsid w:val="00F33C24"/>
  </w:style>
  <w:style w:type="character" w:customStyle="1" w:styleId="Collab">
    <w:name w:val="Collab"/>
    <w:basedOn w:val="DefaultParagraphFont"/>
    <w:rsid w:val="00F33C24"/>
  </w:style>
  <w:style w:type="character" w:customStyle="1" w:styleId="Url">
    <w:name w:val="Url"/>
    <w:basedOn w:val="DefaultParagraphFont"/>
    <w:rsid w:val="00F33C24"/>
  </w:style>
  <w:style w:type="character" w:customStyle="1" w:styleId="ContribHandle">
    <w:name w:val="ContribHandle"/>
    <w:basedOn w:val="DefaultParagraphFont"/>
    <w:rsid w:val="00F33C24"/>
  </w:style>
  <w:style w:type="character" w:customStyle="1" w:styleId="Month">
    <w:name w:val="Month"/>
    <w:basedOn w:val="DefaultParagraphFont"/>
    <w:rsid w:val="00F33C24"/>
  </w:style>
  <w:style w:type="character" w:customStyle="1" w:styleId="Day">
    <w:name w:val="Day"/>
    <w:basedOn w:val="DefaultParagraphFont"/>
    <w:rsid w:val="00F33C24"/>
  </w:style>
  <w:style w:type="character" w:customStyle="1" w:styleId="TitleAnnotation">
    <w:name w:val="TitleAnnotation"/>
    <w:basedOn w:val="DefaultParagraphFont"/>
    <w:rsid w:val="00F33C24"/>
  </w:style>
  <w:style w:type="character" w:customStyle="1" w:styleId="Edition">
    <w:name w:val="Edition"/>
    <w:basedOn w:val="DefaultParagraphFont"/>
    <w:rsid w:val="00F33C24"/>
  </w:style>
  <w:style w:type="character" w:customStyle="1" w:styleId="SecondaryContribGroup">
    <w:name w:val="SecondaryContribGroup"/>
    <w:basedOn w:val="DefaultParagraphFont"/>
    <w:rsid w:val="00F33C24"/>
  </w:style>
  <w:style w:type="character" w:customStyle="1" w:styleId="ContribRole">
    <w:name w:val="ContribRole"/>
    <w:basedOn w:val="DefaultParagraphFont"/>
    <w:rsid w:val="00F33C24"/>
  </w:style>
  <w:style w:type="character" w:customStyle="1" w:styleId="Suffix">
    <w:name w:val="Suffix"/>
    <w:basedOn w:val="DefaultParagraphFont"/>
    <w:rsid w:val="00F33C24"/>
  </w:style>
  <w:style w:type="character" w:customStyle="1" w:styleId="ElocationId">
    <w:name w:val="ElocationId"/>
    <w:basedOn w:val="DefaultParagraphFont"/>
    <w:rsid w:val="00F33C24"/>
  </w:style>
  <w:style w:type="character" w:styleId="CommentReference">
    <w:name w:val="annotation reference"/>
    <w:basedOn w:val="DefaultParagraphFont"/>
    <w:semiHidden/>
    <w:unhideWhenUsed/>
    <w:rsid w:val="00D766BC"/>
    <w:rPr>
      <w:sz w:val="16"/>
      <w:szCs w:val="16"/>
    </w:rPr>
  </w:style>
  <w:style w:type="paragraph" w:styleId="CommentText">
    <w:name w:val="annotation text"/>
    <w:basedOn w:val="Normal"/>
    <w:link w:val="CommentTextChar"/>
    <w:semiHidden/>
    <w:unhideWhenUsed/>
    <w:rsid w:val="000E4FEB"/>
    <w:rPr>
      <w:sz w:val="20"/>
      <w:szCs w:val="20"/>
    </w:rPr>
  </w:style>
  <w:style w:type="character" w:customStyle="1" w:styleId="CommentTextChar">
    <w:name w:val="Comment Text Char"/>
    <w:basedOn w:val="DefaultParagraphFont"/>
    <w:link w:val="CommentText"/>
    <w:semiHidden/>
    <w:rsid w:val="000E4FEB"/>
  </w:style>
  <w:style w:type="paragraph" w:styleId="CommentSubject">
    <w:name w:val="annotation subject"/>
    <w:basedOn w:val="CommentText"/>
    <w:next w:val="CommentText"/>
    <w:link w:val="CommentSubjectChar"/>
    <w:semiHidden/>
    <w:unhideWhenUsed/>
    <w:rsid w:val="00D766BC"/>
    <w:rPr>
      <w:b/>
      <w:bCs/>
    </w:rPr>
  </w:style>
  <w:style w:type="character" w:customStyle="1" w:styleId="CommentSubjectChar">
    <w:name w:val="Comment Subject Char"/>
    <w:basedOn w:val="CommentTextChar"/>
    <w:link w:val="CommentSubject"/>
    <w:semiHidden/>
    <w:rsid w:val="00D766BC"/>
    <w:rPr>
      <w:b/>
      <w:bCs/>
    </w:rPr>
  </w:style>
  <w:style w:type="paragraph" w:styleId="BalloonText">
    <w:name w:val="Balloon Text"/>
    <w:basedOn w:val="Normal"/>
    <w:link w:val="BalloonTextChar"/>
    <w:rsid w:val="00D766BC"/>
    <w:rPr>
      <w:rFonts w:ascii="Segoe UI" w:hAnsi="Segoe UI" w:cs="Segoe UI"/>
      <w:sz w:val="18"/>
      <w:szCs w:val="18"/>
    </w:rPr>
  </w:style>
  <w:style w:type="character" w:customStyle="1" w:styleId="BalloonTextChar">
    <w:name w:val="Balloon Text Char"/>
    <w:basedOn w:val="DefaultParagraphFont"/>
    <w:link w:val="BalloonText"/>
    <w:rsid w:val="00D766BC"/>
    <w:rPr>
      <w:rFonts w:ascii="Segoe UI" w:hAnsi="Segoe UI" w:cs="Segoe UI"/>
      <w:sz w:val="18"/>
      <w:szCs w:val="18"/>
    </w:rPr>
  </w:style>
  <w:style w:type="paragraph" w:styleId="Header">
    <w:name w:val="header"/>
    <w:basedOn w:val="Normal"/>
    <w:link w:val="HeaderChar"/>
    <w:uiPriority w:val="99"/>
    <w:unhideWhenUsed/>
    <w:rsid w:val="00F857E5"/>
    <w:pPr>
      <w:tabs>
        <w:tab w:val="center" w:pos="4680"/>
        <w:tab w:val="right" w:pos="9360"/>
      </w:tabs>
      <w:contextualSpacing w:val="0"/>
    </w:pPr>
    <w:rPr>
      <w:rFonts w:asciiTheme="minorHAnsi" w:eastAsiaTheme="minorEastAsia" w:hAnsiTheme="minorHAnsi"/>
      <w:sz w:val="22"/>
      <w:szCs w:val="22"/>
    </w:rPr>
  </w:style>
  <w:style w:type="character" w:customStyle="1" w:styleId="HeaderChar">
    <w:name w:val="Header Char"/>
    <w:basedOn w:val="DefaultParagraphFont"/>
    <w:link w:val="Header"/>
    <w:uiPriority w:val="99"/>
    <w:rsid w:val="00F857E5"/>
    <w:rPr>
      <w:rFonts w:asciiTheme="minorHAnsi" w:eastAsiaTheme="minorEastAsia" w:hAnsiTheme="minorHAnsi"/>
      <w:sz w:val="22"/>
      <w:szCs w:val="22"/>
    </w:rPr>
  </w:style>
  <w:style w:type="paragraph" w:styleId="Footer">
    <w:name w:val="footer"/>
    <w:basedOn w:val="Normal"/>
    <w:link w:val="FooterChar"/>
    <w:unhideWhenUsed/>
    <w:rsid w:val="00F857E5"/>
    <w:pPr>
      <w:tabs>
        <w:tab w:val="center" w:pos="4680"/>
        <w:tab w:val="right" w:pos="9360"/>
      </w:tabs>
    </w:pPr>
  </w:style>
  <w:style w:type="character" w:customStyle="1" w:styleId="FooterChar">
    <w:name w:val="Footer Char"/>
    <w:basedOn w:val="DefaultParagraphFont"/>
    <w:link w:val="Footer"/>
    <w:rsid w:val="00F857E5"/>
    <w:rPr>
      <w:sz w:val="24"/>
      <w:szCs w:val="24"/>
    </w:rPr>
  </w:style>
  <w:style w:type="paragraph" w:styleId="FootnoteText">
    <w:name w:val="footnote text"/>
    <w:basedOn w:val="Normal"/>
    <w:link w:val="FootnoteTextChar"/>
    <w:semiHidden/>
    <w:unhideWhenUsed/>
    <w:rsid w:val="0098400C"/>
    <w:rPr>
      <w:sz w:val="20"/>
      <w:szCs w:val="20"/>
    </w:rPr>
  </w:style>
  <w:style w:type="character" w:customStyle="1" w:styleId="FootnoteTextChar">
    <w:name w:val="Footnote Text Char"/>
    <w:basedOn w:val="DefaultParagraphFont"/>
    <w:link w:val="FootnoteText"/>
    <w:semiHidden/>
    <w:rsid w:val="0098400C"/>
  </w:style>
  <w:style w:type="character" w:styleId="FootnoteReference">
    <w:name w:val="footnote reference"/>
    <w:basedOn w:val="DefaultParagraphFont"/>
    <w:semiHidden/>
    <w:unhideWhenUsed/>
    <w:rsid w:val="0098400C"/>
    <w:rPr>
      <w:vertAlign w:val="superscript"/>
    </w:rPr>
  </w:style>
  <w:style w:type="character" w:styleId="Hyperlink">
    <w:name w:val="Hyperlink"/>
    <w:basedOn w:val="DefaultParagraphFont"/>
    <w:unhideWhenUsed/>
    <w:rsid w:val="00F54ED0"/>
    <w:rPr>
      <w:color w:val="0563C1" w:themeColor="hyperlink"/>
      <w:u w:val="single"/>
    </w:rPr>
  </w:style>
  <w:style w:type="character" w:customStyle="1" w:styleId="UnresolvedMention1">
    <w:name w:val="Unresolved Mention1"/>
    <w:basedOn w:val="DefaultParagraphFont"/>
    <w:uiPriority w:val="99"/>
    <w:semiHidden/>
    <w:unhideWhenUsed/>
    <w:rsid w:val="00F54ED0"/>
    <w:rPr>
      <w:color w:val="605E5C"/>
      <w:shd w:val="clear" w:color="auto" w:fill="E1DFDD"/>
    </w:rPr>
  </w:style>
  <w:style w:type="character" w:styleId="FollowedHyperlink">
    <w:name w:val="FollowedHyperlink"/>
    <w:basedOn w:val="DefaultParagraphFont"/>
    <w:semiHidden/>
    <w:unhideWhenUsed/>
    <w:rsid w:val="00F54ED0"/>
    <w:rPr>
      <w:color w:val="954F72" w:themeColor="followedHyperlink"/>
      <w:u w:val="single"/>
    </w:rPr>
  </w:style>
  <w:style w:type="paragraph" w:styleId="Revision">
    <w:name w:val="Revision"/>
    <w:hidden/>
    <w:uiPriority w:val="99"/>
    <w:semiHidden/>
    <w:rsid w:val="000E4FEB"/>
    <w:rPr>
      <w:sz w:val="24"/>
      <w:szCs w:val="24"/>
    </w:rPr>
  </w:style>
  <w:style w:type="paragraph" w:styleId="ListParagraph">
    <w:name w:val="List Paragraph"/>
    <w:basedOn w:val="Normal"/>
    <w:uiPriority w:val="34"/>
    <w:qFormat/>
    <w:rsid w:val="00535AFC"/>
    <w:pPr>
      <w:ind w:left="720"/>
    </w:pPr>
  </w:style>
  <w:style w:type="table" w:styleId="TableGrid">
    <w:name w:val="Table Grid"/>
    <w:basedOn w:val="TableNormal"/>
    <w:uiPriority w:val="39"/>
    <w:rsid w:val="00AF3491"/>
    <w:rPr>
      <w:rFonts w:asciiTheme="minorHAnsi" w:eastAsiaTheme="minorHAnsi" w:hAnsiTheme="minorHAnsi" w:cstheme="minorBid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36607071">
      <w:bodyDiv w:val="1"/>
      <w:marLeft w:val="0"/>
      <w:marRight w:val="0"/>
      <w:marTop w:val="0"/>
      <w:marBottom w:val="0"/>
      <w:divBdr>
        <w:top w:val="none" w:sz="0" w:space="0" w:color="auto"/>
        <w:left w:val="none" w:sz="0" w:space="0" w:color="auto"/>
        <w:bottom w:val="none" w:sz="0" w:space="0" w:color="auto"/>
        <w:right w:val="none" w:sz="0" w:space="0" w:color="auto"/>
      </w:divBdr>
    </w:div>
    <w:div w:id="239487289">
      <w:bodyDiv w:val="1"/>
      <w:marLeft w:val="0"/>
      <w:marRight w:val="0"/>
      <w:marTop w:val="0"/>
      <w:marBottom w:val="0"/>
      <w:divBdr>
        <w:top w:val="none" w:sz="0" w:space="0" w:color="auto"/>
        <w:left w:val="none" w:sz="0" w:space="0" w:color="auto"/>
        <w:bottom w:val="none" w:sz="0" w:space="0" w:color="auto"/>
        <w:right w:val="none" w:sz="0" w:space="0" w:color="auto"/>
      </w:divBdr>
    </w:div>
    <w:div w:id="345864478">
      <w:bodyDiv w:val="1"/>
      <w:marLeft w:val="0"/>
      <w:marRight w:val="0"/>
      <w:marTop w:val="0"/>
      <w:marBottom w:val="0"/>
      <w:divBdr>
        <w:top w:val="none" w:sz="0" w:space="0" w:color="auto"/>
        <w:left w:val="none" w:sz="0" w:space="0" w:color="auto"/>
        <w:bottom w:val="none" w:sz="0" w:space="0" w:color="auto"/>
        <w:right w:val="none" w:sz="0" w:space="0" w:color="auto"/>
      </w:divBdr>
    </w:div>
    <w:div w:id="508637151">
      <w:bodyDiv w:val="1"/>
      <w:marLeft w:val="0"/>
      <w:marRight w:val="0"/>
      <w:marTop w:val="0"/>
      <w:marBottom w:val="0"/>
      <w:divBdr>
        <w:top w:val="none" w:sz="0" w:space="0" w:color="auto"/>
        <w:left w:val="none" w:sz="0" w:space="0" w:color="auto"/>
        <w:bottom w:val="none" w:sz="0" w:space="0" w:color="auto"/>
        <w:right w:val="none" w:sz="0" w:space="0" w:color="auto"/>
      </w:divBdr>
    </w:div>
    <w:div w:id="636641035">
      <w:bodyDiv w:val="1"/>
      <w:marLeft w:val="0"/>
      <w:marRight w:val="0"/>
      <w:marTop w:val="0"/>
      <w:marBottom w:val="0"/>
      <w:divBdr>
        <w:top w:val="none" w:sz="0" w:space="0" w:color="auto"/>
        <w:left w:val="none" w:sz="0" w:space="0" w:color="auto"/>
        <w:bottom w:val="none" w:sz="0" w:space="0" w:color="auto"/>
        <w:right w:val="none" w:sz="0" w:space="0" w:color="auto"/>
      </w:divBdr>
    </w:div>
    <w:div w:id="663120895">
      <w:bodyDiv w:val="1"/>
      <w:marLeft w:val="0"/>
      <w:marRight w:val="0"/>
      <w:marTop w:val="0"/>
      <w:marBottom w:val="0"/>
      <w:divBdr>
        <w:top w:val="none" w:sz="0" w:space="0" w:color="auto"/>
        <w:left w:val="none" w:sz="0" w:space="0" w:color="auto"/>
        <w:bottom w:val="none" w:sz="0" w:space="0" w:color="auto"/>
        <w:right w:val="none" w:sz="0" w:space="0" w:color="auto"/>
      </w:divBdr>
    </w:div>
    <w:div w:id="682829483">
      <w:bodyDiv w:val="1"/>
      <w:marLeft w:val="0"/>
      <w:marRight w:val="0"/>
      <w:marTop w:val="0"/>
      <w:marBottom w:val="0"/>
      <w:divBdr>
        <w:top w:val="none" w:sz="0" w:space="0" w:color="auto"/>
        <w:left w:val="none" w:sz="0" w:space="0" w:color="auto"/>
        <w:bottom w:val="none" w:sz="0" w:space="0" w:color="auto"/>
        <w:right w:val="none" w:sz="0" w:space="0" w:color="auto"/>
      </w:divBdr>
    </w:div>
    <w:div w:id="704790942">
      <w:bodyDiv w:val="1"/>
      <w:marLeft w:val="0"/>
      <w:marRight w:val="0"/>
      <w:marTop w:val="0"/>
      <w:marBottom w:val="0"/>
      <w:divBdr>
        <w:top w:val="none" w:sz="0" w:space="0" w:color="auto"/>
        <w:left w:val="none" w:sz="0" w:space="0" w:color="auto"/>
        <w:bottom w:val="none" w:sz="0" w:space="0" w:color="auto"/>
        <w:right w:val="none" w:sz="0" w:space="0" w:color="auto"/>
      </w:divBdr>
    </w:div>
    <w:div w:id="755437237">
      <w:bodyDiv w:val="1"/>
      <w:marLeft w:val="0"/>
      <w:marRight w:val="0"/>
      <w:marTop w:val="0"/>
      <w:marBottom w:val="0"/>
      <w:divBdr>
        <w:top w:val="none" w:sz="0" w:space="0" w:color="auto"/>
        <w:left w:val="none" w:sz="0" w:space="0" w:color="auto"/>
        <w:bottom w:val="none" w:sz="0" w:space="0" w:color="auto"/>
        <w:right w:val="none" w:sz="0" w:space="0" w:color="auto"/>
      </w:divBdr>
    </w:div>
    <w:div w:id="838689198">
      <w:bodyDiv w:val="1"/>
      <w:marLeft w:val="0"/>
      <w:marRight w:val="0"/>
      <w:marTop w:val="0"/>
      <w:marBottom w:val="0"/>
      <w:divBdr>
        <w:top w:val="none" w:sz="0" w:space="0" w:color="auto"/>
        <w:left w:val="none" w:sz="0" w:space="0" w:color="auto"/>
        <w:bottom w:val="none" w:sz="0" w:space="0" w:color="auto"/>
        <w:right w:val="none" w:sz="0" w:space="0" w:color="auto"/>
      </w:divBdr>
    </w:div>
    <w:div w:id="938415809">
      <w:bodyDiv w:val="1"/>
      <w:marLeft w:val="0"/>
      <w:marRight w:val="0"/>
      <w:marTop w:val="0"/>
      <w:marBottom w:val="0"/>
      <w:divBdr>
        <w:top w:val="none" w:sz="0" w:space="0" w:color="auto"/>
        <w:left w:val="none" w:sz="0" w:space="0" w:color="auto"/>
        <w:bottom w:val="none" w:sz="0" w:space="0" w:color="auto"/>
        <w:right w:val="none" w:sz="0" w:space="0" w:color="auto"/>
      </w:divBdr>
    </w:div>
    <w:div w:id="1061171028">
      <w:bodyDiv w:val="1"/>
      <w:marLeft w:val="0"/>
      <w:marRight w:val="0"/>
      <w:marTop w:val="0"/>
      <w:marBottom w:val="0"/>
      <w:divBdr>
        <w:top w:val="none" w:sz="0" w:space="0" w:color="auto"/>
        <w:left w:val="none" w:sz="0" w:space="0" w:color="auto"/>
        <w:bottom w:val="none" w:sz="0" w:space="0" w:color="auto"/>
        <w:right w:val="none" w:sz="0" w:space="0" w:color="auto"/>
      </w:divBdr>
    </w:div>
    <w:div w:id="1349016484">
      <w:bodyDiv w:val="1"/>
      <w:marLeft w:val="0"/>
      <w:marRight w:val="0"/>
      <w:marTop w:val="0"/>
      <w:marBottom w:val="0"/>
      <w:divBdr>
        <w:top w:val="none" w:sz="0" w:space="0" w:color="auto"/>
        <w:left w:val="none" w:sz="0" w:space="0" w:color="auto"/>
        <w:bottom w:val="none" w:sz="0" w:space="0" w:color="auto"/>
        <w:right w:val="none" w:sz="0" w:space="0" w:color="auto"/>
      </w:divBdr>
    </w:div>
    <w:div w:id="1381439265">
      <w:bodyDiv w:val="1"/>
      <w:marLeft w:val="0"/>
      <w:marRight w:val="0"/>
      <w:marTop w:val="0"/>
      <w:marBottom w:val="0"/>
      <w:divBdr>
        <w:top w:val="none" w:sz="0" w:space="0" w:color="auto"/>
        <w:left w:val="none" w:sz="0" w:space="0" w:color="auto"/>
        <w:bottom w:val="none" w:sz="0" w:space="0" w:color="auto"/>
        <w:right w:val="none" w:sz="0" w:space="0" w:color="auto"/>
      </w:divBdr>
      <w:divsChild>
        <w:div w:id="1948341710">
          <w:marLeft w:val="0"/>
          <w:marRight w:val="0"/>
          <w:marTop w:val="0"/>
          <w:marBottom w:val="0"/>
          <w:divBdr>
            <w:top w:val="none" w:sz="0" w:space="0" w:color="auto"/>
            <w:left w:val="none" w:sz="0" w:space="0" w:color="auto"/>
            <w:bottom w:val="none" w:sz="0" w:space="0" w:color="auto"/>
            <w:right w:val="none" w:sz="0" w:space="0" w:color="auto"/>
          </w:divBdr>
        </w:div>
      </w:divsChild>
    </w:div>
    <w:div w:id="1437406963">
      <w:bodyDiv w:val="1"/>
      <w:marLeft w:val="0"/>
      <w:marRight w:val="0"/>
      <w:marTop w:val="0"/>
      <w:marBottom w:val="0"/>
      <w:divBdr>
        <w:top w:val="none" w:sz="0" w:space="0" w:color="auto"/>
        <w:left w:val="none" w:sz="0" w:space="0" w:color="auto"/>
        <w:bottom w:val="none" w:sz="0" w:space="0" w:color="auto"/>
        <w:right w:val="none" w:sz="0" w:space="0" w:color="auto"/>
      </w:divBdr>
      <w:divsChild>
        <w:div w:id="1315794992">
          <w:marLeft w:val="0"/>
          <w:marRight w:val="0"/>
          <w:marTop w:val="0"/>
          <w:marBottom w:val="0"/>
          <w:divBdr>
            <w:top w:val="none" w:sz="0" w:space="0" w:color="auto"/>
            <w:left w:val="none" w:sz="0" w:space="0" w:color="auto"/>
            <w:bottom w:val="none" w:sz="0" w:space="0" w:color="auto"/>
            <w:right w:val="none" w:sz="0" w:space="0" w:color="auto"/>
          </w:divBdr>
        </w:div>
        <w:div w:id="177936557">
          <w:marLeft w:val="0"/>
          <w:marRight w:val="0"/>
          <w:marTop w:val="0"/>
          <w:marBottom w:val="0"/>
          <w:divBdr>
            <w:top w:val="none" w:sz="0" w:space="0" w:color="auto"/>
            <w:left w:val="none" w:sz="0" w:space="0" w:color="auto"/>
            <w:bottom w:val="none" w:sz="0" w:space="0" w:color="auto"/>
            <w:right w:val="none" w:sz="0" w:space="0" w:color="auto"/>
          </w:divBdr>
        </w:div>
        <w:div w:id="825632357">
          <w:marLeft w:val="0"/>
          <w:marRight w:val="0"/>
          <w:marTop w:val="0"/>
          <w:marBottom w:val="0"/>
          <w:divBdr>
            <w:top w:val="none" w:sz="0" w:space="0" w:color="auto"/>
            <w:left w:val="none" w:sz="0" w:space="0" w:color="auto"/>
            <w:bottom w:val="none" w:sz="0" w:space="0" w:color="auto"/>
            <w:right w:val="none" w:sz="0" w:space="0" w:color="auto"/>
          </w:divBdr>
        </w:div>
        <w:div w:id="189224315">
          <w:marLeft w:val="0"/>
          <w:marRight w:val="0"/>
          <w:marTop w:val="0"/>
          <w:marBottom w:val="0"/>
          <w:divBdr>
            <w:top w:val="none" w:sz="0" w:space="0" w:color="auto"/>
            <w:left w:val="none" w:sz="0" w:space="0" w:color="auto"/>
            <w:bottom w:val="none" w:sz="0" w:space="0" w:color="auto"/>
            <w:right w:val="none" w:sz="0" w:space="0" w:color="auto"/>
          </w:divBdr>
        </w:div>
        <w:div w:id="1834300414">
          <w:marLeft w:val="0"/>
          <w:marRight w:val="0"/>
          <w:marTop w:val="0"/>
          <w:marBottom w:val="0"/>
          <w:divBdr>
            <w:top w:val="none" w:sz="0" w:space="0" w:color="auto"/>
            <w:left w:val="none" w:sz="0" w:space="0" w:color="auto"/>
            <w:bottom w:val="none" w:sz="0" w:space="0" w:color="auto"/>
            <w:right w:val="none" w:sz="0" w:space="0" w:color="auto"/>
          </w:divBdr>
        </w:div>
        <w:div w:id="640774558">
          <w:marLeft w:val="0"/>
          <w:marRight w:val="0"/>
          <w:marTop w:val="0"/>
          <w:marBottom w:val="0"/>
          <w:divBdr>
            <w:top w:val="none" w:sz="0" w:space="0" w:color="auto"/>
            <w:left w:val="none" w:sz="0" w:space="0" w:color="auto"/>
            <w:bottom w:val="none" w:sz="0" w:space="0" w:color="auto"/>
            <w:right w:val="none" w:sz="0" w:space="0" w:color="auto"/>
          </w:divBdr>
        </w:div>
        <w:div w:id="1987195406">
          <w:marLeft w:val="0"/>
          <w:marRight w:val="0"/>
          <w:marTop w:val="0"/>
          <w:marBottom w:val="0"/>
          <w:divBdr>
            <w:top w:val="none" w:sz="0" w:space="0" w:color="auto"/>
            <w:left w:val="none" w:sz="0" w:space="0" w:color="auto"/>
            <w:bottom w:val="none" w:sz="0" w:space="0" w:color="auto"/>
            <w:right w:val="none" w:sz="0" w:space="0" w:color="auto"/>
          </w:divBdr>
        </w:div>
      </w:divsChild>
    </w:div>
    <w:div w:id="1512455297">
      <w:bodyDiv w:val="1"/>
      <w:marLeft w:val="0"/>
      <w:marRight w:val="0"/>
      <w:marTop w:val="0"/>
      <w:marBottom w:val="0"/>
      <w:divBdr>
        <w:top w:val="none" w:sz="0" w:space="0" w:color="auto"/>
        <w:left w:val="none" w:sz="0" w:space="0" w:color="auto"/>
        <w:bottom w:val="none" w:sz="0" w:space="0" w:color="auto"/>
        <w:right w:val="none" w:sz="0" w:space="0" w:color="auto"/>
      </w:divBdr>
    </w:div>
    <w:div w:id="1839806091">
      <w:bodyDiv w:val="1"/>
      <w:marLeft w:val="0"/>
      <w:marRight w:val="0"/>
      <w:marTop w:val="0"/>
      <w:marBottom w:val="0"/>
      <w:divBdr>
        <w:top w:val="none" w:sz="0" w:space="0" w:color="auto"/>
        <w:left w:val="none" w:sz="0" w:space="0" w:color="auto"/>
        <w:bottom w:val="none" w:sz="0" w:space="0" w:color="auto"/>
        <w:right w:val="none" w:sz="0" w:space="0" w:color="auto"/>
      </w:divBdr>
    </w:div>
    <w:div w:id="1952123466">
      <w:bodyDiv w:val="1"/>
      <w:marLeft w:val="0"/>
      <w:marRight w:val="0"/>
      <w:marTop w:val="0"/>
      <w:marBottom w:val="0"/>
      <w:divBdr>
        <w:top w:val="none" w:sz="0" w:space="0" w:color="auto"/>
        <w:left w:val="none" w:sz="0" w:space="0" w:color="auto"/>
        <w:bottom w:val="none" w:sz="0" w:space="0" w:color="auto"/>
        <w:right w:val="none" w:sz="0" w:space="0" w:color="auto"/>
      </w:divBdr>
    </w:div>
    <w:div w:id="2034375079">
      <w:bodyDiv w:val="1"/>
      <w:marLeft w:val="0"/>
      <w:marRight w:val="0"/>
      <w:marTop w:val="0"/>
      <w:marBottom w:val="0"/>
      <w:divBdr>
        <w:top w:val="none" w:sz="0" w:space="0" w:color="auto"/>
        <w:left w:val="none" w:sz="0" w:space="0" w:color="auto"/>
        <w:bottom w:val="none" w:sz="0" w:space="0" w:color="auto"/>
        <w:right w:val="none" w:sz="0" w:space="0" w:color="auto"/>
      </w:divBdr>
    </w:div>
    <w:div w:id="2055305287">
      <w:bodyDiv w:val="1"/>
      <w:marLeft w:val="0"/>
      <w:marRight w:val="0"/>
      <w:marTop w:val="0"/>
      <w:marBottom w:val="0"/>
      <w:divBdr>
        <w:top w:val="none" w:sz="0" w:space="0" w:color="auto"/>
        <w:left w:val="none" w:sz="0" w:space="0" w:color="auto"/>
        <w:bottom w:val="none" w:sz="0" w:space="0" w:color="auto"/>
        <w:right w:val="none" w:sz="0" w:space="0" w:color="auto"/>
      </w:divBdr>
    </w:div>
    <w:div w:id="2133597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319%32%307%33%33@s%74%75%64e%6e%74%2eu%77%74%73%64.%61c%2eu%6b"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319%32%307%33%33@s%74%75%64e%6e%74%2eu%77%74%73%64.%61c%2eu%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E90690-23AB-4F36-BF42-C506F0F40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843</Words>
  <Characters>4514</Characters>
  <Application>Microsoft Office Word</Application>
  <DocSecurity>0</DocSecurity>
  <Lines>225</Lines>
  <Paragraphs>153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5204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2020-11-13T21:24:00Z</dcterms:created>
  <dcterms:modified xsi:type="dcterms:W3CDTF">2020-11-13T21:24:00Z</dcterms:modified>
  <dc:language/>
  <cp:version/>
</cp:coreProperties>
</file>