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C661D" w14:textId="066986E2" w:rsidR="00E43539" w:rsidRPr="00A30C1F" w:rsidRDefault="008A0F30">
      <w:pPr>
        <w:pStyle w:val="Normal1"/>
        <w:spacing w:line="360" w:lineRule="auto"/>
        <w:jc w:val="center"/>
        <w:rPr>
          <w:rFonts w:ascii="EB Garamond" w:eastAsia="EB Garamond" w:hAnsi="EB Garamond" w:cs="EB Garamond"/>
          <w:b/>
          <w:sz w:val="34"/>
          <w:szCs w:val="34"/>
          <w:lang w:val="en-GB"/>
        </w:rPr>
      </w:pPr>
      <w:r>
        <w:rPr>
          <w:rFonts w:ascii="EB Garamond" w:eastAsia="EB Garamond" w:hAnsi="EB Garamond" w:cs="EB Garamond"/>
          <w:b/>
          <w:noProof/>
          <w:sz w:val="34"/>
          <w:szCs w:val="34"/>
          <w:lang w:val="en-GB"/>
        </w:rPr>
        <w:drawing>
          <wp:inline distT="0" distB="0" distL="0" distR="0" wp14:anchorId="196851F0" wp14:editId="0605891A">
            <wp:extent cx="3013364" cy="1504604"/>
            <wp:effectExtent l="0" t="0" r="0" b="63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13364" cy="1504604"/>
                    </a:xfrm>
                    <a:prstGeom prst="rect">
                      <a:avLst/>
                    </a:prstGeom>
                  </pic:spPr>
                </pic:pic>
              </a:graphicData>
            </a:graphic>
          </wp:inline>
        </w:drawing>
      </w:r>
    </w:p>
    <w:p w14:paraId="50923979" w14:textId="77777777" w:rsidR="008A0F30" w:rsidRPr="008A0F30" w:rsidRDefault="008A0F30" w:rsidP="008A0F30">
      <w:pPr>
        <w:pStyle w:val="Normal1"/>
        <w:spacing w:line="360" w:lineRule="auto"/>
        <w:rPr>
          <w:rFonts w:ascii="EB Garamond" w:eastAsia="EB Garamond" w:hAnsi="EB Garamond" w:cs="EB Garamond"/>
          <w:b/>
          <w:sz w:val="52"/>
          <w:szCs w:val="52"/>
          <w:lang w:val="en-GB"/>
        </w:rPr>
      </w:pPr>
    </w:p>
    <w:p w14:paraId="306B4A1F" w14:textId="1E0D07CF" w:rsidR="00E43539" w:rsidRPr="008A0F30" w:rsidRDefault="008A0F30" w:rsidP="008A0F30">
      <w:pPr>
        <w:pStyle w:val="Normal1"/>
        <w:spacing w:line="360" w:lineRule="auto"/>
        <w:rPr>
          <w:rFonts w:ascii="Times New Roman" w:eastAsia="EB Garamond" w:hAnsi="Times New Roman" w:cs="Times New Roman"/>
          <w:b/>
          <w:sz w:val="52"/>
          <w:szCs w:val="52"/>
          <w:lang w:val="en-GB"/>
        </w:rPr>
      </w:pPr>
      <w:r w:rsidRPr="008A0F30">
        <w:rPr>
          <w:rFonts w:ascii="Times New Roman" w:eastAsia="EB Garamond" w:hAnsi="Times New Roman" w:cs="Times New Roman"/>
          <w:b/>
          <w:sz w:val="52"/>
          <w:szCs w:val="52"/>
          <w:lang w:val="en-GB"/>
        </w:rPr>
        <w:t xml:space="preserve">               </w:t>
      </w:r>
      <w:r w:rsidR="00560450" w:rsidRPr="008A0F30">
        <w:rPr>
          <w:rFonts w:ascii="Times New Roman" w:eastAsia="EB Garamond" w:hAnsi="Times New Roman" w:cs="Times New Roman"/>
          <w:b/>
          <w:sz w:val="52"/>
          <w:szCs w:val="52"/>
          <w:lang w:val="en-GB"/>
        </w:rPr>
        <w:t xml:space="preserve"> Community Engagement</w:t>
      </w:r>
    </w:p>
    <w:p w14:paraId="3DAD0DA7" w14:textId="32F1A2CD" w:rsidR="008A0F30" w:rsidRDefault="008A0F30" w:rsidP="008A0F30">
      <w:pPr>
        <w:pStyle w:val="Normal1"/>
        <w:spacing w:line="360" w:lineRule="auto"/>
        <w:rPr>
          <w:rFonts w:ascii="EB Garamond" w:eastAsia="EB Garamond" w:hAnsi="EB Garamond" w:cs="EB Garamond"/>
          <w:b/>
          <w:sz w:val="34"/>
          <w:szCs w:val="34"/>
          <w:lang w:val="en-GB"/>
        </w:rPr>
      </w:pPr>
    </w:p>
    <w:p w14:paraId="7AFF51DC" w14:textId="2FF45863" w:rsidR="008A0F30" w:rsidRDefault="008A0F30" w:rsidP="008A0F30">
      <w:pPr>
        <w:pStyle w:val="Normal1"/>
        <w:spacing w:line="360" w:lineRule="auto"/>
        <w:rPr>
          <w:rFonts w:ascii="EB Garamond" w:eastAsia="EB Garamond" w:hAnsi="EB Garamond" w:cs="EB Garamond"/>
          <w:b/>
          <w:sz w:val="34"/>
          <w:szCs w:val="34"/>
          <w:lang w:val="en-GB"/>
        </w:rPr>
      </w:pPr>
    </w:p>
    <w:p w14:paraId="4BEFA45B" w14:textId="43812175" w:rsidR="008A0F30" w:rsidRDefault="008A0F30" w:rsidP="008A0F30">
      <w:pPr>
        <w:pStyle w:val="Normal1"/>
        <w:spacing w:line="360" w:lineRule="auto"/>
        <w:rPr>
          <w:rFonts w:ascii="EB Garamond" w:eastAsia="EB Garamond" w:hAnsi="EB Garamond" w:cs="EB Garamond"/>
          <w:b/>
          <w:sz w:val="34"/>
          <w:szCs w:val="34"/>
          <w:lang w:val="en-GB"/>
        </w:rPr>
      </w:pPr>
    </w:p>
    <w:p w14:paraId="10605F1C" w14:textId="63AAD8C6" w:rsidR="008A0F30" w:rsidRPr="000C3DA1" w:rsidRDefault="000C3DA1" w:rsidP="008A0F30">
      <w:pPr>
        <w:pStyle w:val="Normal1"/>
        <w:tabs>
          <w:tab w:val="left" w:pos="2325"/>
          <w:tab w:val="center" w:pos="4680"/>
        </w:tabs>
        <w:spacing w:line="360" w:lineRule="auto"/>
        <w:rPr>
          <w:rFonts w:ascii="Times New Roman" w:eastAsia="EB Garamond" w:hAnsi="Times New Roman" w:cs="Times New Roman"/>
          <w:b/>
          <w:sz w:val="34"/>
          <w:szCs w:val="34"/>
          <w:lang w:val="en-GB"/>
        </w:rPr>
      </w:pPr>
      <w:r>
        <w:rPr>
          <w:rFonts w:ascii="EB Garamond" w:eastAsia="EB Garamond" w:hAnsi="EB Garamond" w:cs="EB Garamond"/>
          <w:b/>
          <w:sz w:val="34"/>
          <w:szCs w:val="34"/>
          <w:lang w:val="en-GB"/>
        </w:rPr>
        <w:t xml:space="preserve">                       </w:t>
      </w:r>
      <w:r w:rsidRPr="000C3DA1">
        <w:rPr>
          <w:rFonts w:ascii="Times New Roman" w:eastAsia="EB Garamond" w:hAnsi="Times New Roman" w:cs="Times New Roman"/>
          <w:b/>
          <w:sz w:val="34"/>
          <w:szCs w:val="34"/>
          <w:lang w:val="en-GB"/>
        </w:rPr>
        <w:t xml:space="preserve">Programme: BA Business Management </w:t>
      </w:r>
    </w:p>
    <w:p w14:paraId="1F075723" w14:textId="79A7A680" w:rsidR="00E43539" w:rsidRPr="000C3DA1" w:rsidRDefault="008A0F30" w:rsidP="008A0F30">
      <w:pPr>
        <w:pStyle w:val="Normal1"/>
        <w:tabs>
          <w:tab w:val="left" w:pos="2325"/>
          <w:tab w:val="center" w:pos="4680"/>
        </w:tabs>
        <w:spacing w:line="360" w:lineRule="auto"/>
        <w:rPr>
          <w:rFonts w:ascii="Times New Roman" w:eastAsia="EB Garamond" w:hAnsi="Times New Roman" w:cs="Times New Roman"/>
          <w:b/>
          <w:sz w:val="34"/>
          <w:szCs w:val="34"/>
          <w:lang w:val="en-GB"/>
        </w:rPr>
      </w:pPr>
      <w:r w:rsidRPr="000C3DA1">
        <w:rPr>
          <w:rFonts w:ascii="Times New Roman" w:eastAsia="EB Garamond" w:hAnsi="Times New Roman" w:cs="Times New Roman"/>
          <w:b/>
          <w:sz w:val="34"/>
          <w:szCs w:val="34"/>
          <w:lang w:val="en-GB"/>
        </w:rPr>
        <w:t xml:space="preserve">                             </w:t>
      </w:r>
      <w:r w:rsidRPr="000C3DA1">
        <w:rPr>
          <w:rFonts w:ascii="Times New Roman" w:eastAsia="EB Garamond" w:hAnsi="Times New Roman" w:cs="Times New Roman"/>
          <w:b/>
          <w:sz w:val="34"/>
          <w:szCs w:val="34"/>
          <w:lang w:val="en-GB"/>
        </w:rPr>
        <w:tab/>
      </w:r>
      <w:r w:rsidR="00560450" w:rsidRPr="000C3DA1">
        <w:rPr>
          <w:rFonts w:ascii="Times New Roman" w:eastAsia="EB Garamond" w:hAnsi="Times New Roman" w:cs="Times New Roman"/>
          <w:b/>
          <w:sz w:val="34"/>
          <w:szCs w:val="34"/>
          <w:lang w:val="en-GB"/>
        </w:rPr>
        <w:t>Module code: LCBB4002</w:t>
      </w:r>
    </w:p>
    <w:p w14:paraId="77A6A550" w14:textId="3C536356" w:rsidR="00E43539" w:rsidRPr="000C3DA1" w:rsidRDefault="008A0F30">
      <w:pPr>
        <w:pStyle w:val="Normal1"/>
        <w:spacing w:line="360" w:lineRule="auto"/>
        <w:jc w:val="center"/>
        <w:rPr>
          <w:rFonts w:ascii="Times New Roman" w:eastAsia="EB Garamond" w:hAnsi="Times New Roman" w:cs="Times New Roman"/>
          <w:b/>
          <w:sz w:val="34"/>
          <w:szCs w:val="34"/>
          <w:lang w:val="en-GB"/>
        </w:rPr>
      </w:pPr>
      <w:r w:rsidRPr="000C3DA1">
        <w:rPr>
          <w:rFonts w:ascii="Times New Roman" w:eastAsia="EB Garamond" w:hAnsi="Times New Roman" w:cs="Times New Roman"/>
          <w:b/>
          <w:sz w:val="34"/>
          <w:szCs w:val="34"/>
          <w:lang w:val="en-GB"/>
        </w:rPr>
        <w:t>Lecturer’s name</w:t>
      </w:r>
      <w:r w:rsidR="00560450" w:rsidRPr="000C3DA1">
        <w:rPr>
          <w:rFonts w:ascii="Times New Roman" w:eastAsia="EB Garamond" w:hAnsi="Times New Roman" w:cs="Times New Roman"/>
          <w:b/>
          <w:sz w:val="34"/>
          <w:szCs w:val="34"/>
          <w:lang w:val="en-GB"/>
        </w:rPr>
        <w:t xml:space="preserve">: Dr </w:t>
      </w:r>
      <w:proofErr w:type="spellStart"/>
      <w:r w:rsidR="00560450" w:rsidRPr="000C3DA1">
        <w:rPr>
          <w:rFonts w:ascii="Times New Roman" w:eastAsia="EB Garamond" w:hAnsi="Times New Roman" w:cs="Times New Roman"/>
          <w:b/>
          <w:sz w:val="34"/>
          <w:szCs w:val="34"/>
          <w:lang w:val="en-GB"/>
        </w:rPr>
        <w:t>Akinseye</w:t>
      </w:r>
      <w:proofErr w:type="spellEnd"/>
      <w:r w:rsidR="00560450" w:rsidRPr="000C3DA1">
        <w:rPr>
          <w:rFonts w:ascii="Times New Roman" w:eastAsia="EB Garamond" w:hAnsi="Times New Roman" w:cs="Times New Roman"/>
          <w:b/>
          <w:sz w:val="34"/>
          <w:szCs w:val="34"/>
          <w:lang w:val="en-GB"/>
        </w:rPr>
        <w:t xml:space="preserve"> Aluko </w:t>
      </w:r>
    </w:p>
    <w:p w14:paraId="4F20F8D4" w14:textId="765FAB82" w:rsidR="00E43539" w:rsidRPr="000C3DA1" w:rsidRDefault="00560450">
      <w:pPr>
        <w:pStyle w:val="Normal1"/>
        <w:spacing w:line="360" w:lineRule="auto"/>
        <w:jc w:val="center"/>
        <w:rPr>
          <w:rFonts w:ascii="Times New Roman" w:eastAsia="EB Garamond" w:hAnsi="Times New Roman" w:cs="Times New Roman"/>
          <w:b/>
          <w:sz w:val="34"/>
          <w:szCs w:val="34"/>
          <w:lang w:val="en-GB"/>
        </w:rPr>
      </w:pPr>
      <w:r w:rsidRPr="000C3DA1">
        <w:rPr>
          <w:rFonts w:ascii="Times New Roman" w:eastAsia="EB Garamond" w:hAnsi="Times New Roman" w:cs="Times New Roman"/>
          <w:b/>
          <w:sz w:val="34"/>
          <w:szCs w:val="34"/>
          <w:lang w:val="en-GB"/>
        </w:rPr>
        <w:t>Assignment</w:t>
      </w:r>
      <w:r w:rsidR="00663820">
        <w:rPr>
          <w:rFonts w:ascii="Times New Roman" w:eastAsia="EB Garamond" w:hAnsi="Times New Roman" w:cs="Times New Roman"/>
          <w:b/>
          <w:sz w:val="34"/>
          <w:szCs w:val="34"/>
          <w:lang w:val="en-GB"/>
        </w:rPr>
        <w:t xml:space="preserve"> 1</w:t>
      </w:r>
      <w:r w:rsidRPr="000C3DA1">
        <w:rPr>
          <w:rFonts w:ascii="Times New Roman" w:eastAsia="EB Garamond" w:hAnsi="Times New Roman" w:cs="Times New Roman"/>
          <w:b/>
          <w:sz w:val="34"/>
          <w:szCs w:val="34"/>
          <w:lang w:val="en-GB"/>
        </w:rPr>
        <w:t>:</w:t>
      </w:r>
      <w:r w:rsidR="00663820">
        <w:rPr>
          <w:rFonts w:ascii="Times New Roman" w:eastAsia="EB Garamond" w:hAnsi="Times New Roman" w:cs="Times New Roman"/>
          <w:b/>
          <w:sz w:val="34"/>
          <w:szCs w:val="34"/>
          <w:lang w:val="en-GB"/>
        </w:rPr>
        <w:t xml:space="preserve"> Community Engagement </w:t>
      </w:r>
    </w:p>
    <w:p w14:paraId="0FBC9EAB" w14:textId="46EA4025" w:rsidR="008A0F30" w:rsidRPr="000C3DA1" w:rsidRDefault="008A0F30">
      <w:pPr>
        <w:pStyle w:val="Normal1"/>
        <w:spacing w:line="360" w:lineRule="auto"/>
        <w:jc w:val="center"/>
        <w:rPr>
          <w:rFonts w:ascii="Times New Roman" w:eastAsia="EB Garamond" w:hAnsi="Times New Roman" w:cs="Times New Roman"/>
          <w:b/>
          <w:sz w:val="34"/>
          <w:szCs w:val="34"/>
          <w:lang w:val="en-GB"/>
        </w:rPr>
      </w:pPr>
      <w:r w:rsidRPr="000C3DA1">
        <w:rPr>
          <w:rFonts w:ascii="Times New Roman" w:eastAsia="EB Garamond" w:hAnsi="Times New Roman" w:cs="Times New Roman"/>
          <w:b/>
          <w:sz w:val="34"/>
          <w:szCs w:val="34"/>
          <w:lang w:val="en-GB"/>
        </w:rPr>
        <w:t>Student name: Loredana Zsofi</w:t>
      </w:r>
    </w:p>
    <w:p w14:paraId="23ABA701" w14:textId="22A162D4" w:rsidR="008A0F30" w:rsidRPr="000C3DA1" w:rsidRDefault="008A0F30">
      <w:pPr>
        <w:pStyle w:val="Normal1"/>
        <w:spacing w:line="360" w:lineRule="auto"/>
        <w:jc w:val="center"/>
        <w:rPr>
          <w:rFonts w:ascii="Times New Roman" w:eastAsia="EB Garamond" w:hAnsi="Times New Roman" w:cs="Times New Roman"/>
          <w:b/>
          <w:sz w:val="34"/>
          <w:szCs w:val="34"/>
          <w:lang w:val="en-GB"/>
        </w:rPr>
      </w:pPr>
      <w:r w:rsidRPr="000C3DA1">
        <w:rPr>
          <w:rFonts w:ascii="Times New Roman" w:eastAsia="EB Garamond" w:hAnsi="Times New Roman" w:cs="Times New Roman"/>
          <w:b/>
          <w:sz w:val="34"/>
          <w:szCs w:val="34"/>
          <w:lang w:val="en-GB"/>
        </w:rPr>
        <w:t>Student id: 2111130</w:t>
      </w:r>
    </w:p>
    <w:p w14:paraId="6F5E7615" w14:textId="77777777" w:rsidR="008A0F30" w:rsidRPr="00A30C1F" w:rsidRDefault="008A0F30">
      <w:pPr>
        <w:pStyle w:val="Normal1"/>
        <w:spacing w:line="360" w:lineRule="auto"/>
        <w:jc w:val="center"/>
        <w:rPr>
          <w:rFonts w:ascii="EB Garamond" w:eastAsia="EB Garamond" w:hAnsi="EB Garamond" w:cs="EB Garamond"/>
          <w:b/>
          <w:sz w:val="34"/>
          <w:szCs w:val="34"/>
          <w:lang w:val="en-GB"/>
        </w:rPr>
      </w:pPr>
    </w:p>
    <w:p w14:paraId="3EF6C624" w14:textId="77777777" w:rsidR="00E43539" w:rsidRPr="00A30C1F" w:rsidRDefault="00560450">
      <w:pPr>
        <w:pStyle w:val="Normal1"/>
        <w:spacing w:line="360" w:lineRule="auto"/>
        <w:rPr>
          <w:rFonts w:ascii="Times New Roman" w:eastAsia="Times New Roman" w:hAnsi="Times New Roman" w:cs="Times New Roman"/>
          <w:b/>
          <w:sz w:val="24"/>
          <w:szCs w:val="24"/>
          <w:lang w:val="en-GB"/>
        </w:rPr>
      </w:pPr>
      <w:r w:rsidRPr="00A30C1F">
        <w:rPr>
          <w:lang w:val="en-GB"/>
        </w:rPr>
        <w:br w:type="page"/>
      </w:r>
    </w:p>
    <w:p w14:paraId="1C1C26DA" w14:textId="77777777" w:rsidR="00E43539" w:rsidRPr="00A30C1F" w:rsidRDefault="00560450">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lastRenderedPageBreak/>
        <w:t>Introduction</w:t>
      </w:r>
    </w:p>
    <w:p w14:paraId="7F0B2F84"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 xml:space="preserve">Community engagement refers to the process of connecting and involving community members in decision-making, problem-solving, and other activities that affect their lives. It involves building relationships between community members and organisations, government agencies, or other groups that have an interest in the community's well-being (Mehta </w:t>
      </w:r>
      <w:r w:rsidRPr="00A30C1F">
        <w:rPr>
          <w:rFonts w:ascii="Times New Roman" w:eastAsia="Times New Roman" w:hAnsi="Times New Roman" w:cs="Times New Roman"/>
          <w:i/>
          <w:sz w:val="24"/>
          <w:szCs w:val="24"/>
          <w:lang w:val="en-GB"/>
        </w:rPr>
        <w:t xml:space="preserve">et al., </w:t>
      </w:r>
      <w:r w:rsidRPr="00A30C1F">
        <w:rPr>
          <w:rFonts w:ascii="Times New Roman" w:eastAsia="Times New Roman" w:hAnsi="Times New Roman" w:cs="Times New Roman"/>
          <w:sz w:val="24"/>
          <w:szCs w:val="24"/>
          <w:lang w:val="en-GB"/>
        </w:rPr>
        <w:t>2022). Community engagement is a collaborative and inclusive process that values the perspectives and contributions of all stakeholders. It is an essential component of building healthy and sustainable communities that are responsive to the needs of their members (Hoekstra, 2019). Through community engagement, individuals can gain a sense of empowerment and ownership over their communities, leading to increased civic participation and improved quality of life.</w:t>
      </w:r>
    </w:p>
    <w:p w14:paraId="6B2ACF3D"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Local councils across the world have an impact on community engagement. Councils are responsible for a range of services and initiatives involving residents and local businesses in decision-making and other community activities. They provide opportunities for individuals to participate in public meetings, consultations, and events, where they can voice their concerns, offer feedback, and contribute to shaping the future of their communities. Local councils play a vital role in empowering residents and promoting civic participation, leading to improved quality of life and stronger communities. For further discussion, this essay will focus on the impact of the Havering Council on community engagement.</w:t>
      </w:r>
    </w:p>
    <w:p w14:paraId="645D53C4" w14:textId="77777777" w:rsidR="00E43539" w:rsidRPr="00A30C1F" w:rsidRDefault="00560450">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t xml:space="preserve">Main discussion </w:t>
      </w:r>
    </w:p>
    <w:p w14:paraId="6B6362BD" w14:textId="77777777" w:rsidR="00E43539" w:rsidRPr="00A30C1F" w:rsidRDefault="00560450" w:rsidP="00BE088D">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t>Background of Havering council</w:t>
      </w:r>
    </w:p>
    <w:p w14:paraId="5ECFD303"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Havering Council is the local authority for the London Borough of Havering, located east of London. The council was formed in 1965 following the amalgamation of the former boroughs of Romford and Hornchurch</w:t>
      </w:r>
      <w:r w:rsidR="00BE088D">
        <w:rPr>
          <w:rFonts w:ascii="Times New Roman" w:eastAsia="Times New Roman" w:hAnsi="Times New Roman" w:cs="Times New Roman"/>
          <w:sz w:val="24"/>
          <w:szCs w:val="24"/>
          <w:lang w:val="en-GB"/>
        </w:rPr>
        <w:t xml:space="preserve"> (The London Borough of Havering, </w:t>
      </w:r>
      <w:r w:rsidR="00BE088D" w:rsidRPr="00BE088D">
        <w:rPr>
          <w:rFonts w:ascii="Times New Roman" w:eastAsia="Times New Roman" w:hAnsi="Times New Roman" w:cs="Times New Roman"/>
          <w:sz w:val="24"/>
          <w:szCs w:val="24"/>
          <w:lang w:val="en-GB"/>
        </w:rPr>
        <w:t>2023</w:t>
      </w:r>
      <w:r w:rsidR="00BE088D">
        <w:rPr>
          <w:rFonts w:ascii="Times New Roman" w:eastAsia="Times New Roman" w:hAnsi="Times New Roman" w:cs="Times New Roman"/>
          <w:sz w:val="24"/>
          <w:szCs w:val="24"/>
          <w:lang w:val="en-GB"/>
        </w:rPr>
        <w:t>)</w:t>
      </w:r>
      <w:r w:rsidRPr="00A30C1F">
        <w:rPr>
          <w:rFonts w:ascii="Times New Roman" w:eastAsia="Times New Roman" w:hAnsi="Times New Roman" w:cs="Times New Roman"/>
          <w:sz w:val="24"/>
          <w:szCs w:val="24"/>
          <w:lang w:val="en-GB"/>
        </w:rPr>
        <w:t>. It is a unitary authority responsible for providing a range of services to its residents, including housing, waste collection, planning, and leisure facilities. Havering Council is committed to working in partnership with its residents, businesses, and other stakeholders to improve the quality of life in the borough. Its vision is to create a vibrant, inclusive, and sustainable community where everyone can thrive.</w:t>
      </w:r>
    </w:p>
    <w:p w14:paraId="65DEF8B9" w14:textId="77777777" w:rsidR="00E43539" w:rsidRPr="00A30C1F" w:rsidRDefault="00560450" w:rsidP="00BE088D">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t>Community engagement principles and standards</w:t>
      </w:r>
    </w:p>
    <w:p w14:paraId="35F8BADB"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Havering Council is committed to promoting community engagement by upholding certain principles and standards. These principles include being transparent, accountable and inclusive in decision-making processes, fosterin</w:t>
      </w:r>
      <w:r w:rsidR="00BE088D">
        <w:rPr>
          <w:rFonts w:ascii="Times New Roman" w:eastAsia="Times New Roman" w:hAnsi="Times New Roman" w:cs="Times New Roman"/>
          <w:sz w:val="24"/>
          <w:szCs w:val="24"/>
          <w:lang w:val="en-GB"/>
        </w:rPr>
        <w:t>g collaboration and partnership</w:t>
      </w:r>
      <w:r w:rsidRPr="00A30C1F">
        <w:rPr>
          <w:rFonts w:ascii="Times New Roman" w:eastAsia="Times New Roman" w:hAnsi="Times New Roman" w:cs="Times New Roman"/>
          <w:sz w:val="24"/>
          <w:szCs w:val="24"/>
          <w:lang w:val="en-GB"/>
        </w:rPr>
        <w:t xml:space="preserve"> and actively involving diverse </w:t>
      </w:r>
      <w:r w:rsidRPr="00A30C1F">
        <w:rPr>
          <w:rFonts w:ascii="Times New Roman" w:eastAsia="Times New Roman" w:hAnsi="Times New Roman" w:cs="Times New Roman"/>
          <w:sz w:val="24"/>
          <w:szCs w:val="24"/>
          <w:lang w:val="en-GB"/>
        </w:rPr>
        <w:lastRenderedPageBreak/>
        <w:t xml:space="preserve">residents and stakeholders in all aspects of community life (Key </w:t>
      </w:r>
      <w:r w:rsidRPr="00A30C1F">
        <w:rPr>
          <w:rFonts w:ascii="Times New Roman" w:eastAsia="Times New Roman" w:hAnsi="Times New Roman" w:cs="Times New Roman"/>
          <w:i/>
          <w:sz w:val="24"/>
          <w:szCs w:val="24"/>
          <w:lang w:val="en-GB"/>
        </w:rPr>
        <w:t xml:space="preserve">et al., </w:t>
      </w:r>
      <w:r w:rsidRPr="00A30C1F">
        <w:rPr>
          <w:rFonts w:ascii="Times New Roman" w:eastAsia="Times New Roman" w:hAnsi="Times New Roman" w:cs="Times New Roman"/>
          <w:sz w:val="24"/>
          <w:szCs w:val="24"/>
          <w:lang w:val="en-GB"/>
        </w:rPr>
        <w:t>2019). In order to achieve these principles, Havering Council has developed a range of standards and initiatives. The council regularly consults with residents on issues that affect them and seeks their input on new policies and initiatives. It also provides a range of opportunities for residents to get involved in local decision-making, such as public meetings, community events, and online consultations.</w:t>
      </w:r>
      <w:r w:rsidR="00BE088D">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sz w:val="24"/>
          <w:szCs w:val="24"/>
          <w:lang w:val="en-GB"/>
        </w:rPr>
        <w:t>The council is committed to working in partnership with community groups, businesses, and other stakeholders to develop innovative and effective solutions to local i</w:t>
      </w:r>
      <w:r w:rsidR="00BE088D">
        <w:rPr>
          <w:rFonts w:ascii="Times New Roman" w:eastAsia="Times New Roman" w:hAnsi="Times New Roman" w:cs="Times New Roman"/>
          <w:sz w:val="24"/>
          <w:szCs w:val="24"/>
          <w:lang w:val="en-GB"/>
        </w:rPr>
        <w:t xml:space="preserve">ssues as well as health issues. As mentioned by </w:t>
      </w:r>
      <w:r w:rsidRPr="00A30C1F">
        <w:rPr>
          <w:rFonts w:ascii="Times New Roman" w:eastAsia="Times New Roman" w:hAnsi="Times New Roman" w:cs="Times New Roman"/>
          <w:sz w:val="24"/>
          <w:szCs w:val="24"/>
          <w:lang w:val="en-GB"/>
        </w:rPr>
        <w:t xml:space="preserve">Tembo </w:t>
      </w:r>
      <w:r w:rsidRPr="00A30C1F">
        <w:rPr>
          <w:rFonts w:ascii="Times New Roman" w:eastAsia="Times New Roman" w:hAnsi="Times New Roman" w:cs="Times New Roman"/>
          <w:i/>
          <w:sz w:val="24"/>
          <w:szCs w:val="24"/>
          <w:lang w:val="en-GB"/>
        </w:rPr>
        <w:t xml:space="preserve">et al. </w:t>
      </w:r>
      <w:r w:rsidR="00BE088D">
        <w:rPr>
          <w:rFonts w:ascii="Times New Roman" w:eastAsia="Times New Roman" w:hAnsi="Times New Roman" w:cs="Times New Roman"/>
          <w:sz w:val="24"/>
          <w:szCs w:val="24"/>
          <w:lang w:val="en-GB"/>
        </w:rPr>
        <w:t xml:space="preserve">(2021), </w:t>
      </w:r>
      <w:r w:rsidR="00FB5F6C">
        <w:rPr>
          <w:rFonts w:ascii="Times New Roman" w:eastAsia="Times New Roman" w:hAnsi="Times New Roman" w:cs="Times New Roman"/>
          <w:sz w:val="24"/>
          <w:szCs w:val="24"/>
          <w:lang w:val="en-GB"/>
        </w:rPr>
        <w:t>it is the duty of the city council to check over the matter of community empowerment.</w:t>
      </w:r>
      <w:r w:rsidRPr="00A30C1F">
        <w:rPr>
          <w:rFonts w:ascii="Times New Roman" w:eastAsia="Times New Roman" w:hAnsi="Times New Roman" w:cs="Times New Roman"/>
          <w:sz w:val="24"/>
          <w:szCs w:val="24"/>
          <w:lang w:val="en-GB"/>
        </w:rPr>
        <w:t xml:space="preserve"> It supports local community organisations through grant funding, training, and advice and encourages residents to take an active role in shaping the future of their communities. Havering Council also values diversity and inclusion in all aspects of community life. It is committed to engaging with a wide range of residents, including those from different cultural, social, and economic backgrounds and those with disabilities or other special needs. The council actively seeks out and addresses barriers to participation and works to create an inclusive and welcoming environment for all (</w:t>
      </w:r>
      <w:r w:rsidR="00FB5F6C">
        <w:rPr>
          <w:rFonts w:ascii="Times New Roman" w:eastAsia="Times New Roman" w:hAnsi="Times New Roman" w:cs="Times New Roman"/>
          <w:sz w:val="24"/>
          <w:szCs w:val="24"/>
          <w:lang w:val="en-GB"/>
        </w:rPr>
        <w:t xml:space="preserve">The London Borough of Havering, </w:t>
      </w:r>
      <w:r w:rsidR="00FB5F6C" w:rsidRPr="00BE088D">
        <w:rPr>
          <w:rFonts w:ascii="Times New Roman" w:eastAsia="Times New Roman" w:hAnsi="Times New Roman" w:cs="Times New Roman"/>
          <w:sz w:val="24"/>
          <w:szCs w:val="24"/>
          <w:lang w:val="en-GB"/>
        </w:rPr>
        <w:t>2023</w:t>
      </w:r>
      <w:r w:rsidRPr="00A30C1F">
        <w:rPr>
          <w:rFonts w:ascii="Times New Roman" w:eastAsia="Times New Roman" w:hAnsi="Times New Roman" w:cs="Times New Roman"/>
          <w:sz w:val="24"/>
          <w:szCs w:val="24"/>
          <w:lang w:val="en-GB"/>
        </w:rPr>
        <w:t>).</w:t>
      </w:r>
      <w:r w:rsidR="00FB5F6C">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sz w:val="24"/>
          <w:szCs w:val="24"/>
          <w:lang w:val="en-GB"/>
        </w:rPr>
        <w:t>Overall, Havering Council's community engagement principles and standards demonstrate its commitment to working collaboratively with residents, businesses, and other stakeholders to create a vibrant, inclusive, and sustainable community for all.</w:t>
      </w:r>
    </w:p>
    <w:p w14:paraId="222541BF" w14:textId="77777777" w:rsidR="00E43539" w:rsidRPr="00A30C1F" w:rsidRDefault="00560450" w:rsidP="00FB5F6C">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t>Discussing the prevailing social issues in the Havering council</w:t>
      </w:r>
    </w:p>
    <w:p w14:paraId="0A57FC3B"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Like many other local authorities, Havering Council faces a range of social issues that impact the well-being of its residents. One of the most pressing issues facing the borough is housing. Havering has a growing population, and there is a shortage of affordable housing, which has led to an increase in homelessnes</w:t>
      </w:r>
      <w:r w:rsidR="008563CC">
        <w:rPr>
          <w:rFonts w:ascii="Times New Roman" w:eastAsia="Times New Roman" w:hAnsi="Times New Roman" w:cs="Times New Roman"/>
          <w:sz w:val="24"/>
          <w:szCs w:val="24"/>
          <w:lang w:val="en-GB"/>
        </w:rPr>
        <w:t>s and overcrowding</w:t>
      </w:r>
      <w:r w:rsidRPr="00A30C1F">
        <w:rPr>
          <w:rFonts w:ascii="Times New Roman" w:eastAsia="Times New Roman" w:hAnsi="Times New Roman" w:cs="Times New Roman"/>
          <w:sz w:val="24"/>
          <w:szCs w:val="24"/>
          <w:lang w:val="en-GB"/>
        </w:rPr>
        <w:t>. The council is working to address this issue by building more affordable housing and supporting residents to access housing services</w:t>
      </w:r>
      <w:r w:rsidR="00E12BB8">
        <w:rPr>
          <w:rFonts w:ascii="Times New Roman" w:eastAsia="Times New Roman" w:hAnsi="Times New Roman" w:cs="Times New Roman"/>
          <w:sz w:val="24"/>
          <w:szCs w:val="24"/>
          <w:lang w:val="en-GB"/>
        </w:rPr>
        <w:t xml:space="preserve"> (The London Borough of Havering, </w:t>
      </w:r>
      <w:r w:rsidR="00E12BB8" w:rsidRPr="00BE088D">
        <w:rPr>
          <w:rFonts w:ascii="Times New Roman" w:eastAsia="Times New Roman" w:hAnsi="Times New Roman" w:cs="Times New Roman"/>
          <w:sz w:val="24"/>
          <w:szCs w:val="24"/>
          <w:lang w:val="en-GB"/>
        </w:rPr>
        <w:t>2023</w:t>
      </w:r>
      <w:r w:rsidR="00E12BB8">
        <w:rPr>
          <w:rFonts w:ascii="Times New Roman" w:eastAsia="Times New Roman" w:hAnsi="Times New Roman" w:cs="Times New Roman"/>
          <w:sz w:val="24"/>
          <w:szCs w:val="24"/>
          <w:lang w:val="en-GB"/>
        </w:rPr>
        <w:t>)</w:t>
      </w:r>
      <w:r w:rsidRPr="00A30C1F">
        <w:rPr>
          <w:rFonts w:ascii="Times New Roman" w:eastAsia="Times New Roman" w:hAnsi="Times New Roman" w:cs="Times New Roman"/>
          <w:sz w:val="24"/>
          <w:szCs w:val="24"/>
          <w:lang w:val="en-GB"/>
        </w:rPr>
        <w:t>.</w:t>
      </w:r>
      <w:r w:rsidR="00FB5F6C">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sz w:val="24"/>
          <w:szCs w:val="24"/>
          <w:lang w:val="en-GB"/>
        </w:rPr>
        <w:t>The COVID-19 pandemic has exacerbate</w:t>
      </w:r>
      <w:r w:rsidR="00426E22">
        <w:rPr>
          <w:rFonts w:ascii="Times New Roman" w:eastAsia="Times New Roman" w:hAnsi="Times New Roman" w:cs="Times New Roman"/>
          <w:sz w:val="24"/>
          <w:szCs w:val="24"/>
          <w:lang w:val="en-GB"/>
        </w:rPr>
        <w:t>d existing mental health issues</w:t>
      </w:r>
      <w:r w:rsidRPr="00A30C1F">
        <w:rPr>
          <w:rFonts w:ascii="Times New Roman" w:eastAsia="Times New Roman" w:hAnsi="Times New Roman" w:cs="Times New Roman"/>
          <w:sz w:val="24"/>
          <w:szCs w:val="24"/>
          <w:lang w:val="en-GB"/>
        </w:rPr>
        <w:t xml:space="preserve"> and the council has responded by providing mental health support services, including counselli</w:t>
      </w:r>
      <w:r w:rsidR="00426E22">
        <w:rPr>
          <w:rFonts w:ascii="Times New Roman" w:eastAsia="Times New Roman" w:hAnsi="Times New Roman" w:cs="Times New Roman"/>
          <w:sz w:val="24"/>
          <w:szCs w:val="24"/>
          <w:lang w:val="en-GB"/>
        </w:rPr>
        <w:t>ng and online resources</w:t>
      </w:r>
      <w:r w:rsidRPr="00A30C1F">
        <w:rPr>
          <w:rFonts w:ascii="Times New Roman" w:eastAsia="Times New Roman" w:hAnsi="Times New Roman" w:cs="Times New Roman"/>
          <w:sz w:val="24"/>
          <w:szCs w:val="24"/>
          <w:lang w:val="en-GB"/>
        </w:rPr>
        <w:t>. It has also launched campaigns to raise mental health awareness and reduce the stigma associated with seeking help.</w:t>
      </w:r>
    </w:p>
    <w:p w14:paraId="6C740D9E"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 xml:space="preserve">Crime and safety are also significant social issues in Havering. While overall crime rates in the borough are relatively low, there have been concerns about increasing antisocial behaviour, drug use, and violent crime in certain areas. The council works closely with the police and community </w:t>
      </w:r>
      <w:r w:rsidRPr="00A30C1F">
        <w:rPr>
          <w:rFonts w:ascii="Times New Roman" w:eastAsia="Times New Roman" w:hAnsi="Times New Roman" w:cs="Times New Roman"/>
          <w:sz w:val="24"/>
          <w:szCs w:val="24"/>
          <w:lang w:val="en-GB"/>
        </w:rPr>
        <w:lastRenderedPageBreak/>
        <w:t>groups to address these issues and has launched initiatives to promote community safety and reduce crime.</w:t>
      </w:r>
      <w:r w:rsidR="00FB5F6C">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sz w:val="24"/>
          <w:szCs w:val="24"/>
          <w:lang w:val="en-GB"/>
        </w:rPr>
        <w:t>Education is another social issue in Havering, with many schools facing funding challenges and struggling to provide high-quality education to their students (</w:t>
      </w:r>
      <w:proofErr w:type="spellStart"/>
      <w:r w:rsidRPr="00A30C1F">
        <w:rPr>
          <w:rFonts w:ascii="Times New Roman" w:eastAsia="Times New Roman" w:hAnsi="Times New Roman" w:cs="Times New Roman"/>
          <w:sz w:val="24"/>
          <w:szCs w:val="24"/>
          <w:lang w:val="en-GB"/>
        </w:rPr>
        <w:t>Umeh</w:t>
      </w:r>
      <w:proofErr w:type="spellEnd"/>
      <w:r w:rsidRPr="00A30C1F">
        <w:rPr>
          <w:rFonts w:ascii="Times New Roman" w:eastAsia="Times New Roman" w:hAnsi="Times New Roman" w:cs="Times New Roman"/>
          <w:sz w:val="24"/>
          <w:szCs w:val="24"/>
          <w:lang w:val="en-GB"/>
        </w:rPr>
        <w:t xml:space="preserve"> and </w:t>
      </w:r>
      <w:proofErr w:type="spellStart"/>
      <w:r w:rsidRPr="00A30C1F">
        <w:rPr>
          <w:rFonts w:ascii="Times New Roman" w:eastAsia="Times New Roman" w:hAnsi="Times New Roman" w:cs="Times New Roman"/>
          <w:sz w:val="24"/>
          <w:szCs w:val="24"/>
          <w:lang w:val="en-GB"/>
        </w:rPr>
        <w:t>Ionita</w:t>
      </w:r>
      <w:proofErr w:type="spellEnd"/>
      <w:r w:rsidRPr="00A30C1F">
        <w:rPr>
          <w:rFonts w:ascii="Times New Roman" w:eastAsia="Times New Roman" w:hAnsi="Times New Roman" w:cs="Times New Roman"/>
          <w:sz w:val="24"/>
          <w:szCs w:val="24"/>
          <w:lang w:val="en-GB"/>
        </w:rPr>
        <w:t>, 2021). The council has developed a range of initiatives to support schools, including funding new equipment and resources and working with local businesses to offer students apprenticeships and work experience opportunities.</w:t>
      </w:r>
    </w:p>
    <w:p w14:paraId="3B3B4A5A"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Overall, Havering Council faces a range of social issues that impact the well-being of its residents. However, through its commitment to community engagement and partnership, it is taking action to address these issues and create a more vibrant, inclusive, and sustainable community for all.</w:t>
      </w:r>
    </w:p>
    <w:p w14:paraId="6CA04485" w14:textId="77777777" w:rsidR="00E43539" w:rsidRPr="00A30C1F" w:rsidRDefault="00560450" w:rsidP="00FB5F6C">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t xml:space="preserve">Procedures for </w:t>
      </w:r>
      <w:r w:rsidR="00E12BB8" w:rsidRPr="00A30C1F">
        <w:rPr>
          <w:rFonts w:ascii="Times New Roman" w:eastAsia="Times New Roman" w:hAnsi="Times New Roman" w:cs="Times New Roman"/>
          <w:b/>
          <w:sz w:val="24"/>
          <w:szCs w:val="24"/>
          <w:lang w:val="en-GB"/>
        </w:rPr>
        <w:t>stakeholders’</w:t>
      </w:r>
      <w:r w:rsidRPr="00A30C1F">
        <w:rPr>
          <w:rFonts w:ascii="Times New Roman" w:eastAsia="Times New Roman" w:hAnsi="Times New Roman" w:cs="Times New Roman"/>
          <w:b/>
          <w:sz w:val="24"/>
          <w:szCs w:val="24"/>
          <w:lang w:val="en-GB"/>
        </w:rPr>
        <w:t xml:space="preserve"> consultation and communication</w:t>
      </w:r>
    </w:p>
    <w:p w14:paraId="5B719CBF"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Effective stakeholder consultation and communication are critical for community engagement (Beyers and Arras, 2021). Havering Council has developed a range of procedures to ensure that residents, businesses, and other stakeholders are involved in decision-making processes and have opportunities to provide feedback and input.</w:t>
      </w:r>
      <w:r w:rsidR="001031EE">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sz w:val="24"/>
          <w:szCs w:val="24"/>
          <w:lang w:val="en-GB"/>
        </w:rPr>
        <w:t>One key procedure is consultation. The council regularly consults with residents and other stakeholders on issues that affect them, such as proposed developments, changes to loc</w:t>
      </w:r>
      <w:r w:rsidR="00E12BB8">
        <w:rPr>
          <w:rFonts w:ascii="Times New Roman" w:eastAsia="Times New Roman" w:hAnsi="Times New Roman" w:cs="Times New Roman"/>
          <w:sz w:val="24"/>
          <w:szCs w:val="24"/>
          <w:lang w:val="en-GB"/>
        </w:rPr>
        <w:t xml:space="preserve">al services, and new policies. In support to the statement, </w:t>
      </w:r>
      <w:r w:rsidR="004F5CE5" w:rsidRPr="00A30C1F">
        <w:rPr>
          <w:rFonts w:ascii="Times New Roman" w:eastAsia="Times New Roman" w:hAnsi="Times New Roman" w:cs="Times New Roman"/>
          <w:sz w:val="24"/>
          <w:szCs w:val="24"/>
          <w:lang w:val="en-GB"/>
        </w:rPr>
        <w:t xml:space="preserve">Nita </w:t>
      </w:r>
      <w:r w:rsidR="004F5CE5" w:rsidRPr="00A30C1F">
        <w:rPr>
          <w:rFonts w:ascii="Times New Roman" w:eastAsia="Times New Roman" w:hAnsi="Times New Roman" w:cs="Times New Roman"/>
          <w:i/>
          <w:sz w:val="24"/>
          <w:szCs w:val="24"/>
          <w:lang w:val="en-GB"/>
        </w:rPr>
        <w:t xml:space="preserve">et al., </w:t>
      </w:r>
      <w:r w:rsidR="004F5CE5">
        <w:rPr>
          <w:rFonts w:ascii="Times New Roman" w:eastAsia="Times New Roman" w:hAnsi="Times New Roman" w:cs="Times New Roman"/>
          <w:sz w:val="24"/>
          <w:szCs w:val="24"/>
          <w:lang w:val="en-GB"/>
        </w:rPr>
        <w:t>(</w:t>
      </w:r>
      <w:r w:rsidR="004F5CE5" w:rsidRPr="00A30C1F">
        <w:rPr>
          <w:rFonts w:ascii="Times New Roman" w:eastAsia="Times New Roman" w:hAnsi="Times New Roman" w:cs="Times New Roman"/>
          <w:sz w:val="24"/>
          <w:szCs w:val="24"/>
          <w:lang w:val="en-GB"/>
        </w:rPr>
        <w:t>2022</w:t>
      </w:r>
      <w:r w:rsidR="00E12BB8">
        <w:rPr>
          <w:rFonts w:ascii="Times New Roman" w:eastAsia="Times New Roman" w:hAnsi="Times New Roman" w:cs="Times New Roman"/>
          <w:sz w:val="24"/>
          <w:szCs w:val="24"/>
          <w:lang w:val="en-GB"/>
        </w:rPr>
        <w:t xml:space="preserve">) </w:t>
      </w:r>
      <w:r w:rsidR="004F5CE5">
        <w:rPr>
          <w:rFonts w:ascii="Times New Roman" w:eastAsia="Times New Roman" w:hAnsi="Times New Roman" w:cs="Times New Roman"/>
          <w:sz w:val="24"/>
          <w:szCs w:val="24"/>
          <w:lang w:val="en-GB"/>
        </w:rPr>
        <w:t>highlighted that c</w:t>
      </w:r>
      <w:r w:rsidRPr="00A30C1F">
        <w:rPr>
          <w:rFonts w:ascii="Times New Roman" w:eastAsia="Times New Roman" w:hAnsi="Times New Roman" w:cs="Times New Roman"/>
          <w:sz w:val="24"/>
          <w:szCs w:val="24"/>
          <w:lang w:val="en-GB"/>
        </w:rPr>
        <w:t>onsultation methods vary depending on the issue and the stakeholders involved but may include public meetings, on</w:t>
      </w:r>
      <w:r w:rsidR="004F5CE5">
        <w:rPr>
          <w:rFonts w:ascii="Times New Roman" w:eastAsia="Times New Roman" w:hAnsi="Times New Roman" w:cs="Times New Roman"/>
          <w:sz w:val="24"/>
          <w:szCs w:val="24"/>
          <w:lang w:val="en-GB"/>
        </w:rPr>
        <w:t>line surveys, and focus groups</w:t>
      </w:r>
      <w:r w:rsidRPr="00A30C1F">
        <w:rPr>
          <w:rFonts w:ascii="Times New Roman" w:eastAsia="Times New Roman" w:hAnsi="Times New Roman" w:cs="Times New Roman"/>
          <w:sz w:val="24"/>
          <w:szCs w:val="24"/>
          <w:lang w:val="en-GB"/>
        </w:rPr>
        <w:t>. The council uses the feedback it receives from consultations to inform its decision-making processes and develop policies and initiatives that reflect the needs and preferences of the community.</w:t>
      </w:r>
    </w:p>
    <w:p w14:paraId="30974419"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Another important procedure is communication. The council communicates with stakeholders through various channels, including its website, social media, newsletters, and local media outlets. It uses these channels to provide updates on council activities, share information about upcoming consultations and events, and respond to queries and concerns from residents. The council also provides information in a range of accessible formats to ensure that all community members can engage with council activities and services. This means working collaborati</w:t>
      </w:r>
      <w:r w:rsidR="001031EE">
        <w:rPr>
          <w:rFonts w:ascii="Times New Roman" w:eastAsia="Times New Roman" w:hAnsi="Times New Roman" w:cs="Times New Roman"/>
          <w:sz w:val="24"/>
          <w:szCs w:val="24"/>
          <w:lang w:val="en-GB"/>
        </w:rPr>
        <w:t>vely with residents, businesses</w:t>
      </w:r>
      <w:r w:rsidRPr="00A30C1F">
        <w:rPr>
          <w:rFonts w:ascii="Times New Roman" w:eastAsia="Times New Roman" w:hAnsi="Times New Roman" w:cs="Times New Roman"/>
          <w:sz w:val="24"/>
          <w:szCs w:val="24"/>
          <w:lang w:val="en-GB"/>
        </w:rPr>
        <w:t xml:space="preserve"> and community groups to develop solutions to local issues and create services that reflect the needs and priorities of the community. </w:t>
      </w:r>
      <w:r w:rsidR="001031EE">
        <w:rPr>
          <w:rFonts w:ascii="Times New Roman" w:eastAsia="Times New Roman" w:hAnsi="Times New Roman" w:cs="Times New Roman"/>
          <w:sz w:val="24"/>
          <w:szCs w:val="24"/>
          <w:lang w:val="en-GB"/>
        </w:rPr>
        <w:t xml:space="preserve">As per the information of </w:t>
      </w:r>
      <w:r w:rsidR="00583F5C" w:rsidRPr="00583F5C">
        <w:rPr>
          <w:rFonts w:ascii="Times New Roman" w:eastAsia="Times New Roman" w:hAnsi="Times New Roman" w:cs="Times New Roman"/>
          <w:sz w:val="24"/>
          <w:szCs w:val="24"/>
          <w:lang w:val="en-GB"/>
        </w:rPr>
        <w:t>Havering (2023</w:t>
      </w:r>
      <w:r w:rsidR="001031EE">
        <w:rPr>
          <w:rFonts w:ascii="Times New Roman" w:eastAsia="Times New Roman" w:hAnsi="Times New Roman" w:cs="Times New Roman"/>
          <w:sz w:val="24"/>
          <w:szCs w:val="24"/>
          <w:lang w:val="en-GB"/>
        </w:rPr>
        <w:t>), i</w:t>
      </w:r>
      <w:r w:rsidRPr="00A30C1F">
        <w:rPr>
          <w:rFonts w:ascii="Times New Roman" w:eastAsia="Times New Roman" w:hAnsi="Times New Roman" w:cs="Times New Roman"/>
          <w:sz w:val="24"/>
          <w:szCs w:val="24"/>
          <w:lang w:val="en-GB"/>
        </w:rPr>
        <w:t xml:space="preserve">n order to support stakeholder engagement and participation, Havering Council provides training and resources to community groups and other stakeholders. This includes training on effective consultation and communication, guidance on accessing funding and other support for community </w:t>
      </w:r>
      <w:r w:rsidRPr="00A30C1F">
        <w:rPr>
          <w:rFonts w:ascii="Times New Roman" w:eastAsia="Times New Roman" w:hAnsi="Times New Roman" w:cs="Times New Roman"/>
          <w:sz w:val="24"/>
          <w:szCs w:val="24"/>
          <w:lang w:val="en-GB"/>
        </w:rPr>
        <w:lastRenderedPageBreak/>
        <w:t>initiatives. The council also runs regular community events, such as festivals and fairs, to promote community engagement and celebrate the diversity of the borough.</w:t>
      </w:r>
    </w:p>
    <w:p w14:paraId="361C3E76"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Overall, Havering Council has developed a range of procedures to support stakeholder consultation and communication. The council is creating a more engaged and inclusive community by involving residents, businesses, and other stakeholders in decision-making processes and working collaboratively to co-design and deliver services and initiatives.</w:t>
      </w:r>
    </w:p>
    <w:p w14:paraId="7495045D" w14:textId="77777777" w:rsidR="00E43539" w:rsidRPr="00A30C1F" w:rsidRDefault="00560450" w:rsidP="001031EE">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t>Ways through which stakeholders’ diversity and inclusion are maintained</w:t>
      </w:r>
    </w:p>
    <w:p w14:paraId="13D55947"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 xml:space="preserve">Maintaining diversity and inclusion is critical to community engagement for the Havering Council (Bernstein </w:t>
      </w:r>
      <w:r w:rsidRPr="00A30C1F">
        <w:rPr>
          <w:rFonts w:ascii="Times New Roman" w:eastAsia="Times New Roman" w:hAnsi="Times New Roman" w:cs="Times New Roman"/>
          <w:i/>
          <w:sz w:val="24"/>
          <w:szCs w:val="24"/>
          <w:lang w:val="en-GB"/>
        </w:rPr>
        <w:t xml:space="preserve">et al. </w:t>
      </w:r>
      <w:r w:rsidRPr="00A30C1F">
        <w:rPr>
          <w:rFonts w:ascii="Times New Roman" w:eastAsia="Times New Roman" w:hAnsi="Times New Roman" w:cs="Times New Roman"/>
          <w:sz w:val="24"/>
          <w:szCs w:val="24"/>
          <w:lang w:val="en-GB"/>
        </w:rPr>
        <w:t>2020). The council has developed a range of strategies to ensure that all members of the community are involved in decision-making processes and have opportunities to provide feedback and input.</w:t>
      </w:r>
    </w:p>
    <w:p w14:paraId="7ACEA513"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 xml:space="preserve">One key strategy is the promotion of diversity in recruitment and training. Havering Council seeks to recruit staff from diverse backgrounds to ensure that its workforce reflects the diversity of the community it serves. Another important strategy is the provision of accessible services and facilities. Havering Council seeks to ensure that all members of the community, regardless of age, ability, or cultural background, can access council services and facilities. This includes the provision of accessible information and communication, such as translations and interpretation services, and the design of public spaces that are accessible to all. The council also works with community groups and organisations to promote diversity and inclusion. </w:t>
      </w:r>
    </w:p>
    <w:p w14:paraId="649FB127"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 xml:space="preserve">Finally, Havering Council promotes diversity and inclusion through its policies and decision-making processes. The council seeks to ensure that all policies and initiatives are developed with input from diverse stakeholders and take into account the needs and priorities of different groups within the community. </w:t>
      </w:r>
      <w:r w:rsidR="00CE2C86">
        <w:rPr>
          <w:rFonts w:ascii="Times New Roman" w:eastAsia="Times New Roman" w:hAnsi="Times New Roman" w:cs="Times New Roman"/>
          <w:sz w:val="24"/>
          <w:szCs w:val="24"/>
          <w:lang w:val="en-GB"/>
        </w:rPr>
        <w:t xml:space="preserve">As highlighted by </w:t>
      </w:r>
      <w:proofErr w:type="spellStart"/>
      <w:r w:rsidR="00CE2C86" w:rsidRPr="00457041">
        <w:rPr>
          <w:rFonts w:ascii="Times New Roman" w:hAnsi="Times New Roman" w:cs="Times New Roman"/>
          <w:color w:val="000000" w:themeColor="text1"/>
          <w:sz w:val="24"/>
          <w:szCs w:val="24"/>
          <w:shd w:val="clear" w:color="auto" w:fill="FFFFFF"/>
        </w:rPr>
        <w:t>Kujala</w:t>
      </w:r>
      <w:proofErr w:type="spellEnd"/>
      <w:r w:rsidR="00CE2C86">
        <w:rPr>
          <w:rFonts w:ascii="Times New Roman" w:hAnsi="Times New Roman" w:cs="Times New Roman"/>
          <w:color w:val="000000" w:themeColor="text1"/>
          <w:sz w:val="24"/>
          <w:szCs w:val="24"/>
          <w:shd w:val="clear" w:color="auto" w:fill="FFFFFF"/>
        </w:rPr>
        <w:t xml:space="preserve"> </w:t>
      </w:r>
      <w:r w:rsidR="00CE2C86" w:rsidRPr="00CE2C86">
        <w:rPr>
          <w:rFonts w:ascii="Times New Roman" w:hAnsi="Times New Roman" w:cs="Times New Roman"/>
          <w:i/>
          <w:color w:val="000000" w:themeColor="text1"/>
          <w:sz w:val="24"/>
          <w:szCs w:val="24"/>
          <w:shd w:val="clear" w:color="auto" w:fill="FFFFFF"/>
        </w:rPr>
        <w:t>et al.</w:t>
      </w:r>
      <w:r w:rsidR="00CE2C86">
        <w:rPr>
          <w:rFonts w:ascii="Times New Roman" w:hAnsi="Times New Roman" w:cs="Times New Roman"/>
          <w:color w:val="000000" w:themeColor="text1"/>
          <w:sz w:val="24"/>
          <w:szCs w:val="24"/>
          <w:shd w:val="clear" w:color="auto" w:fill="FFFFFF"/>
        </w:rPr>
        <w:t xml:space="preserve"> (</w:t>
      </w:r>
      <w:r w:rsidR="00CE2C86" w:rsidRPr="00457041">
        <w:rPr>
          <w:rFonts w:ascii="Times New Roman" w:hAnsi="Times New Roman" w:cs="Times New Roman"/>
          <w:color w:val="000000" w:themeColor="text1"/>
          <w:sz w:val="24"/>
          <w:szCs w:val="24"/>
          <w:shd w:val="clear" w:color="auto" w:fill="FFFFFF"/>
        </w:rPr>
        <w:t>2022</w:t>
      </w:r>
      <w:r w:rsidR="00CE2C86">
        <w:rPr>
          <w:rFonts w:ascii="Times New Roman" w:eastAsia="Times New Roman" w:hAnsi="Times New Roman" w:cs="Times New Roman"/>
          <w:sz w:val="24"/>
          <w:szCs w:val="24"/>
          <w:lang w:val="en-GB"/>
        </w:rPr>
        <w:t xml:space="preserve">), without managing stakeholders’ interaction, it is tough to maintain community purposes in an uninterrupted way. </w:t>
      </w:r>
      <w:r w:rsidRPr="00A30C1F">
        <w:rPr>
          <w:rFonts w:ascii="Times New Roman" w:eastAsia="Times New Roman" w:hAnsi="Times New Roman" w:cs="Times New Roman"/>
          <w:sz w:val="24"/>
          <w:szCs w:val="24"/>
          <w:lang w:val="en-GB"/>
        </w:rPr>
        <w:t>This includes working closely with local communities to co-design and deliver services and initiatives that are responsive to the needs of diverse stakeholders. Havering Council is committed to maintaining diversity and inclusion in its community engagement activities. Through its recruitment and training strategies, accessible services and facilities, support for community groups, and inclusive policies and decision-making processes, the council is creating a more engaged and inclusive community for all.</w:t>
      </w:r>
    </w:p>
    <w:p w14:paraId="5D5C0AB2" w14:textId="77777777" w:rsidR="00E43539" w:rsidRPr="00A30C1F" w:rsidRDefault="00560450" w:rsidP="001031EE">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t>Strategic implementation of feedback</w:t>
      </w:r>
    </w:p>
    <w:p w14:paraId="2F132D3A"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lastRenderedPageBreak/>
        <w:t xml:space="preserve">Implementing feedback is a critical aspect of community engagement, as it allows stakeholders to have a say in decision-making processes and ensures that initiatives and policies are responsive to community needs and priorities (Gilmore </w:t>
      </w:r>
      <w:r w:rsidRPr="00A30C1F">
        <w:rPr>
          <w:rFonts w:ascii="Times New Roman" w:eastAsia="Times New Roman" w:hAnsi="Times New Roman" w:cs="Times New Roman"/>
          <w:i/>
          <w:sz w:val="24"/>
          <w:szCs w:val="24"/>
          <w:lang w:val="en-GB"/>
        </w:rPr>
        <w:t xml:space="preserve">et al., </w:t>
      </w:r>
      <w:r w:rsidRPr="00A30C1F">
        <w:rPr>
          <w:rFonts w:ascii="Times New Roman" w:eastAsia="Times New Roman" w:hAnsi="Times New Roman" w:cs="Times New Roman"/>
          <w:sz w:val="24"/>
          <w:szCs w:val="24"/>
          <w:lang w:val="en-GB"/>
        </w:rPr>
        <w:t>2020). Havering Council has developed a strategic approach to implementing feedback, which includes ongoing engagement with stakeholders, regular review of feedback mechanisms, and clear communication about how feedback is used to inform decision-making.</w:t>
      </w:r>
      <w:r w:rsidR="00CE2C86">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sz w:val="24"/>
          <w:szCs w:val="24"/>
          <w:lang w:val="en-GB"/>
        </w:rPr>
        <w:t>One key aspect of the council's approach is its commitment to supporting feedback mechanisms. Another important aspect of the council's approach is its focus on ongoing engagement with stakeholders. The council recognises that effective engagement is a continuous process and that stakeholders need to be involved throughout the lifecycle of a project or initiative. This means involving stakeholders in the planning and development stages, seeking feedback throughout implementation, and providing opportunities for ongoing evaluation and review.</w:t>
      </w:r>
    </w:p>
    <w:p w14:paraId="0DBAC664"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The impacts of the council's strategic approach to feedback implementation are significant. The council creates a more engaged and inclusive community by actively seeking and act</w:t>
      </w:r>
      <w:r w:rsidR="00D22BF2">
        <w:rPr>
          <w:rFonts w:ascii="Times New Roman" w:eastAsia="Times New Roman" w:hAnsi="Times New Roman" w:cs="Times New Roman"/>
          <w:sz w:val="24"/>
          <w:szCs w:val="24"/>
          <w:lang w:val="en-GB"/>
        </w:rPr>
        <w:t xml:space="preserve">ing upon stakeholder feedback. As per the words of </w:t>
      </w:r>
      <w:r w:rsidR="003429B9" w:rsidRPr="00783AEA">
        <w:rPr>
          <w:rFonts w:ascii="Times New Roman" w:hAnsi="Times New Roman" w:cs="Times New Roman"/>
          <w:color w:val="222222"/>
          <w:sz w:val="24"/>
          <w:szCs w:val="24"/>
          <w:shd w:val="clear" w:color="auto" w:fill="FFFFFF"/>
        </w:rPr>
        <w:t>Bhaumik</w:t>
      </w:r>
      <w:r w:rsidR="003429B9">
        <w:rPr>
          <w:rFonts w:ascii="Times New Roman" w:hAnsi="Times New Roman" w:cs="Times New Roman"/>
          <w:color w:val="222222"/>
          <w:sz w:val="24"/>
          <w:szCs w:val="24"/>
          <w:shd w:val="clear" w:color="auto" w:fill="FFFFFF"/>
        </w:rPr>
        <w:t xml:space="preserve"> </w:t>
      </w:r>
      <w:r w:rsidR="003429B9" w:rsidRPr="003429B9">
        <w:rPr>
          <w:rFonts w:ascii="Times New Roman" w:hAnsi="Times New Roman" w:cs="Times New Roman"/>
          <w:i/>
          <w:color w:val="222222"/>
          <w:sz w:val="24"/>
          <w:szCs w:val="24"/>
          <w:shd w:val="clear" w:color="auto" w:fill="FFFFFF"/>
        </w:rPr>
        <w:t>et al.</w:t>
      </w:r>
      <w:r w:rsidR="003429B9" w:rsidRPr="00783AEA">
        <w:rPr>
          <w:rFonts w:ascii="Times New Roman" w:hAnsi="Times New Roman" w:cs="Times New Roman"/>
          <w:color w:val="222222"/>
          <w:sz w:val="24"/>
          <w:szCs w:val="24"/>
          <w:shd w:val="clear" w:color="auto" w:fill="FFFFFF"/>
        </w:rPr>
        <w:t xml:space="preserve"> </w:t>
      </w:r>
      <w:r w:rsidR="003429B9">
        <w:rPr>
          <w:rFonts w:ascii="Times New Roman" w:hAnsi="Times New Roman" w:cs="Times New Roman"/>
          <w:color w:val="222222"/>
          <w:sz w:val="24"/>
          <w:szCs w:val="24"/>
          <w:shd w:val="clear" w:color="auto" w:fill="FFFFFF"/>
        </w:rPr>
        <w:t>(</w:t>
      </w:r>
      <w:r w:rsidR="003429B9" w:rsidRPr="00783AEA">
        <w:rPr>
          <w:rFonts w:ascii="Times New Roman" w:hAnsi="Times New Roman" w:cs="Times New Roman"/>
          <w:color w:val="222222"/>
          <w:sz w:val="24"/>
          <w:szCs w:val="24"/>
          <w:shd w:val="clear" w:color="auto" w:fill="FFFFFF"/>
        </w:rPr>
        <w:t>2020</w:t>
      </w:r>
      <w:r w:rsidR="00D22BF2">
        <w:rPr>
          <w:rFonts w:ascii="Times New Roman" w:eastAsia="Times New Roman" w:hAnsi="Times New Roman" w:cs="Times New Roman"/>
          <w:sz w:val="24"/>
          <w:szCs w:val="24"/>
          <w:lang w:val="en-GB"/>
        </w:rPr>
        <w:t>), t</w:t>
      </w:r>
      <w:r w:rsidRPr="00A30C1F">
        <w:rPr>
          <w:rFonts w:ascii="Times New Roman" w:eastAsia="Times New Roman" w:hAnsi="Times New Roman" w:cs="Times New Roman"/>
          <w:sz w:val="24"/>
          <w:szCs w:val="24"/>
          <w:lang w:val="en-GB"/>
        </w:rPr>
        <w:t>his means that policies and initiatives are more likely to reflect the needs and priorities of the community, leading to greater support and buy-in from stakeholders. Additionally, by involving stakeholders throughout the lifecycle of projects and initiatives, the council is promoting a sense of ownership and investment in the community, which can lead to increased participation in civic activities and greater community cohesion. Overall, Havering Council's strategic approach to implementing feedback is critical to its community engagement activities. By supporting feedback mechanisms, promoting ongoing engagement with stakeholders, and using feedback to inform decision-making, the council is creating a more engaged and inclusive community that reflects the needs and priorities of its stakeholders.</w:t>
      </w:r>
    </w:p>
    <w:p w14:paraId="5159A645" w14:textId="77777777" w:rsidR="00E43539" w:rsidRPr="00A30C1F" w:rsidRDefault="00560450">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t>Conclusion</w:t>
      </w:r>
    </w:p>
    <w:p w14:paraId="774C8AE4"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 xml:space="preserve">In conclusion, community engagement is critical to local Governance and decision-making. Havering Council has developed a range of strategies and practices to ensure that its engagement activities are inclusive, effective, and responsive to community needs and priorities. By maintaining diversity and inclusion, implementing feedback mechanisms, and promoting ongoing engagement with stakeholders, the council is creating a more engaged and connected community that reflects the needs and aspirations of its diverse stakeholders. Through its commitment to </w:t>
      </w:r>
      <w:r w:rsidRPr="00A30C1F">
        <w:rPr>
          <w:rFonts w:ascii="Times New Roman" w:eastAsia="Times New Roman" w:hAnsi="Times New Roman" w:cs="Times New Roman"/>
          <w:sz w:val="24"/>
          <w:szCs w:val="24"/>
          <w:lang w:val="en-GB"/>
        </w:rPr>
        <w:lastRenderedPageBreak/>
        <w:t>community engagement, Havering Council is demonstrating its dedication to building a more sustainable and vibrant community for all.</w:t>
      </w:r>
    </w:p>
    <w:p w14:paraId="4E794743" w14:textId="77777777" w:rsidR="00E43539" w:rsidRPr="00A30C1F" w:rsidRDefault="00560450">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t>Recommendations</w:t>
      </w:r>
    </w:p>
    <w:p w14:paraId="1DAFA7B0"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Based on the discussion of community engagement practices and procedures of Havering Council, the following recommendations can be made to enhance the council's community engagement activities further:</w:t>
      </w:r>
    </w:p>
    <w:p w14:paraId="76C0D650" w14:textId="77777777" w:rsidR="00E43539" w:rsidRPr="00A30C1F" w:rsidRDefault="00DB675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Increasing</w:t>
      </w:r>
      <w:r w:rsidR="00560450" w:rsidRPr="00A30C1F">
        <w:rPr>
          <w:rFonts w:ascii="Times New Roman" w:eastAsia="Times New Roman" w:hAnsi="Times New Roman" w:cs="Times New Roman"/>
          <w:b/>
          <w:sz w:val="24"/>
          <w:szCs w:val="24"/>
          <w:lang w:val="en-GB"/>
        </w:rPr>
        <w:t xml:space="preserve"> Outreach: </w:t>
      </w:r>
      <w:r w:rsidR="00560450" w:rsidRPr="00A30C1F">
        <w:rPr>
          <w:rFonts w:ascii="Times New Roman" w:eastAsia="Times New Roman" w:hAnsi="Times New Roman" w:cs="Times New Roman"/>
          <w:sz w:val="24"/>
          <w:szCs w:val="24"/>
          <w:lang w:val="en-GB"/>
        </w:rPr>
        <w:t>The council should continue to increase its outreach efforts to reach all members of the community, including those from disadvantaged and marginalised groups. This could include targeted outreach efforts, such as working with community groups, hosting more public meetings, and using social media platforms to engage with diverse communities.</w:t>
      </w:r>
    </w:p>
    <w:p w14:paraId="5EEAB0EC" w14:textId="77777777" w:rsidR="00E43539" w:rsidRPr="00A30C1F" w:rsidRDefault="00F72049">
      <w:pPr>
        <w:pStyle w:val="Normal1"/>
        <w:spacing w:line="360" w:lineRule="auto"/>
        <w:jc w:val="both"/>
        <w:rPr>
          <w:rFonts w:ascii="Times New Roman" w:eastAsia="Times New Roman" w:hAnsi="Times New Roman" w:cs="Times New Roman"/>
          <w:sz w:val="24"/>
          <w:szCs w:val="24"/>
          <w:lang w:val="en-GB"/>
        </w:rPr>
      </w:pPr>
      <w:r w:rsidRPr="00F72049">
        <w:rPr>
          <w:rFonts w:ascii="Times New Roman" w:eastAsia="Times New Roman" w:hAnsi="Times New Roman" w:cs="Times New Roman"/>
          <w:b/>
          <w:sz w:val="24"/>
          <w:szCs w:val="24"/>
          <w:lang w:val="en-GB"/>
        </w:rPr>
        <w:t>Incorporating</w:t>
      </w:r>
      <w:r w:rsidR="00560450" w:rsidRPr="00F72049">
        <w:rPr>
          <w:rFonts w:ascii="Times New Roman" w:eastAsia="Times New Roman" w:hAnsi="Times New Roman" w:cs="Times New Roman"/>
          <w:b/>
          <w:sz w:val="24"/>
          <w:szCs w:val="24"/>
          <w:lang w:val="en-GB"/>
        </w:rPr>
        <w:t xml:space="preserve"> More Diverse Feedback:</w:t>
      </w:r>
      <w:r w:rsidR="00560450" w:rsidRPr="00A30C1F">
        <w:rPr>
          <w:rFonts w:ascii="Times New Roman" w:eastAsia="Times New Roman" w:hAnsi="Times New Roman" w:cs="Times New Roman"/>
          <w:sz w:val="24"/>
          <w:szCs w:val="24"/>
          <w:lang w:val="en-GB"/>
        </w:rPr>
        <w:t xml:space="preserve"> The council should strive to incorporate feedback from diverse stakeholders in its decision-making processes. This could include efforts to engage with a wider range of stakeholders, such as young people, people with disabilities, and members of minority groups</w:t>
      </w:r>
      <w:r w:rsidR="00906042">
        <w:rPr>
          <w:rFonts w:ascii="Times New Roman" w:eastAsia="Times New Roman" w:hAnsi="Times New Roman" w:cs="Times New Roman"/>
          <w:sz w:val="24"/>
          <w:szCs w:val="24"/>
          <w:lang w:val="en-GB"/>
        </w:rPr>
        <w:t xml:space="preserve"> (</w:t>
      </w:r>
      <w:r w:rsidR="00906042" w:rsidRPr="00783AEA">
        <w:rPr>
          <w:rFonts w:ascii="Times New Roman" w:eastAsia="Times New Roman" w:hAnsi="Times New Roman" w:cs="Times New Roman"/>
          <w:color w:val="222222"/>
          <w:sz w:val="24"/>
          <w:szCs w:val="24"/>
          <w:highlight w:val="white"/>
          <w:lang w:val="en-GB"/>
        </w:rPr>
        <w:t>Bernstein</w:t>
      </w:r>
      <w:r w:rsidR="00906042">
        <w:rPr>
          <w:rFonts w:ascii="Times New Roman" w:eastAsia="Times New Roman" w:hAnsi="Times New Roman" w:cs="Times New Roman"/>
          <w:color w:val="222222"/>
          <w:sz w:val="24"/>
          <w:szCs w:val="24"/>
          <w:highlight w:val="white"/>
          <w:lang w:val="en-GB"/>
        </w:rPr>
        <w:t xml:space="preserve"> </w:t>
      </w:r>
      <w:r w:rsidR="00906042" w:rsidRPr="00906042">
        <w:rPr>
          <w:rFonts w:ascii="Times New Roman" w:eastAsia="Times New Roman" w:hAnsi="Times New Roman" w:cs="Times New Roman"/>
          <w:i/>
          <w:color w:val="222222"/>
          <w:sz w:val="24"/>
          <w:szCs w:val="24"/>
          <w:highlight w:val="white"/>
          <w:lang w:val="en-GB"/>
        </w:rPr>
        <w:t>et al</w:t>
      </w:r>
      <w:r w:rsidR="00906042">
        <w:rPr>
          <w:rFonts w:ascii="Times New Roman" w:eastAsia="Times New Roman" w:hAnsi="Times New Roman" w:cs="Times New Roman"/>
          <w:color w:val="222222"/>
          <w:sz w:val="24"/>
          <w:szCs w:val="24"/>
          <w:highlight w:val="white"/>
          <w:lang w:val="en-GB"/>
        </w:rPr>
        <w:t>.</w:t>
      </w:r>
      <w:r w:rsidR="00906042" w:rsidRPr="00A30C1F">
        <w:rPr>
          <w:rFonts w:ascii="Times New Roman" w:eastAsia="Times New Roman" w:hAnsi="Times New Roman" w:cs="Times New Roman"/>
          <w:color w:val="222222"/>
          <w:sz w:val="24"/>
          <w:szCs w:val="24"/>
          <w:highlight w:val="white"/>
          <w:lang w:val="en-GB"/>
        </w:rPr>
        <w:t xml:space="preserve"> 2020</w:t>
      </w:r>
      <w:r w:rsidR="00906042">
        <w:rPr>
          <w:rFonts w:ascii="Times New Roman" w:eastAsia="Times New Roman" w:hAnsi="Times New Roman" w:cs="Times New Roman"/>
          <w:sz w:val="24"/>
          <w:szCs w:val="24"/>
          <w:lang w:val="en-GB"/>
        </w:rPr>
        <w:t>)</w:t>
      </w:r>
      <w:r w:rsidR="00560450" w:rsidRPr="00A30C1F">
        <w:rPr>
          <w:rFonts w:ascii="Times New Roman" w:eastAsia="Times New Roman" w:hAnsi="Times New Roman" w:cs="Times New Roman"/>
          <w:sz w:val="24"/>
          <w:szCs w:val="24"/>
          <w:lang w:val="en-GB"/>
        </w:rPr>
        <w:t>.</w:t>
      </w:r>
    </w:p>
    <w:p w14:paraId="6C92434B"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b/>
          <w:sz w:val="24"/>
          <w:szCs w:val="24"/>
          <w:lang w:val="en-GB"/>
        </w:rPr>
        <w:t>Monitor</w:t>
      </w:r>
      <w:r w:rsidR="00DB6757">
        <w:rPr>
          <w:rFonts w:ascii="Times New Roman" w:eastAsia="Times New Roman" w:hAnsi="Times New Roman" w:cs="Times New Roman"/>
          <w:b/>
          <w:sz w:val="24"/>
          <w:szCs w:val="24"/>
          <w:lang w:val="en-GB"/>
        </w:rPr>
        <w:t>ing and Evaluating</w:t>
      </w:r>
      <w:r w:rsidRPr="00A30C1F">
        <w:rPr>
          <w:rFonts w:ascii="Times New Roman" w:eastAsia="Times New Roman" w:hAnsi="Times New Roman" w:cs="Times New Roman"/>
          <w:b/>
          <w:sz w:val="24"/>
          <w:szCs w:val="24"/>
          <w:lang w:val="en-GB"/>
        </w:rPr>
        <w:t xml:space="preserve"> Engagement Activities: </w:t>
      </w:r>
      <w:r w:rsidRPr="00A30C1F">
        <w:rPr>
          <w:rFonts w:ascii="Times New Roman" w:eastAsia="Times New Roman" w:hAnsi="Times New Roman" w:cs="Times New Roman"/>
          <w:sz w:val="24"/>
          <w:szCs w:val="24"/>
          <w:lang w:val="en-GB"/>
        </w:rPr>
        <w:t>The council should regularly monitor and evaluate its community engagement activities to ensure they are effective and responsive to community needs and priorities. This could include gathering feedback from stakeholders, reviewing engagement data, and conducting regular evaluations of engagement practices and procedures.</w:t>
      </w:r>
    </w:p>
    <w:p w14:paraId="422C9439" w14:textId="77777777" w:rsidR="00E43539" w:rsidRPr="00A30C1F" w:rsidRDefault="00560450">
      <w:pPr>
        <w:pStyle w:val="Normal1"/>
        <w:spacing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sz w:val="24"/>
          <w:szCs w:val="24"/>
          <w:lang w:val="en-GB"/>
        </w:rPr>
        <w:t>By implementing these recommendations, Havering Council can further enhance its community engagement activities and create a more engaged and connected community that reflects the needs and aspirations of all its diverse stakeholders.</w:t>
      </w:r>
      <w:r w:rsidRPr="00A30C1F">
        <w:rPr>
          <w:lang w:val="en-GB"/>
        </w:rPr>
        <w:br w:type="page"/>
      </w:r>
    </w:p>
    <w:p w14:paraId="433F31D6" w14:textId="77777777" w:rsidR="00E43539" w:rsidRPr="00A30C1F" w:rsidRDefault="00560450">
      <w:pPr>
        <w:pStyle w:val="Normal1"/>
        <w:spacing w:line="360" w:lineRule="auto"/>
        <w:jc w:val="both"/>
        <w:rPr>
          <w:rFonts w:ascii="Times New Roman" w:eastAsia="Times New Roman" w:hAnsi="Times New Roman" w:cs="Times New Roman"/>
          <w:b/>
          <w:sz w:val="24"/>
          <w:szCs w:val="24"/>
          <w:lang w:val="en-GB"/>
        </w:rPr>
      </w:pPr>
      <w:r w:rsidRPr="00A30C1F">
        <w:rPr>
          <w:rFonts w:ascii="Times New Roman" w:eastAsia="Times New Roman" w:hAnsi="Times New Roman" w:cs="Times New Roman"/>
          <w:b/>
          <w:sz w:val="24"/>
          <w:szCs w:val="24"/>
          <w:lang w:val="en-GB"/>
        </w:rPr>
        <w:lastRenderedPageBreak/>
        <w:t>Reference list</w:t>
      </w:r>
    </w:p>
    <w:p w14:paraId="6A67C47E" w14:textId="77777777" w:rsidR="00CC4D19" w:rsidRPr="00A30C1F" w:rsidRDefault="00CC4D19" w:rsidP="00CC4D19">
      <w:pPr>
        <w:pStyle w:val="Normal1"/>
        <w:spacing w:before="240" w:after="240" w:line="360" w:lineRule="auto"/>
        <w:jc w:val="both"/>
        <w:rPr>
          <w:rFonts w:ascii="Times New Roman" w:eastAsia="Times New Roman" w:hAnsi="Times New Roman" w:cs="Times New Roman"/>
          <w:sz w:val="24"/>
          <w:szCs w:val="24"/>
          <w:lang w:val="en-GB"/>
        </w:rPr>
      </w:pPr>
      <w:r w:rsidRPr="00783AEA">
        <w:rPr>
          <w:rFonts w:ascii="Times New Roman" w:eastAsia="Times New Roman" w:hAnsi="Times New Roman" w:cs="Times New Roman"/>
          <w:color w:val="222222"/>
          <w:sz w:val="24"/>
          <w:szCs w:val="24"/>
          <w:highlight w:val="white"/>
          <w:lang w:val="en-GB"/>
        </w:rPr>
        <w:t xml:space="preserve">Bernstein, R.S., Bulger, M., </w:t>
      </w:r>
      <w:proofErr w:type="spellStart"/>
      <w:r w:rsidRPr="00783AEA">
        <w:rPr>
          <w:rFonts w:ascii="Times New Roman" w:eastAsia="Times New Roman" w:hAnsi="Times New Roman" w:cs="Times New Roman"/>
          <w:color w:val="222222"/>
          <w:sz w:val="24"/>
          <w:szCs w:val="24"/>
          <w:highlight w:val="white"/>
          <w:lang w:val="en-GB"/>
        </w:rPr>
        <w:t>Salipante</w:t>
      </w:r>
      <w:proofErr w:type="spellEnd"/>
      <w:r w:rsidRPr="00A30C1F">
        <w:rPr>
          <w:rFonts w:ascii="Times New Roman" w:eastAsia="Times New Roman" w:hAnsi="Times New Roman" w:cs="Times New Roman"/>
          <w:color w:val="222222"/>
          <w:sz w:val="24"/>
          <w:szCs w:val="24"/>
          <w:highlight w:val="white"/>
          <w:lang w:val="en-GB"/>
        </w:rPr>
        <w:t xml:space="preserve">, P. and </w:t>
      </w:r>
      <w:proofErr w:type="spellStart"/>
      <w:r w:rsidRPr="00A30C1F">
        <w:rPr>
          <w:rFonts w:ascii="Times New Roman" w:eastAsia="Times New Roman" w:hAnsi="Times New Roman" w:cs="Times New Roman"/>
          <w:color w:val="222222"/>
          <w:sz w:val="24"/>
          <w:szCs w:val="24"/>
          <w:highlight w:val="white"/>
          <w:lang w:val="en-GB"/>
        </w:rPr>
        <w:t>Weisinger</w:t>
      </w:r>
      <w:proofErr w:type="spellEnd"/>
      <w:r w:rsidRPr="00A30C1F">
        <w:rPr>
          <w:rFonts w:ascii="Times New Roman" w:eastAsia="Times New Roman" w:hAnsi="Times New Roman" w:cs="Times New Roman"/>
          <w:color w:val="222222"/>
          <w:sz w:val="24"/>
          <w:szCs w:val="24"/>
          <w:highlight w:val="white"/>
          <w:lang w:val="en-GB"/>
        </w:rPr>
        <w:t xml:space="preserve">, J.Y., 2020. From diversity to inclusion to equity: A theory of generative interactions. </w:t>
      </w:r>
      <w:r w:rsidRPr="00A30C1F">
        <w:rPr>
          <w:rFonts w:ascii="Times New Roman" w:eastAsia="Times New Roman" w:hAnsi="Times New Roman" w:cs="Times New Roman"/>
          <w:i/>
          <w:sz w:val="24"/>
          <w:szCs w:val="24"/>
          <w:lang w:val="en-GB"/>
        </w:rPr>
        <w:t>Journal of Business Ethics</w:t>
      </w:r>
      <w:r w:rsidRPr="00A30C1F">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i/>
          <w:sz w:val="24"/>
          <w:szCs w:val="24"/>
          <w:lang w:val="en-GB"/>
        </w:rPr>
        <w:t>167</w:t>
      </w:r>
      <w:r w:rsidRPr="00A30C1F">
        <w:rPr>
          <w:rFonts w:ascii="Times New Roman" w:eastAsia="Times New Roman" w:hAnsi="Times New Roman" w:cs="Times New Roman"/>
          <w:sz w:val="24"/>
          <w:szCs w:val="24"/>
          <w:lang w:val="en-GB"/>
        </w:rPr>
        <w:t>, pp.395-410.</w:t>
      </w:r>
    </w:p>
    <w:p w14:paraId="29EA093D" w14:textId="77777777" w:rsidR="00CC4D19" w:rsidRPr="00A30C1F" w:rsidRDefault="00CC4D19" w:rsidP="00CC4D19">
      <w:pPr>
        <w:pStyle w:val="Normal1"/>
        <w:spacing w:before="240" w:after="240"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color w:val="222222"/>
          <w:sz w:val="24"/>
          <w:szCs w:val="24"/>
          <w:highlight w:val="white"/>
          <w:lang w:val="en-GB"/>
        </w:rPr>
        <w:t xml:space="preserve">Beyers, J. and Arras, S., 2021. Stakeholder consultations and the legitimacy of regulatory decision‐making: A survey experiment in Belgium. </w:t>
      </w:r>
      <w:r w:rsidRPr="00A30C1F">
        <w:rPr>
          <w:rFonts w:ascii="Times New Roman" w:eastAsia="Times New Roman" w:hAnsi="Times New Roman" w:cs="Times New Roman"/>
          <w:i/>
          <w:sz w:val="24"/>
          <w:szCs w:val="24"/>
          <w:lang w:val="en-GB"/>
        </w:rPr>
        <w:t>Regulation &amp; Governance</w:t>
      </w:r>
      <w:r w:rsidRPr="00A30C1F">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i/>
          <w:sz w:val="24"/>
          <w:szCs w:val="24"/>
          <w:lang w:val="en-GB"/>
        </w:rPr>
        <w:t>15</w:t>
      </w:r>
      <w:r w:rsidRPr="00A30C1F">
        <w:rPr>
          <w:rFonts w:ascii="Times New Roman" w:eastAsia="Times New Roman" w:hAnsi="Times New Roman" w:cs="Times New Roman"/>
          <w:sz w:val="24"/>
          <w:szCs w:val="24"/>
          <w:lang w:val="en-GB"/>
        </w:rPr>
        <w:t>(3), pp.877-893.</w:t>
      </w:r>
    </w:p>
    <w:p w14:paraId="12713F7B" w14:textId="77777777" w:rsidR="00CC4D19" w:rsidRPr="00783AEA" w:rsidRDefault="00CC4D19" w:rsidP="00CC4D19">
      <w:pPr>
        <w:pStyle w:val="NormalWeb"/>
        <w:spacing w:line="360" w:lineRule="auto"/>
        <w:jc w:val="both"/>
      </w:pPr>
      <w:r w:rsidRPr="00783AEA">
        <w:rPr>
          <w:color w:val="222222"/>
          <w:shd w:val="clear" w:color="auto" w:fill="FFFFFF"/>
        </w:rPr>
        <w:t xml:space="preserve">Bhaumik, S., Moola, S., Tyagi, J., Nambiar, D. and </w:t>
      </w:r>
      <w:proofErr w:type="spellStart"/>
      <w:r w:rsidRPr="00783AEA">
        <w:rPr>
          <w:color w:val="222222"/>
          <w:shd w:val="clear" w:color="auto" w:fill="FFFFFF"/>
        </w:rPr>
        <w:t>Kakoti</w:t>
      </w:r>
      <w:proofErr w:type="spellEnd"/>
      <w:r w:rsidRPr="00783AEA">
        <w:rPr>
          <w:color w:val="222222"/>
          <w:shd w:val="clear" w:color="auto" w:fill="FFFFFF"/>
        </w:rPr>
        <w:t>, M., 2020. Community health workers for pandemic response: a rapid evidence synthesis. </w:t>
      </w:r>
      <w:r w:rsidRPr="00783AEA">
        <w:rPr>
          <w:i/>
          <w:iCs/>
          <w:color w:val="222222"/>
          <w:shd w:val="clear" w:color="auto" w:fill="FFFFFF"/>
        </w:rPr>
        <w:t>BMJ Global Health</w:t>
      </w:r>
      <w:r w:rsidRPr="00783AEA">
        <w:rPr>
          <w:color w:val="222222"/>
          <w:shd w:val="clear" w:color="auto" w:fill="FFFFFF"/>
        </w:rPr>
        <w:t>, </w:t>
      </w:r>
      <w:r w:rsidRPr="00783AEA">
        <w:rPr>
          <w:i/>
          <w:iCs/>
          <w:color w:val="222222"/>
          <w:shd w:val="clear" w:color="auto" w:fill="FFFFFF"/>
        </w:rPr>
        <w:t>5</w:t>
      </w:r>
      <w:r w:rsidRPr="00783AEA">
        <w:rPr>
          <w:color w:val="222222"/>
          <w:shd w:val="clear" w:color="auto" w:fill="FFFFFF"/>
        </w:rPr>
        <w:t>(6), p.e002769.</w:t>
      </w:r>
    </w:p>
    <w:p w14:paraId="1D9D0EC1" w14:textId="77777777" w:rsidR="00CC4D19" w:rsidRPr="00783AEA" w:rsidRDefault="00CC4D19" w:rsidP="00CC4D19">
      <w:pPr>
        <w:pStyle w:val="NormalWeb"/>
        <w:spacing w:line="360" w:lineRule="auto"/>
        <w:jc w:val="both"/>
      </w:pPr>
      <w:r>
        <w:t xml:space="preserve">Havering (2023) </w:t>
      </w:r>
      <w:r>
        <w:rPr>
          <w:i/>
          <w:iCs/>
        </w:rPr>
        <w:t>Communications and stakeholder engagement plan October 2021 to March 2022</w:t>
      </w:r>
      <w:r>
        <w:t xml:space="preserve">, </w:t>
      </w:r>
      <w:r>
        <w:rPr>
          <w:i/>
          <w:iCs/>
        </w:rPr>
        <w:t>democracy.havering.gov.uk</w:t>
      </w:r>
      <w:r>
        <w:t>. Available at: https://democracy.havering.gov.uk/documents/s56128/SGH%202.pdf (Accessed: March 16, 2023)</w:t>
      </w:r>
    </w:p>
    <w:p w14:paraId="2D4BB704" w14:textId="77777777" w:rsidR="00CC4D19" w:rsidRDefault="00CC4D19" w:rsidP="00CC4D19">
      <w:pPr>
        <w:pStyle w:val="Normal1"/>
        <w:spacing w:before="240" w:after="240"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color w:val="222222"/>
          <w:sz w:val="24"/>
          <w:szCs w:val="24"/>
          <w:highlight w:val="white"/>
          <w:lang w:val="en-GB"/>
        </w:rPr>
        <w:t xml:space="preserve">Hoekstra, R., 2019. </w:t>
      </w:r>
      <w:r w:rsidRPr="00A30C1F">
        <w:rPr>
          <w:rFonts w:ascii="Times New Roman" w:eastAsia="Times New Roman" w:hAnsi="Times New Roman" w:cs="Times New Roman"/>
          <w:i/>
          <w:sz w:val="24"/>
          <w:szCs w:val="24"/>
          <w:lang w:val="en-GB"/>
        </w:rPr>
        <w:t>Replacing GDP by 2030: Towards a common language for the well-being and sustainability community</w:t>
      </w:r>
      <w:r w:rsidRPr="00A30C1F">
        <w:rPr>
          <w:rFonts w:ascii="Times New Roman" w:eastAsia="Times New Roman" w:hAnsi="Times New Roman" w:cs="Times New Roman"/>
          <w:sz w:val="24"/>
          <w:szCs w:val="24"/>
          <w:lang w:val="en-GB"/>
        </w:rPr>
        <w:t>. Cambridge University Press.</w:t>
      </w:r>
    </w:p>
    <w:p w14:paraId="4CB8D112" w14:textId="77777777" w:rsidR="00CC4D19" w:rsidRDefault="00CC4D19" w:rsidP="00CC4D19">
      <w:pPr>
        <w:pStyle w:val="Normal1"/>
        <w:spacing w:before="240" w:after="240"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color w:val="222222"/>
          <w:sz w:val="24"/>
          <w:szCs w:val="24"/>
          <w:highlight w:val="white"/>
          <w:lang w:val="en-GB"/>
        </w:rPr>
        <w:t xml:space="preserve">Key, K.D., Furr-Holden, D., Lewis, E.Y., Cunningham, R., Zimmerman, M.A., Johnson-Lawrence, V. and Selig, S., 2019. The continuum of community engagement in research: A roadmap for understanding and assessing progress. </w:t>
      </w:r>
      <w:r w:rsidRPr="00A30C1F">
        <w:rPr>
          <w:rFonts w:ascii="Times New Roman" w:eastAsia="Times New Roman" w:hAnsi="Times New Roman" w:cs="Times New Roman"/>
          <w:i/>
          <w:sz w:val="24"/>
          <w:szCs w:val="24"/>
          <w:lang w:val="en-GB"/>
        </w:rPr>
        <w:t>Progress in community health partnerships: research, education, and action</w:t>
      </w:r>
      <w:r w:rsidRPr="00A30C1F">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i/>
          <w:sz w:val="24"/>
          <w:szCs w:val="24"/>
          <w:lang w:val="en-GB"/>
        </w:rPr>
        <w:t>13</w:t>
      </w:r>
      <w:r w:rsidRPr="00A30C1F">
        <w:rPr>
          <w:rFonts w:ascii="Times New Roman" w:eastAsia="Times New Roman" w:hAnsi="Times New Roman" w:cs="Times New Roman"/>
          <w:sz w:val="24"/>
          <w:szCs w:val="24"/>
          <w:lang w:val="en-GB"/>
        </w:rPr>
        <w:t>(4), pp.427-434.</w:t>
      </w:r>
    </w:p>
    <w:p w14:paraId="6939775A" w14:textId="77777777" w:rsidR="00CC4D19" w:rsidRPr="00457041" w:rsidRDefault="00CC4D19" w:rsidP="00CC4D19">
      <w:pPr>
        <w:pStyle w:val="NormalWeb"/>
        <w:spacing w:line="360" w:lineRule="auto"/>
        <w:jc w:val="both"/>
        <w:rPr>
          <w:color w:val="000000" w:themeColor="text1"/>
        </w:rPr>
      </w:pPr>
      <w:proofErr w:type="spellStart"/>
      <w:r w:rsidRPr="00457041">
        <w:rPr>
          <w:color w:val="000000" w:themeColor="text1"/>
          <w:shd w:val="clear" w:color="auto" w:fill="FFFFFF"/>
        </w:rPr>
        <w:t>Kujala</w:t>
      </w:r>
      <w:proofErr w:type="spellEnd"/>
      <w:r w:rsidRPr="00457041">
        <w:rPr>
          <w:color w:val="000000" w:themeColor="text1"/>
          <w:shd w:val="clear" w:color="auto" w:fill="FFFFFF"/>
        </w:rPr>
        <w:t>, J., Sachs, S., Leinonen, H., Heikkinen, A. and Laude, D., 2022. Stakeholder engagement: Past, present, and future. </w:t>
      </w:r>
      <w:r w:rsidRPr="00457041">
        <w:rPr>
          <w:i/>
          <w:iCs/>
          <w:color w:val="000000" w:themeColor="text1"/>
          <w:shd w:val="clear" w:color="auto" w:fill="FFFFFF"/>
        </w:rPr>
        <w:t>Business &amp; Society</w:t>
      </w:r>
      <w:r w:rsidRPr="00457041">
        <w:rPr>
          <w:color w:val="000000" w:themeColor="text1"/>
          <w:shd w:val="clear" w:color="auto" w:fill="FFFFFF"/>
        </w:rPr>
        <w:t>, </w:t>
      </w:r>
      <w:r w:rsidRPr="00457041">
        <w:rPr>
          <w:i/>
          <w:iCs/>
          <w:color w:val="000000" w:themeColor="text1"/>
          <w:shd w:val="clear" w:color="auto" w:fill="FFFFFF"/>
        </w:rPr>
        <w:t>61</w:t>
      </w:r>
      <w:r w:rsidRPr="00457041">
        <w:rPr>
          <w:color w:val="000000" w:themeColor="text1"/>
          <w:shd w:val="clear" w:color="auto" w:fill="FFFFFF"/>
        </w:rPr>
        <w:t>(5), pp.1136-1196.</w:t>
      </w:r>
    </w:p>
    <w:p w14:paraId="5CA4B367" w14:textId="77777777" w:rsidR="00CC4D19" w:rsidRPr="00A30C1F" w:rsidRDefault="00CC4D19" w:rsidP="00CC4D19">
      <w:pPr>
        <w:pStyle w:val="Normal1"/>
        <w:spacing w:before="240" w:after="240"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color w:val="222222"/>
          <w:sz w:val="24"/>
          <w:szCs w:val="24"/>
          <w:highlight w:val="white"/>
          <w:lang w:val="en-GB"/>
        </w:rPr>
        <w:t xml:space="preserve">Mehta, M., </w:t>
      </w:r>
      <w:proofErr w:type="spellStart"/>
      <w:r w:rsidRPr="00A30C1F">
        <w:rPr>
          <w:rFonts w:ascii="Times New Roman" w:eastAsia="Times New Roman" w:hAnsi="Times New Roman" w:cs="Times New Roman"/>
          <w:color w:val="222222"/>
          <w:sz w:val="24"/>
          <w:szCs w:val="24"/>
          <w:highlight w:val="white"/>
          <w:lang w:val="en-GB"/>
        </w:rPr>
        <w:t>Sarvaiya</w:t>
      </w:r>
      <w:proofErr w:type="spellEnd"/>
      <w:r w:rsidRPr="00A30C1F">
        <w:rPr>
          <w:rFonts w:ascii="Times New Roman" w:eastAsia="Times New Roman" w:hAnsi="Times New Roman" w:cs="Times New Roman"/>
          <w:color w:val="222222"/>
          <w:sz w:val="24"/>
          <w:szCs w:val="24"/>
          <w:highlight w:val="white"/>
          <w:lang w:val="en-GB"/>
        </w:rPr>
        <w:t xml:space="preserve">, H. and Chandani, A., 2022. Community engagement through responsible leadership in managing pandemic: insight from India using </w:t>
      </w:r>
      <w:proofErr w:type="spellStart"/>
      <w:r w:rsidRPr="00A30C1F">
        <w:rPr>
          <w:rFonts w:ascii="Times New Roman" w:eastAsia="Times New Roman" w:hAnsi="Times New Roman" w:cs="Times New Roman"/>
          <w:color w:val="222222"/>
          <w:sz w:val="24"/>
          <w:szCs w:val="24"/>
          <w:highlight w:val="white"/>
          <w:lang w:val="en-GB"/>
        </w:rPr>
        <w:t>netnography</w:t>
      </w:r>
      <w:proofErr w:type="spellEnd"/>
      <w:r w:rsidRPr="00A30C1F">
        <w:rPr>
          <w:rFonts w:ascii="Times New Roman" w:eastAsia="Times New Roman" w:hAnsi="Times New Roman" w:cs="Times New Roman"/>
          <w:color w:val="222222"/>
          <w:sz w:val="24"/>
          <w:szCs w:val="24"/>
          <w:highlight w:val="white"/>
          <w:lang w:val="en-GB"/>
        </w:rPr>
        <w:t xml:space="preserve">. </w:t>
      </w:r>
      <w:r w:rsidRPr="00A30C1F">
        <w:rPr>
          <w:rFonts w:ascii="Times New Roman" w:eastAsia="Times New Roman" w:hAnsi="Times New Roman" w:cs="Times New Roman"/>
          <w:i/>
          <w:sz w:val="24"/>
          <w:szCs w:val="24"/>
          <w:lang w:val="en-GB"/>
        </w:rPr>
        <w:t>International Journal of Sociology and Social Policy</w:t>
      </w:r>
      <w:r w:rsidRPr="00A30C1F">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i/>
          <w:sz w:val="24"/>
          <w:szCs w:val="24"/>
          <w:lang w:val="en-GB"/>
        </w:rPr>
        <w:t>42</w:t>
      </w:r>
      <w:r w:rsidRPr="00A30C1F">
        <w:rPr>
          <w:rFonts w:ascii="Times New Roman" w:eastAsia="Times New Roman" w:hAnsi="Times New Roman" w:cs="Times New Roman"/>
          <w:sz w:val="24"/>
          <w:szCs w:val="24"/>
          <w:lang w:val="en-GB"/>
        </w:rPr>
        <w:t>(3/4), pp.248-261.</w:t>
      </w:r>
    </w:p>
    <w:p w14:paraId="35834BFD" w14:textId="77777777" w:rsidR="00CC4D19" w:rsidRPr="00A30C1F" w:rsidRDefault="00CC4D19" w:rsidP="00CC4D19">
      <w:pPr>
        <w:pStyle w:val="Normal1"/>
        <w:spacing w:before="240" w:after="240"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color w:val="222222"/>
          <w:sz w:val="24"/>
          <w:szCs w:val="24"/>
          <w:highlight w:val="white"/>
          <w:lang w:val="en-GB"/>
        </w:rPr>
        <w:t xml:space="preserve">Nita, A., </w:t>
      </w:r>
      <w:proofErr w:type="spellStart"/>
      <w:r w:rsidRPr="00A30C1F">
        <w:rPr>
          <w:rFonts w:ascii="Times New Roman" w:eastAsia="Times New Roman" w:hAnsi="Times New Roman" w:cs="Times New Roman"/>
          <w:color w:val="222222"/>
          <w:sz w:val="24"/>
          <w:szCs w:val="24"/>
          <w:highlight w:val="white"/>
          <w:lang w:val="en-GB"/>
        </w:rPr>
        <w:t>Fineran</w:t>
      </w:r>
      <w:proofErr w:type="spellEnd"/>
      <w:r w:rsidRPr="00A30C1F">
        <w:rPr>
          <w:rFonts w:ascii="Times New Roman" w:eastAsia="Times New Roman" w:hAnsi="Times New Roman" w:cs="Times New Roman"/>
          <w:color w:val="222222"/>
          <w:sz w:val="24"/>
          <w:szCs w:val="24"/>
          <w:highlight w:val="white"/>
          <w:lang w:val="en-GB"/>
        </w:rPr>
        <w:t xml:space="preserve">, S. and </w:t>
      </w:r>
      <w:proofErr w:type="spellStart"/>
      <w:r w:rsidRPr="00A30C1F">
        <w:rPr>
          <w:rFonts w:ascii="Times New Roman" w:eastAsia="Times New Roman" w:hAnsi="Times New Roman" w:cs="Times New Roman"/>
          <w:color w:val="222222"/>
          <w:sz w:val="24"/>
          <w:szCs w:val="24"/>
          <w:highlight w:val="white"/>
          <w:lang w:val="en-GB"/>
        </w:rPr>
        <w:t>Rozylowicz</w:t>
      </w:r>
      <w:proofErr w:type="spellEnd"/>
      <w:r w:rsidRPr="00A30C1F">
        <w:rPr>
          <w:rFonts w:ascii="Times New Roman" w:eastAsia="Times New Roman" w:hAnsi="Times New Roman" w:cs="Times New Roman"/>
          <w:color w:val="222222"/>
          <w:sz w:val="24"/>
          <w:szCs w:val="24"/>
          <w:highlight w:val="white"/>
          <w:lang w:val="en-GB"/>
        </w:rPr>
        <w:t xml:space="preserve">, L., 2022. Researchers' perspective on the main strengths and weaknesses of Environmental Impact Assessment (EIA) procedures. </w:t>
      </w:r>
      <w:r w:rsidRPr="00A30C1F">
        <w:rPr>
          <w:rFonts w:ascii="Times New Roman" w:eastAsia="Times New Roman" w:hAnsi="Times New Roman" w:cs="Times New Roman"/>
          <w:i/>
          <w:sz w:val="24"/>
          <w:szCs w:val="24"/>
          <w:lang w:val="en-GB"/>
        </w:rPr>
        <w:t>Environmental Impact Assessment Review</w:t>
      </w:r>
      <w:r w:rsidRPr="00A30C1F">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i/>
          <w:sz w:val="24"/>
          <w:szCs w:val="24"/>
          <w:lang w:val="en-GB"/>
        </w:rPr>
        <w:t>92</w:t>
      </w:r>
      <w:r w:rsidRPr="00A30C1F">
        <w:rPr>
          <w:rFonts w:ascii="Times New Roman" w:eastAsia="Times New Roman" w:hAnsi="Times New Roman" w:cs="Times New Roman"/>
          <w:sz w:val="24"/>
          <w:szCs w:val="24"/>
          <w:lang w:val="en-GB"/>
        </w:rPr>
        <w:t>, p.106690.</w:t>
      </w:r>
    </w:p>
    <w:p w14:paraId="0906ED06" w14:textId="77777777" w:rsidR="00CC4D19" w:rsidRDefault="00CC4D19" w:rsidP="00CC4D19">
      <w:pPr>
        <w:pStyle w:val="Normal1"/>
        <w:spacing w:before="240" w:after="240" w:line="360" w:lineRule="auto"/>
        <w:jc w:val="both"/>
        <w:rPr>
          <w:rFonts w:ascii="Times New Roman" w:eastAsia="Times New Roman" w:hAnsi="Times New Roman" w:cs="Times New Roman"/>
          <w:sz w:val="24"/>
          <w:szCs w:val="24"/>
          <w:lang w:val="en-GB"/>
        </w:rPr>
      </w:pPr>
      <w:r w:rsidRPr="00A30C1F">
        <w:rPr>
          <w:rFonts w:ascii="Times New Roman" w:eastAsia="Times New Roman" w:hAnsi="Times New Roman" w:cs="Times New Roman"/>
          <w:color w:val="222222"/>
          <w:sz w:val="24"/>
          <w:szCs w:val="24"/>
          <w:highlight w:val="white"/>
          <w:lang w:val="en-GB"/>
        </w:rPr>
        <w:lastRenderedPageBreak/>
        <w:t xml:space="preserve">Tembo, D., Hickey, G., Montenegro, C., Chandler, D., Nelson, E., Porter, K., </w:t>
      </w:r>
      <w:proofErr w:type="spellStart"/>
      <w:r w:rsidRPr="00A30C1F">
        <w:rPr>
          <w:rFonts w:ascii="Times New Roman" w:eastAsia="Times New Roman" w:hAnsi="Times New Roman" w:cs="Times New Roman"/>
          <w:color w:val="222222"/>
          <w:sz w:val="24"/>
          <w:szCs w:val="24"/>
          <w:highlight w:val="white"/>
          <w:lang w:val="en-GB"/>
        </w:rPr>
        <w:t>Dikomitis</w:t>
      </w:r>
      <w:proofErr w:type="spellEnd"/>
      <w:r w:rsidRPr="00A30C1F">
        <w:rPr>
          <w:rFonts w:ascii="Times New Roman" w:eastAsia="Times New Roman" w:hAnsi="Times New Roman" w:cs="Times New Roman"/>
          <w:color w:val="222222"/>
          <w:sz w:val="24"/>
          <w:szCs w:val="24"/>
          <w:highlight w:val="white"/>
          <w:lang w:val="en-GB"/>
        </w:rPr>
        <w:t xml:space="preserve">, L., Chambers, M., </w:t>
      </w:r>
      <w:proofErr w:type="spellStart"/>
      <w:r w:rsidRPr="00A30C1F">
        <w:rPr>
          <w:rFonts w:ascii="Times New Roman" w:eastAsia="Times New Roman" w:hAnsi="Times New Roman" w:cs="Times New Roman"/>
          <w:color w:val="222222"/>
          <w:sz w:val="24"/>
          <w:szCs w:val="24"/>
          <w:highlight w:val="white"/>
          <w:lang w:val="en-GB"/>
        </w:rPr>
        <w:t>Chimbari</w:t>
      </w:r>
      <w:proofErr w:type="spellEnd"/>
      <w:r w:rsidRPr="00A30C1F">
        <w:rPr>
          <w:rFonts w:ascii="Times New Roman" w:eastAsia="Times New Roman" w:hAnsi="Times New Roman" w:cs="Times New Roman"/>
          <w:color w:val="222222"/>
          <w:sz w:val="24"/>
          <w:szCs w:val="24"/>
          <w:highlight w:val="white"/>
          <w:lang w:val="en-GB"/>
        </w:rPr>
        <w:t xml:space="preserve">, M., Mumba, N. and Beresford, P., 2021. Effective engagement and involvement with community stakeholders in the co-production of global health research. </w:t>
      </w:r>
      <w:proofErr w:type="spellStart"/>
      <w:r w:rsidRPr="00A30C1F">
        <w:rPr>
          <w:rFonts w:ascii="Times New Roman" w:eastAsia="Times New Roman" w:hAnsi="Times New Roman" w:cs="Times New Roman"/>
          <w:i/>
          <w:sz w:val="24"/>
          <w:szCs w:val="24"/>
          <w:lang w:val="en-GB"/>
        </w:rPr>
        <w:t>bmj</w:t>
      </w:r>
      <w:proofErr w:type="spellEnd"/>
      <w:r w:rsidRPr="00A30C1F">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i/>
          <w:sz w:val="24"/>
          <w:szCs w:val="24"/>
          <w:lang w:val="en-GB"/>
        </w:rPr>
        <w:t>372</w:t>
      </w:r>
      <w:r w:rsidRPr="00A30C1F">
        <w:rPr>
          <w:rFonts w:ascii="Times New Roman" w:eastAsia="Times New Roman" w:hAnsi="Times New Roman" w:cs="Times New Roman"/>
          <w:sz w:val="24"/>
          <w:szCs w:val="24"/>
          <w:lang w:val="en-GB"/>
        </w:rPr>
        <w:t>.</w:t>
      </w:r>
    </w:p>
    <w:p w14:paraId="69BFB6ED" w14:textId="77777777" w:rsidR="00CC4D19" w:rsidRDefault="00CC4D19" w:rsidP="00CC4D19">
      <w:pPr>
        <w:pStyle w:val="NormalWeb"/>
        <w:spacing w:line="360" w:lineRule="auto"/>
        <w:jc w:val="both"/>
      </w:pPr>
      <w:r>
        <w:t xml:space="preserve">The London Borough Of Havering (2023) </w:t>
      </w:r>
      <w:r>
        <w:rPr>
          <w:i/>
          <w:iCs/>
        </w:rPr>
        <w:t xml:space="preserve">The </w:t>
      </w:r>
      <w:proofErr w:type="spellStart"/>
      <w:r>
        <w:rPr>
          <w:i/>
          <w:iCs/>
        </w:rPr>
        <w:t>london</w:t>
      </w:r>
      <w:proofErr w:type="spellEnd"/>
      <w:r>
        <w:rPr>
          <w:i/>
          <w:iCs/>
        </w:rPr>
        <w:t xml:space="preserve"> borough of havering</w:t>
      </w:r>
      <w:r>
        <w:t xml:space="preserve">, </w:t>
      </w:r>
      <w:r>
        <w:rPr>
          <w:i/>
          <w:iCs/>
        </w:rPr>
        <w:t>The London Borough of Havering</w:t>
      </w:r>
      <w:r>
        <w:t>. Available at: https://www.havering.gov.uk/ (Accessed: March 16, 2023)</w:t>
      </w:r>
    </w:p>
    <w:p w14:paraId="7AD98154" w14:textId="77777777" w:rsidR="00CC4D19" w:rsidRDefault="00CC4D19" w:rsidP="00CC4D19">
      <w:pPr>
        <w:pStyle w:val="Normal1"/>
        <w:spacing w:before="240" w:after="240" w:line="360" w:lineRule="auto"/>
        <w:jc w:val="both"/>
        <w:rPr>
          <w:rFonts w:ascii="Times New Roman" w:eastAsia="Times New Roman" w:hAnsi="Times New Roman" w:cs="Times New Roman"/>
          <w:sz w:val="24"/>
          <w:szCs w:val="24"/>
          <w:lang w:val="en-GB"/>
        </w:rPr>
      </w:pPr>
      <w:proofErr w:type="spellStart"/>
      <w:r w:rsidRPr="00A30C1F">
        <w:rPr>
          <w:rFonts w:ascii="Times New Roman" w:eastAsia="Times New Roman" w:hAnsi="Times New Roman" w:cs="Times New Roman"/>
          <w:color w:val="222222"/>
          <w:sz w:val="24"/>
          <w:szCs w:val="24"/>
          <w:highlight w:val="white"/>
          <w:lang w:val="en-GB"/>
        </w:rPr>
        <w:t>Umeh</w:t>
      </w:r>
      <w:proofErr w:type="spellEnd"/>
      <w:r w:rsidRPr="00A30C1F">
        <w:rPr>
          <w:rFonts w:ascii="Times New Roman" w:eastAsia="Times New Roman" w:hAnsi="Times New Roman" w:cs="Times New Roman"/>
          <w:color w:val="222222"/>
          <w:sz w:val="24"/>
          <w:szCs w:val="24"/>
          <w:highlight w:val="white"/>
          <w:lang w:val="en-GB"/>
        </w:rPr>
        <w:t xml:space="preserve">, C. and </w:t>
      </w:r>
      <w:proofErr w:type="spellStart"/>
      <w:r w:rsidRPr="00A30C1F">
        <w:rPr>
          <w:rFonts w:ascii="Times New Roman" w:eastAsia="Times New Roman" w:hAnsi="Times New Roman" w:cs="Times New Roman"/>
          <w:color w:val="222222"/>
          <w:sz w:val="24"/>
          <w:szCs w:val="24"/>
          <w:highlight w:val="white"/>
          <w:lang w:val="en-GB"/>
        </w:rPr>
        <w:t>Ionita</w:t>
      </w:r>
      <w:proofErr w:type="spellEnd"/>
      <w:r w:rsidRPr="00A30C1F">
        <w:rPr>
          <w:rFonts w:ascii="Times New Roman" w:eastAsia="Times New Roman" w:hAnsi="Times New Roman" w:cs="Times New Roman"/>
          <w:color w:val="222222"/>
          <w:sz w:val="24"/>
          <w:szCs w:val="24"/>
          <w:highlight w:val="white"/>
          <w:lang w:val="en-GB"/>
        </w:rPr>
        <w:t xml:space="preserve">, S., 2021. Audit of high dose antipsychotic prescribing in the havering community recovery team. </w:t>
      </w:r>
      <w:proofErr w:type="spellStart"/>
      <w:r w:rsidRPr="00A30C1F">
        <w:rPr>
          <w:rFonts w:ascii="Times New Roman" w:eastAsia="Times New Roman" w:hAnsi="Times New Roman" w:cs="Times New Roman"/>
          <w:i/>
          <w:sz w:val="24"/>
          <w:szCs w:val="24"/>
          <w:lang w:val="en-GB"/>
        </w:rPr>
        <w:t>BJPsych</w:t>
      </w:r>
      <w:proofErr w:type="spellEnd"/>
      <w:r w:rsidRPr="00A30C1F">
        <w:rPr>
          <w:rFonts w:ascii="Times New Roman" w:eastAsia="Times New Roman" w:hAnsi="Times New Roman" w:cs="Times New Roman"/>
          <w:i/>
          <w:sz w:val="24"/>
          <w:szCs w:val="24"/>
          <w:lang w:val="en-GB"/>
        </w:rPr>
        <w:t xml:space="preserve"> Open</w:t>
      </w:r>
      <w:r w:rsidRPr="00A30C1F">
        <w:rPr>
          <w:rFonts w:ascii="Times New Roman" w:eastAsia="Times New Roman" w:hAnsi="Times New Roman" w:cs="Times New Roman"/>
          <w:sz w:val="24"/>
          <w:szCs w:val="24"/>
          <w:lang w:val="en-GB"/>
        </w:rPr>
        <w:t xml:space="preserve">, </w:t>
      </w:r>
      <w:r w:rsidRPr="00A30C1F">
        <w:rPr>
          <w:rFonts w:ascii="Times New Roman" w:eastAsia="Times New Roman" w:hAnsi="Times New Roman" w:cs="Times New Roman"/>
          <w:i/>
          <w:sz w:val="24"/>
          <w:szCs w:val="24"/>
          <w:lang w:val="en-GB"/>
        </w:rPr>
        <w:t>7</w:t>
      </w:r>
      <w:r w:rsidRPr="00A30C1F">
        <w:rPr>
          <w:rFonts w:ascii="Times New Roman" w:eastAsia="Times New Roman" w:hAnsi="Times New Roman" w:cs="Times New Roman"/>
          <w:sz w:val="24"/>
          <w:szCs w:val="24"/>
          <w:lang w:val="en-GB"/>
        </w:rPr>
        <w:t>(S1), pp.S354-S355.</w:t>
      </w:r>
    </w:p>
    <w:p w14:paraId="05436E8D" w14:textId="77777777" w:rsidR="00E43539" w:rsidRPr="00A30C1F" w:rsidRDefault="00E43539">
      <w:pPr>
        <w:pStyle w:val="Normal1"/>
        <w:spacing w:before="240" w:after="240" w:line="360" w:lineRule="auto"/>
        <w:jc w:val="both"/>
        <w:rPr>
          <w:rFonts w:ascii="Times New Roman" w:eastAsia="Times New Roman" w:hAnsi="Times New Roman" w:cs="Times New Roman"/>
          <w:sz w:val="24"/>
          <w:szCs w:val="24"/>
          <w:lang w:val="en-GB"/>
        </w:rPr>
      </w:pPr>
    </w:p>
    <w:sectPr w:rsidR="00E43539" w:rsidRPr="00A30C1F" w:rsidSect="00A30C1F">
      <w:footerReference w:type="default" r:id="rId8"/>
      <w:pgSz w:w="12240" w:h="15840"/>
      <w:pgMar w:top="1440" w:right="1440" w:bottom="1440" w:left="1440" w:header="720" w:footer="720" w:gutter="0"/>
      <w:pgBorders w:offsetFrom="page">
        <w:top w:val="thickThinSmallGap" w:sz="24" w:space="24" w:color="1F497D" w:themeColor="text2"/>
        <w:left w:val="thickThinSmallGap" w:sz="24" w:space="24" w:color="1F497D" w:themeColor="text2"/>
        <w:bottom w:val="thinThickSmallGap" w:sz="24" w:space="24" w:color="1F497D" w:themeColor="text2"/>
        <w:right w:val="thinThickSmallGap" w:sz="24" w:space="24" w:color="1F497D" w:themeColor="text2"/>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EEB98" w14:textId="77777777" w:rsidR="003841E0" w:rsidRDefault="003841E0" w:rsidP="00A30C1F">
      <w:pPr>
        <w:spacing w:line="240" w:lineRule="auto"/>
      </w:pPr>
      <w:r>
        <w:separator/>
      </w:r>
    </w:p>
  </w:endnote>
  <w:endnote w:type="continuationSeparator" w:id="0">
    <w:p w14:paraId="4DD480F9" w14:textId="77777777" w:rsidR="003841E0" w:rsidRDefault="003841E0" w:rsidP="00A30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B Garamond">
    <w:altName w:val="EB Garamond"/>
    <w:charset w:val="00"/>
    <w:family w:val="auto"/>
    <w:pitch w:val="variable"/>
    <w:sig w:usb0="E00002FF" w:usb1="020004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4111879"/>
      <w:docPartObj>
        <w:docPartGallery w:val="Page Numbers (Bottom of Page)"/>
        <w:docPartUnique/>
      </w:docPartObj>
    </w:sdtPr>
    <w:sdtEndPr>
      <w:rPr>
        <w:rFonts w:ascii="Times New Roman" w:hAnsi="Times New Roman" w:cs="Times New Roman"/>
        <w:color w:val="000000" w:themeColor="text1"/>
        <w:spacing w:val="60"/>
      </w:rPr>
    </w:sdtEndPr>
    <w:sdtContent>
      <w:p w14:paraId="6443E8FD" w14:textId="77777777" w:rsidR="00A30C1F" w:rsidRPr="00A30C1F" w:rsidRDefault="00A30C1F">
        <w:pPr>
          <w:pStyle w:val="Footer"/>
          <w:pBdr>
            <w:top w:val="single" w:sz="4" w:space="1" w:color="D9D9D9" w:themeColor="background1" w:themeShade="D9"/>
          </w:pBdr>
          <w:jc w:val="right"/>
          <w:rPr>
            <w:rFonts w:ascii="Times New Roman" w:hAnsi="Times New Roman" w:cs="Times New Roman"/>
            <w:color w:val="000000" w:themeColor="text1"/>
          </w:rPr>
        </w:pPr>
        <w:r w:rsidRPr="00A30C1F">
          <w:rPr>
            <w:rFonts w:ascii="Times New Roman" w:hAnsi="Times New Roman" w:cs="Times New Roman"/>
            <w:color w:val="000000" w:themeColor="text1"/>
          </w:rPr>
          <w:fldChar w:fldCharType="begin"/>
        </w:r>
        <w:r w:rsidRPr="00A30C1F">
          <w:rPr>
            <w:rFonts w:ascii="Times New Roman" w:hAnsi="Times New Roman" w:cs="Times New Roman"/>
            <w:color w:val="000000" w:themeColor="text1"/>
          </w:rPr>
          <w:instrText xml:space="preserve"> PAGE   \* MERGEFORMAT </w:instrText>
        </w:r>
        <w:r w:rsidRPr="00A30C1F">
          <w:rPr>
            <w:rFonts w:ascii="Times New Roman" w:hAnsi="Times New Roman" w:cs="Times New Roman"/>
            <w:color w:val="000000" w:themeColor="text1"/>
          </w:rPr>
          <w:fldChar w:fldCharType="separate"/>
        </w:r>
        <w:r w:rsidR="006836DB">
          <w:rPr>
            <w:rFonts w:ascii="Times New Roman" w:hAnsi="Times New Roman" w:cs="Times New Roman"/>
            <w:noProof/>
            <w:color w:val="000000" w:themeColor="text1"/>
          </w:rPr>
          <w:t>6</w:t>
        </w:r>
        <w:r w:rsidRPr="00A30C1F">
          <w:rPr>
            <w:rFonts w:ascii="Times New Roman" w:hAnsi="Times New Roman" w:cs="Times New Roman"/>
            <w:noProof/>
            <w:color w:val="000000" w:themeColor="text1"/>
          </w:rPr>
          <w:fldChar w:fldCharType="end"/>
        </w:r>
        <w:r w:rsidRPr="00A30C1F">
          <w:rPr>
            <w:rFonts w:ascii="Times New Roman" w:hAnsi="Times New Roman" w:cs="Times New Roman"/>
            <w:color w:val="000000" w:themeColor="text1"/>
          </w:rPr>
          <w:t xml:space="preserve"> | </w:t>
        </w:r>
        <w:r w:rsidRPr="00A30C1F">
          <w:rPr>
            <w:rFonts w:ascii="Times New Roman" w:hAnsi="Times New Roman" w:cs="Times New Roman"/>
            <w:color w:val="000000" w:themeColor="text1"/>
            <w:spacing w:val="60"/>
          </w:rPr>
          <w:t>Page</w:t>
        </w:r>
      </w:p>
    </w:sdtContent>
  </w:sdt>
  <w:p w14:paraId="1C4E0C0D" w14:textId="77777777" w:rsidR="00A30C1F" w:rsidRDefault="00A30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DC9FE" w14:textId="77777777" w:rsidR="003841E0" w:rsidRDefault="003841E0" w:rsidP="00A30C1F">
      <w:pPr>
        <w:spacing w:line="240" w:lineRule="auto"/>
      </w:pPr>
      <w:r>
        <w:separator/>
      </w:r>
    </w:p>
  </w:footnote>
  <w:footnote w:type="continuationSeparator" w:id="0">
    <w:p w14:paraId="66DC96AA" w14:textId="77777777" w:rsidR="003841E0" w:rsidRDefault="003841E0" w:rsidP="00A30C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18F6"/>
    <w:multiLevelType w:val="hybridMultilevel"/>
    <w:tmpl w:val="00000000"/>
    <w:lvl w:ilvl="0" w:tplc="94669D50">
      <w:start w:val="1"/>
      <w:numFmt w:val="bullet"/>
      <w:lvlText w:val="●"/>
      <w:lvlJc w:val="left"/>
      <w:pPr>
        <w:ind w:left="720" w:hanging="360"/>
      </w:pPr>
      <w:rPr>
        <w:u w:val="none"/>
      </w:rPr>
    </w:lvl>
    <w:lvl w:ilvl="1" w:tplc="AECA1516">
      <w:start w:val="1"/>
      <w:numFmt w:val="bullet"/>
      <w:lvlText w:val="○"/>
      <w:lvlJc w:val="left"/>
      <w:pPr>
        <w:ind w:left="1440" w:hanging="360"/>
      </w:pPr>
      <w:rPr>
        <w:u w:val="none"/>
      </w:rPr>
    </w:lvl>
    <w:lvl w:ilvl="2" w:tplc="45264FC8">
      <w:start w:val="1"/>
      <w:numFmt w:val="bullet"/>
      <w:lvlText w:val="■"/>
      <w:lvlJc w:val="left"/>
      <w:pPr>
        <w:ind w:left="2160" w:hanging="360"/>
      </w:pPr>
      <w:rPr>
        <w:u w:val="none"/>
      </w:rPr>
    </w:lvl>
    <w:lvl w:ilvl="3" w:tplc="1528E044">
      <w:start w:val="1"/>
      <w:numFmt w:val="bullet"/>
      <w:lvlText w:val="●"/>
      <w:lvlJc w:val="left"/>
      <w:pPr>
        <w:ind w:left="2880" w:hanging="360"/>
      </w:pPr>
      <w:rPr>
        <w:u w:val="none"/>
      </w:rPr>
    </w:lvl>
    <w:lvl w:ilvl="4" w:tplc="3428449C">
      <w:start w:val="1"/>
      <w:numFmt w:val="bullet"/>
      <w:lvlText w:val="○"/>
      <w:lvlJc w:val="left"/>
      <w:pPr>
        <w:ind w:left="3600" w:hanging="360"/>
      </w:pPr>
      <w:rPr>
        <w:u w:val="none"/>
      </w:rPr>
    </w:lvl>
    <w:lvl w:ilvl="5" w:tplc="96EC736E">
      <w:start w:val="1"/>
      <w:numFmt w:val="bullet"/>
      <w:lvlText w:val="■"/>
      <w:lvlJc w:val="left"/>
      <w:pPr>
        <w:ind w:left="4320" w:hanging="360"/>
      </w:pPr>
      <w:rPr>
        <w:u w:val="none"/>
      </w:rPr>
    </w:lvl>
    <w:lvl w:ilvl="6" w:tplc="B3D447BA">
      <w:start w:val="1"/>
      <w:numFmt w:val="bullet"/>
      <w:lvlText w:val="●"/>
      <w:lvlJc w:val="left"/>
      <w:pPr>
        <w:ind w:left="5040" w:hanging="360"/>
      </w:pPr>
      <w:rPr>
        <w:u w:val="none"/>
      </w:rPr>
    </w:lvl>
    <w:lvl w:ilvl="7" w:tplc="05E4645A">
      <w:start w:val="1"/>
      <w:numFmt w:val="bullet"/>
      <w:lvlText w:val="○"/>
      <w:lvlJc w:val="left"/>
      <w:pPr>
        <w:ind w:left="5760" w:hanging="360"/>
      </w:pPr>
      <w:rPr>
        <w:u w:val="none"/>
      </w:rPr>
    </w:lvl>
    <w:lvl w:ilvl="8" w:tplc="5096F0DA">
      <w:start w:val="1"/>
      <w:numFmt w:val="bullet"/>
      <w:lvlText w:val="■"/>
      <w:lvlJc w:val="left"/>
      <w:pPr>
        <w:ind w:left="6480" w:hanging="360"/>
      </w:pPr>
      <w:rPr>
        <w:u w:val="none"/>
      </w:rPr>
    </w:lvl>
  </w:abstractNum>
  <w:num w:numId="1" w16cid:durableId="1453403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539"/>
    <w:rsid w:val="000C3DA1"/>
    <w:rsid w:val="001031EE"/>
    <w:rsid w:val="001A25BB"/>
    <w:rsid w:val="00340F68"/>
    <w:rsid w:val="003429B9"/>
    <w:rsid w:val="003841E0"/>
    <w:rsid w:val="00426E22"/>
    <w:rsid w:val="004D56CA"/>
    <w:rsid w:val="004F5CE5"/>
    <w:rsid w:val="00560450"/>
    <w:rsid w:val="00583F5C"/>
    <w:rsid w:val="00663820"/>
    <w:rsid w:val="006836DB"/>
    <w:rsid w:val="00764738"/>
    <w:rsid w:val="008563CC"/>
    <w:rsid w:val="008A0F30"/>
    <w:rsid w:val="00906042"/>
    <w:rsid w:val="00A30C1F"/>
    <w:rsid w:val="00BE088D"/>
    <w:rsid w:val="00CC4D19"/>
    <w:rsid w:val="00CE2C86"/>
    <w:rsid w:val="00D22BF2"/>
    <w:rsid w:val="00DB6757"/>
    <w:rsid w:val="00DF69E1"/>
    <w:rsid w:val="00E12BB8"/>
    <w:rsid w:val="00E43539"/>
    <w:rsid w:val="00F105A6"/>
    <w:rsid w:val="00F72049"/>
    <w:rsid w:val="00FB5F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C63DF"/>
  <w15:docId w15:val="{631FB02F-2BA7-401A-8BE0-910D75753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A30C1F"/>
    <w:pPr>
      <w:tabs>
        <w:tab w:val="center" w:pos="4513"/>
        <w:tab w:val="right" w:pos="9026"/>
      </w:tabs>
      <w:spacing w:line="240" w:lineRule="auto"/>
    </w:pPr>
  </w:style>
  <w:style w:type="character" w:customStyle="1" w:styleId="HeaderChar">
    <w:name w:val="Header Char"/>
    <w:basedOn w:val="DefaultParagraphFont"/>
    <w:link w:val="Header"/>
    <w:uiPriority w:val="99"/>
    <w:rsid w:val="00A30C1F"/>
  </w:style>
  <w:style w:type="paragraph" w:styleId="Footer">
    <w:name w:val="footer"/>
    <w:basedOn w:val="Normal"/>
    <w:link w:val="FooterChar"/>
    <w:uiPriority w:val="99"/>
    <w:unhideWhenUsed/>
    <w:rsid w:val="00A30C1F"/>
    <w:pPr>
      <w:tabs>
        <w:tab w:val="center" w:pos="4513"/>
        <w:tab w:val="right" w:pos="9026"/>
      </w:tabs>
      <w:spacing w:line="240" w:lineRule="auto"/>
    </w:pPr>
  </w:style>
  <w:style w:type="character" w:customStyle="1" w:styleId="FooterChar">
    <w:name w:val="Footer Char"/>
    <w:basedOn w:val="DefaultParagraphFont"/>
    <w:link w:val="Footer"/>
    <w:uiPriority w:val="99"/>
    <w:rsid w:val="00A30C1F"/>
  </w:style>
  <w:style w:type="paragraph" w:styleId="NormalWeb">
    <w:name w:val="Normal (Web)"/>
    <w:basedOn w:val="Normal"/>
    <w:uiPriority w:val="99"/>
    <w:unhideWhenUsed/>
    <w:rsid w:val="00CC4D19"/>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2688</Words>
  <Characters>15325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Loredana-Andreea Zsofi (2111130)</cp:lastModifiedBy>
  <cp:revision>4</cp:revision>
  <dcterms:created xsi:type="dcterms:W3CDTF">2023-03-16T12:38:00Z</dcterms:created>
  <dcterms:modified xsi:type="dcterms:W3CDTF">2023-03-18T23:29:00Z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a21231a8d1c9c7744fa20e51de7d9db66cfb0571b7b3c9298ad89b3cf45866ab</vt:lpwstr>
  </property>
</Properties>
</file>