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564964" w14:textId="335F259F" w:rsidR="007A7DCD" w:rsidRDefault="0030730B" w:rsidP="007A7DCD">
      <w:pPr>
        <w:spacing w:line="480" w:lineRule="auto"/>
        <w:jc w:val="center"/>
        <w:rPr>
          <w:rFonts w:ascii="Times New Roman" w:hAnsi="Times New Roman" w:cs="Times New Roman"/>
          <w:b/>
          <w:sz w:val="24"/>
          <w:szCs w:val="24"/>
          <w:u w:val="single"/>
        </w:rPr>
      </w:pPr>
      <w:r>
        <w:rPr>
          <w:noProof/>
        </w:rPr>
        <w:drawing>
          <wp:anchor distT="0" distB="0" distL="114300" distR="114300" simplePos="0" relativeHeight="251659264" behindDoc="0" locked="0" layoutInCell="1" allowOverlap="1" wp14:anchorId="7C07EDC9" wp14:editId="1C43456A">
            <wp:simplePos x="0" y="0"/>
            <wp:positionH relativeFrom="margin">
              <wp:align>center</wp:align>
            </wp:positionH>
            <wp:positionV relativeFrom="margin">
              <wp:posOffset>221063</wp:posOffset>
            </wp:positionV>
            <wp:extent cx="4633595" cy="1536065"/>
            <wp:effectExtent l="0" t="0" r="0" b="6985"/>
            <wp:wrapSquare wrapText="bothSides"/>
            <wp:docPr id="1" name="Picture 1"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 up of black 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33595" cy="1536065"/>
                    </a:xfrm>
                    <a:prstGeom prst="rect">
                      <a:avLst/>
                    </a:prstGeom>
                    <a:noFill/>
                  </pic:spPr>
                </pic:pic>
              </a:graphicData>
            </a:graphic>
          </wp:anchor>
        </w:drawing>
      </w:r>
    </w:p>
    <w:p w14:paraId="14A6CDF8" w14:textId="01B5B7F7" w:rsidR="007A7DCD" w:rsidRDefault="007A7DCD" w:rsidP="00737A26">
      <w:pPr>
        <w:spacing w:line="480" w:lineRule="auto"/>
        <w:rPr>
          <w:rFonts w:ascii="Times New Roman" w:hAnsi="Times New Roman" w:cs="Times New Roman"/>
          <w:b/>
          <w:sz w:val="24"/>
          <w:szCs w:val="24"/>
          <w:u w:val="single"/>
        </w:rPr>
      </w:pPr>
    </w:p>
    <w:p w14:paraId="42D201B3" w14:textId="7D8E530C" w:rsidR="0030730B" w:rsidRDefault="0030730B" w:rsidP="00737A26">
      <w:pPr>
        <w:jc w:val="center"/>
        <w:rPr>
          <w:rFonts w:asciiTheme="majorHAnsi" w:eastAsiaTheme="majorEastAsia" w:hAnsiTheme="majorHAnsi" w:cstheme="majorBidi"/>
          <w:caps/>
          <w:color w:val="44546A" w:themeColor="text2"/>
          <w:spacing w:val="-15"/>
          <w:sz w:val="72"/>
          <w:szCs w:val="72"/>
        </w:rPr>
      </w:pPr>
    </w:p>
    <w:p w14:paraId="1C3281A9" w14:textId="77777777" w:rsidR="0030730B" w:rsidRDefault="0030730B" w:rsidP="00737A26">
      <w:pPr>
        <w:jc w:val="center"/>
        <w:rPr>
          <w:rFonts w:asciiTheme="majorHAnsi" w:eastAsiaTheme="majorEastAsia" w:hAnsiTheme="majorHAnsi" w:cstheme="majorBidi"/>
          <w:caps/>
          <w:color w:val="44546A" w:themeColor="text2"/>
          <w:spacing w:val="-15"/>
          <w:sz w:val="72"/>
          <w:szCs w:val="72"/>
        </w:rPr>
      </w:pPr>
    </w:p>
    <w:p w14:paraId="2D58B3C6" w14:textId="010D975C" w:rsidR="000972C7" w:rsidRDefault="000972C7" w:rsidP="0030730B">
      <w:pPr>
        <w:jc w:val="center"/>
        <w:rPr>
          <w:rFonts w:asciiTheme="majorHAnsi" w:eastAsiaTheme="majorEastAsia" w:hAnsiTheme="majorHAnsi" w:cstheme="majorBidi"/>
          <w:caps/>
          <w:color w:val="44546A" w:themeColor="text2"/>
          <w:spacing w:val="-15"/>
          <w:sz w:val="72"/>
          <w:szCs w:val="72"/>
        </w:rPr>
      </w:pPr>
      <w:r w:rsidRPr="000972C7">
        <w:rPr>
          <w:rFonts w:asciiTheme="majorHAnsi" w:eastAsiaTheme="majorEastAsia" w:hAnsiTheme="majorHAnsi" w:cstheme="majorBidi"/>
          <w:caps/>
          <w:color w:val="44546A" w:themeColor="text2"/>
          <w:spacing w:val="-15"/>
          <w:sz w:val="72"/>
          <w:szCs w:val="72"/>
        </w:rPr>
        <w:t>Should all UK police officers carry firearms? A critical analysis of the implications for Wales and the wider UK</w:t>
      </w:r>
    </w:p>
    <w:p w14:paraId="4C0F5F26" w14:textId="77777777" w:rsidR="0030730B" w:rsidRDefault="0030730B" w:rsidP="0030730B">
      <w:pPr>
        <w:tabs>
          <w:tab w:val="left" w:pos="3330"/>
        </w:tabs>
        <w:spacing w:line="480" w:lineRule="auto"/>
        <w:jc w:val="center"/>
        <w:rPr>
          <w:rFonts w:ascii="Arial" w:hAnsi="Arial" w:cs="Arial"/>
          <w:b/>
          <w:bCs/>
          <w:sz w:val="24"/>
          <w:szCs w:val="24"/>
        </w:rPr>
      </w:pPr>
    </w:p>
    <w:p w14:paraId="5BC16A05" w14:textId="04C20236" w:rsidR="0030730B" w:rsidRDefault="0030730B" w:rsidP="00A77827">
      <w:pPr>
        <w:tabs>
          <w:tab w:val="left" w:pos="3330"/>
        </w:tabs>
        <w:spacing w:line="480" w:lineRule="auto"/>
        <w:jc w:val="center"/>
        <w:rPr>
          <w:rFonts w:ascii="Arial" w:hAnsi="Arial" w:cs="Arial"/>
          <w:b/>
          <w:bCs/>
          <w:sz w:val="24"/>
          <w:szCs w:val="24"/>
        </w:rPr>
      </w:pPr>
      <w:r>
        <w:rPr>
          <w:rFonts w:ascii="Arial" w:hAnsi="Arial" w:cs="Arial"/>
          <w:b/>
          <w:bCs/>
          <w:sz w:val="24"/>
          <w:szCs w:val="24"/>
        </w:rPr>
        <w:t>School: UWTSD Swansea</w:t>
      </w:r>
    </w:p>
    <w:p w14:paraId="55175673" w14:textId="342E687C" w:rsidR="00A77827" w:rsidRDefault="00A77827" w:rsidP="0030730B">
      <w:pPr>
        <w:tabs>
          <w:tab w:val="left" w:pos="3330"/>
        </w:tabs>
        <w:spacing w:line="480" w:lineRule="auto"/>
        <w:jc w:val="center"/>
        <w:rPr>
          <w:rFonts w:ascii="Arial" w:hAnsi="Arial" w:cs="Arial"/>
          <w:b/>
          <w:bCs/>
          <w:sz w:val="24"/>
          <w:szCs w:val="24"/>
        </w:rPr>
      </w:pPr>
      <w:r>
        <w:rPr>
          <w:rFonts w:ascii="Arial" w:hAnsi="Arial" w:cs="Arial"/>
          <w:b/>
          <w:bCs/>
          <w:sz w:val="24"/>
          <w:szCs w:val="24"/>
        </w:rPr>
        <w:t xml:space="preserve">Student name: Garry Michael Jones </w:t>
      </w:r>
    </w:p>
    <w:p w14:paraId="6FFAD89B" w14:textId="7AFE8DD8" w:rsidR="00A77827" w:rsidRDefault="00A77827" w:rsidP="0030730B">
      <w:pPr>
        <w:tabs>
          <w:tab w:val="left" w:pos="3330"/>
        </w:tabs>
        <w:spacing w:line="480" w:lineRule="auto"/>
        <w:jc w:val="center"/>
        <w:rPr>
          <w:rFonts w:ascii="Arial" w:hAnsi="Arial" w:cs="Arial"/>
          <w:b/>
          <w:bCs/>
          <w:sz w:val="24"/>
          <w:szCs w:val="24"/>
        </w:rPr>
      </w:pPr>
      <w:r>
        <w:rPr>
          <w:rFonts w:ascii="Arial" w:hAnsi="Arial" w:cs="Arial"/>
          <w:b/>
          <w:bCs/>
          <w:sz w:val="24"/>
          <w:szCs w:val="24"/>
        </w:rPr>
        <w:t>Student number: 2134515</w:t>
      </w:r>
    </w:p>
    <w:p w14:paraId="260D39DA" w14:textId="39CD150B" w:rsidR="0030730B" w:rsidRDefault="0030730B" w:rsidP="0030730B">
      <w:pPr>
        <w:tabs>
          <w:tab w:val="left" w:pos="3330"/>
        </w:tabs>
        <w:spacing w:line="480" w:lineRule="auto"/>
        <w:jc w:val="center"/>
        <w:rPr>
          <w:rFonts w:ascii="Arial" w:hAnsi="Arial" w:cs="Arial"/>
          <w:b/>
          <w:bCs/>
          <w:sz w:val="24"/>
          <w:szCs w:val="24"/>
        </w:rPr>
      </w:pPr>
      <w:r>
        <w:rPr>
          <w:rFonts w:ascii="Arial" w:hAnsi="Arial" w:cs="Arial"/>
          <w:b/>
          <w:bCs/>
          <w:sz w:val="24"/>
          <w:szCs w:val="24"/>
        </w:rPr>
        <w:t xml:space="preserve">Degree: Professional policing </w:t>
      </w:r>
    </w:p>
    <w:p w14:paraId="64713995" w14:textId="30BAFC3D" w:rsidR="0030730B" w:rsidRDefault="0030730B" w:rsidP="0030730B">
      <w:pPr>
        <w:tabs>
          <w:tab w:val="left" w:pos="3330"/>
        </w:tabs>
        <w:spacing w:line="480" w:lineRule="auto"/>
        <w:jc w:val="center"/>
        <w:rPr>
          <w:rFonts w:ascii="Arial" w:hAnsi="Arial" w:cs="Arial"/>
          <w:b/>
          <w:bCs/>
          <w:sz w:val="24"/>
          <w:szCs w:val="24"/>
        </w:rPr>
      </w:pPr>
      <w:r>
        <w:rPr>
          <w:rFonts w:ascii="Arial" w:hAnsi="Arial" w:cs="Arial"/>
          <w:b/>
          <w:bCs/>
          <w:sz w:val="24"/>
          <w:szCs w:val="24"/>
        </w:rPr>
        <w:t>Due Date: 7</w:t>
      </w:r>
      <w:r w:rsidRPr="008E2089">
        <w:rPr>
          <w:rFonts w:ascii="Arial" w:hAnsi="Arial" w:cs="Arial"/>
          <w:b/>
          <w:bCs/>
          <w:sz w:val="24"/>
          <w:szCs w:val="24"/>
          <w:vertAlign w:val="superscript"/>
        </w:rPr>
        <w:t>th</w:t>
      </w:r>
      <w:r>
        <w:rPr>
          <w:rFonts w:ascii="Arial" w:hAnsi="Arial" w:cs="Arial"/>
          <w:b/>
          <w:bCs/>
          <w:sz w:val="24"/>
          <w:szCs w:val="24"/>
        </w:rPr>
        <w:t xml:space="preserve"> April 2025</w:t>
      </w:r>
    </w:p>
    <w:p w14:paraId="04194789" w14:textId="21B341DB" w:rsidR="0030730B" w:rsidRDefault="0030730B" w:rsidP="0030730B">
      <w:pPr>
        <w:tabs>
          <w:tab w:val="left" w:pos="3330"/>
        </w:tabs>
        <w:spacing w:line="480" w:lineRule="auto"/>
        <w:jc w:val="center"/>
        <w:rPr>
          <w:rFonts w:ascii="Arial" w:hAnsi="Arial" w:cs="Arial"/>
          <w:b/>
          <w:bCs/>
          <w:sz w:val="24"/>
          <w:szCs w:val="24"/>
        </w:rPr>
      </w:pPr>
      <w:r>
        <w:rPr>
          <w:rFonts w:ascii="Arial" w:hAnsi="Arial" w:cs="Arial"/>
          <w:b/>
          <w:bCs/>
          <w:sz w:val="24"/>
          <w:szCs w:val="24"/>
        </w:rPr>
        <w:t xml:space="preserve">Word count </w:t>
      </w:r>
      <w:r w:rsidR="00A77827">
        <w:rPr>
          <w:rFonts w:ascii="Arial" w:hAnsi="Arial" w:cs="Arial"/>
          <w:b/>
          <w:bCs/>
          <w:sz w:val="24"/>
          <w:szCs w:val="24"/>
        </w:rPr>
        <w:t>–</w:t>
      </w:r>
      <w:r>
        <w:rPr>
          <w:rFonts w:ascii="Arial" w:hAnsi="Arial" w:cs="Arial"/>
          <w:b/>
          <w:bCs/>
          <w:sz w:val="24"/>
          <w:szCs w:val="24"/>
        </w:rPr>
        <w:t xml:space="preserve"> </w:t>
      </w:r>
      <w:r w:rsidR="00CF659B">
        <w:rPr>
          <w:rFonts w:ascii="Arial" w:hAnsi="Arial" w:cs="Arial"/>
          <w:b/>
          <w:bCs/>
          <w:sz w:val="24"/>
          <w:szCs w:val="24"/>
        </w:rPr>
        <w:t>9343</w:t>
      </w:r>
    </w:p>
    <w:p w14:paraId="73ADCDBD" w14:textId="77777777" w:rsidR="00A77827" w:rsidRPr="00A77827" w:rsidRDefault="00A77827" w:rsidP="00A77827">
      <w:pPr>
        <w:tabs>
          <w:tab w:val="left" w:pos="3330"/>
        </w:tabs>
        <w:spacing w:line="480" w:lineRule="auto"/>
        <w:jc w:val="center"/>
        <w:rPr>
          <w:rFonts w:ascii="Arial" w:hAnsi="Arial" w:cs="Arial"/>
          <w:b/>
          <w:bCs/>
          <w:sz w:val="24"/>
          <w:szCs w:val="24"/>
          <w:u w:val="single"/>
        </w:rPr>
      </w:pPr>
      <w:r w:rsidRPr="00A77827">
        <w:rPr>
          <w:rFonts w:ascii="Arial" w:hAnsi="Arial" w:cs="Arial"/>
          <w:b/>
          <w:bCs/>
          <w:sz w:val="24"/>
          <w:szCs w:val="24"/>
          <w:u w:val="single"/>
        </w:rPr>
        <w:lastRenderedPageBreak/>
        <w:t xml:space="preserve">Declaration </w:t>
      </w:r>
    </w:p>
    <w:p w14:paraId="6DBABB27" w14:textId="77777777" w:rsidR="00A77827" w:rsidRPr="00A77827" w:rsidRDefault="00A77827" w:rsidP="00A77827">
      <w:pPr>
        <w:tabs>
          <w:tab w:val="left" w:pos="3330"/>
        </w:tabs>
        <w:spacing w:line="480" w:lineRule="auto"/>
        <w:jc w:val="center"/>
        <w:rPr>
          <w:rFonts w:ascii="Arial" w:hAnsi="Arial" w:cs="Arial"/>
          <w:b/>
          <w:bCs/>
          <w:sz w:val="24"/>
          <w:szCs w:val="24"/>
        </w:rPr>
      </w:pPr>
      <w:r w:rsidRPr="00A77827">
        <w:rPr>
          <w:rFonts w:ascii="Arial" w:hAnsi="Arial" w:cs="Arial"/>
          <w:b/>
          <w:bCs/>
          <w:sz w:val="24"/>
          <w:szCs w:val="24"/>
        </w:rPr>
        <w:t>This work has not previously been accepted in substance for any degree and is not being concurrently submitted in candidature for any degree.</w:t>
      </w:r>
    </w:p>
    <w:p w14:paraId="2FAAABCC" w14:textId="7491BFE1" w:rsidR="00A77827" w:rsidRPr="00A77827" w:rsidRDefault="00A77827" w:rsidP="00A77827">
      <w:pPr>
        <w:tabs>
          <w:tab w:val="left" w:pos="3330"/>
        </w:tabs>
        <w:spacing w:line="480" w:lineRule="auto"/>
        <w:jc w:val="center"/>
        <w:rPr>
          <w:rFonts w:ascii="Arial" w:hAnsi="Arial" w:cs="Arial"/>
          <w:b/>
          <w:bCs/>
          <w:sz w:val="24"/>
          <w:szCs w:val="24"/>
        </w:rPr>
      </w:pPr>
      <w:r w:rsidRPr="00A77827">
        <w:rPr>
          <w:rFonts w:ascii="Arial" w:hAnsi="Arial" w:cs="Arial"/>
          <w:b/>
          <w:bCs/>
          <w:sz w:val="24"/>
          <w:szCs w:val="24"/>
        </w:rPr>
        <w:t xml:space="preserve">Signed: </w:t>
      </w:r>
      <w:r w:rsidR="00914724">
        <w:rPr>
          <w:rFonts w:ascii="Arial" w:hAnsi="Arial" w:cs="Arial"/>
          <w:b/>
          <w:bCs/>
          <w:sz w:val="24"/>
          <w:szCs w:val="24"/>
        </w:rPr>
        <w:t>Garry Michael Jones</w:t>
      </w:r>
    </w:p>
    <w:p w14:paraId="418D88DA" w14:textId="511C9474" w:rsidR="00A77827" w:rsidRPr="00A77827" w:rsidRDefault="00A77827" w:rsidP="00A77827">
      <w:pPr>
        <w:tabs>
          <w:tab w:val="left" w:pos="3330"/>
        </w:tabs>
        <w:spacing w:line="480" w:lineRule="auto"/>
        <w:jc w:val="center"/>
        <w:rPr>
          <w:rFonts w:ascii="Arial" w:hAnsi="Arial" w:cs="Arial"/>
          <w:b/>
          <w:bCs/>
          <w:sz w:val="24"/>
          <w:szCs w:val="24"/>
        </w:rPr>
      </w:pPr>
      <w:r w:rsidRPr="00A77827">
        <w:rPr>
          <w:rFonts w:ascii="Arial" w:hAnsi="Arial" w:cs="Arial"/>
          <w:b/>
          <w:bCs/>
          <w:sz w:val="24"/>
          <w:szCs w:val="24"/>
        </w:rPr>
        <w:t xml:space="preserve">Date: </w:t>
      </w:r>
      <w:r w:rsidR="00123B1B">
        <w:rPr>
          <w:rFonts w:ascii="Arial" w:hAnsi="Arial" w:cs="Arial"/>
          <w:b/>
          <w:bCs/>
          <w:sz w:val="24"/>
          <w:szCs w:val="24"/>
        </w:rPr>
        <w:t>04/04/2025</w:t>
      </w:r>
    </w:p>
    <w:p w14:paraId="6DC7E191" w14:textId="77777777" w:rsidR="00A77827" w:rsidRPr="00A77827" w:rsidRDefault="00A77827" w:rsidP="00A77827">
      <w:pPr>
        <w:tabs>
          <w:tab w:val="left" w:pos="3330"/>
        </w:tabs>
        <w:spacing w:line="480" w:lineRule="auto"/>
        <w:jc w:val="center"/>
        <w:rPr>
          <w:rFonts w:ascii="Arial" w:hAnsi="Arial" w:cs="Arial"/>
          <w:b/>
          <w:bCs/>
          <w:sz w:val="24"/>
          <w:szCs w:val="24"/>
        </w:rPr>
      </w:pPr>
    </w:p>
    <w:p w14:paraId="282577BB" w14:textId="77777777" w:rsidR="00A77827" w:rsidRPr="00A77827" w:rsidRDefault="00A77827" w:rsidP="00A77827">
      <w:pPr>
        <w:tabs>
          <w:tab w:val="left" w:pos="3330"/>
        </w:tabs>
        <w:spacing w:line="480" w:lineRule="auto"/>
        <w:jc w:val="center"/>
        <w:rPr>
          <w:rFonts w:ascii="Arial" w:hAnsi="Arial" w:cs="Arial"/>
          <w:b/>
          <w:bCs/>
          <w:sz w:val="24"/>
          <w:szCs w:val="24"/>
        </w:rPr>
      </w:pPr>
      <w:r w:rsidRPr="00A77827">
        <w:rPr>
          <w:rFonts w:ascii="Arial" w:hAnsi="Arial" w:cs="Arial"/>
          <w:b/>
          <w:bCs/>
          <w:sz w:val="24"/>
          <w:szCs w:val="24"/>
        </w:rPr>
        <w:t xml:space="preserve">STATEMENT 1 </w:t>
      </w:r>
    </w:p>
    <w:p w14:paraId="406F04BE" w14:textId="77777777" w:rsidR="00A77827" w:rsidRPr="00A77827" w:rsidRDefault="00A77827" w:rsidP="00A77827">
      <w:pPr>
        <w:tabs>
          <w:tab w:val="left" w:pos="3330"/>
        </w:tabs>
        <w:spacing w:line="480" w:lineRule="auto"/>
        <w:jc w:val="center"/>
        <w:rPr>
          <w:rFonts w:ascii="Arial" w:hAnsi="Arial" w:cs="Arial"/>
          <w:b/>
          <w:bCs/>
          <w:sz w:val="24"/>
          <w:szCs w:val="24"/>
        </w:rPr>
      </w:pPr>
      <w:r w:rsidRPr="00A77827">
        <w:rPr>
          <w:rFonts w:ascii="Arial" w:hAnsi="Arial" w:cs="Arial"/>
          <w:b/>
          <w:bCs/>
          <w:sz w:val="24"/>
          <w:szCs w:val="24"/>
        </w:rPr>
        <w:t>This dissertation is being submitted in partial fulfilment of the requirements for the degree of BA.</w:t>
      </w:r>
    </w:p>
    <w:p w14:paraId="7E15D59F" w14:textId="61977C56" w:rsidR="00A77827" w:rsidRPr="00A77827" w:rsidRDefault="00A77827" w:rsidP="00A77827">
      <w:pPr>
        <w:tabs>
          <w:tab w:val="left" w:pos="3330"/>
        </w:tabs>
        <w:spacing w:line="480" w:lineRule="auto"/>
        <w:jc w:val="center"/>
        <w:rPr>
          <w:rFonts w:ascii="Arial" w:hAnsi="Arial" w:cs="Arial"/>
          <w:b/>
          <w:bCs/>
          <w:sz w:val="24"/>
          <w:szCs w:val="24"/>
        </w:rPr>
      </w:pPr>
      <w:r w:rsidRPr="00A77827">
        <w:rPr>
          <w:rFonts w:ascii="Arial" w:hAnsi="Arial" w:cs="Arial"/>
          <w:b/>
          <w:bCs/>
          <w:sz w:val="24"/>
          <w:szCs w:val="24"/>
        </w:rPr>
        <w:t>Signed:</w:t>
      </w:r>
      <w:r w:rsidR="00914724">
        <w:rPr>
          <w:rFonts w:ascii="Arial" w:hAnsi="Arial" w:cs="Arial"/>
          <w:b/>
          <w:bCs/>
          <w:sz w:val="24"/>
          <w:szCs w:val="24"/>
        </w:rPr>
        <w:t xml:space="preserve"> Garry Michael Jones</w:t>
      </w:r>
    </w:p>
    <w:p w14:paraId="26B1247B" w14:textId="689D31D5" w:rsidR="00A77827" w:rsidRPr="00A77827" w:rsidRDefault="00A77827" w:rsidP="00A77827">
      <w:pPr>
        <w:tabs>
          <w:tab w:val="left" w:pos="3330"/>
        </w:tabs>
        <w:spacing w:line="480" w:lineRule="auto"/>
        <w:jc w:val="center"/>
        <w:rPr>
          <w:rFonts w:ascii="Arial" w:hAnsi="Arial" w:cs="Arial"/>
          <w:b/>
          <w:bCs/>
          <w:sz w:val="24"/>
          <w:szCs w:val="24"/>
        </w:rPr>
      </w:pPr>
      <w:r w:rsidRPr="00A77827">
        <w:rPr>
          <w:rFonts w:ascii="Arial" w:hAnsi="Arial" w:cs="Arial"/>
          <w:b/>
          <w:bCs/>
          <w:sz w:val="24"/>
          <w:szCs w:val="24"/>
        </w:rPr>
        <w:t xml:space="preserve">Date: </w:t>
      </w:r>
      <w:r w:rsidR="00123B1B">
        <w:rPr>
          <w:rFonts w:ascii="Arial" w:hAnsi="Arial" w:cs="Arial"/>
          <w:b/>
          <w:bCs/>
          <w:sz w:val="24"/>
          <w:szCs w:val="24"/>
        </w:rPr>
        <w:t>04/04/2025</w:t>
      </w:r>
    </w:p>
    <w:p w14:paraId="74D155ED" w14:textId="77777777" w:rsidR="00A77827" w:rsidRPr="00A77827" w:rsidRDefault="00A77827" w:rsidP="00A77827">
      <w:pPr>
        <w:tabs>
          <w:tab w:val="left" w:pos="3330"/>
        </w:tabs>
        <w:spacing w:line="480" w:lineRule="auto"/>
        <w:jc w:val="center"/>
        <w:rPr>
          <w:rFonts w:ascii="Arial" w:hAnsi="Arial" w:cs="Arial"/>
          <w:b/>
          <w:bCs/>
          <w:sz w:val="24"/>
          <w:szCs w:val="24"/>
        </w:rPr>
      </w:pPr>
    </w:p>
    <w:p w14:paraId="1DDA5DBC" w14:textId="77777777" w:rsidR="00A77827" w:rsidRPr="00A77827" w:rsidRDefault="00A77827" w:rsidP="00A77827">
      <w:pPr>
        <w:tabs>
          <w:tab w:val="left" w:pos="3330"/>
        </w:tabs>
        <w:spacing w:line="480" w:lineRule="auto"/>
        <w:jc w:val="center"/>
        <w:rPr>
          <w:rFonts w:ascii="Arial" w:hAnsi="Arial" w:cs="Arial"/>
          <w:b/>
          <w:bCs/>
          <w:sz w:val="24"/>
          <w:szCs w:val="24"/>
        </w:rPr>
      </w:pPr>
      <w:r w:rsidRPr="00A77827">
        <w:rPr>
          <w:rFonts w:ascii="Arial" w:hAnsi="Arial" w:cs="Arial"/>
          <w:b/>
          <w:bCs/>
          <w:sz w:val="24"/>
          <w:szCs w:val="24"/>
        </w:rPr>
        <w:t>STATEMENT 2</w:t>
      </w:r>
    </w:p>
    <w:p w14:paraId="5D4AB9DB" w14:textId="77777777" w:rsidR="00A77827" w:rsidRPr="00A77827" w:rsidRDefault="00A77827" w:rsidP="00A77827">
      <w:pPr>
        <w:tabs>
          <w:tab w:val="left" w:pos="3330"/>
        </w:tabs>
        <w:spacing w:line="480" w:lineRule="auto"/>
        <w:jc w:val="center"/>
        <w:rPr>
          <w:rFonts w:ascii="Arial" w:hAnsi="Arial" w:cs="Arial"/>
          <w:b/>
          <w:bCs/>
          <w:sz w:val="24"/>
          <w:szCs w:val="24"/>
        </w:rPr>
      </w:pPr>
      <w:r w:rsidRPr="00A77827">
        <w:rPr>
          <w:rFonts w:ascii="Arial" w:hAnsi="Arial" w:cs="Arial"/>
          <w:b/>
          <w:bCs/>
          <w:sz w:val="24"/>
          <w:szCs w:val="24"/>
        </w:rPr>
        <w:t>This dissertation is the result of my own independent work/investigation, except where otherwise stated.</w:t>
      </w:r>
    </w:p>
    <w:p w14:paraId="16C8E81E" w14:textId="77777777" w:rsidR="00A77827" w:rsidRPr="00A77827" w:rsidRDefault="00A77827" w:rsidP="00A77827">
      <w:pPr>
        <w:tabs>
          <w:tab w:val="left" w:pos="3330"/>
        </w:tabs>
        <w:spacing w:line="480" w:lineRule="auto"/>
        <w:jc w:val="center"/>
        <w:rPr>
          <w:rFonts w:ascii="Arial" w:hAnsi="Arial" w:cs="Arial"/>
          <w:b/>
          <w:bCs/>
          <w:sz w:val="24"/>
          <w:szCs w:val="24"/>
        </w:rPr>
      </w:pPr>
      <w:r w:rsidRPr="00A77827">
        <w:rPr>
          <w:rFonts w:ascii="Arial" w:hAnsi="Arial" w:cs="Arial"/>
          <w:b/>
          <w:bCs/>
          <w:sz w:val="24"/>
          <w:szCs w:val="24"/>
        </w:rPr>
        <w:t>Other sources are acknowledged by footnotes giving explicit references.  A bibliography is appended.</w:t>
      </w:r>
    </w:p>
    <w:p w14:paraId="347D8D68" w14:textId="0B89DF1D" w:rsidR="00A77827" w:rsidRPr="00A77827" w:rsidRDefault="00A77827" w:rsidP="00A77827">
      <w:pPr>
        <w:tabs>
          <w:tab w:val="left" w:pos="3330"/>
        </w:tabs>
        <w:spacing w:line="480" w:lineRule="auto"/>
        <w:jc w:val="center"/>
        <w:rPr>
          <w:rFonts w:ascii="Arial" w:hAnsi="Arial" w:cs="Arial"/>
          <w:b/>
          <w:bCs/>
          <w:sz w:val="24"/>
          <w:szCs w:val="24"/>
        </w:rPr>
      </w:pPr>
      <w:r w:rsidRPr="00A77827">
        <w:rPr>
          <w:rFonts w:ascii="Arial" w:hAnsi="Arial" w:cs="Arial"/>
          <w:b/>
          <w:bCs/>
          <w:sz w:val="24"/>
          <w:szCs w:val="24"/>
        </w:rPr>
        <w:t xml:space="preserve">Signed: </w:t>
      </w:r>
      <w:r w:rsidR="00914724">
        <w:rPr>
          <w:rFonts w:ascii="Arial" w:hAnsi="Arial" w:cs="Arial"/>
          <w:b/>
          <w:bCs/>
          <w:sz w:val="24"/>
          <w:szCs w:val="24"/>
        </w:rPr>
        <w:t>Garry Michael Jones</w:t>
      </w:r>
    </w:p>
    <w:p w14:paraId="4FA6A5B3" w14:textId="004481B2" w:rsidR="00A77827" w:rsidRPr="00A77827" w:rsidRDefault="00A77827" w:rsidP="00A77827">
      <w:pPr>
        <w:tabs>
          <w:tab w:val="left" w:pos="3330"/>
        </w:tabs>
        <w:spacing w:line="480" w:lineRule="auto"/>
        <w:jc w:val="center"/>
        <w:rPr>
          <w:rFonts w:ascii="Arial" w:hAnsi="Arial" w:cs="Arial"/>
          <w:b/>
          <w:bCs/>
          <w:sz w:val="24"/>
          <w:szCs w:val="24"/>
        </w:rPr>
      </w:pPr>
      <w:r w:rsidRPr="00A77827">
        <w:rPr>
          <w:rFonts w:ascii="Arial" w:hAnsi="Arial" w:cs="Arial"/>
          <w:b/>
          <w:bCs/>
          <w:sz w:val="24"/>
          <w:szCs w:val="24"/>
        </w:rPr>
        <w:t xml:space="preserve">Date: </w:t>
      </w:r>
      <w:r w:rsidR="00123B1B">
        <w:rPr>
          <w:rFonts w:ascii="Arial" w:hAnsi="Arial" w:cs="Arial"/>
          <w:b/>
          <w:bCs/>
          <w:sz w:val="24"/>
          <w:szCs w:val="24"/>
        </w:rPr>
        <w:t>04/04/2025</w:t>
      </w:r>
    </w:p>
    <w:p w14:paraId="472F927A" w14:textId="77777777" w:rsidR="00A77827" w:rsidRPr="00A77827" w:rsidRDefault="00A77827" w:rsidP="00A77827">
      <w:pPr>
        <w:tabs>
          <w:tab w:val="left" w:pos="3330"/>
        </w:tabs>
        <w:spacing w:line="480" w:lineRule="auto"/>
        <w:jc w:val="center"/>
        <w:rPr>
          <w:rFonts w:ascii="Arial" w:hAnsi="Arial" w:cs="Arial"/>
          <w:b/>
          <w:bCs/>
          <w:sz w:val="24"/>
          <w:szCs w:val="24"/>
        </w:rPr>
      </w:pPr>
    </w:p>
    <w:p w14:paraId="071332FB" w14:textId="77777777" w:rsidR="00A77827" w:rsidRPr="00A77827" w:rsidRDefault="00A77827" w:rsidP="00A77827">
      <w:pPr>
        <w:tabs>
          <w:tab w:val="left" w:pos="3330"/>
        </w:tabs>
        <w:spacing w:line="480" w:lineRule="auto"/>
        <w:jc w:val="center"/>
        <w:rPr>
          <w:rFonts w:ascii="Arial" w:hAnsi="Arial" w:cs="Arial"/>
          <w:b/>
          <w:bCs/>
          <w:sz w:val="24"/>
          <w:szCs w:val="24"/>
        </w:rPr>
      </w:pPr>
      <w:r w:rsidRPr="00A77827">
        <w:rPr>
          <w:rFonts w:ascii="Arial" w:hAnsi="Arial" w:cs="Arial"/>
          <w:b/>
          <w:bCs/>
          <w:sz w:val="24"/>
          <w:szCs w:val="24"/>
        </w:rPr>
        <w:lastRenderedPageBreak/>
        <w:t>STATEMENT 3</w:t>
      </w:r>
    </w:p>
    <w:p w14:paraId="069786CD" w14:textId="77777777" w:rsidR="00A77827" w:rsidRPr="00A77827" w:rsidRDefault="00A77827" w:rsidP="00A77827">
      <w:pPr>
        <w:tabs>
          <w:tab w:val="left" w:pos="3330"/>
        </w:tabs>
        <w:spacing w:line="480" w:lineRule="auto"/>
        <w:jc w:val="center"/>
        <w:rPr>
          <w:rFonts w:ascii="Arial" w:hAnsi="Arial" w:cs="Arial"/>
          <w:b/>
          <w:bCs/>
          <w:sz w:val="24"/>
          <w:szCs w:val="24"/>
        </w:rPr>
      </w:pPr>
      <w:r w:rsidRPr="00A77827">
        <w:rPr>
          <w:rFonts w:ascii="Arial" w:hAnsi="Arial" w:cs="Arial"/>
          <w:b/>
          <w:bCs/>
          <w:sz w:val="24"/>
          <w:szCs w:val="24"/>
        </w:rPr>
        <w:t>I hereby give consent for my dissertation, if accepted, to be available for photocopying and for interlibrary loan, and for the title and summary to be made available to outside organisations.</w:t>
      </w:r>
    </w:p>
    <w:p w14:paraId="7E1B221D" w14:textId="36E9ACA0" w:rsidR="00A77827" w:rsidRPr="00A77827" w:rsidRDefault="00A77827" w:rsidP="00A77827">
      <w:pPr>
        <w:tabs>
          <w:tab w:val="left" w:pos="3330"/>
        </w:tabs>
        <w:spacing w:line="480" w:lineRule="auto"/>
        <w:jc w:val="center"/>
        <w:rPr>
          <w:rFonts w:ascii="Arial" w:hAnsi="Arial" w:cs="Arial"/>
          <w:b/>
          <w:bCs/>
          <w:sz w:val="24"/>
          <w:szCs w:val="24"/>
        </w:rPr>
      </w:pPr>
      <w:r w:rsidRPr="00A77827">
        <w:rPr>
          <w:rFonts w:ascii="Arial" w:hAnsi="Arial" w:cs="Arial"/>
          <w:b/>
          <w:bCs/>
          <w:sz w:val="24"/>
          <w:szCs w:val="24"/>
        </w:rPr>
        <w:t>Signed</w:t>
      </w:r>
      <w:r w:rsidR="00914724">
        <w:rPr>
          <w:rFonts w:ascii="Arial" w:hAnsi="Arial" w:cs="Arial"/>
          <w:b/>
          <w:bCs/>
          <w:sz w:val="24"/>
          <w:szCs w:val="24"/>
        </w:rPr>
        <w:t>: Garry Michael Jones</w:t>
      </w:r>
    </w:p>
    <w:p w14:paraId="71F8A2DA" w14:textId="62C8D57A" w:rsidR="00A77827" w:rsidRPr="00A77827" w:rsidRDefault="00A77827" w:rsidP="00A77827">
      <w:pPr>
        <w:tabs>
          <w:tab w:val="left" w:pos="3330"/>
        </w:tabs>
        <w:spacing w:line="480" w:lineRule="auto"/>
        <w:jc w:val="center"/>
        <w:rPr>
          <w:rFonts w:ascii="Arial" w:hAnsi="Arial" w:cs="Arial"/>
          <w:b/>
          <w:bCs/>
          <w:sz w:val="24"/>
          <w:szCs w:val="24"/>
        </w:rPr>
      </w:pPr>
      <w:r w:rsidRPr="00A77827">
        <w:rPr>
          <w:rFonts w:ascii="Arial" w:hAnsi="Arial" w:cs="Arial"/>
          <w:b/>
          <w:bCs/>
          <w:sz w:val="24"/>
          <w:szCs w:val="24"/>
        </w:rPr>
        <w:t>Date:</w:t>
      </w:r>
      <w:r w:rsidR="00123B1B">
        <w:rPr>
          <w:rFonts w:ascii="Arial" w:hAnsi="Arial" w:cs="Arial"/>
          <w:b/>
          <w:bCs/>
          <w:sz w:val="24"/>
          <w:szCs w:val="24"/>
        </w:rPr>
        <w:t xml:space="preserve"> 04/04/2025</w:t>
      </w:r>
    </w:p>
    <w:p w14:paraId="6A8C69D2" w14:textId="77777777" w:rsidR="00A77827" w:rsidRPr="00A77827" w:rsidRDefault="00A77827" w:rsidP="00A77827">
      <w:pPr>
        <w:tabs>
          <w:tab w:val="left" w:pos="3330"/>
        </w:tabs>
        <w:spacing w:line="480" w:lineRule="auto"/>
        <w:jc w:val="center"/>
        <w:rPr>
          <w:rFonts w:ascii="Arial" w:hAnsi="Arial" w:cs="Arial"/>
          <w:b/>
          <w:bCs/>
          <w:sz w:val="24"/>
          <w:szCs w:val="24"/>
        </w:rPr>
      </w:pPr>
    </w:p>
    <w:p w14:paraId="27C49B65" w14:textId="77777777" w:rsidR="00A77827" w:rsidRPr="00A77827" w:rsidRDefault="00A77827" w:rsidP="00A77827">
      <w:pPr>
        <w:tabs>
          <w:tab w:val="left" w:pos="3330"/>
        </w:tabs>
        <w:spacing w:line="480" w:lineRule="auto"/>
        <w:jc w:val="center"/>
        <w:rPr>
          <w:rFonts w:ascii="Arial" w:hAnsi="Arial" w:cs="Arial"/>
          <w:b/>
          <w:bCs/>
          <w:sz w:val="24"/>
          <w:szCs w:val="24"/>
        </w:rPr>
      </w:pPr>
      <w:r w:rsidRPr="00A77827">
        <w:rPr>
          <w:rFonts w:ascii="Arial" w:hAnsi="Arial" w:cs="Arial"/>
          <w:b/>
          <w:bCs/>
          <w:sz w:val="24"/>
          <w:szCs w:val="24"/>
        </w:rPr>
        <w:t>STATEMENT 4</w:t>
      </w:r>
    </w:p>
    <w:p w14:paraId="3C8A4011" w14:textId="77777777" w:rsidR="00A77827" w:rsidRPr="00A77827" w:rsidRDefault="00A77827" w:rsidP="00A77827">
      <w:pPr>
        <w:tabs>
          <w:tab w:val="left" w:pos="3330"/>
        </w:tabs>
        <w:spacing w:line="480" w:lineRule="auto"/>
        <w:jc w:val="center"/>
        <w:rPr>
          <w:rFonts w:ascii="Arial" w:hAnsi="Arial" w:cs="Arial"/>
          <w:b/>
          <w:bCs/>
          <w:sz w:val="24"/>
          <w:szCs w:val="24"/>
        </w:rPr>
      </w:pPr>
      <w:r w:rsidRPr="00A77827">
        <w:rPr>
          <w:rFonts w:ascii="Arial" w:hAnsi="Arial" w:cs="Arial"/>
          <w:b/>
          <w:bCs/>
          <w:sz w:val="24"/>
          <w:szCs w:val="24"/>
        </w:rPr>
        <w:t>I hereby give consent for my dissertation, if accepted, to be available on the university’s IT system to those who have consent to use the system.</w:t>
      </w:r>
    </w:p>
    <w:p w14:paraId="1EC8A5DE" w14:textId="3D904254" w:rsidR="00A77827" w:rsidRPr="00A77827" w:rsidRDefault="00A77827" w:rsidP="00A77827">
      <w:pPr>
        <w:tabs>
          <w:tab w:val="left" w:pos="3330"/>
        </w:tabs>
        <w:spacing w:line="480" w:lineRule="auto"/>
        <w:jc w:val="center"/>
        <w:rPr>
          <w:rFonts w:ascii="Arial" w:hAnsi="Arial" w:cs="Arial"/>
          <w:b/>
          <w:bCs/>
          <w:sz w:val="24"/>
          <w:szCs w:val="24"/>
        </w:rPr>
      </w:pPr>
      <w:r w:rsidRPr="00A77827">
        <w:rPr>
          <w:rFonts w:ascii="Arial" w:hAnsi="Arial" w:cs="Arial"/>
          <w:b/>
          <w:bCs/>
          <w:sz w:val="24"/>
          <w:szCs w:val="24"/>
        </w:rPr>
        <w:t xml:space="preserve">Signed: </w:t>
      </w:r>
      <w:r w:rsidR="00914724">
        <w:rPr>
          <w:rFonts w:ascii="Arial" w:hAnsi="Arial" w:cs="Arial"/>
          <w:b/>
          <w:bCs/>
          <w:sz w:val="24"/>
          <w:szCs w:val="24"/>
        </w:rPr>
        <w:t>Garry Michael Jones</w:t>
      </w:r>
    </w:p>
    <w:p w14:paraId="128FF963" w14:textId="539854CF" w:rsidR="00A77827" w:rsidRDefault="00A77827" w:rsidP="00A77827">
      <w:pPr>
        <w:tabs>
          <w:tab w:val="left" w:pos="3330"/>
        </w:tabs>
        <w:spacing w:line="480" w:lineRule="auto"/>
        <w:jc w:val="center"/>
        <w:rPr>
          <w:rFonts w:ascii="Arial" w:hAnsi="Arial" w:cs="Arial"/>
          <w:b/>
          <w:bCs/>
          <w:sz w:val="24"/>
          <w:szCs w:val="24"/>
        </w:rPr>
      </w:pPr>
      <w:r w:rsidRPr="00A77827">
        <w:rPr>
          <w:rFonts w:ascii="Arial" w:hAnsi="Arial" w:cs="Arial"/>
          <w:b/>
          <w:bCs/>
          <w:sz w:val="24"/>
          <w:szCs w:val="24"/>
        </w:rPr>
        <w:t>Date:</w:t>
      </w:r>
      <w:r w:rsidR="00123B1B">
        <w:rPr>
          <w:rFonts w:ascii="Arial" w:hAnsi="Arial" w:cs="Arial"/>
          <w:b/>
          <w:bCs/>
          <w:sz w:val="24"/>
          <w:szCs w:val="24"/>
        </w:rPr>
        <w:t xml:space="preserve"> 04/04/2025</w:t>
      </w:r>
    </w:p>
    <w:p w14:paraId="5D4A8120" w14:textId="77777777" w:rsidR="00586EDC" w:rsidRDefault="00586EDC" w:rsidP="00A77827">
      <w:pPr>
        <w:tabs>
          <w:tab w:val="left" w:pos="3330"/>
        </w:tabs>
        <w:spacing w:line="480" w:lineRule="auto"/>
        <w:jc w:val="center"/>
        <w:rPr>
          <w:rFonts w:ascii="Arial" w:hAnsi="Arial" w:cs="Arial"/>
          <w:b/>
          <w:bCs/>
          <w:sz w:val="24"/>
          <w:szCs w:val="24"/>
        </w:rPr>
      </w:pPr>
    </w:p>
    <w:p w14:paraId="30F20954" w14:textId="77777777" w:rsidR="00586EDC" w:rsidRPr="00422012" w:rsidRDefault="00586EDC" w:rsidP="00586EDC">
      <w:pPr>
        <w:spacing w:before="100" w:beforeAutospacing="1" w:after="100" w:afterAutospacing="1" w:line="480" w:lineRule="auto"/>
        <w:jc w:val="both"/>
        <w:rPr>
          <w:rFonts w:ascii="Arial" w:hAnsi="Arial" w:cs="Arial"/>
          <w:b/>
          <w:bCs/>
          <w:sz w:val="24"/>
          <w:szCs w:val="24"/>
        </w:rPr>
      </w:pPr>
      <w:r w:rsidRPr="00422012">
        <w:rPr>
          <w:rFonts w:ascii="Arial" w:hAnsi="Arial" w:cs="Arial"/>
          <w:b/>
          <w:bCs/>
          <w:sz w:val="24"/>
          <w:szCs w:val="24"/>
        </w:rPr>
        <w:t xml:space="preserve">Acknowledgements </w:t>
      </w:r>
    </w:p>
    <w:p w14:paraId="0F93B777" w14:textId="00D4B6B8" w:rsidR="00586EDC" w:rsidRPr="00A77827" w:rsidRDefault="00586EDC" w:rsidP="00586EDC">
      <w:pPr>
        <w:tabs>
          <w:tab w:val="left" w:pos="3330"/>
        </w:tabs>
        <w:spacing w:line="480" w:lineRule="auto"/>
        <w:rPr>
          <w:rFonts w:ascii="Arial" w:hAnsi="Arial" w:cs="Arial"/>
          <w:sz w:val="24"/>
          <w:szCs w:val="24"/>
        </w:rPr>
      </w:pPr>
      <w:r>
        <w:rPr>
          <w:rFonts w:ascii="Arial" w:hAnsi="Arial" w:cs="Arial"/>
          <w:sz w:val="24"/>
          <w:szCs w:val="24"/>
        </w:rPr>
        <w:t xml:space="preserve">I would like to thank all my friends and family for the support throughout my university degree. I would like to </w:t>
      </w:r>
      <w:r w:rsidR="00123B1B">
        <w:rPr>
          <w:rFonts w:ascii="Arial" w:hAnsi="Arial" w:cs="Arial"/>
          <w:sz w:val="24"/>
          <w:szCs w:val="24"/>
        </w:rPr>
        <w:t xml:space="preserve">make a personal and heartfelt </w:t>
      </w:r>
      <w:r>
        <w:rPr>
          <w:rFonts w:ascii="Arial" w:hAnsi="Arial" w:cs="Arial"/>
          <w:sz w:val="24"/>
          <w:szCs w:val="24"/>
        </w:rPr>
        <w:t xml:space="preserve">thank </w:t>
      </w:r>
      <w:r w:rsidR="00123B1B">
        <w:rPr>
          <w:rFonts w:ascii="Arial" w:hAnsi="Arial" w:cs="Arial"/>
          <w:sz w:val="24"/>
          <w:szCs w:val="24"/>
        </w:rPr>
        <w:t xml:space="preserve">you to </w:t>
      </w:r>
      <w:r>
        <w:rPr>
          <w:rFonts w:ascii="Arial" w:hAnsi="Arial" w:cs="Arial"/>
          <w:sz w:val="24"/>
          <w:szCs w:val="24"/>
        </w:rPr>
        <w:t xml:space="preserve">my partner for the continued support with the long hours taken to complete my work and </w:t>
      </w:r>
      <w:r w:rsidR="00A36281">
        <w:rPr>
          <w:rFonts w:ascii="Arial" w:hAnsi="Arial" w:cs="Arial"/>
          <w:sz w:val="24"/>
          <w:szCs w:val="24"/>
        </w:rPr>
        <w:t>being</w:t>
      </w:r>
      <w:r>
        <w:rPr>
          <w:rFonts w:ascii="Arial" w:hAnsi="Arial" w:cs="Arial"/>
          <w:sz w:val="24"/>
          <w:szCs w:val="24"/>
        </w:rPr>
        <w:t xml:space="preserve"> understanding of the time it has taken for me to complete</w:t>
      </w:r>
      <w:r w:rsidR="00A36281">
        <w:rPr>
          <w:rFonts w:ascii="Arial" w:hAnsi="Arial" w:cs="Arial"/>
          <w:sz w:val="24"/>
          <w:szCs w:val="24"/>
        </w:rPr>
        <w:t xml:space="preserve"> through my rest days and after work hours</w:t>
      </w:r>
      <w:r w:rsidR="00123B1B">
        <w:rPr>
          <w:rFonts w:ascii="Arial" w:hAnsi="Arial" w:cs="Arial"/>
          <w:sz w:val="24"/>
          <w:szCs w:val="24"/>
        </w:rPr>
        <w:t xml:space="preserve"> often affecting our time together</w:t>
      </w:r>
      <w:r>
        <w:rPr>
          <w:rFonts w:ascii="Arial" w:hAnsi="Arial" w:cs="Arial"/>
          <w:sz w:val="24"/>
          <w:szCs w:val="24"/>
        </w:rPr>
        <w:t>.</w:t>
      </w:r>
    </w:p>
    <w:p w14:paraId="3659F4F2" w14:textId="6C386C79" w:rsidR="00353D49" w:rsidRDefault="000972C7" w:rsidP="00586EDC">
      <w:pPr>
        <w:pStyle w:val="OBETITLE"/>
        <w:outlineLvl w:val="9"/>
      </w:pPr>
      <w:r w:rsidRPr="000972C7">
        <w:lastRenderedPageBreak/>
        <w:t>Should all UK police officers carry firearms? A critical analysis of the implications for Wales and the wider UK</w:t>
      </w:r>
      <w:r w:rsidR="00A36281">
        <w:t>.</w:t>
      </w:r>
    </w:p>
    <w:p w14:paraId="57982512" w14:textId="77777777" w:rsidR="00931780" w:rsidRDefault="00931780" w:rsidP="00737A26">
      <w:pPr>
        <w:pStyle w:val="OBETITLE"/>
        <w:outlineLvl w:val="9"/>
      </w:pPr>
    </w:p>
    <w:p w14:paraId="7599A986" w14:textId="77777777" w:rsidR="00931780" w:rsidRDefault="00931780" w:rsidP="00737A26">
      <w:pPr>
        <w:pStyle w:val="OBETITLE"/>
        <w:outlineLvl w:val="9"/>
        <w:rPr>
          <w:rFonts w:cstheme="majorHAnsi"/>
          <w:color w:val="323E4F" w:themeColor="text2" w:themeShade="BF"/>
          <w:sz w:val="36"/>
          <w:szCs w:val="36"/>
        </w:rPr>
      </w:pPr>
    </w:p>
    <w:p w14:paraId="58D94B7C" w14:textId="40AC8AE9" w:rsidR="0084248F" w:rsidRDefault="00353D49" w:rsidP="00737A26">
      <w:pPr>
        <w:pStyle w:val="OBESubtitle1sttier"/>
      </w:pPr>
      <w:bookmarkStart w:id="0" w:name="_Toc175647939"/>
      <w:r>
        <w:t>Abstract</w:t>
      </w:r>
      <w:bookmarkEnd w:id="0"/>
    </w:p>
    <w:p w14:paraId="0374AB6F" w14:textId="28F48973" w:rsidR="00E1296F" w:rsidRDefault="009357A5" w:rsidP="00F07291">
      <w:pPr>
        <w:pStyle w:val="OBEBody"/>
        <w:rPr>
          <w:shd w:val="clear" w:color="auto" w:fill="FFFFFF"/>
        </w:rPr>
      </w:pPr>
      <w:r w:rsidRPr="009357A5">
        <w:rPr>
          <w:shd w:val="clear" w:color="auto" w:fill="FFFFFF"/>
        </w:rPr>
        <w:t>This dissertation examines the complex question of whether all UK police officers should carry firearms, with a particular focus on the implications for Wales within the broader UK context.</w:t>
      </w:r>
      <w:r w:rsidR="00543656" w:rsidRPr="00543656">
        <w:rPr>
          <w:shd w:val="clear" w:color="auto" w:fill="FFFFFF"/>
        </w:rPr>
        <w:t xml:space="preserve"> The research is based on an extensive review of the literature, using both primary and secondary data. There is an assessment of </w:t>
      </w:r>
      <w:r w:rsidR="008C3CFF">
        <w:rPr>
          <w:shd w:val="clear" w:color="auto" w:fill="FFFFFF"/>
        </w:rPr>
        <w:t xml:space="preserve">the </w:t>
      </w:r>
      <w:r w:rsidR="00543656" w:rsidRPr="00543656">
        <w:rPr>
          <w:shd w:val="clear" w:color="auto" w:fill="FFFFFF"/>
        </w:rPr>
        <w:t xml:space="preserve">historical armament policies of the UK police, a review of the present policy, and an examination of approaches adopted by other countries. Arguments for and against police arming their forces are reviewed, and there is consideration of the </w:t>
      </w:r>
      <w:r w:rsidR="007A1E2D" w:rsidRPr="00543656">
        <w:rPr>
          <w:shd w:val="clear" w:color="auto" w:fill="FFFFFF"/>
        </w:rPr>
        <w:t>effect</w:t>
      </w:r>
      <w:r w:rsidR="00543656" w:rsidRPr="00543656">
        <w:rPr>
          <w:shd w:val="clear" w:color="auto" w:fill="FFFFFF"/>
        </w:rPr>
        <w:t xml:space="preserve"> of terrorism and extremism on what is ‘good’ policing, as well as the assessment </w:t>
      </w:r>
      <w:r w:rsidR="008C3CFF">
        <w:rPr>
          <w:shd w:val="clear" w:color="auto" w:fill="FFFFFF"/>
        </w:rPr>
        <w:t>of</w:t>
      </w:r>
      <w:r w:rsidR="00543656" w:rsidRPr="00543656">
        <w:rPr>
          <w:shd w:val="clear" w:color="auto" w:fill="FFFFFF"/>
        </w:rPr>
        <w:t xml:space="preserve"> the public’s perception and trust in policing. A series of conclusions demonstrate that the ‘traditional British approach to policing</w:t>
      </w:r>
      <w:r w:rsidR="003A662C">
        <w:rPr>
          <w:shd w:val="clear" w:color="auto" w:fill="FFFFFF"/>
        </w:rPr>
        <w:t>,</w:t>
      </w:r>
      <w:r w:rsidR="00543656" w:rsidRPr="00543656">
        <w:rPr>
          <w:shd w:val="clear" w:color="auto" w:fill="FFFFFF"/>
        </w:rPr>
        <w:t xml:space="preserve"> which has</w:t>
      </w:r>
      <w:r w:rsidR="008C3CFF">
        <w:rPr>
          <w:shd w:val="clear" w:color="auto" w:fill="FFFFFF"/>
        </w:rPr>
        <w:t xml:space="preserve"> come</w:t>
      </w:r>
      <w:r w:rsidR="00543656" w:rsidRPr="00543656">
        <w:rPr>
          <w:shd w:val="clear" w:color="auto" w:fill="FFFFFF"/>
        </w:rPr>
        <w:t xml:space="preserve"> under increasing pressure as the nature of the threats faced evolves’. The literature is assessed as raising serious concerns that the cultural implications of introducing police arming would potentially be detrimental to relations between the police and the </w:t>
      </w:r>
      <w:r w:rsidR="006419AB" w:rsidRPr="00543656">
        <w:rPr>
          <w:shd w:val="clear" w:color="auto" w:fill="FFFFFF"/>
        </w:rPr>
        <w:t>community and</w:t>
      </w:r>
      <w:r w:rsidR="00543656" w:rsidRPr="00543656">
        <w:rPr>
          <w:shd w:val="clear" w:color="auto" w:fill="FFFFFF"/>
        </w:rPr>
        <w:t xml:space="preserve"> would undermine the fundamentals of policing by consent. A series of recommendations conclude a thoughtful essay identifying a ‘paucity of research on the Welsh context within the wider debate on policing by firearms in the UK’ and a vocal rationale for what appears to be a residual cultural disposition towards unarmed policing in the UK.</w:t>
      </w:r>
    </w:p>
    <w:p w14:paraId="40EBF032" w14:textId="77777777" w:rsidR="00737A26" w:rsidRDefault="00737A26" w:rsidP="00931780">
      <w:pPr>
        <w:pStyle w:val="OBEBody"/>
        <w:rPr>
          <w:shd w:val="clear" w:color="auto" w:fill="FFFFFF"/>
        </w:rPr>
      </w:pPr>
    </w:p>
    <w:p w14:paraId="2E2FF436" w14:textId="77777777" w:rsidR="00737A26" w:rsidRDefault="00737A26" w:rsidP="00F07291">
      <w:pPr>
        <w:pStyle w:val="OBEBody"/>
        <w:rPr>
          <w:shd w:val="clear" w:color="auto" w:fill="FFFFFF"/>
        </w:rPr>
      </w:pPr>
    </w:p>
    <w:sdt>
      <w:sdtPr>
        <w:rPr>
          <w:rFonts w:asciiTheme="minorHAnsi" w:eastAsiaTheme="minorEastAsia" w:hAnsiTheme="minorHAnsi" w:cstheme="minorBidi"/>
          <w:color w:val="auto"/>
          <w:sz w:val="22"/>
          <w:szCs w:val="22"/>
        </w:rPr>
        <w:id w:val="221485120"/>
        <w:docPartObj>
          <w:docPartGallery w:val="Table of Contents"/>
          <w:docPartUnique/>
        </w:docPartObj>
      </w:sdtPr>
      <w:sdtEndPr>
        <w:rPr>
          <w:b/>
          <w:bCs/>
          <w:noProof/>
        </w:rPr>
      </w:sdtEndPr>
      <w:sdtContent>
        <w:p w14:paraId="13090636" w14:textId="1EB7A74A" w:rsidR="00737A26" w:rsidRDefault="00737A26">
          <w:pPr>
            <w:pStyle w:val="TOCHeading"/>
          </w:pPr>
          <w:r>
            <w:t>Table of Contents</w:t>
          </w:r>
        </w:p>
        <w:p w14:paraId="359F56FC" w14:textId="227B1506" w:rsidR="0069109F" w:rsidRDefault="00737A26">
          <w:pPr>
            <w:pStyle w:val="TOC1"/>
            <w:tabs>
              <w:tab w:val="right" w:leader="dot" w:pos="9016"/>
            </w:tabs>
            <w:rPr>
              <w:rFonts w:cstheme="minorBidi"/>
              <w:b w:val="0"/>
              <w:bCs w:val="0"/>
              <w:i w:val="0"/>
              <w:iCs w:val="0"/>
              <w:noProof/>
              <w:kern w:val="2"/>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175647939" w:history="1">
            <w:r w:rsidR="0069109F" w:rsidRPr="00234D44">
              <w:rPr>
                <w:rStyle w:val="Hyperlink"/>
                <w:noProof/>
              </w:rPr>
              <w:t>Abstract</w:t>
            </w:r>
            <w:r w:rsidR="0069109F">
              <w:rPr>
                <w:noProof/>
                <w:webHidden/>
              </w:rPr>
              <w:tab/>
            </w:r>
            <w:r w:rsidR="0069109F">
              <w:rPr>
                <w:noProof/>
                <w:webHidden/>
              </w:rPr>
              <w:fldChar w:fldCharType="begin"/>
            </w:r>
            <w:r w:rsidR="0069109F">
              <w:rPr>
                <w:noProof/>
                <w:webHidden/>
              </w:rPr>
              <w:instrText xml:space="preserve"> PAGEREF _Toc175647939 \h </w:instrText>
            </w:r>
            <w:r w:rsidR="0069109F">
              <w:rPr>
                <w:noProof/>
                <w:webHidden/>
              </w:rPr>
            </w:r>
            <w:r w:rsidR="0069109F">
              <w:rPr>
                <w:noProof/>
                <w:webHidden/>
              </w:rPr>
              <w:fldChar w:fldCharType="separate"/>
            </w:r>
            <w:r w:rsidR="00586EDC">
              <w:rPr>
                <w:noProof/>
                <w:webHidden/>
              </w:rPr>
              <w:t>4</w:t>
            </w:r>
            <w:r w:rsidR="0069109F">
              <w:rPr>
                <w:noProof/>
                <w:webHidden/>
              </w:rPr>
              <w:fldChar w:fldCharType="end"/>
            </w:r>
          </w:hyperlink>
        </w:p>
        <w:p w14:paraId="3CD8E1C1" w14:textId="10C2E744" w:rsidR="0069109F" w:rsidRDefault="0069109F">
          <w:pPr>
            <w:pStyle w:val="TOC1"/>
            <w:tabs>
              <w:tab w:val="right" w:leader="dot" w:pos="9016"/>
            </w:tabs>
            <w:rPr>
              <w:rFonts w:cstheme="minorBidi"/>
              <w:b w:val="0"/>
              <w:bCs w:val="0"/>
              <w:i w:val="0"/>
              <w:iCs w:val="0"/>
              <w:noProof/>
              <w:kern w:val="2"/>
              <w:lang w:eastAsia="en-GB"/>
              <w14:ligatures w14:val="standardContextual"/>
            </w:rPr>
          </w:pPr>
          <w:hyperlink w:anchor="_Toc175647940" w:history="1">
            <w:r w:rsidRPr="00234D44">
              <w:rPr>
                <w:rStyle w:val="Hyperlink"/>
                <w:noProof/>
              </w:rPr>
              <w:t>Introduction</w:t>
            </w:r>
            <w:r>
              <w:rPr>
                <w:noProof/>
                <w:webHidden/>
              </w:rPr>
              <w:tab/>
            </w:r>
            <w:r>
              <w:rPr>
                <w:noProof/>
                <w:webHidden/>
              </w:rPr>
              <w:fldChar w:fldCharType="begin"/>
            </w:r>
            <w:r>
              <w:rPr>
                <w:noProof/>
                <w:webHidden/>
              </w:rPr>
              <w:instrText xml:space="preserve"> PAGEREF _Toc175647940 \h </w:instrText>
            </w:r>
            <w:r>
              <w:rPr>
                <w:noProof/>
                <w:webHidden/>
              </w:rPr>
            </w:r>
            <w:r>
              <w:rPr>
                <w:noProof/>
                <w:webHidden/>
              </w:rPr>
              <w:fldChar w:fldCharType="separate"/>
            </w:r>
            <w:r w:rsidR="00586EDC">
              <w:rPr>
                <w:noProof/>
                <w:webHidden/>
              </w:rPr>
              <w:t>6</w:t>
            </w:r>
            <w:r>
              <w:rPr>
                <w:noProof/>
                <w:webHidden/>
              </w:rPr>
              <w:fldChar w:fldCharType="end"/>
            </w:r>
          </w:hyperlink>
        </w:p>
        <w:p w14:paraId="67598BA4" w14:textId="3FA67FAF" w:rsidR="0069109F" w:rsidRDefault="0069109F">
          <w:pPr>
            <w:pStyle w:val="TOC1"/>
            <w:tabs>
              <w:tab w:val="right" w:leader="dot" w:pos="9016"/>
            </w:tabs>
            <w:rPr>
              <w:rFonts w:cstheme="minorBidi"/>
              <w:b w:val="0"/>
              <w:bCs w:val="0"/>
              <w:i w:val="0"/>
              <w:iCs w:val="0"/>
              <w:noProof/>
              <w:kern w:val="2"/>
              <w:lang w:eastAsia="en-GB"/>
              <w14:ligatures w14:val="standardContextual"/>
            </w:rPr>
          </w:pPr>
          <w:hyperlink w:anchor="_Toc175647941" w:history="1">
            <w:r w:rsidRPr="00234D44">
              <w:rPr>
                <w:rStyle w:val="Hyperlink"/>
                <w:noProof/>
              </w:rPr>
              <w:t>Literature Review</w:t>
            </w:r>
            <w:r>
              <w:rPr>
                <w:noProof/>
                <w:webHidden/>
              </w:rPr>
              <w:tab/>
            </w:r>
            <w:r>
              <w:rPr>
                <w:noProof/>
                <w:webHidden/>
              </w:rPr>
              <w:fldChar w:fldCharType="begin"/>
            </w:r>
            <w:r>
              <w:rPr>
                <w:noProof/>
                <w:webHidden/>
              </w:rPr>
              <w:instrText xml:space="preserve"> PAGEREF _Toc175647941 \h </w:instrText>
            </w:r>
            <w:r>
              <w:rPr>
                <w:noProof/>
                <w:webHidden/>
              </w:rPr>
            </w:r>
            <w:r>
              <w:rPr>
                <w:noProof/>
                <w:webHidden/>
              </w:rPr>
              <w:fldChar w:fldCharType="separate"/>
            </w:r>
            <w:r w:rsidR="00586EDC">
              <w:rPr>
                <w:noProof/>
                <w:webHidden/>
              </w:rPr>
              <w:t>8</w:t>
            </w:r>
            <w:r>
              <w:rPr>
                <w:noProof/>
                <w:webHidden/>
              </w:rPr>
              <w:fldChar w:fldCharType="end"/>
            </w:r>
          </w:hyperlink>
        </w:p>
        <w:p w14:paraId="714F0D4F" w14:textId="6B38B6B4" w:rsidR="0069109F" w:rsidRDefault="0069109F">
          <w:pPr>
            <w:pStyle w:val="TOC2"/>
            <w:tabs>
              <w:tab w:val="right" w:leader="dot" w:pos="9016"/>
            </w:tabs>
            <w:rPr>
              <w:rFonts w:cstheme="minorBidi"/>
              <w:b w:val="0"/>
              <w:bCs w:val="0"/>
              <w:noProof/>
              <w:kern w:val="2"/>
              <w:sz w:val="24"/>
              <w:szCs w:val="24"/>
              <w:lang w:eastAsia="en-GB"/>
              <w14:ligatures w14:val="standardContextual"/>
            </w:rPr>
          </w:pPr>
          <w:hyperlink w:anchor="_Toc175647942" w:history="1">
            <w:r w:rsidRPr="00234D44">
              <w:rPr>
                <w:rStyle w:val="Hyperlink"/>
                <w:noProof/>
              </w:rPr>
              <w:t>Historical Context of UK Police Armament Policies</w:t>
            </w:r>
            <w:r>
              <w:rPr>
                <w:noProof/>
                <w:webHidden/>
              </w:rPr>
              <w:tab/>
            </w:r>
            <w:r>
              <w:rPr>
                <w:noProof/>
                <w:webHidden/>
              </w:rPr>
              <w:fldChar w:fldCharType="begin"/>
            </w:r>
            <w:r>
              <w:rPr>
                <w:noProof/>
                <w:webHidden/>
              </w:rPr>
              <w:instrText xml:space="preserve"> PAGEREF _Toc175647942 \h </w:instrText>
            </w:r>
            <w:r>
              <w:rPr>
                <w:noProof/>
                <w:webHidden/>
              </w:rPr>
            </w:r>
            <w:r>
              <w:rPr>
                <w:noProof/>
                <w:webHidden/>
              </w:rPr>
              <w:fldChar w:fldCharType="separate"/>
            </w:r>
            <w:r w:rsidR="00586EDC">
              <w:rPr>
                <w:noProof/>
                <w:webHidden/>
              </w:rPr>
              <w:t>8</w:t>
            </w:r>
            <w:r>
              <w:rPr>
                <w:noProof/>
                <w:webHidden/>
              </w:rPr>
              <w:fldChar w:fldCharType="end"/>
            </w:r>
          </w:hyperlink>
        </w:p>
        <w:p w14:paraId="00BE7DC6" w14:textId="3E140485" w:rsidR="0069109F" w:rsidRDefault="0069109F">
          <w:pPr>
            <w:pStyle w:val="TOC2"/>
            <w:tabs>
              <w:tab w:val="right" w:leader="dot" w:pos="9016"/>
            </w:tabs>
            <w:rPr>
              <w:rFonts w:cstheme="minorBidi"/>
              <w:b w:val="0"/>
              <w:bCs w:val="0"/>
              <w:noProof/>
              <w:kern w:val="2"/>
              <w:sz w:val="24"/>
              <w:szCs w:val="24"/>
              <w:lang w:eastAsia="en-GB"/>
              <w14:ligatures w14:val="standardContextual"/>
            </w:rPr>
          </w:pPr>
          <w:hyperlink w:anchor="_Toc175647943" w:history="1">
            <w:r w:rsidRPr="00234D44">
              <w:rPr>
                <w:rStyle w:val="Hyperlink"/>
                <w:noProof/>
              </w:rPr>
              <w:t>Current Policies and Practices in the UK</w:t>
            </w:r>
            <w:r>
              <w:rPr>
                <w:noProof/>
                <w:webHidden/>
              </w:rPr>
              <w:tab/>
            </w:r>
            <w:r>
              <w:rPr>
                <w:noProof/>
                <w:webHidden/>
              </w:rPr>
              <w:fldChar w:fldCharType="begin"/>
            </w:r>
            <w:r>
              <w:rPr>
                <w:noProof/>
                <w:webHidden/>
              </w:rPr>
              <w:instrText xml:space="preserve"> PAGEREF _Toc175647943 \h </w:instrText>
            </w:r>
            <w:r>
              <w:rPr>
                <w:noProof/>
                <w:webHidden/>
              </w:rPr>
            </w:r>
            <w:r>
              <w:rPr>
                <w:noProof/>
                <w:webHidden/>
              </w:rPr>
              <w:fldChar w:fldCharType="separate"/>
            </w:r>
            <w:r w:rsidR="00586EDC">
              <w:rPr>
                <w:noProof/>
                <w:webHidden/>
              </w:rPr>
              <w:t>9</w:t>
            </w:r>
            <w:r>
              <w:rPr>
                <w:noProof/>
                <w:webHidden/>
              </w:rPr>
              <w:fldChar w:fldCharType="end"/>
            </w:r>
          </w:hyperlink>
        </w:p>
        <w:p w14:paraId="26EBC1F7" w14:textId="53E3A160" w:rsidR="0069109F" w:rsidRDefault="0069109F">
          <w:pPr>
            <w:pStyle w:val="TOC2"/>
            <w:tabs>
              <w:tab w:val="right" w:leader="dot" w:pos="9016"/>
            </w:tabs>
            <w:rPr>
              <w:rFonts w:cstheme="minorBidi"/>
              <w:b w:val="0"/>
              <w:bCs w:val="0"/>
              <w:noProof/>
              <w:kern w:val="2"/>
              <w:sz w:val="24"/>
              <w:szCs w:val="24"/>
              <w:lang w:eastAsia="en-GB"/>
              <w14:ligatures w14:val="standardContextual"/>
            </w:rPr>
          </w:pPr>
          <w:hyperlink w:anchor="_Toc175647944" w:history="1">
            <w:r w:rsidRPr="00234D44">
              <w:rPr>
                <w:rStyle w:val="Hyperlink"/>
                <w:noProof/>
              </w:rPr>
              <w:t>Comparative Analysis of Literature on Other Countries' Approaches</w:t>
            </w:r>
            <w:r>
              <w:rPr>
                <w:noProof/>
                <w:webHidden/>
              </w:rPr>
              <w:tab/>
            </w:r>
            <w:r>
              <w:rPr>
                <w:noProof/>
                <w:webHidden/>
              </w:rPr>
              <w:fldChar w:fldCharType="begin"/>
            </w:r>
            <w:r>
              <w:rPr>
                <w:noProof/>
                <w:webHidden/>
              </w:rPr>
              <w:instrText xml:space="preserve"> PAGEREF _Toc175647944 \h </w:instrText>
            </w:r>
            <w:r>
              <w:rPr>
                <w:noProof/>
                <w:webHidden/>
              </w:rPr>
            </w:r>
            <w:r>
              <w:rPr>
                <w:noProof/>
                <w:webHidden/>
              </w:rPr>
              <w:fldChar w:fldCharType="separate"/>
            </w:r>
            <w:r w:rsidR="00586EDC">
              <w:rPr>
                <w:noProof/>
                <w:webHidden/>
              </w:rPr>
              <w:t>11</w:t>
            </w:r>
            <w:r>
              <w:rPr>
                <w:noProof/>
                <w:webHidden/>
              </w:rPr>
              <w:fldChar w:fldCharType="end"/>
            </w:r>
          </w:hyperlink>
        </w:p>
        <w:p w14:paraId="3D7CDA94" w14:textId="0B2F2046" w:rsidR="0069109F" w:rsidRDefault="0069109F">
          <w:pPr>
            <w:pStyle w:val="TOC2"/>
            <w:tabs>
              <w:tab w:val="right" w:leader="dot" w:pos="9016"/>
            </w:tabs>
            <w:rPr>
              <w:rFonts w:cstheme="minorBidi"/>
              <w:b w:val="0"/>
              <w:bCs w:val="0"/>
              <w:noProof/>
              <w:kern w:val="2"/>
              <w:sz w:val="24"/>
              <w:szCs w:val="24"/>
              <w:lang w:eastAsia="en-GB"/>
              <w14:ligatures w14:val="standardContextual"/>
            </w:rPr>
          </w:pPr>
          <w:hyperlink w:anchor="_Toc175647945" w:history="1">
            <w:r w:rsidRPr="00234D44">
              <w:rPr>
                <w:rStyle w:val="Hyperlink"/>
                <w:noProof/>
              </w:rPr>
              <w:t>Synthesis of Arguments For and Against Arming All Police Officers</w:t>
            </w:r>
            <w:r>
              <w:rPr>
                <w:noProof/>
                <w:webHidden/>
              </w:rPr>
              <w:tab/>
            </w:r>
            <w:r>
              <w:rPr>
                <w:noProof/>
                <w:webHidden/>
              </w:rPr>
              <w:fldChar w:fldCharType="begin"/>
            </w:r>
            <w:r>
              <w:rPr>
                <w:noProof/>
                <w:webHidden/>
              </w:rPr>
              <w:instrText xml:space="preserve"> PAGEREF _Toc175647945 \h </w:instrText>
            </w:r>
            <w:r>
              <w:rPr>
                <w:noProof/>
                <w:webHidden/>
              </w:rPr>
            </w:r>
            <w:r>
              <w:rPr>
                <w:noProof/>
                <w:webHidden/>
              </w:rPr>
              <w:fldChar w:fldCharType="separate"/>
            </w:r>
            <w:r w:rsidR="00586EDC">
              <w:rPr>
                <w:noProof/>
                <w:webHidden/>
              </w:rPr>
              <w:t>12</w:t>
            </w:r>
            <w:r>
              <w:rPr>
                <w:noProof/>
                <w:webHidden/>
              </w:rPr>
              <w:fldChar w:fldCharType="end"/>
            </w:r>
          </w:hyperlink>
        </w:p>
        <w:p w14:paraId="79DA276E" w14:textId="581C91C7" w:rsidR="0069109F" w:rsidRDefault="0069109F">
          <w:pPr>
            <w:pStyle w:val="TOC2"/>
            <w:tabs>
              <w:tab w:val="right" w:leader="dot" w:pos="9016"/>
            </w:tabs>
            <w:rPr>
              <w:rFonts w:cstheme="minorBidi"/>
              <w:b w:val="0"/>
              <w:bCs w:val="0"/>
              <w:noProof/>
              <w:kern w:val="2"/>
              <w:sz w:val="24"/>
              <w:szCs w:val="24"/>
              <w:lang w:eastAsia="en-GB"/>
              <w14:ligatures w14:val="standardContextual"/>
            </w:rPr>
          </w:pPr>
          <w:hyperlink w:anchor="_Toc175647946" w:history="1">
            <w:r w:rsidRPr="00234D44">
              <w:rPr>
                <w:rStyle w:val="Hyperlink"/>
                <w:noProof/>
              </w:rPr>
              <w:t>Impact of Terrorism and Extremism on Policing</w:t>
            </w:r>
            <w:r>
              <w:rPr>
                <w:noProof/>
                <w:webHidden/>
              </w:rPr>
              <w:tab/>
            </w:r>
            <w:r>
              <w:rPr>
                <w:noProof/>
                <w:webHidden/>
              </w:rPr>
              <w:fldChar w:fldCharType="begin"/>
            </w:r>
            <w:r>
              <w:rPr>
                <w:noProof/>
                <w:webHidden/>
              </w:rPr>
              <w:instrText xml:space="preserve"> PAGEREF _Toc175647946 \h </w:instrText>
            </w:r>
            <w:r>
              <w:rPr>
                <w:noProof/>
                <w:webHidden/>
              </w:rPr>
            </w:r>
            <w:r>
              <w:rPr>
                <w:noProof/>
                <w:webHidden/>
              </w:rPr>
              <w:fldChar w:fldCharType="separate"/>
            </w:r>
            <w:r w:rsidR="00586EDC">
              <w:rPr>
                <w:noProof/>
                <w:webHidden/>
              </w:rPr>
              <w:t>14</w:t>
            </w:r>
            <w:r>
              <w:rPr>
                <w:noProof/>
                <w:webHidden/>
              </w:rPr>
              <w:fldChar w:fldCharType="end"/>
            </w:r>
          </w:hyperlink>
        </w:p>
        <w:p w14:paraId="4127B061" w14:textId="44E86FC3" w:rsidR="0069109F" w:rsidRDefault="0069109F">
          <w:pPr>
            <w:pStyle w:val="TOC2"/>
            <w:tabs>
              <w:tab w:val="right" w:leader="dot" w:pos="9016"/>
            </w:tabs>
            <w:rPr>
              <w:rFonts w:cstheme="minorBidi"/>
              <w:b w:val="0"/>
              <w:bCs w:val="0"/>
              <w:noProof/>
              <w:kern w:val="2"/>
              <w:sz w:val="24"/>
              <w:szCs w:val="24"/>
              <w:lang w:eastAsia="en-GB"/>
              <w14:ligatures w14:val="standardContextual"/>
            </w:rPr>
          </w:pPr>
          <w:hyperlink w:anchor="_Toc175647947" w:history="1">
            <w:r w:rsidRPr="00234D44">
              <w:rPr>
                <w:rStyle w:val="Hyperlink"/>
                <w:noProof/>
              </w:rPr>
              <w:t>Public Perception and Trust in Police</w:t>
            </w:r>
            <w:r>
              <w:rPr>
                <w:noProof/>
                <w:webHidden/>
              </w:rPr>
              <w:tab/>
            </w:r>
            <w:r>
              <w:rPr>
                <w:noProof/>
                <w:webHidden/>
              </w:rPr>
              <w:fldChar w:fldCharType="begin"/>
            </w:r>
            <w:r>
              <w:rPr>
                <w:noProof/>
                <w:webHidden/>
              </w:rPr>
              <w:instrText xml:space="preserve"> PAGEREF _Toc175647947 \h </w:instrText>
            </w:r>
            <w:r>
              <w:rPr>
                <w:noProof/>
                <w:webHidden/>
              </w:rPr>
            </w:r>
            <w:r>
              <w:rPr>
                <w:noProof/>
                <w:webHidden/>
              </w:rPr>
              <w:fldChar w:fldCharType="separate"/>
            </w:r>
            <w:r w:rsidR="00586EDC">
              <w:rPr>
                <w:noProof/>
                <w:webHidden/>
              </w:rPr>
              <w:t>15</w:t>
            </w:r>
            <w:r>
              <w:rPr>
                <w:noProof/>
                <w:webHidden/>
              </w:rPr>
              <w:fldChar w:fldCharType="end"/>
            </w:r>
          </w:hyperlink>
        </w:p>
        <w:p w14:paraId="2AA65806" w14:textId="3F598131" w:rsidR="0069109F" w:rsidRDefault="0069109F">
          <w:pPr>
            <w:pStyle w:val="TOC1"/>
            <w:tabs>
              <w:tab w:val="right" w:leader="dot" w:pos="9016"/>
            </w:tabs>
            <w:rPr>
              <w:rFonts w:cstheme="minorBidi"/>
              <w:b w:val="0"/>
              <w:bCs w:val="0"/>
              <w:i w:val="0"/>
              <w:iCs w:val="0"/>
              <w:noProof/>
              <w:kern w:val="2"/>
              <w:lang w:eastAsia="en-GB"/>
              <w14:ligatures w14:val="standardContextual"/>
            </w:rPr>
          </w:pPr>
          <w:hyperlink w:anchor="_Toc175647948" w:history="1">
            <w:r w:rsidRPr="00234D44">
              <w:rPr>
                <w:rStyle w:val="Hyperlink"/>
                <w:noProof/>
              </w:rPr>
              <w:t>Methodology</w:t>
            </w:r>
            <w:r>
              <w:rPr>
                <w:noProof/>
                <w:webHidden/>
              </w:rPr>
              <w:tab/>
            </w:r>
            <w:r>
              <w:rPr>
                <w:noProof/>
                <w:webHidden/>
              </w:rPr>
              <w:fldChar w:fldCharType="begin"/>
            </w:r>
            <w:r>
              <w:rPr>
                <w:noProof/>
                <w:webHidden/>
              </w:rPr>
              <w:instrText xml:space="preserve"> PAGEREF _Toc175647948 \h </w:instrText>
            </w:r>
            <w:r>
              <w:rPr>
                <w:noProof/>
                <w:webHidden/>
              </w:rPr>
            </w:r>
            <w:r>
              <w:rPr>
                <w:noProof/>
                <w:webHidden/>
              </w:rPr>
              <w:fldChar w:fldCharType="separate"/>
            </w:r>
            <w:r w:rsidR="00586EDC">
              <w:rPr>
                <w:noProof/>
                <w:webHidden/>
              </w:rPr>
              <w:t>17</w:t>
            </w:r>
            <w:r>
              <w:rPr>
                <w:noProof/>
                <w:webHidden/>
              </w:rPr>
              <w:fldChar w:fldCharType="end"/>
            </w:r>
          </w:hyperlink>
        </w:p>
        <w:p w14:paraId="4A8BAF67" w14:textId="001F4872" w:rsidR="0069109F" w:rsidRDefault="0069109F">
          <w:pPr>
            <w:pStyle w:val="TOC2"/>
            <w:tabs>
              <w:tab w:val="right" w:leader="dot" w:pos="9016"/>
            </w:tabs>
            <w:rPr>
              <w:rFonts w:cstheme="minorBidi"/>
              <w:b w:val="0"/>
              <w:bCs w:val="0"/>
              <w:noProof/>
              <w:kern w:val="2"/>
              <w:sz w:val="24"/>
              <w:szCs w:val="24"/>
              <w:lang w:eastAsia="en-GB"/>
              <w14:ligatures w14:val="standardContextual"/>
            </w:rPr>
          </w:pPr>
          <w:hyperlink w:anchor="_Toc175647949" w:history="1">
            <w:r w:rsidRPr="00234D44">
              <w:rPr>
                <w:rStyle w:val="Hyperlink"/>
                <w:noProof/>
              </w:rPr>
              <w:t>Literature Review Approach</w:t>
            </w:r>
            <w:r>
              <w:rPr>
                <w:noProof/>
                <w:webHidden/>
              </w:rPr>
              <w:tab/>
            </w:r>
            <w:r>
              <w:rPr>
                <w:noProof/>
                <w:webHidden/>
              </w:rPr>
              <w:fldChar w:fldCharType="begin"/>
            </w:r>
            <w:r>
              <w:rPr>
                <w:noProof/>
                <w:webHidden/>
              </w:rPr>
              <w:instrText xml:space="preserve"> PAGEREF _Toc175647949 \h </w:instrText>
            </w:r>
            <w:r>
              <w:rPr>
                <w:noProof/>
                <w:webHidden/>
              </w:rPr>
            </w:r>
            <w:r>
              <w:rPr>
                <w:noProof/>
                <w:webHidden/>
              </w:rPr>
              <w:fldChar w:fldCharType="separate"/>
            </w:r>
            <w:r w:rsidR="00586EDC">
              <w:rPr>
                <w:noProof/>
                <w:webHidden/>
              </w:rPr>
              <w:t>17</w:t>
            </w:r>
            <w:r>
              <w:rPr>
                <w:noProof/>
                <w:webHidden/>
              </w:rPr>
              <w:fldChar w:fldCharType="end"/>
            </w:r>
          </w:hyperlink>
        </w:p>
        <w:p w14:paraId="6BD4D85C" w14:textId="4917B01F" w:rsidR="0069109F" w:rsidRDefault="0069109F">
          <w:pPr>
            <w:pStyle w:val="TOC2"/>
            <w:tabs>
              <w:tab w:val="right" w:leader="dot" w:pos="9016"/>
            </w:tabs>
            <w:rPr>
              <w:rFonts w:cstheme="minorBidi"/>
              <w:b w:val="0"/>
              <w:bCs w:val="0"/>
              <w:noProof/>
              <w:kern w:val="2"/>
              <w:sz w:val="24"/>
              <w:szCs w:val="24"/>
              <w:lang w:eastAsia="en-GB"/>
              <w14:ligatures w14:val="standardContextual"/>
            </w:rPr>
          </w:pPr>
          <w:hyperlink w:anchor="_Toc175647950" w:history="1">
            <w:r w:rsidRPr="00234D44">
              <w:rPr>
                <w:rStyle w:val="Hyperlink"/>
                <w:noProof/>
              </w:rPr>
              <w:t>Secondary Data Analysis</w:t>
            </w:r>
            <w:r>
              <w:rPr>
                <w:noProof/>
                <w:webHidden/>
              </w:rPr>
              <w:tab/>
            </w:r>
            <w:r>
              <w:rPr>
                <w:noProof/>
                <w:webHidden/>
              </w:rPr>
              <w:fldChar w:fldCharType="begin"/>
            </w:r>
            <w:r>
              <w:rPr>
                <w:noProof/>
                <w:webHidden/>
              </w:rPr>
              <w:instrText xml:space="preserve"> PAGEREF _Toc175647950 \h </w:instrText>
            </w:r>
            <w:r>
              <w:rPr>
                <w:noProof/>
                <w:webHidden/>
              </w:rPr>
            </w:r>
            <w:r>
              <w:rPr>
                <w:noProof/>
                <w:webHidden/>
              </w:rPr>
              <w:fldChar w:fldCharType="separate"/>
            </w:r>
            <w:r w:rsidR="00586EDC">
              <w:rPr>
                <w:noProof/>
                <w:webHidden/>
              </w:rPr>
              <w:t>17</w:t>
            </w:r>
            <w:r>
              <w:rPr>
                <w:noProof/>
                <w:webHidden/>
              </w:rPr>
              <w:fldChar w:fldCharType="end"/>
            </w:r>
          </w:hyperlink>
        </w:p>
        <w:p w14:paraId="5F7D285F" w14:textId="3BF1318C" w:rsidR="0069109F" w:rsidRDefault="0069109F">
          <w:pPr>
            <w:pStyle w:val="TOC2"/>
            <w:tabs>
              <w:tab w:val="right" w:leader="dot" w:pos="9016"/>
            </w:tabs>
            <w:rPr>
              <w:rFonts w:cstheme="minorBidi"/>
              <w:b w:val="0"/>
              <w:bCs w:val="0"/>
              <w:noProof/>
              <w:kern w:val="2"/>
              <w:sz w:val="24"/>
              <w:szCs w:val="24"/>
              <w:lang w:eastAsia="en-GB"/>
              <w14:ligatures w14:val="standardContextual"/>
            </w:rPr>
          </w:pPr>
          <w:hyperlink w:anchor="_Toc175647951" w:history="1">
            <w:r w:rsidRPr="00234D44">
              <w:rPr>
                <w:rStyle w:val="Hyperlink"/>
                <w:noProof/>
              </w:rPr>
              <w:t>Search Strategy</w:t>
            </w:r>
            <w:r>
              <w:rPr>
                <w:noProof/>
                <w:webHidden/>
              </w:rPr>
              <w:tab/>
            </w:r>
            <w:r>
              <w:rPr>
                <w:noProof/>
                <w:webHidden/>
              </w:rPr>
              <w:fldChar w:fldCharType="begin"/>
            </w:r>
            <w:r>
              <w:rPr>
                <w:noProof/>
                <w:webHidden/>
              </w:rPr>
              <w:instrText xml:space="preserve"> PAGEREF _Toc175647951 \h </w:instrText>
            </w:r>
            <w:r>
              <w:rPr>
                <w:noProof/>
                <w:webHidden/>
              </w:rPr>
            </w:r>
            <w:r>
              <w:rPr>
                <w:noProof/>
                <w:webHidden/>
              </w:rPr>
              <w:fldChar w:fldCharType="separate"/>
            </w:r>
            <w:r w:rsidR="00586EDC">
              <w:rPr>
                <w:noProof/>
                <w:webHidden/>
              </w:rPr>
              <w:t>18</w:t>
            </w:r>
            <w:r>
              <w:rPr>
                <w:noProof/>
                <w:webHidden/>
              </w:rPr>
              <w:fldChar w:fldCharType="end"/>
            </w:r>
          </w:hyperlink>
        </w:p>
        <w:p w14:paraId="5F82B461" w14:textId="2A093DA3" w:rsidR="0069109F" w:rsidRDefault="0069109F">
          <w:pPr>
            <w:pStyle w:val="TOC2"/>
            <w:tabs>
              <w:tab w:val="right" w:leader="dot" w:pos="9016"/>
            </w:tabs>
            <w:rPr>
              <w:rFonts w:cstheme="minorBidi"/>
              <w:b w:val="0"/>
              <w:bCs w:val="0"/>
              <w:noProof/>
              <w:kern w:val="2"/>
              <w:sz w:val="24"/>
              <w:szCs w:val="24"/>
              <w:lang w:eastAsia="en-GB"/>
              <w14:ligatures w14:val="standardContextual"/>
            </w:rPr>
          </w:pPr>
          <w:hyperlink w:anchor="_Toc175647952" w:history="1">
            <w:r w:rsidRPr="00234D44">
              <w:rPr>
                <w:rStyle w:val="Hyperlink"/>
                <w:noProof/>
              </w:rPr>
              <w:t>Inclusion/Exclusion Criteria</w:t>
            </w:r>
            <w:r>
              <w:rPr>
                <w:noProof/>
                <w:webHidden/>
              </w:rPr>
              <w:tab/>
            </w:r>
            <w:r>
              <w:rPr>
                <w:noProof/>
                <w:webHidden/>
              </w:rPr>
              <w:fldChar w:fldCharType="begin"/>
            </w:r>
            <w:r>
              <w:rPr>
                <w:noProof/>
                <w:webHidden/>
              </w:rPr>
              <w:instrText xml:space="preserve"> PAGEREF _Toc175647952 \h </w:instrText>
            </w:r>
            <w:r>
              <w:rPr>
                <w:noProof/>
                <w:webHidden/>
              </w:rPr>
            </w:r>
            <w:r>
              <w:rPr>
                <w:noProof/>
                <w:webHidden/>
              </w:rPr>
              <w:fldChar w:fldCharType="separate"/>
            </w:r>
            <w:r w:rsidR="00586EDC">
              <w:rPr>
                <w:noProof/>
                <w:webHidden/>
              </w:rPr>
              <w:t>18</w:t>
            </w:r>
            <w:r>
              <w:rPr>
                <w:noProof/>
                <w:webHidden/>
              </w:rPr>
              <w:fldChar w:fldCharType="end"/>
            </w:r>
          </w:hyperlink>
        </w:p>
        <w:p w14:paraId="344ECE59" w14:textId="51C7904C" w:rsidR="0069109F" w:rsidRDefault="0069109F">
          <w:pPr>
            <w:pStyle w:val="TOC2"/>
            <w:tabs>
              <w:tab w:val="right" w:leader="dot" w:pos="9016"/>
            </w:tabs>
            <w:rPr>
              <w:rFonts w:cstheme="minorBidi"/>
              <w:b w:val="0"/>
              <w:bCs w:val="0"/>
              <w:noProof/>
              <w:kern w:val="2"/>
              <w:sz w:val="24"/>
              <w:szCs w:val="24"/>
              <w:lang w:eastAsia="en-GB"/>
              <w14:ligatures w14:val="standardContextual"/>
            </w:rPr>
          </w:pPr>
          <w:hyperlink w:anchor="_Toc175647953" w:history="1">
            <w:r w:rsidRPr="00234D44">
              <w:rPr>
                <w:rStyle w:val="Hyperlink"/>
                <w:noProof/>
              </w:rPr>
              <w:t>Limitations</w:t>
            </w:r>
            <w:r>
              <w:rPr>
                <w:noProof/>
                <w:webHidden/>
              </w:rPr>
              <w:tab/>
            </w:r>
            <w:r>
              <w:rPr>
                <w:noProof/>
                <w:webHidden/>
              </w:rPr>
              <w:fldChar w:fldCharType="begin"/>
            </w:r>
            <w:r>
              <w:rPr>
                <w:noProof/>
                <w:webHidden/>
              </w:rPr>
              <w:instrText xml:space="preserve"> PAGEREF _Toc175647953 \h </w:instrText>
            </w:r>
            <w:r>
              <w:rPr>
                <w:noProof/>
                <w:webHidden/>
              </w:rPr>
            </w:r>
            <w:r>
              <w:rPr>
                <w:noProof/>
                <w:webHidden/>
              </w:rPr>
              <w:fldChar w:fldCharType="separate"/>
            </w:r>
            <w:r w:rsidR="00586EDC">
              <w:rPr>
                <w:noProof/>
                <w:webHidden/>
              </w:rPr>
              <w:t>18</w:t>
            </w:r>
            <w:r>
              <w:rPr>
                <w:noProof/>
                <w:webHidden/>
              </w:rPr>
              <w:fldChar w:fldCharType="end"/>
            </w:r>
          </w:hyperlink>
        </w:p>
        <w:p w14:paraId="4E4EEF64" w14:textId="09A0A7EF" w:rsidR="0069109F" w:rsidRDefault="0069109F">
          <w:pPr>
            <w:pStyle w:val="TOC2"/>
            <w:tabs>
              <w:tab w:val="right" w:leader="dot" w:pos="9016"/>
            </w:tabs>
            <w:rPr>
              <w:rFonts w:cstheme="minorBidi"/>
              <w:b w:val="0"/>
              <w:bCs w:val="0"/>
              <w:noProof/>
              <w:kern w:val="2"/>
              <w:sz w:val="24"/>
              <w:szCs w:val="24"/>
              <w:lang w:eastAsia="en-GB"/>
              <w14:ligatures w14:val="standardContextual"/>
            </w:rPr>
          </w:pPr>
          <w:hyperlink w:anchor="_Toc175647954" w:history="1">
            <w:r w:rsidRPr="00234D44">
              <w:rPr>
                <w:rStyle w:val="Hyperlink"/>
                <w:noProof/>
              </w:rPr>
              <w:t>Ethical Considerations</w:t>
            </w:r>
            <w:r>
              <w:rPr>
                <w:noProof/>
                <w:webHidden/>
              </w:rPr>
              <w:tab/>
            </w:r>
            <w:r>
              <w:rPr>
                <w:noProof/>
                <w:webHidden/>
              </w:rPr>
              <w:fldChar w:fldCharType="begin"/>
            </w:r>
            <w:r>
              <w:rPr>
                <w:noProof/>
                <w:webHidden/>
              </w:rPr>
              <w:instrText xml:space="preserve"> PAGEREF _Toc175647954 \h </w:instrText>
            </w:r>
            <w:r>
              <w:rPr>
                <w:noProof/>
                <w:webHidden/>
              </w:rPr>
            </w:r>
            <w:r>
              <w:rPr>
                <w:noProof/>
                <w:webHidden/>
              </w:rPr>
              <w:fldChar w:fldCharType="separate"/>
            </w:r>
            <w:r w:rsidR="00586EDC">
              <w:rPr>
                <w:noProof/>
                <w:webHidden/>
              </w:rPr>
              <w:t>18</w:t>
            </w:r>
            <w:r>
              <w:rPr>
                <w:noProof/>
                <w:webHidden/>
              </w:rPr>
              <w:fldChar w:fldCharType="end"/>
            </w:r>
          </w:hyperlink>
        </w:p>
        <w:p w14:paraId="4542BEF9" w14:textId="70AD8670" w:rsidR="0069109F" w:rsidRDefault="0069109F">
          <w:pPr>
            <w:pStyle w:val="TOC2"/>
            <w:tabs>
              <w:tab w:val="right" w:leader="dot" w:pos="9016"/>
            </w:tabs>
            <w:rPr>
              <w:rFonts w:cstheme="minorBidi"/>
              <w:b w:val="0"/>
              <w:bCs w:val="0"/>
              <w:noProof/>
              <w:kern w:val="2"/>
              <w:sz w:val="24"/>
              <w:szCs w:val="24"/>
              <w:lang w:eastAsia="en-GB"/>
              <w14:ligatures w14:val="standardContextual"/>
            </w:rPr>
          </w:pPr>
          <w:hyperlink w:anchor="_Toc175647955" w:history="1">
            <w:r w:rsidRPr="00234D44">
              <w:rPr>
                <w:rStyle w:val="Hyperlink"/>
                <w:noProof/>
              </w:rPr>
              <w:t>Limitations of the Chosen Methodology</w:t>
            </w:r>
            <w:r>
              <w:rPr>
                <w:noProof/>
                <w:webHidden/>
              </w:rPr>
              <w:tab/>
            </w:r>
            <w:r>
              <w:rPr>
                <w:noProof/>
                <w:webHidden/>
              </w:rPr>
              <w:fldChar w:fldCharType="begin"/>
            </w:r>
            <w:r>
              <w:rPr>
                <w:noProof/>
                <w:webHidden/>
              </w:rPr>
              <w:instrText xml:space="preserve"> PAGEREF _Toc175647955 \h </w:instrText>
            </w:r>
            <w:r>
              <w:rPr>
                <w:noProof/>
                <w:webHidden/>
              </w:rPr>
            </w:r>
            <w:r>
              <w:rPr>
                <w:noProof/>
                <w:webHidden/>
              </w:rPr>
              <w:fldChar w:fldCharType="separate"/>
            </w:r>
            <w:r w:rsidR="00586EDC">
              <w:rPr>
                <w:noProof/>
                <w:webHidden/>
              </w:rPr>
              <w:t>19</w:t>
            </w:r>
            <w:r>
              <w:rPr>
                <w:noProof/>
                <w:webHidden/>
              </w:rPr>
              <w:fldChar w:fldCharType="end"/>
            </w:r>
          </w:hyperlink>
        </w:p>
        <w:p w14:paraId="2CA522A9" w14:textId="6D786A9C" w:rsidR="0069109F" w:rsidRDefault="0069109F">
          <w:pPr>
            <w:pStyle w:val="TOC1"/>
            <w:tabs>
              <w:tab w:val="right" w:leader="dot" w:pos="9016"/>
            </w:tabs>
            <w:rPr>
              <w:rFonts w:cstheme="minorBidi"/>
              <w:b w:val="0"/>
              <w:bCs w:val="0"/>
              <w:i w:val="0"/>
              <w:iCs w:val="0"/>
              <w:noProof/>
              <w:kern w:val="2"/>
              <w:lang w:eastAsia="en-GB"/>
              <w14:ligatures w14:val="standardContextual"/>
            </w:rPr>
          </w:pPr>
          <w:hyperlink w:anchor="_Toc175647956" w:history="1">
            <w:r w:rsidRPr="00234D44">
              <w:rPr>
                <w:rStyle w:val="Hyperlink"/>
                <w:noProof/>
              </w:rPr>
              <w:t>Data Analysis and Findings</w:t>
            </w:r>
            <w:r>
              <w:rPr>
                <w:noProof/>
                <w:webHidden/>
              </w:rPr>
              <w:tab/>
            </w:r>
            <w:r>
              <w:rPr>
                <w:noProof/>
                <w:webHidden/>
              </w:rPr>
              <w:fldChar w:fldCharType="begin"/>
            </w:r>
            <w:r>
              <w:rPr>
                <w:noProof/>
                <w:webHidden/>
              </w:rPr>
              <w:instrText xml:space="preserve"> PAGEREF _Toc175647956 \h </w:instrText>
            </w:r>
            <w:r>
              <w:rPr>
                <w:noProof/>
                <w:webHidden/>
              </w:rPr>
            </w:r>
            <w:r>
              <w:rPr>
                <w:noProof/>
                <w:webHidden/>
              </w:rPr>
              <w:fldChar w:fldCharType="separate"/>
            </w:r>
            <w:r w:rsidR="00586EDC">
              <w:rPr>
                <w:noProof/>
                <w:webHidden/>
              </w:rPr>
              <w:t>19</w:t>
            </w:r>
            <w:r>
              <w:rPr>
                <w:noProof/>
                <w:webHidden/>
              </w:rPr>
              <w:fldChar w:fldCharType="end"/>
            </w:r>
          </w:hyperlink>
        </w:p>
        <w:p w14:paraId="562F7CD1" w14:textId="4A843EF3" w:rsidR="0069109F" w:rsidRDefault="0069109F">
          <w:pPr>
            <w:pStyle w:val="TOC2"/>
            <w:tabs>
              <w:tab w:val="right" w:leader="dot" w:pos="9016"/>
            </w:tabs>
            <w:rPr>
              <w:rFonts w:cstheme="minorBidi"/>
              <w:b w:val="0"/>
              <w:bCs w:val="0"/>
              <w:noProof/>
              <w:kern w:val="2"/>
              <w:sz w:val="24"/>
              <w:szCs w:val="24"/>
              <w:lang w:eastAsia="en-GB"/>
              <w14:ligatures w14:val="standardContextual"/>
            </w:rPr>
          </w:pPr>
          <w:hyperlink w:anchor="_Toc175647957" w:history="1">
            <w:r w:rsidRPr="00234D44">
              <w:rPr>
                <w:rStyle w:val="Hyperlink"/>
                <w:noProof/>
              </w:rPr>
              <w:t>Synthesis of Key Themes from the Literature</w:t>
            </w:r>
            <w:r>
              <w:rPr>
                <w:noProof/>
                <w:webHidden/>
              </w:rPr>
              <w:tab/>
            </w:r>
            <w:r>
              <w:rPr>
                <w:noProof/>
                <w:webHidden/>
              </w:rPr>
              <w:fldChar w:fldCharType="begin"/>
            </w:r>
            <w:r>
              <w:rPr>
                <w:noProof/>
                <w:webHidden/>
              </w:rPr>
              <w:instrText xml:space="preserve"> PAGEREF _Toc175647957 \h </w:instrText>
            </w:r>
            <w:r>
              <w:rPr>
                <w:noProof/>
                <w:webHidden/>
              </w:rPr>
            </w:r>
            <w:r>
              <w:rPr>
                <w:noProof/>
                <w:webHidden/>
              </w:rPr>
              <w:fldChar w:fldCharType="separate"/>
            </w:r>
            <w:r w:rsidR="00586EDC">
              <w:rPr>
                <w:noProof/>
                <w:webHidden/>
              </w:rPr>
              <w:t>19</w:t>
            </w:r>
            <w:r>
              <w:rPr>
                <w:noProof/>
                <w:webHidden/>
              </w:rPr>
              <w:fldChar w:fldCharType="end"/>
            </w:r>
          </w:hyperlink>
        </w:p>
        <w:p w14:paraId="76D44C71" w14:textId="33E5B8D6" w:rsidR="0069109F" w:rsidRDefault="0069109F">
          <w:pPr>
            <w:pStyle w:val="TOC3"/>
            <w:tabs>
              <w:tab w:val="right" w:leader="dot" w:pos="9016"/>
            </w:tabs>
            <w:rPr>
              <w:rFonts w:cstheme="minorBidi"/>
              <w:noProof/>
              <w:kern w:val="2"/>
              <w:sz w:val="24"/>
              <w:szCs w:val="24"/>
              <w:lang w:eastAsia="en-GB"/>
              <w14:ligatures w14:val="standardContextual"/>
            </w:rPr>
          </w:pPr>
          <w:hyperlink w:anchor="_Toc175647958" w:history="1">
            <w:r w:rsidRPr="00234D44">
              <w:rPr>
                <w:rStyle w:val="Hyperlink"/>
                <w:noProof/>
              </w:rPr>
              <w:t>Historical Continuity vs. Modern Challenges:</w:t>
            </w:r>
            <w:r>
              <w:rPr>
                <w:noProof/>
                <w:webHidden/>
              </w:rPr>
              <w:tab/>
            </w:r>
            <w:r>
              <w:rPr>
                <w:noProof/>
                <w:webHidden/>
              </w:rPr>
              <w:fldChar w:fldCharType="begin"/>
            </w:r>
            <w:r>
              <w:rPr>
                <w:noProof/>
                <w:webHidden/>
              </w:rPr>
              <w:instrText xml:space="preserve"> PAGEREF _Toc175647958 \h </w:instrText>
            </w:r>
            <w:r>
              <w:rPr>
                <w:noProof/>
                <w:webHidden/>
              </w:rPr>
            </w:r>
            <w:r>
              <w:rPr>
                <w:noProof/>
                <w:webHidden/>
              </w:rPr>
              <w:fldChar w:fldCharType="separate"/>
            </w:r>
            <w:r w:rsidR="00586EDC">
              <w:rPr>
                <w:noProof/>
                <w:webHidden/>
              </w:rPr>
              <w:t>19</w:t>
            </w:r>
            <w:r>
              <w:rPr>
                <w:noProof/>
                <w:webHidden/>
              </w:rPr>
              <w:fldChar w:fldCharType="end"/>
            </w:r>
          </w:hyperlink>
        </w:p>
        <w:p w14:paraId="4985882E" w14:textId="434FF689" w:rsidR="0069109F" w:rsidRDefault="0069109F">
          <w:pPr>
            <w:pStyle w:val="TOC3"/>
            <w:tabs>
              <w:tab w:val="right" w:leader="dot" w:pos="9016"/>
            </w:tabs>
            <w:rPr>
              <w:rFonts w:cstheme="minorBidi"/>
              <w:noProof/>
              <w:kern w:val="2"/>
              <w:sz w:val="24"/>
              <w:szCs w:val="24"/>
              <w:lang w:eastAsia="en-GB"/>
              <w14:ligatures w14:val="standardContextual"/>
            </w:rPr>
          </w:pPr>
          <w:hyperlink w:anchor="_Toc175647959" w:history="1">
            <w:r w:rsidRPr="00234D44">
              <w:rPr>
                <w:rStyle w:val="Hyperlink"/>
                <w:noProof/>
              </w:rPr>
              <w:t>Regional Variations:</w:t>
            </w:r>
            <w:r>
              <w:rPr>
                <w:noProof/>
                <w:webHidden/>
              </w:rPr>
              <w:tab/>
            </w:r>
            <w:r>
              <w:rPr>
                <w:noProof/>
                <w:webHidden/>
              </w:rPr>
              <w:fldChar w:fldCharType="begin"/>
            </w:r>
            <w:r>
              <w:rPr>
                <w:noProof/>
                <w:webHidden/>
              </w:rPr>
              <w:instrText xml:space="preserve"> PAGEREF _Toc175647959 \h </w:instrText>
            </w:r>
            <w:r>
              <w:rPr>
                <w:noProof/>
                <w:webHidden/>
              </w:rPr>
            </w:r>
            <w:r>
              <w:rPr>
                <w:noProof/>
                <w:webHidden/>
              </w:rPr>
              <w:fldChar w:fldCharType="separate"/>
            </w:r>
            <w:r w:rsidR="00586EDC">
              <w:rPr>
                <w:noProof/>
                <w:webHidden/>
              </w:rPr>
              <w:t>20</w:t>
            </w:r>
            <w:r>
              <w:rPr>
                <w:noProof/>
                <w:webHidden/>
              </w:rPr>
              <w:fldChar w:fldCharType="end"/>
            </w:r>
          </w:hyperlink>
        </w:p>
        <w:p w14:paraId="22C63397" w14:textId="592A1D29" w:rsidR="0069109F" w:rsidRDefault="0069109F">
          <w:pPr>
            <w:pStyle w:val="TOC3"/>
            <w:tabs>
              <w:tab w:val="right" w:leader="dot" w:pos="9016"/>
            </w:tabs>
            <w:rPr>
              <w:rFonts w:cstheme="minorBidi"/>
              <w:noProof/>
              <w:kern w:val="2"/>
              <w:sz w:val="24"/>
              <w:szCs w:val="24"/>
              <w:lang w:eastAsia="en-GB"/>
              <w14:ligatures w14:val="standardContextual"/>
            </w:rPr>
          </w:pPr>
          <w:hyperlink w:anchor="_Toc175647960" w:history="1">
            <w:r w:rsidRPr="00234D44">
              <w:rPr>
                <w:rStyle w:val="Hyperlink"/>
                <w:noProof/>
              </w:rPr>
              <w:t>Impact on Crime Rates</w:t>
            </w:r>
            <w:r>
              <w:rPr>
                <w:noProof/>
                <w:webHidden/>
              </w:rPr>
              <w:tab/>
            </w:r>
            <w:r>
              <w:rPr>
                <w:noProof/>
                <w:webHidden/>
              </w:rPr>
              <w:fldChar w:fldCharType="begin"/>
            </w:r>
            <w:r>
              <w:rPr>
                <w:noProof/>
                <w:webHidden/>
              </w:rPr>
              <w:instrText xml:space="preserve"> PAGEREF _Toc175647960 \h </w:instrText>
            </w:r>
            <w:r>
              <w:rPr>
                <w:noProof/>
                <w:webHidden/>
              </w:rPr>
            </w:r>
            <w:r>
              <w:rPr>
                <w:noProof/>
                <w:webHidden/>
              </w:rPr>
              <w:fldChar w:fldCharType="separate"/>
            </w:r>
            <w:r w:rsidR="00586EDC">
              <w:rPr>
                <w:noProof/>
                <w:webHidden/>
              </w:rPr>
              <w:t>20</w:t>
            </w:r>
            <w:r>
              <w:rPr>
                <w:noProof/>
                <w:webHidden/>
              </w:rPr>
              <w:fldChar w:fldCharType="end"/>
            </w:r>
          </w:hyperlink>
        </w:p>
        <w:p w14:paraId="28B5EA65" w14:textId="7EAD4F6E" w:rsidR="0069109F" w:rsidRDefault="0069109F">
          <w:pPr>
            <w:pStyle w:val="TOC3"/>
            <w:tabs>
              <w:tab w:val="right" w:leader="dot" w:pos="9016"/>
            </w:tabs>
            <w:rPr>
              <w:rFonts w:cstheme="minorBidi"/>
              <w:noProof/>
              <w:kern w:val="2"/>
              <w:sz w:val="24"/>
              <w:szCs w:val="24"/>
              <w:lang w:eastAsia="en-GB"/>
              <w14:ligatures w14:val="standardContextual"/>
            </w:rPr>
          </w:pPr>
          <w:hyperlink w:anchor="_Toc175647961" w:history="1">
            <w:r w:rsidRPr="00234D44">
              <w:rPr>
                <w:rStyle w:val="Hyperlink"/>
                <w:noProof/>
              </w:rPr>
              <w:t>Impact on Community Relations:</w:t>
            </w:r>
            <w:r>
              <w:rPr>
                <w:noProof/>
                <w:webHidden/>
              </w:rPr>
              <w:tab/>
            </w:r>
            <w:r>
              <w:rPr>
                <w:noProof/>
                <w:webHidden/>
              </w:rPr>
              <w:fldChar w:fldCharType="begin"/>
            </w:r>
            <w:r>
              <w:rPr>
                <w:noProof/>
                <w:webHidden/>
              </w:rPr>
              <w:instrText xml:space="preserve"> PAGEREF _Toc175647961 \h </w:instrText>
            </w:r>
            <w:r>
              <w:rPr>
                <w:noProof/>
                <w:webHidden/>
              </w:rPr>
            </w:r>
            <w:r>
              <w:rPr>
                <w:noProof/>
                <w:webHidden/>
              </w:rPr>
              <w:fldChar w:fldCharType="separate"/>
            </w:r>
            <w:r w:rsidR="00586EDC">
              <w:rPr>
                <w:noProof/>
                <w:webHidden/>
              </w:rPr>
              <w:t>21</w:t>
            </w:r>
            <w:r>
              <w:rPr>
                <w:noProof/>
                <w:webHidden/>
              </w:rPr>
              <w:fldChar w:fldCharType="end"/>
            </w:r>
          </w:hyperlink>
        </w:p>
        <w:p w14:paraId="65EDE38E" w14:textId="31A81836" w:rsidR="0069109F" w:rsidRDefault="0069109F">
          <w:pPr>
            <w:pStyle w:val="TOC2"/>
            <w:tabs>
              <w:tab w:val="right" w:leader="dot" w:pos="9016"/>
            </w:tabs>
            <w:rPr>
              <w:rFonts w:cstheme="minorBidi"/>
              <w:b w:val="0"/>
              <w:bCs w:val="0"/>
              <w:noProof/>
              <w:kern w:val="2"/>
              <w:sz w:val="24"/>
              <w:szCs w:val="24"/>
              <w:lang w:eastAsia="en-GB"/>
              <w14:ligatures w14:val="standardContextual"/>
            </w:rPr>
          </w:pPr>
          <w:hyperlink w:anchor="_Toc175647962" w:history="1">
            <w:r w:rsidRPr="00234D44">
              <w:rPr>
                <w:rStyle w:val="Hyperlink"/>
                <w:noProof/>
              </w:rPr>
              <w:t>Analysis of Trends in Policing Strategies and Their Effectiveness</w:t>
            </w:r>
            <w:r>
              <w:rPr>
                <w:noProof/>
                <w:webHidden/>
              </w:rPr>
              <w:tab/>
            </w:r>
            <w:r>
              <w:rPr>
                <w:noProof/>
                <w:webHidden/>
              </w:rPr>
              <w:fldChar w:fldCharType="begin"/>
            </w:r>
            <w:r>
              <w:rPr>
                <w:noProof/>
                <w:webHidden/>
              </w:rPr>
              <w:instrText xml:space="preserve"> PAGEREF _Toc175647962 \h </w:instrText>
            </w:r>
            <w:r>
              <w:rPr>
                <w:noProof/>
                <w:webHidden/>
              </w:rPr>
            </w:r>
            <w:r>
              <w:rPr>
                <w:noProof/>
                <w:webHidden/>
              </w:rPr>
              <w:fldChar w:fldCharType="separate"/>
            </w:r>
            <w:r w:rsidR="00586EDC">
              <w:rPr>
                <w:noProof/>
                <w:webHidden/>
              </w:rPr>
              <w:t>21</w:t>
            </w:r>
            <w:r>
              <w:rPr>
                <w:noProof/>
                <w:webHidden/>
              </w:rPr>
              <w:fldChar w:fldCharType="end"/>
            </w:r>
          </w:hyperlink>
        </w:p>
        <w:p w14:paraId="723FA7A2" w14:textId="08C606A0" w:rsidR="0069109F" w:rsidRDefault="0069109F">
          <w:pPr>
            <w:pStyle w:val="TOC2"/>
            <w:tabs>
              <w:tab w:val="right" w:leader="dot" w:pos="9016"/>
            </w:tabs>
            <w:rPr>
              <w:rFonts w:cstheme="minorBidi"/>
              <w:b w:val="0"/>
              <w:bCs w:val="0"/>
              <w:noProof/>
              <w:kern w:val="2"/>
              <w:sz w:val="24"/>
              <w:szCs w:val="24"/>
              <w:lang w:eastAsia="en-GB"/>
              <w14:ligatures w14:val="standardContextual"/>
            </w:rPr>
          </w:pPr>
          <w:hyperlink w:anchor="_Toc175647963" w:history="1">
            <w:r w:rsidRPr="00234D44">
              <w:rPr>
                <w:rStyle w:val="Hyperlink"/>
                <w:noProof/>
              </w:rPr>
              <w:t>Examination of Data on Police Use of Firearms and Related Incidents</w:t>
            </w:r>
            <w:r>
              <w:rPr>
                <w:noProof/>
                <w:webHidden/>
              </w:rPr>
              <w:tab/>
            </w:r>
            <w:r>
              <w:rPr>
                <w:noProof/>
                <w:webHidden/>
              </w:rPr>
              <w:fldChar w:fldCharType="begin"/>
            </w:r>
            <w:r>
              <w:rPr>
                <w:noProof/>
                <w:webHidden/>
              </w:rPr>
              <w:instrText xml:space="preserve"> PAGEREF _Toc175647963 \h </w:instrText>
            </w:r>
            <w:r>
              <w:rPr>
                <w:noProof/>
                <w:webHidden/>
              </w:rPr>
            </w:r>
            <w:r>
              <w:rPr>
                <w:noProof/>
                <w:webHidden/>
              </w:rPr>
              <w:fldChar w:fldCharType="separate"/>
            </w:r>
            <w:r w:rsidR="00586EDC">
              <w:rPr>
                <w:noProof/>
                <w:webHidden/>
              </w:rPr>
              <w:t>22</w:t>
            </w:r>
            <w:r>
              <w:rPr>
                <w:noProof/>
                <w:webHidden/>
              </w:rPr>
              <w:fldChar w:fldCharType="end"/>
            </w:r>
          </w:hyperlink>
        </w:p>
        <w:p w14:paraId="0F0EE505" w14:textId="77A0650A" w:rsidR="0069109F" w:rsidRDefault="0069109F">
          <w:pPr>
            <w:pStyle w:val="TOC2"/>
            <w:tabs>
              <w:tab w:val="right" w:leader="dot" w:pos="9016"/>
            </w:tabs>
            <w:rPr>
              <w:rFonts w:cstheme="minorBidi"/>
              <w:b w:val="0"/>
              <w:bCs w:val="0"/>
              <w:noProof/>
              <w:kern w:val="2"/>
              <w:sz w:val="24"/>
              <w:szCs w:val="24"/>
              <w:lang w:eastAsia="en-GB"/>
              <w14:ligatures w14:val="standardContextual"/>
            </w:rPr>
          </w:pPr>
          <w:hyperlink w:anchor="_Toc175647964" w:history="1">
            <w:r w:rsidRPr="00234D44">
              <w:rPr>
                <w:rStyle w:val="Hyperlink"/>
                <w:noProof/>
              </w:rPr>
              <w:t>Public Order Challenges: Riots and Far-Right Gatherings</w:t>
            </w:r>
            <w:r>
              <w:rPr>
                <w:noProof/>
                <w:webHidden/>
              </w:rPr>
              <w:tab/>
            </w:r>
            <w:r>
              <w:rPr>
                <w:noProof/>
                <w:webHidden/>
              </w:rPr>
              <w:fldChar w:fldCharType="begin"/>
            </w:r>
            <w:r>
              <w:rPr>
                <w:noProof/>
                <w:webHidden/>
              </w:rPr>
              <w:instrText xml:space="preserve"> PAGEREF _Toc175647964 \h </w:instrText>
            </w:r>
            <w:r>
              <w:rPr>
                <w:noProof/>
                <w:webHidden/>
              </w:rPr>
            </w:r>
            <w:r>
              <w:rPr>
                <w:noProof/>
                <w:webHidden/>
              </w:rPr>
              <w:fldChar w:fldCharType="separate"/>
            </w:r>
            <w:r w:rsidR="00586EDC">
              <w:rPr>
                <w:noProof/>
                <w:webHidden/>
              </w:rPr>
              <w:t>23</w:t>
            </w:r>
            <w:r>
              <w:rPr>
                <w:noProof/>
                <w:webHidden/>
              </w:rPr>
              <w:fldChar w:fldCharType="end"/>
            </w:r>
          </w:hyperlink>
        </w:p>
        <w:p w14:paraId="4974AB56" w14:textId="46AC0C02" w:rsidR="0069109F" w:rsidRDefault="0069109F">
          <w:pPr>
            <w:pStyle w:val="TOC2"/>
            <w:tabs>
              <w:tab w:val="right" w:leader="dot" w:pos="9016"/>
            </w:tabs>
            <w:rPr>
              <w:rFonts w:cstheme="minorBidi"/>
              <w:b w:val="0"/>
              <w:bCs w:val="0"/>
              <w:noProof/>
              <w:kern w:val="2"/>
              <w:sz w:val="24"/>
              <w:szCs w:val="24"/>
              <w:lang w:eastAsia="en-GB"/>
              <w14:ligatures w14:val="standardContextual"/>
            </w:rPr>
          </w:pPr>
          <w:hyperlink w:anchor="_Toc175647965" w:history="1">
            <w:r w:rsidRPr="00234D44">
              <w:rPr>
                <w:rStyle w:val="Hyperlink"/>
                <w:noProof/>
              </w:rPr>
              <w:t>The Persistent Specter of Football Hooliganism</w:t>
            </w:r>
            <w:r>
              <w:rPr>
                <w:noProof/>
                <w:webHidden/>
              </w:rPr>
              <w:tab/>
            </w:r>
            <w:r>
              <w:rPr>
                <w:noProof/>
                <w:webHidden/>
              </w:rPr>
              <w:fldChar w:fldCharType="begin"/>
            </w:r>
            <w:r>
              <w:rPr>
                <w:noProof/>
                <w:webHidden/>
              </w:rPr>
              <w:instrText xml:space="preserve"> PAGEREF _Toc175647965 \h </w:instrText>
            </w:r>
            <w:r>
              <w:rPr>
                <w:noProof/>
                <w:webHidden/>
              </w:rPr>
            </w:r>
            <w:r>
              <w:rPr>
                <w:noProof/>
                <w:webHidden/>
              </w:rPr>
              <w:fldChar w:fldCharType="separate"/>
            </w:r>
            <w:r w:rsidR="00586EDC">
              <w:rPr>
                <w:noProof/>
                <w:webHidden/>
              </w:rPr>
              <w:t>24</w:t>
            </w:r>
            <w:r>
              <w:rPr>
                <w:noProof/>
                <w:webHidden/>
              </w:rPr>
              <w:fldChar w:fldCharType="end"/>
            </w:r>
          </w:hyperlink>
        </w:p>
        <w:p w14:paraId="1BDDD6C4" w14:textId="5681FD3D" w:rsidR="0069109F" w:rsidRDefault="0069109F">
          <w:pPr>
            <w:pStyle w:val="TOC2"/>
            <w:tabs>
              <w:tab w:val="right" w:leader="dot" w:pos="9016"/>
            </w:tabs>
            <w:rPr>
              <w:rFonts w:cstheme="minorBidi"/>
              <w:b w:val="0"/>
              <w:bCs w:val="0"/>
              <w:noProof/>
              <w:kern w:val="2"/>
              <w:sz w:val="24"/>
              <w:szCs w:val="24"/>
              <w:lang w:eastAsia="en-GB"/>
              <w14:ligatures w14:val="standardContextual"/>
            </w:rPr>
          </w:pPr>
          <w:hyperlink w:anchor="_Toc175647966" w:history="1">
            <w:r w:rsidRPr="00234D44">
              <w:rPr>
                <w:rStyle w:val="Hyperlink"/>
                <w:noProof/>
              </w:rPr>
              <w:t>The Growing Challenge of Mental Health-Related Incidents</w:t>
            </w:r>
            <w:r>
              <w:rPr>
                <w:noProof/>
                <w:webHidden/>
              </w:rPr>
              <w:tab/>
            </w:r>
            <w:r>
              <w:rPr>
                <w:noProof/>
                <w:webHidden/>
              </w:rPr>
              <w:fldChar w:fldCharType="begin"/>
            </w:r>
            <w:r>
              <w:rPr>
                <w:noProof/>
                <w:webHidden/>
              </w:rPr>
              <w:instrText xml:space="preserve"> PAGEREF _Toc175647966 \h </w:instrText>
            </w:r>
            <w:r>
              <w:rPr>
                <w:noProof/>
                <w:webHidden/>
              </w:rPr>
            </w:r>
            <w:r>
              <w:rPr>
                <w:noProof/>
                <w:webHidden/>
              </w:rPr>
              <w:fldChar w:fldCharType="separate"/>
            </w:r>
            <w:r w:rsidR="00586EDC">
              <w:rPr>
                <w:noProof/>
                <w:webHidden/>
              </w:rPr>
              <w:t>25</w:t>
            </w:r>
            <w:r>
              <w:rPr>
                <w:noProof/>
                <w:webHidden/>
              </w:rPr>
              <w:fldChar w:fldCharType="end"/>
            </w:r>
          </w:hyperlink>
        </w:p>
        <w:p w14:paraId="2884CC7C" w14:textId="5C999C8B" w:rsidR="0069109F" w:rsidRDefault="0069109F">
          <w:pPr>
            <w:pStyle w:val="TOC1"/>
            <w:tabs>
              <w:tab w:val="right" w:leader="dot" w:pos="9016"/>
            </w:tabs>
            <w:rPr>
              <w:rFonts w:cstheme="minorBidi"/>
              <w:b w:val="0"/>
              <w:bCs w:val="0"/>
              <w:i w:val="0"/>
              <w:iCs w:val="0"/>
              <w:noProof/>
              <w:kern w:val="2"/>
              <w:lang w:eastAsia="en-GB"/>
              <w14:ligatures w14:val="standardContextual"/>
            </w:rPr>
          </w:pPr>
          <w:hyperlink w:anchor="_Toc175647967" w:history="1">
            <w:r w:rsidRPr="00234D44">
              <w:rPr>
                <w:rStyle w:val="Hyperlink"/>
                <w:noProof/>
              </w:rPr>
              <w:t>Conclusion</w:t>
            </w:r>
            <w:r>
              <w:rPr>
                <w:noProof/>
                <w:webHidden/>
              </w:rPr>
              <w:tab/>
            </w:r>
            <w:r>
              <w:rPr>
                <w:noProof/>
                <w:webHidden/>
              </w:rPr>
              <w:fldChar w:fldCharType="begin"/>
            </w:r>
            <w:r>
              <w:rPr>
                <w:noProof/>
                <w:webHidden/>
              </w:rPr>
              <w:instrText xml:space="preserve"> PAGEREF _Toc175647967 \h </w:instrText>
            </w:r>
            <w:r>
              <w:rPr>
                <w:noProof/>
                <w:webHidden/>
              </w:rPr>
            </w:r>
            <w:r>
              <w:rPr>
                <w:noProof/>
                <w:webHidden/>
              </w:rPr>
              <w:fldChar w:fldCharType="separate"/>
            </w:r>
            <w:r w:rsidR="00586EDC">
              <w:rPr>
                <w:noProof/>
                <w:webHidden/>
              </w:rPr>
              <w:t>27</w:t>
            </w:r>
            <w:r>
              <w:rPr>
                <w:noProof/>
                <w:webHidden/>
              </w:rPr>
              <w:fldChar w:fldCharType="end"/>
            </w:r>
          </w:hyperlink>
        </w:p>
        <w:p w14:paraId="09A57C21" w14:textId="76420ECD" w:rsidR="0069109F" w:rsidRDefault="0069109F">
          <w:pPr>
            <w:pStyle w:val="TOC2"/>
            <w:tabs>
              <w:tab w:val="right" w:leader="dot" w:pos="9016"/>
            </w:tabs>
            <w:rPr>
              <w:rFonts w:cstheme="minorBidi"/>
              <w:b w:val="0"/>
              <w:bCs w:val="0"/>
              <w:noProof/>
              <w:kern w:val="2"/>
              <w:sz w:val="24"/>
              <w:szCs w:val="24"/>
              <w:lang w:eastAsia="en-GB"/>
              <w14:ligatures w14:val="standardContextual"/>
            </w:rPr>
          </w:pPr>
          <w:hyperlink w:anchor="_Toc175647968" w:history="1">
            <w:r w:rsidRPr="00234D44">
              <w:rPr>
                <w:rStyle w:val="Hyperlink"/>
                <w:noProof/>
              </w:rPr>
              <w:t>Implications for UK Policing Policy</w:t>
            </w:r>
            <w:r>
              <w:rPr>
                <w:noProof/>
                <w:webHidden/>
              </w:rPr>
              <w:tab/>
            </w:r>
            <w:r>
              <w:rPr>
                <w:noProof/>
                <w:webHidden/>
              </w:rPr>
              <w:fldChar w:fldCharType="begin"/>
            </w:r>
            <w:r>
              <w:rPr>
                <w:noProof/>
                <w:webHidden/>
              </w:rPr>
              <w:instrText xml:space="preserve"> PAGEREF _Toc175647968 \h </w:instrText>
            </w:r>
            <w:r>
              <w:rPr>
                <w:noProof/>
                <w:webHidden/>
              </w:rPr>
            </w:r>
            <w:r>
              <w:rPr>
                <w:noProof/>
                <w:webHidden/>
              </w:rPr>
              <w:fldChar w:fldCharType="separate"/>
            </w:r>
            <w:r w:rsidR="00586EDC">
              <w:rPr>
                <w:noProof/>
                <w:webHidden/>
              </w:rPr>
              <w:t>29</w:t>
            </w:r>
            <w:r>
              <w:rPr>
                <w:noProof/>
                <w:webHidden/>
              </w:rPr>
              <w:fldChar w:fldCharType="end"/>
            </w:r>
          </w:hyperlink>
        </w:p>
        <w:p w14:paraId="2C97B19E" w14:textId="04E812EA" w:rsidR="0069109F" w:rsidRDefault="0069109F">
          <w:pPr>
            <w:pStyle w:val="TOC1"/>
            <w:tabs>
              <w:tab w:val="right" w:leader="dot" w:pos="9016"/>
            </w:tabs>
            <w:rPr>
              <w:rFonts w:cstheme="minorBidi"/>
              <w:b w:val="0"/>
              <w:bCs w:val="0"/>
              <w:i w:val="0"/>
              <w:iCs w:val="0"/>
              <w:noProof/>
              <w:kern w:val="2"/>
              <w:lang w:eastAsia="en-GB"/>
              <w14:ligatures w14:val="standardContextual"/>
            </w:rPr>
          </w:pPr>
          <w:hyperlink w:anchor="_Toc175647969" w:history="1">
            <w:r w:rsidRPr="00234D44">
              <w:rPr>
                <w:rStyle w:val="Hyperlink"/>
                <w:noProof/>
              </w:rPr>
              <w:t>Bibliography</w:t>
            </w:r>
            <w:r>
              <w:rPr>
                <w:noProof/>
                <w:webHidden/>
              </w:rPr>
              <w:tab/>
            </w:r>
            <w:r>
              <w:rPr>
                <w:noProof/>
                <w:webHidden/>
              </w:rPr>
              <w:fldChar w:fldCharType="begin"/>
            </w:r>
            <w:r>
              <w:rPr>
                <w:noProof/>
                <w:webHidden/>
              </w:rPr>
              <w:instrText xml:space="preserve"> PAGEREF _Toc175647969 \h </w:instrText>
            </w:r>
            <w:r>
              <w:rPr>
                <w:noProof/>
                <w:webHidden/>
              </w:rPr>
            </w:r>
            <w:r>
              <w:rPr>
                <w:noProof/>
                <w:webHidden/>
              </w:rPr>
              <w:fldChar w:fldCharType="separate"/>
            </w:r>
            <w:r w:rsidR="00586EDC">
              <w:rPr>
                <w:noProof/>
                <w:webHidden/>
              </w:rPr>
              <w:t>31</w:t>
            </w:r>
            <w:r>
              <w:rPr>
                <w:noProof/>
                <w:webHidden/>
              </w:rPr>
              <w:fldChar w:fldCharType="end"/>
            </w:r>
          </w:hyperlink>
        </w:p>
        <w:p w14:paraId="5C3FFEC9" w14:textId="5285B3A5" w:rsidR="00737A26" w:rsidRDefault="00737A26">
          <w:r>
            <w:rPr>
              <w:b/>
              <w:bCs/>
              <w:noProof/>
            </w:rPr>
            <w:fldChar w:fldCharType="end"/>
          </w:r>
        </w:p>
      </w:sdtContent>
    </w:sdt>
    <w:p w14:paraId="034E7F89" w14:textId="77777777" w:rsidR="00711FB3" w:rsidRPr="00711FB3" w:rsidRDefault="00711FB3" w:rsidP="00711FB3">
      <w:pPr>
        <w:pStyle w:val="OBEBody"/>
        <w:rPr>
          <w:rFonts w:asciiTheme="majorHAnsi" w:hAnsiTheme="majorHAnsi" w:cstheme="majorHAnsi"/>
          <w:color w:val="323E4F" w:themeColor="text2" w:themeShade="BF"/>
          <w:sz w:val="32"/>
          <w:szCs w:val="32"/>
        </w:rPr>
      </w:pPr>
    </w:p>
    <w:p w14:paraId="6EE979C1" w14:textId="629A862A" w:rsidR="00353D49" w:rsidRDefault="00353D49" w:rsidP="00737A26">
      <w:pPr>
        <w:pStyle w:val="OBESubtitle1sttier"/>
        <w:rPr>
          <w:shd w:val="clear" w:color="auto" w:fill="FFFFFF"/>
        </w:rPr>
      </w:pPr>
      <w:bookmarkStart w:id="1" w:name="_Toc175647940"/>
      <w:r w:rsidRPr="0084248F">
        <w:t>Introduction</w:t>
      </w:r>
      <w:bookmarkEnd w:id="1"/>
    </w:p>
    <w:p w14:paraId="42252628" w14:textId="59CC78D7" w:rsidR="00B17A2A" w:rsidRPr="00B17A2A" w:rsidRDefault="00B17A2A" w:rsidP="004961C4">
      <w:pPr>
        <w:pStyle w:val="OBEBody"/>
        <w:rPr>
          <w:shd w:val="clear" w:color="auto" w:fill="FFFFFF"/>
        </w:rPr>
      </w:pPr>
      <w:r w:rsidRPr="00B17A2A">
        <w:rPr>
          <w:shd w:val="clear" w:color="auto" w:fill="FFFFFF"/>
        </w:rPr>
        <w:t xml:space="preserve">The future of policing in the United Kingdom is at a critical crossroads –where the longstanding cultural </w:t>
      </w:r>
      <w:r w:rsidRPr="004961C4">
        <w:t>tradition</w:t>
      </w:r>
      <w:r w:rsidRPr="00B17A2A">
        <w:rPr>
          <w:shd w:val="clear" w:color="auto" w:fill="FFFFFF"/>
        </w:rPr>
        <w:t xml:space="preserve"> of British unarmed policing collide</w:t>
      </w:r>
      <w:r w:rsidR="00F9613E">
        <w:rPr>
          <w:shd w:val="clear" w:color="auto" w:fill="FFFFFF"/>
        </w:rPr>
        <w:t>s</w:t>
      </w:r>
      <w:r w:rsidRPr="00B17A2A">
        <w:rPr>
          <w:shd w:val="clear" w:color="auto" w:fill="FFFFFF"/>
        </w:rPr>
        <w:t xml:space="preserve"> with the new security quandaries of the 21st century. While the UK remains a notable international outlier in its practice of unarmed policing – with </w:t>
      </w:r>
      <w:proofErr w:type="gramStart"/>
      <w:r w:rsidRPr="00B17A2A">
        <w:rPr>
          <w:shd w:val="clear" w:color="auto" w:fill="FFFFFF"/>
        </w:rPr>
        <w:t>the majority of</w:t>
      </w:r>
      <w:proofErr w:type="gramEnd"/>
      <w:r w:rsidRPr="00B17A2A">
        <w:rPr>
          <w:shd w:val="clear" w:color="auto" w:fill="FFFFFF"/>
        </w:rPr>
        <w:t xml:space="preserve"> police officers carrying no weapons and firearms being allowed only among designated specialist units – the situation might be changing.</w:t>
      </w:r>
    </w:p>
    <w:p w14:paraId="7153B22B" w14:textId="672BEFFB" w:rsidR="00B17A2A" w:rsidRPr="00B17A2A" w:rsidRDefault="00B17A2A" w:rsidP="00B17A2A">
      <w:pPr>
        <w:pStyle w:val="OBEBody"/>
        <w:rPr>
          <w:shd w:val="clear" w:color="auto" w:fill="FFFFFF"/>
        </w:rPr>
      </w:pPr>
      <w:r>
        <w:rPr>
          <w:shd w:val="clear" w:color="auto" w:fill="FFFFFF"/>
        </w:rPr>
        <w:t>However,</w:t>
      </w:r>
      <w:r w:rsidRPr="00B17A2A">
        <w:rPr>
          <w:shd w:val="clear" w:color="auto" w:fill="FFFFFF"/>
        </w:rPr>
        <w:t xml:space="preserve"> the oversight of UK policing and firearms policies is rising quickly. The National Police Chiefs’ Council report (2024) that around 5 per cent of police officers in England and Wales are allowed to carry firearms, mainly in specialist Armed Response Units that undertake policing for high-risk situations. These teams respond to firearms and other dangerous incidents. The Home Office (2024) report paints a more nuanced picture: while armed police operations increased slightly, actual live discharge of firearms by officers remains extremely low.</w:t>
      </w:r>
    </w:p>
    <w:p w14:paraId="62D3710F" w14:textId="0F877A3D" w:rsidR="00B17A2A" w:rsidRPr="00B17A2A" w:rsidRDefault="00B17A2A" w:rsidP="00B17A2A">
      <w:pPr>
        <w:pStyle w:val="OBEBody"/>
        <w:rPr>
          <w:shd w:val="clear" w:color="auto" w:fill="FFFFFF"/>
        </w:rPr>
      </w:pPr>
      <w:r w:rsidRPr="00B17A2A">
        <w:rPr>
          <w:shd w:val="clear" w:color="auto" w:fill="FFFFFF"/>
        </w:rPr>
        <w:t xml:space="preserve">This context frames </w:t>
      </w:r>
      <w:r w:rsidR="00DF2DCC">
        <w:rPr>
          <w:shd w:val="clear" w:color="auto" w:fill="FFFFFF"/>
        </w:rPr>
        <w:t>the</w:t>
      </w:r>
      <w:r w:rsidRPr="00B17A2A">
        <w:rPr>
          <w:shd w:val="clear" w:color="auto" w:fill="FFFFFF"/>
        </w:rPr>
        <w:t xml:space="preserve"> central research question: "Should all UK police officers carry firearms?</w:t>
      </w:r>
      <w:r w:rsidR="00DF2DCC">
        <w:rPr>
          <w:shd w:val="clear" w:color="auto" w:fill="FFFFFF"/>
        </w:rPr>
        <w:t>”</w:t>
      </w:r>
    </w:p>
    <w:p w14:paraId="64A53665" w14:textId="66457D49" w:rsidR="00B17A2A" w:rsidRPr="00B17A2A" w:rsidRDefault="00B17A2A" w:rsidP="00B17A2A">
      <w:pPr>
        <w:pStyle w:val="OBEBody"/>
        <w:rPr>
          <w:shd w:val="clear" w:color="auto" w:fill="FFFFFF"/>
        </w:rPr>
      </w:pPr>
      <w:r w:rsidRPr="00B17A2A">
        <w:rPr>
          <w:shd w:val="clear" w:color="auto" w:fill="FFFFFF"/>
        </w:rPr>
        <w:t>This study aim</w:t>
      </w:r>
      <w:r w:rsidR="00DF2DCC">
        <w:rPr>
          <w:shd w:val="clear" w:color="auto" w:fill="FFFFFF"/>
        </w:rPr>
        <w:t xml:space="preserve">s </w:t>
      </w:r>
      <w:r w:rsidRPr="00B17A2A">
        <w:rPr>
          <w:shd w:val="clear" w:color="auto" w:fill="FFFFFF"/>
        </w:rPr>
        <w:t>to critically examine this question through the following objectives:</w:t>
      </w:r>
    </w:p>
    <w:p w14:paraId="3124BAC0" w14:textId="77777777" w:rsidR="00B17A2A" w:rsidRPr="00B17A2A" w:rsidRDefault="00B17A2A" w:rsidP="00B17A2A">
      <w:pPr>
        <w:pStyle w:val="OBEBody"/>
        <w:rPr>
          <w:shd w:val="clear" w:color="auto" w:fill="FFFFFF"/>
        </w:rPr>
      </w:pPr>
    </w:p>
    <w:p w14:paraId="6BD94143" w14:textId="77777777" w:rsidR="00DD5A4F" w:rsidRPr="00DD5A4F" w:rsidRDefault="00B17A2A" w:rsidP="00DD5A4F">
      <w:pPr>
        <w:pStyle w:val="OBEBody"/>
        <w:rPr>
          <w:shd w:val="clear" w:color="auto" w:fill="FFFFFF"/>
        </w:rPr>
      </w:pPr>
      <w:r w:rsidRPr="00B17A2A">
        <w:rPr>
          <w:shd w:val="clear" w:color="auto" w:fill="FFFFFF"/>
        </w:rPr>
        <w:t xml:space="preserve"> </w:t>
      </w:r>
      <w:r w:rsidR="00DD5A4F" w:rsidRPr="00DD5A4F">
        <w:rPr>
          <w:shd w:val="clear" w:color="auto" w:fill="FFFFFF"/>
        </w:rPr>
        <w:t>•</w:t>
      </w:r>
      <w:r w:rsidR="00DD5A4F" w:rsidRPr="00DD5A4F">
        <w:rPr>
          <w:shd w:val="clear" w:color="auto" w:fill="FFFFFF"/>
        </w:rPr>
        <w:tab/>
        <w:t>To critically analyse the current policies and practices regarding police use of firearms in Wales and the wider UK.</w:t>
      </w:r>
    </w:p>
    <w:p w14:paraId="08A9A0CD" w14:textId="77777777" w:rsidR="00DD5A4F" w:rsidRPr="00DD5A4F" w:rsidRDefault="00DD5A4F" w:rsidP="00DD5A4F">
      <w:pPr>
        <w:pStyle w:val="OBEBody"/>
        <w:rPr>
          <w:shd w:val="clear" w:color="auto" w:fill="FFFFFF"/>
        </w:rPr>
      </w:pPr>
      <w:r w:rsidRPr="00DD5A4F">
        <w:rPr>
          <w:shd w:val="clear" w:color="auto" w:fill="FFFFFF"/>
        </w:rPr>
        <w:t>•</w:t>
      </w:r>
      <w:r w:rsidRPr="00DD5A4F">
        <w:rPr>
          <w:shd w:val="clear" w:color="auto" w:fill="FFFFFF"/>
        </w:rPr>
        <w:tab/>
        <w:t>To evaluate the possible implications of issuing firearms to all police officers in Wales, in terms of crime rates, officer safety, and public perception.</w:t>
      </w:r>
    </w:p>
    <w:p w14:paraId="14554543" w14:textId="65BD9317" w:rsidR="00B17A2A" w:rsidRDefault="00DD5A4F" w:rsidP="00DD5A4F">
      <w:pPr>
        <w:pStyle w:val="OBEBody"/>
        <w:rPr>
          <w:shd w:val="clear" w:color="auto" w:fill="FFFFFF"/>
        </w:rPr>
      </w:pPr>
      <w:r w:rsidRPr="00DD5A4F">
        <w:rPr>
          <w:shd w:val="clear" w:color="auto" w:fill="FFFFFF"/>
        </w:rPr>
        <w:t>•</w:t>
      </w:r>
      <w:r w:rsidRPr="00DD5A4F">
        <w:rPr>
          <w:shd w:val="clear" w:color="auto" w:fill="FFFFFF"/>
        </w:rPr>
        <w:tab/>
        <w:t xml:space="preserve">To </w:t>
      </w:r>
      <w:proofErr w:type="gramStart"/>
      <w:r w:rsidRPr="00DD5A4F">
        <w:rPr>
          <w:shd w:val="clear" w:color="auto" w:fill="FFFFFF"/>
        </w:rPr>
        <w:t>compare and contrast</w:t>
      </w:r>
      <w:proofErr w:type="gramEnd"/>
      <w:r w:rsidRPr="00DD5A4F">
        <w:rPr>
          <w:shd w:val="clear" w:color="auto" w:fill="FFFFFF"/>
        </w:rPr>
        <w:t xml:space="preserve"> the police arming issue in the UK, with other countries, to see what lessons can be learnt and what the implications might be</w:t>
      </w:r>
      <w:r w:rsidR="004961C4">
        <w:rPr>
          <w:shd w:val="clear" w:color="auto" w:fill="FFFFFF"/>
        </w:rPr>
        <w:t>.</w:t>
      </w:r>
    </w:p>
    <w:p w14:paraId="6D6550F4" w14:textId="77777777" w:rsidR="00DD5A4F" w:rsidRPr="00B17A2A" w:rsidRDefault="00DD5A4F" w:rsidP="00DD5A4F">
      <w:pPr>
        <w:pStyle w:val="OBEBody"/>
        <w:rPr>
          <w:shd w:val="clear" w:color="auto" w:fill="FFFFFF"/>
        </w:rPr>
      </w:pPr>
    </w:p>
    <w:p w14:paraId="264ED782" w14:textId="00606328" w:rsidR="00B17A2A" w:rsidRPr="00B17A2A" w:rsidRDefault="00B17A2A" w:rsidP="00B17A2A">
      <w:pPr>
        <w:pStyle w:val="OBEBody"/>
        <w:rPr>
          <w:shd w:val="clear" w:color="auto" w:fill="FFFFFF"/>
        </w:rPr>
      </w:pPr>
      <w:r w:rsidRPr="00B17A2A">
        <w:rPr>
          <w:shd w:val="clear" w:color="auto" w:fill="FFFFFF"/>
        </w:rPr>
        <w:lastRenderedPageBreak/>
        <w:t xml:space="preserve">There is an existing body of work on the policing of the UK: this is diverse and sometimes contentious. Some scholars, such as Reiner (2010) frame the historical development and cultural nature of policing in the UK as essentially unarmed, but other works more recently – such as </w:t>
      </w:r>
      <w:r w:rsidR="00DB210A" w:rsidRPr="00DB210A">
        <w:rPr>
          <w:shd w:val="clear" w:color="auto" w:fill="FFFFFF"/>
        </w:rPr>
        <w:t>Balestrini</w:t>
      </w:r>
      <w:r w:rsidR="00DB210A">
        <w:rPr>
          <w:shd w:val="clear" w:color="auto" w:fill="FFFFFF"/>
        </w:rPr>
        <w:t xml:space="preserve"> (2</w:t>
      </w:r>
      <w:r w:rsidR="00DB210A" w:rsidRPr="00DB210A">
        <w:rPr>
          <w:shd w:val="clear" w:color="auto" w:fill="FFFFFF"/>
        </w:rPr>
        <w:t>021</w:t>
      </w:r>
      <w:r w:rsidR="004961C4" w:rsidRPr="00DB210A">
        <w:rPr>
          <w:shd w:val="clear" w:color="auto" w:fill="FFFFFF"/>
        </w:rPr>
        <w:t>)</w:t>
      </w:r>
      <w:r w:rsidR="004961C4">
        <w:rPr>
          <w:shd w:val="clear" w:color="auto" w:fill="FFFFFF"/>
        </w:rPr>
        <w:t xml:space="preserve">, </w:t>
      </w:r>
      <w:r w:rsidR="004961C4" w:rsidRPr="00B17A2A">
        <w:rPr>
          <w:shd w:val="clear" w:color="auto" w:fill="FFFFFF"/>
        </w:rPr>
        <w:t>apply</w:t>
      </w:r>
      <w:r w:rsidRPr="00B17A2A">
        <w:rPr>
          <w:shd w:val="clear" w:color="auto" w:fill="FFFFFF"/>
        </w:rPr>
        <w:t xml:space="preserve"> a more nuanced view to balance the historical tradition with contemporaneous threats to the security status of the state. Finally, more comparative works, such as </w:t>
      </w:r>
      <w:proofErr w:type="spellStart"/>
      <w:r w:rsidRPr="00B17A2A">
        <w:rPr>
          <w:shd w:val="clear" w:color="auto" w:fill="FFFFFF"/>
        </w:rPr>
        <w:t>Köllen</w:t>
      </w:r>
      <w:proofErr w:type="spellEnd"/>
      <w:r w:rsidRPr="00B17A2A">
        <w:rPr>
          <w:shd w:val="clear" w:color="auto" w:fill="FFFFFF"/>
        </w:rPr>
        <w:t xml:space="preserve"> (2016), educate us with insights into how policing develops across countries internationally. The lack of consideration for specificities in Welsh and UK contexts is a noteworthy void in the existing literature.</w:t>
      </w:r>
    </w:p>
    <w:p w14:paraId="733C3749" w14:textId="5D570C4C" w:rsidR="00B17A2A" w:rsidRPr="00B17A2A" w:rsidRDefault="0087751B" w:rsidP="00B17A2A">
      <w:pPr>
        <w:pStyle w:val="OBEBody"/>
        <w:rPr>
          <w:shd w:val="clear" w:color="auto" w:fill="FFFFFF"/>
        </w:rPr>
      </w:pPr>
      <w:r>
        <w:rPr>
          <w:shd w:val="clear" w:color="auto" w:fill="FFFFFF"/>
        </w:rPr>
        <w:t xml:space="preserve">Following the introduction, </w:t>
      </w:r>
      <w:r w:rsidR="00B17A2A" w:rsidRPr="00B17A2A">
        <w:rPr>
          <w:shd w:val="clear" w:color="auto" w:fill="FFFFFF"/>
        </w:rPr>
        <w:t xml:space="preserve">the second section </w:t>
      </w:r>
      <w:r w:rsidR="003C67DA">
        <w:rPr>
          <w:shd w:val="clear" w:color="auto" w:fill="FFFFFF"/>
        </w:rPr>
        <w:t xml:space="preserve">focuses on </w:t>
      </w:r>
      <w:r w:rsidR="00B17A2A" w:rsidRPr="00B17A2A">
        <w:rPr>
          <w:shd w:val="clear" w:color="auto" w:fill="FFFFFF"/>
        </w:rPr>
        <w:t xml:space="preserve">the </w:t>
      </w:r>
      <w:r>
        <w:rPr>
          <w:shd w:val="clear" w:color="auto" w:fill="FFFFFF"/>
        </w:rPr>
        <w:t>Literature review that underpins the discussions of this t</w:t>
      </w:r>
      <w:r w:rsidR="00B17A2A" w:rsidRPr="00B17A2A">
        <w:rPr>
          <w:shd w:val="clear" w:color="auto" w:fill="FFFFFF"/>
        </w:rPr>
        <w:t>opic; how the police became armed, the current policies being used to handle this issue, international comparisons of police use of arms, and also the key debates that have taken place, specifically regarding whether there should be more police armament and should the police carry guns. The third section will then show and explain the methods that w</w:t>
      </w:r>
      <w:r w:rsidR="007E2031">
        <w:rPr>
          <w:shd w:val="clear" w:color="auto" w:fill="FFFFFF"/>
        </w:rPr>
        <w:t>ere</w:t>
      </w:r>
      <w:r w:rsidR="00B17A2A" w:rsidRPr="00B17A2A">
        <w:rPr>
          <w:shd w:val="clear" w:color="auto" w:fill="FFFFFF"/>
        </w:rPr>
        <w:t xml:space="preserve"> used in the literature review and the analysis of the gathered data. Then moving into section four, the data and results section, will provide an overview and synthesis of key themes, while evaluating the evidence with this helpful method. The </w:t>
      </w:r>
      <w:r>
        <w:rPr>
          <w:shd w:val="clear" w:color="auto" w:fill="FFFFFF"/>
        </w:rPr>
        <w:t>conclusion</w:t>
      </w:r>
      <w:r w:rsidR="003C42F9">
        <w:rPr>
          <w:shd w:val="clear" w:color="auto" w:fill="FFFFFF"/>
        </w:rPr>
        <w:t>s</w:t>
      </w:r>
      <w:r w:rsidR="00B17A2A" w:rsidRPr="00B17A2A">
        <w:rPr>
          <w:shd w:val="clear" w:color="auto" w:fill="FFFFFF"/>
        </w:rPr>
        <w:t xml:space="preserve"> will tie up the key findings and then address the research questions from the beginning and define arguments as to why some are valid and why some are not valid when considering the arguments posed on police community opinion, policing, and international differences. The final section will provide a framework for necessary policy changes, as well as a suggestion for useful future research in relation to the issues discussed </w:t>
      </w:r>
      <w:r w:rsidR="007E2031">
        <w:rPr>
          <w:shd w:val="clear" w:color="auto" w:fill="FFFFFF"/>
        </w:rPr>
        <w:t xml:space="preserve">in </w:t>
      </w:r>
      <w:r w:rsidR="00B17A2A" w:rsidRPr="00B17A2A">
        <w:rPr>
          <w:shd w:val="clear" w:color="auto" w:fill="FFFFFF"/>
        </w:rPr>
        <w:t xml:space="preserve">the whole paper. </w:t>
      </w:r>
    </w:p>
    <w:p w14:paraId="7FD3D2B3" w14:textId="77777777" w:rsidR="00D118E4" w:rsidRDefault="00D118E4" w:rsidP="00B17A2A">
      <w:pPr>
        <w:pStyle w:val="OBEBody"/>
        <w:rPr>
          <w:shd w:val="clear" w:color="auto" w:fill="FFFFFF"/>
        </w:rPr>
      </w:pPr>
    </w:p>
    <w:p w14:paraId="116B2D3A" w14:textId="77777777" w:rsidR="009D3747" w:rsidRDefault="009D3747" w:rsidP="00B17A2A">
      <w:pPr>
        <w:pStyle w:val="OBEBody"/>
        <w:rPr>
          <w:shd w:val="clear" w:color="auto" w:fill="FFFFFF"/>
        </w:rPr>
      </w:pPr>
    </w:p>
    <w:p w14:paraId="013ADD39" w14:textId="77777777" w:rsidR="009D3747" w:rsidRDefault="009D3747" w:rsidP="00B17A2A">
      <w:pPr>
        <w:pStyle w:val="OBEBody"/>
        <w:rPr>
          <w:shd w:val="clear" w:color="auto" w:fill="FFFFFF"/>
        </w:rPr>
      </w:pPr>
    </w:p>
    <w:p w14:paraId="672F3574" w14:textId="77777777" w:rsidR="009D3747" w:rsidRDefault="009D3747" w:rsidP="00B17A2A">
      <w:pPr>
        <w:pStyle w:val="OBEBody"/>
        <w:rPr>
          <w:shd w:val="clear" w:color="auto" w:fill="FFFFFF"/>
        </w:rPr>
      </w:pPr>
    </w:p>
    <w:p w14:paraId="65593E21" w14:textId="77777777" w:rsidR="000E343C" w:rsidRDefault="000E343C" w:rsidP="00B17A2A">
      <w:pPr>
        <w:pStyle w:val="OBEBody"/>
        <w:rPr>
          <w:shd w:val="clear" w:color="auto" w:fill="FFFFFF"/>
        </w:rPr>
      </w:pPr>
    </w:p>
    <w:p w14:paraId="4F96C16A" w14:textId="77777777" w:rsidR="000E343C" w:rsidRDefault="000E343C" w:rsidP="00B17A2A">
      <w:pPr>
        <w:pStyle w:val="OBEBody"/>
        <w:rPr>
          <w:shd w:val="clear" w:color="auto" w:fill="FFFFFF"/>
        </w:rPr>
      </w:pPr>
    </w:p>
    <w:p w14:paraId="467B9936" w14:textId="39043ADA" w:rsidR="0080771A" w:rsidRDefault="00106E27" w:rsidP="0080771A">
      <w:pPr>
        <w:pStyle w:val="OBESubtitle1sttier"/>
      </w:pPr>
      <w:bookmarkStart w:id="2" w:name="_Toc175647941"/>
      <w:r w:rsidRPr="00106E27">
        <w:lastRenderedPageBreak/>
        <w:t>Literature Review</w:t>
      </w:r>
      <w:bookmarkStart w:id="3" w:name="_Toc175647942"/>
      <w:bookmarkEnd w:id="2"/>
    </w:p>
    <w:p w14:paraId="63F1AE65" w14:textId="73600A64" w:rsidR="00106E27" w:rsidRDefault="00106E27" w:rsidP="00737A26">
      <w:pPr>
        <w:pStyle w:val="OBESubtitle2ndtier"/>
      </w:pPr>
      <w:r w:rsidRPr="00106E27">
        <w:t>Historical Context of UK Police Armament Policies</w:t>
      </w:r>
      <w:bookmarkEnd w:id="3"/>
    </w:p>
    <w:p w14:paraId="35428107" w14:textId="77777777" w:rsidR="0080771A" w:rsidRPr="0080771A" w:rsidRDefault="0080771A" w:rsidP="0080771A">
      <w:pPr>
        <w:pStyle w:val="OBEBibliography"/>
        <w:spacing w:line="360" w:lineRule="auto"/>
      </w:pPr>
      <w:r w:rsidRPr="0080771A">
        <w:t>This chapter aims to explore and critically examine the key issues surrounding the ongoing debate about whether all UK police officers should be routinely armed. The primary objective is to provide an in-depth understanding of the historical, cultural, and practical factors that have shaped the UK’s traditionally unarmed approach to policing, while also addressing the evolving security threats that may necessitate a reevaluation of this policy. In particular, the review will highlight the unique context of Wales, considering its regional policing dynamics, community relations, and distinct identity within the broader UK framework.</w:t>
      </w:r>
    </w:p>
    <w:p w14:paraId="535CB392" w14:textId="77777777" w:rsidR="0080771A" w:rsidRPr="0080771A" w:rsidRDefault="0080771A" w:rsidP="0080771A">
      <w:pPr>
        <w:pStyle w:val="OBEBibliography"/>
        <w:spacing w:line="360" w:lineRule="auto"/>
      </w:pPr>
      <w:r w:rsidRPr="0080771A">
        <w:t>The chapter will address several key questions: To what extent should the UK's historic commitment to 'policing by consent' influence current debates on armed policing? How have international policing models and comparative experiences from countries like the US, Norway, and New Zealand informed the UK’s approach? Furthermore, what role do public perception and community trust play in shaping policies regarding the arming of officers, particularly in Wales? Finally, it will explore the impact of contemporary security threats, such as terrorism and extremism, on the practical and policy considerations surrounding armed policing.</w:t>
      </w:r>
    </w:p>
    <w:p w14:paraId="2661D390" w14:textId="521D2173" w:rsidR="0080771A" w:rsidRPr="0080771A" w:rsidRDefault="0080771A" w:rsidP="0080771A">
      <w:pPr>
        <w:pStyle w:val="OBEBibliography"/>
        <w:spacing w:line="360" w:lineRule="auto"/>
      </w:pPr>
      <w:r w:rsidRPr="0080771A">
        <w:t>By reviewing existing literature on the subject, this chapter seeks to synthesize the arguments both for and against arming all UK police officers, and in doing so, assess the potential consequences of such a policy shift for officer safety, public trust, and community-police relations. This analysis will ultimately contribute to a broader understanding of whether the UK's current model of policing, including the Welsh context, can adequately address the evolving demands of modern law enforcement while maintaining the country’s long-standing policing principles.</w:t>
      </w:r>
    </w:p>
    <w:p w14:paraId="670E53B4" w14:textId="77777777" w:rsidR="0080771A" w:rsidRDefault="0080771A" w:rsidP="007E2031">
      <w:pPr>
        <w:pStyle w:val="OBEBibliography"/>
        <w:spacing w:line="360" w:lineRule="auto"/>
        <w:rPr>
          <w:rFonts w:asciiTheme="minorHAnsi" w:eastAsiaTheme="minorEastAsia" w:hAnsiTheme="minorHAnsi" w:cstheme="minorBidi"/>
          <w:color w:val="auto"/>
          <w:kern w:val="0"/>
          <w:lang w:val="en-GB"/>
        </w:rPr>
      </w:pPr>
    </w:p>
    <w:p w14:paraId="34C7C3EF" w14:textId="11A67204" w:rsidR="00BC1F7A" w:rsidRPr="00BC1F7A" w:rsidRDefault="00BC1F7A" w:rsidP="007E2031">
      <w:pPr>
        <w:pStyle w:val="OBEBibliography"/>
        <w:spacing w:line="360" w:lineRule="auto"/>
        <w:rPr>
          <w:rFonts w:asciiTheme="minorHAnsi" w:eastAsiaTheme="minorEastAsia" w:hAnsiTheme="minorHAnsi" w:cstheme="minorBidi"/>
          <w:color w:val="auto"/>
          <w:kern w:val="0"/>
          <w:lang w:val="en-GB"/>
        </w:rPr>
      </w:pPr>
      <w:r w:rsidRPr="00BC1F7A">
        <w:rPr>
          <w:rFonts w:asciiTheme="minorHAnsi" w:eastAsiaTheme="minorEastAsia" w:hAnsiTheme="minorHAnsi" w:cstheme="minorBidi"/>
          <w:color w:val="auto"/>
          <w:kern w:val="0"/>
          <w:lang w:val="en-GB"/>
        </w:rPr>
        <w:t xml:space="preserve">The idea of ‘policing by consent’, long a cornerstone of the UK’s philosophy of policing, is a product of history, and </w:t>
      </w:r>
      <w:proofErr w:type="gramStart"/>
      <w:r w:rsidRPr="00BC1F7A">
        <w:rPr>
          <w:rFonts w:asciiTheme="minorHAnsi" w:eastAsiaTheme="minorEastAsia" w:hAnsiTheme="minorHAnsi" w:cstheme="minorBidi"/>
          <w:color w:val="auto"/>
          <w:kern w:val="0"/>
          <w:lang w:val="en-GB"/>
        </w:rPr>
        <w:t>dates back to</w:t>
      </w:r>
      <w:proofErr w:type="gramEnd"/>
      <w:r w:rsidRPr="00BC1F7A">
        <w:rPr>
          <w:rFonts w:asciiTheme="minorHAnsi" w:eastAsiaTheme="minorEastAsia" w:hAnsiTheme="minorHAnsi" w:cstheme="minorBidi"/>
          <w:color w:val="auto"/>
          <w:kern w:val="0"/>
          <w:lang w:val="en-GB"/>
        </w:rPr>
        <w:t xml:space="preserve"> the establishment of the Metropolitan Police in London </w:t>
      </w:r>
      <w:r w:rsidRPr="00BC1F7A">
        <w:rPr>
          <w:rFonts w:asciiTheme="minorHAnsi" w:eastAsiaTheme="minorEastAsia" w:hAnsiTheme="minorHAnsi" w:cstheme="minorBidi"/>
          <w:color w:val="auto"/>
          <w:kern w:val="0"/>
          <w:lang w:val="en-GB"/>
        </w:rPr>
        <w:lastRenderedPageBreak/>
        <w:t xml:space="preserve">by Sir Robert Peel in 1829. As Reiner argued in 2010, Peel established the Metropolitan Police by emphasising the reliance of public consent on the vagaries of political will, and by ensuring that arming the new police would be seen as evidence of a repudiation of his model. That principle has remained foundational to British policing philosophy. As </w:t>
      </w:r>
      <w:r w:rsidR="00213092">
        <w:rPr>
          <w:rFonts w:asciiTheme="minorHAnsi" w:eastAsiaTheme="minorEastAsia" w:hAnsiTheme="minorHAnsi" w:cstheme="minorBidi"/>
          <w:color w:val="auto"/>
          <w:kern w:val="0"/>
          <w:lang w:val="en-GB"/>
        </w:rPr>
        <w:t>Holdaway (1995)</w:t>
      </w:r>
      <w:r w:rsidR="0080771A">
        <w:rPr>
          <w:rFonts w:asciiTheme="minorHAnsi" w:eastAsiaTheme="minorEastAsia" w:hAnsiTheme="minorHAnsi" w:cstheme="minorBidi"/>
          <w:color w:val="auto"/>
          <w:kern w:val="0"/>
          <w:lang w:val="en-GB"/>
        </w:rPr>
        <w:t xml:space="preserve"> &amp;</w:t>
      </w:r>
      <w:r w:rsidRPr="00BC1F7A">
        <w:rPr>
          <w:rFonts w:asciiTheme="minorHAnsi" w:eastAsiaTheme="minorEastAsia" w:hAnsiTheme="minorHAnsi" w:cstheme="minorBidi"/>
          <w:color w:val="auto"/>
          <w:kern w:val="0"/>
          <w:lang w:val="en-GB"/>
        </w:rPr>
        <w:t xml:space="preserve"> (2014) long history of policing in the UK shows, although the option to arm the police with firearms existed at the inception of policing, it was </w:t>
      </w:r>
      <w:r w:rsidR="00DB7956" w:rsidRPr="00DB7956">
        <w:rPr>
          <w:rFonts w:asciiTheme="minorHAnsi" w:eastAsiaTheme="minorEastAsia" w:hAnsiTheme="minorHAnsi" w:cstheme="minorBidi"/>
          <w:color w:val="auto"/>
          <w:kern w:val="0"/>
          <w:lang w:val="en-GB"/>
        </w:rPr>
        <w:t>political</w:t>
      </w:r>
      <w:r w:rsidR="00836B59">
        <w:rPr>
          <w:rFonts w:asciiTheme="minorHAnsi" w:eastAsiaTheme="minorEastAsia" w:hAnsiTheme="minorHAnsi" w:cstheme="minorBidi"/>
          <w:color w:val="auto"/>
          <w:kern w:val="0"/>
          <w:lang w:val="en-GB"/>
        </w:rPr>
        <w:t>ly</w:t>
      </w:r>
      <w:r w:rsidR="00DB7956" w:rsidRPr="00DB7956">
        <w:rPr>
          <w:rFonts w:asciiTheme="minorHAnsi" w:eastAsiaTheme="minorEastAsia" w:hAnsiTheme="minorHAnsi" w:cstheme="minorBidi"/>
          <w:color w:val="auto"/>
          <w:kern w:val="0"/>
          <w:lang w:val="en-GB"/>
        </w:rPr>
        <w:t xml:space="preserve"> magmatic </w:t>
      </w:r>
      <w:r w:rsidRPr="00BC1F7A">
        <w:rPr>
          <w:rFonts w:asciiTheme="minorHAnsi" w:eastAsiaTheme="minorEastAsia" w:hAnsiTheme="minorHAnsi" w:cstheme="minorBidi"/>
          <w:color w:val="auto"/>
          <w:kern w:val="0"/>
          <w:lang w:val="en-GB"/>
        </w:rPr>
        <w:t>as well as normative purposes: policing was intended to be distinguishable from the military, as police should</w:t>
      </w:r>
      <w:r w:rsidR="00836B59">
        <w:rPr>
          <w:rFonts w:asciiTheme="minorHAnsi" w:eastAsiaTheme="minorEastAsia" w:hAnsiTheme="minorHAnsi" w:cstheme="minorBidi"/>
          <w:color w:val="auto"/>
          <w:kern w:val="0"/>
          <w:lang w:val="en-GB"/>
        </w:rPr>
        <w:t xml:space="preserve"> no</w:t>
      </w:r>
      <w:r w:rsidRPr="00BC1F7A">
        <w:rPr>
          <w:rFonts w:asciiTheme="minorHAnsi" w:eastAsiaTheme="minorEastAsia" w:hAnsiTheme="minorHAnsi" w:cstheme="minorBidi"/>
          <w:color w:val="auto"/>
          <w:kern w:val="0"/>
          <w:lang w:val="en-GB"/>
        </w:rPr>
        <w:t xml:space="preserve">t be encouraged to escalate the violence of encounters with </w:t>
      </w:r>
      <w:r w:rsidR="008629D6">
        <w:rPr>
          <w:rFonts w:asciiTheme="minorHAnsi" w:eastAsiaTheme="minorEastAsia" w:hAnsiTheme="minorHAnsi" w:cstheme="minorBidi"/>
          <w:color w:val="auto"/>
          <w:kern w:val="0"/>
          <w:lang w:val="en-GB"/>
        </w:rPr>
        <w:t>potential offender/s</w:t>
      </w:r>
      <w:r w:rsidRPr="00BC1F7A">
        <w:rPr>
          <w:rFonts w:asciiTheme="minorHAnsi" w:eastAsiaTheme="minorEastAsia" w:hAnsiTheme="minorHAnsi" w:cstheme="minorBidi"/>
          <w:color w:val="auto"/>
          <w:kern w:val="0"/>
          <w:lang w:val="en-GB"/>
        </w:rPr>
        <w:t>.</w:t>
      </w:r>
    </w:p>
    <w:p w14:paraId="2ED15B30" w14:textId="030B3181" w:rsidR="00BC1F7A" w:rsidRPr="00BC1F7A" w:rsidRDefault="00BC1F7A" w:rsidP="007E2031">
      <w:pPr>
        <w:pStyle w:val="OBEBibliography"/>
        <w:spacing w:line="360" w:lineRule="auto"/>
        <w:rPr>
          <w:rFonts w:asciiTheme="minorHAnsi" w:eastAsiaTheme="minorEastAsia" w:hAnsiTheme="minorHAnsi" w:cstheme="minorBidi"/>
          <w:color w:val="auto"/>
          <w:kern w:val="0"/>
          <w:lang w:val="en-GB"/>
        </w:rPr>
      </w:pPr>
      <w:r w:rsidRPr="00BC1F7A">
        <w:rPr>
          <w:rFonts w:asciiTheme="minorHAnsi" w:eastAsiaTheme="minorEastAsia" w:hAnsiTheme="minorHAnsi" w:cstheme="minorBidi"/>
          <w:color w:val="auto"/>
          <w:kern w:val="0"/>
          <w:lang w:val="en-GB"/>
        </w:rPr>
        <w:t>The history of modern-day armed policing in the UK has undoubtedly been shaped by major historical incidents and evolving threats. Jennings et al (2021) explain how armed response units began to emerge in the 1960s, following rising gun crime and, the evolving threat of IRA terrorism. This period in the history of British policing was a pivotal one, and required the police to balance their traditional, unarmed approach, with an increased need for security measures.</w:t>
      </w:r>
      <w:r w:rsidR="008629D6">
        <w:rPr>
          <w:rFonts w:asciiTheme="minorHAnsi" w:eastAsiaTheme="minorEastAsia" w:hAnsiTheme="minorHAnsi" w:cstheme="minorBidi"/>
          <w:color w:val="auto"/>
          <w:kern w:val="0"/>
          <w:lang w:val="en-GB"/>
        </w:rPr>
        <w:t xml:space="preserve"> </w:t>
      </w:r>
      <w:r w:rsidRPr="00BC1F7A">
        <w:rPr>
          <w:rFonts w:asciiTheme="minorHAnsi" w:eastAsiaTheme="minorEastAsia" w:hAnsiTheme="minorHAnsi" w:cstheme="minorBidi"/>
          <w:color w:val="auto"/>
          <w:kern w:val="0"/>
          <w:lang w:val="en-GB"/>
        </w:rPr>
        <w:t xml:space="preserve">As </w:t>
      </w:r>
      <w:r w:rsidR="00F1183D">
        <w:rPr>
          <w:rFonts w:asciiTheme="minorHAnsi" w:eastAsiaTheme="minorEastAsia" w:hAnsiTheme="minorHAnsi" w:cstheme="minorBidi"/>
          <w:color w:val="auto"/>
          <w:kern w:val="0"/>
          <w:lang w:val="en-GB"/>
        </w:rPr>
        <w:t>Jarvis</w:t>
      </w:r>
      <w:r w:rsidRPr="00BC1F7A">
        <w:rPr>
          <w:rFonts w:asciiTheme="minorHAnsi" w:eastAsiaTheme="minorEastAsia" w:hAnsiTheme="minorHAnsi" w:cstheme="minorBidi"/>
          <w:color w:val="auto"/>
          <w:kern w:val="0"/>
          <w:lang w:val="en-GB"/>
        </w:rPr>
        <w:t xml:space="preserve"> (</w:t>
      </w:r>
      <w:r w:rsidR="00F1183D">
        <w:rPr>
          <w:rFonts w:asciiTheme="minorHAnsi" w:eastAsiaTheme="minorEastAsia" w:hAnsiTheme="minorHAnsi" w:cstheme="minorBidi"/>
          <w:color w:val="auto"/>
          <w:kern w:val="0"/>
          <w:lang w:val="en-GB"/>
        </w:rPr>
        <w:t>2019</w:t>
      </w:r>
      <w:r w:rsidRPr="00BC1F7A">
        <w:rPr>
          <w:rFonts w:asciiTheme="minorHAnsi" w:eastAsiaTheme="minorEastAsia" w:hAnsiTheme="minorHAnsi" w:cstheme="minorBidi"/>
          <w:color w:val="auto"/>
          <w:kern w:val="0"/>
          <w:lang w:val="en-GB"/>
        </w:rPr>
        <w:t xml:space="preserve">) reported, the threat of IRA violence, particularly in the 1970s and </w:t>
      </w:r>
      <w:r w:rsidR="008629D6">
        <w:rPr>
          <w:rFonts w:asciiTheme="minorHAnsi" w:eastAsiaTheme="minorEastAsia" w:hAnsiTheme="minorHAnsi" w:cstheme="minorBidi"/>
          <w:color w:val="auto"/>
          <w:kern w:val="0"/>
          <w:lang w:val="en-GB"/>
        </w:rPr>
        <w:t>19</w:t>
      </w:r>
      <w:r w:rsidRPr="00BC1F7A">
        <w:rPr>
          <w:rFonts w:asciiTheme="minorHAnsi" w:eastAsiaTheme="minorEastAsia" w:hAnsiTheme="minorHAnsi" w:cstheme="minorBidi"/>
          <w:color w:val="auto"/>
          <w:kern w:val="0"/>
          <w:lang w:val="en-GB"/>
        </w:rPr>
        <w:t>80s, prompted significant rebalancing of police procedure and armament. As Squires and Kenniso</w:t>
      </w:r>
      <w:r w:rsidR="008629D6">
        <w:rPr>
          <w:rFonts w:asciiTheme="minorHAnsi" w:eastAsiaTheme="minorEastAsia" w:hAnsiTheme="minorHAnsi" w:cstheme="minorBidi"/>
          <w:color w:val="auto"/>
          <w:kern w:val="0"/>
          <w:lang w:val="en-GB"/>
        </w:rPr>
        <w:t>n (</w:t>
      </w:r>
      <w:r w:rsidRPr="00BC1F7A">
        <w:rPr>
          <w:rFonts w:asciiTheme="minorHAnsi" w:eastAsiaTheme="minorEastAsia" w:hAnsiTheme="minorHAnsi" w:cstheme="minorBidi"/>
          <w:color w:val="auto"/>
          <w:kern w:val="0"/>
          <w:lang w:val="en-GB"/>
        </w:rPr>
        <w:t xml:space="preserve">2022) adopted, the emergence of specialist firearms units in this period represented a pragmatic response to new security threats. Welsh policing broadly mirrored the trajectory of its English counterparts but retained certain distinct characteristics. As Jones (2018) notes, slower rates of urbanisation and distinctive cultural identity had an impact on the development of police forces in Wales, resulting in a more localised model that, while also changing, persisted longer than in England. This has left a lasting influence on community-police relations </w:t>
      </w:r>
      <w:r w:rsidR="0051353D">
        <w:rPr>
          <w:rFonts w:asciiTheme="minorHAnsi" w:eastAsiaTheme="minorEastAsia" w:hAnsiTheme="minorHAnsi" w:cstheme="minorBidi"/>
          <w:color w:val="auto"/>
          <w:kern w:val="0"/>
          <w:lang w:val="en-GB"/>
        </w:rPr>
        <w:t xml:space="preserve">and </w:t>
      </w:r>
      <w:r w:rsidRPr="00BC1F7A">
        <w:rPr>
          <w:rFonts w:asciiTheme="minorHAnsi" w:eastAsiaTheme="minorEastAsia" w:hAnsiTheme="minorHAnsi" w:cstheme="minorBidi"/>
          <w:color w:val="auto"/>
          <w:kern w:val="0"/>
          <w:lang w:val="en-GB"/>
        </w:rPr>
        <w:t>armed policing.</w:t>
      </w:r>
    </w:p>
    <w:p w14:paraId="1FFEA515" w14:textId="5F76DD21" w:rsidR="00BC1F7A" w:rsidRPr="00BC1F7A" w:rsidRDefault="00BC1F7A" w:rsidP="0051353D">
      <w:pPr>
        <w:pStyle w:val="OBEBibliography"/>
        <w:spacing w:line="360" w:lineRule="auto"/>
        <w:rPr>
          <w:rFonts w:asciiTheme="minorHAnsi" w:eastAsiaTheme="minorEastAsia" w:hAnsiTheme="minorHAnsi" w:cstheme="minorBidi"/>
          <w:color w:val="auto"/>
          <w:kern w:val="0"/>
          <w:lang w:val="en-GB"/>
        </w:rPr>
      </w:pPr>
      <w:r w:rsidRPr="00BC1F7A">
        <w:rPr>
          <w:rFonts w:asciiTheme="minorHAnsi" w:eastAsiaTheme="minorEastAsia" w:hAnsiTheme="minorHAnsi" w:cstheme="minorBidi"/>
          <w:color w:val="auto"/>
          <w:kern w:val="0"/>
          <w:lang w:val="en-GB"/>
        </w:rPr>
        <w:t>Recent devolution shifts in policing practice in Wales have further reshaped the nature of policing</w:t>
      </w:r>
      <w:r w:rsidR="005D26AC">
        <w:rPr>
          <w:rFonts w:asciiTheme="minorHAnsi" w:eastAsiaTheme="minorEastAsia" w:hAnsiTheme="minorHAnsi" w:cstheme="minorBidi"/>
          <w:color w:val="auto"/>
          <w:kern w:val="0"/>
          <w:lang w:val="en-GB"/>
        </w:rPr>
        <w:t xml:space="preserve">. </w:t>
      </w:r>
      <w:r w:rsidRPr="00BC1F7A">
        <w:rPr>
          <w:rFonts w:asciiTheme="minorHAnsi" w:eastAsiaTheme="minorEastAsia" w:hAnsiTheme="minorHAnsi" w:cstheme="minorBidi"/>
          <w:color w:val="auto"/>
          <w:kern w:val="0"/>
          <w:lang w:val="en-GB"/>
        </w:rPr>
        <w:t xml:space="preserve">Jones and Lister (2019) suggest that, </w:t>
      </w:r>
      <w:proofErr w:type="gramStart"/>
      <w:r w:rsidRPr="00BC1F7A">
        <w:rPr>
          <w:rFonts w:asciiTheme="minorHAnsi" w:eastAsiaTheme="minorEastAsia" w:hAnsiTheme="minorHAnsi" w:cstheme="minorBidi"/>
          <w:color w:val="auto"/>
          <w:kern w:val="0"/>
          <w:lang w:val="en-GB"/>
        </w:rPr>
        <w:t>on the whole</w:t>
      </w:r>
      <w:proofErr w:type="gramEnd"/>
      <w:r w:rsidRPr="00BC1F7A">
        <w:rPr>
          <w:rFonts w:asciiTheme="minorHAnsi" w:eastAsiaTheme="minorEastAsia" w:hAnsiTheme="minorHAnsi" w:cstheme="minorBidi"/>
          <w:color w:val="auto"/>
          <w:kern w:val="0"/>
          <w:lang w:val="en-GB"/>
        </w:rPr>
        <w:t xml:space="preserve">, the Welsh police mirror the English in terms of their structures and approaches – but that there is also an increasing emphasis on community-focused practices that reflect Welsh identity and cultural values. </w:t>
      </w:r>
      <w:r w:rsidR="00B17EDE">
        <w:rPr>
          <w:rFonts w:asciiTheme="minorHAnsi" w:eastAsiaTheme="minorEastAsia" w:hAnsiTheme="minorHAnsi" w:cstheme="minorBidi"/>
          <w:color w:val="auto"/>
          <w:kern w:val="0"/>
          <w:lang w:val="en-GB"/>
        </w:rPr>
        <w:t>Abraham &amp;</w:t>
      </w:r>
      <w:r w:rsidR="00B17EDE" w:rsidRPr="00B17EDE">
        <w:rPr>
          <w:rFonts w:asciiTheme="minorHAnsi" w:eastAsiaTheme="minorEastAsia" w:hAnsiTheme="minorHAnsi" w:cstheme="minorBidi"/>
        </w:rPr>
        <w:t xml:space="preserve"> Ceccato</w:t>
      </w:r>
      <w:r w:rsidR="00B17EDE">
        <w:rPr>
          <w:rFonts w:asciiTheme="minorHAnsi" w:eastAsiaTheme="minorEastAsia" w:hAnsiTheme="minorHAnsi" w:cstheme="minorBidi"/>
        </w:rPr>
        <w:t xml:space="preserve">’s </w:t>
      </w:r>
      <w:r w:rsidR="00B17EDE" w:rsidRPr="00B17EDE">
        <w:rPr>
          <w:rFonts w:asciiTheme="minorHAnsi" w:eastAsiaTheme="minorEastAsia" w:hAnsiTheme="minorHAnsi" w:cstheme="minorBidi"/>
        </w:rPr>
        <w:t xml:space="preserve">(2022) </w:t>
      </w:r>
      <w:r w:rsidRPr="00BC1F7A">
        <w:rPr>
          <w:rFonts w:asciiTheme="minorHAnsi" w:eastAsiaTheme="minorEastAsia" w:hAnsiTheme="minorHAnsi" w:cstheme="minorBidi"/>
          <w:color w:val="auto"/>
          <w:kern w:val="0"/>
          <w:lang w:val="en-GB"/>
        </w:rPr>
        <w:t xml:space="preserve">account of the emergence of ‘special firearms units’ among Welsh constabularies in the 1970s and ’80s reveals a complex public reaction. In essence, the </w:t>
      </w:r>
      <w:r w:rsidRPr="00BC1F7A">
        <w:rPr>
          <w:rFonts w:asciiTheme="minorHAnsi" w:eastAsiaTheme="minorEastAsia" w:hAnsiTheme="minorHAnsi" w:cstheme="minorBidi"/>
          <w:color w:val="auto"/>
          <w:kern w:val="0"/>
          <w:lang w:val="en-GB"/>
        </w:rPr>
        <w:lastRenderedPageBreak/>
        <w:t>appetite for some specialist armed policing was largely accepted by local communities, but at the same time</w:t>
      </w:r>
      <w:r w:rsidR="0051353D">
        <w:rPr>
          <w:rFonts w:asciiTheme="minorHAnsi" w:eastAsiaTheme="minorEastAsia" w:hAnsiTheme="minorHAnsi" w:cstheme="minorBidi"/>
          <w:color w:val="auto"/>
          <w:kern w:val="0"/>
          <w:lang w:val="en-GB"/>
        </w:rPr>
        <w:t>,</w:t>
      </w:r>
      <w:r w:rsidRPr="00BC1F7A">
        <w:rPr>
          <w:rFonts w:asciiTheme="minorHAnsi" w:eastAsiaTheme="minorEastAsia" w:hAnsiTheme="minorHAnsi" w:cstheme="minorBidi"/>
          <w:color w:val="auto"/>
          <w:kern w:val="0"/>
          <w:lang w:val="en-GB"/>
        </w:rPr>
        <w:t xml:space="preserve"> there was a reluctance to see overly militarised policing on the streets</w:t>
      </w:r>
      <w:r w:rsidR="00CB4107">
        <w:rPr>
          <w:rFonts w:asciiTheme="minorHAnsi" w:eastAsiaTheme="minorEastAsia" w:hAnsiTheme="minorHAnsi" w:cstheme="minorBidi"/>
          <w:color w:val="auto"/>
          <w:kern w:val="0"/>
          <w:lang w:val="en-GB"/>
        </w:rPr>
        <w:t>.</w:t>
      </w:r>
    </w:p>
    <w:p w14:paraId="35AAB74B" w14:textId="6E0E2ED4" w:rsidR="00BC1F7A" w:rsidRDefault="00CB4107" w:rsidP="00BC1F7A">
      <w:pPr>
        <w:pStyle w:val="OBEBibliography"/>
        <w:spacing w:line="360" w:lineRule="auto"/>
        <w:rPr>
          <w:rFonts w:asciiTheme="minorHAnsi" w:eastAsiaTheme="minorEastAsia" w:hAnsiTheme="minorHAnsi" w:cstheme="minorBidi"/>
          <w:color w:val="auto"/>
          <w:kern w:val="0"/>
          <w:lang w:val="en-GB"/>
        </w:rPr>
      </w:pPr>
      <w:r>
        <w:rPr>
          <w:rFonts w:asciiTheme="minorHAnsi" w:eastAsiaTheme="minorEastAsia" w:hAnsiTheme="minorHAnsi" w:cstheme="minorBidi"/>
          <w:color w:val="auto"/>
          <w:kern w:val="0"/>
          <w:lang w:val="en-GB"/>
        </w:rPr>
        <w:t>However,</w:t>
      </w:r>
      <w:r w:rsidR="00BC1F7A" w:rsidRPr="00BC1F7A">
        <w:rPr>
          <w:rFonts w:asciiTheme="minorHAnsi" w:eastAsiaTheme="minorEastAsia" w:hAnsiTheme="minorHAnsi" w:cstheme="minorBidi"/>
          <w:color w:val="auto"/>
          <w:kern w:val="0"/>
          <w:lang w:val="en-GB"/>
        </w:rPr>
        <w:t xml:space="preserve"> as the debate on arming police </w:t>
      </w:r>
      <w:r>
        <w:rPr>
          <w:rFonts w:asciiTheme="minorHAnsi" w:eastAsiaTheme="minorEastAsia" w:hAnsiTheme="minorHAnsi" w:cstheme="minorBidi"/>
          <w:color w:val="auto"/>
          <w:kern w:val="0"/>
          <w:lang w:val="en-GB"/>
        </w:rPr>
        <w:t>in the UK</w:t>
      </w:r>
      <w:r w:rsidR="00BC1F7A" w:rsidRPr="00BC1F7A">
        <w:rPr>
          <w:rFonts w:asciiTheme="minorHAnsi" w:eastAsiaTheme="minorEastAsia" w:hAnsiTheme="minorHAnsi" w:cstheme="minorBidi"/>
          <w:color w:val="auto"/>
          <w:kern w:val="0"/>
          <w:lang w:val="en-GB"/>
        </w:rPr>
        <w:t xml:space="preserve"> – and in Wales in particular – continues, it’s clear that any shift away from unarmed policing </w:t>
      </w:r>
      <w:proofErr w:type="gramStart"/>
      <w:r w:rsidR="00BC1F7A" w:rsidRPr="00BC1F7A">
        <w:rPr>
          <w:rFonts w:asciiTheme="minorHAnsi" w:eastAsiaTheme="minorEastAsia" w:hAnsiTheme="minorHAnsi" w:cstheme="minorBidi"/>
          <w:color w:val="auto"/>
          <w:kern w:val="0"/>
          <w:lang w:val="en-GB"/>
        </w:rPr>
        <w:t>has to</w:t>
      </w:r>
      <w:proofErr w:type="gramEnd"/>
      <w:r w:rsidR="00BC1F7A" w:rsidRPr="00BC1F7A">
        <w:rPr>
          <w:rFonts w:asciiTheme="minorHAnsi" w:eastAsiaTheme="minorEastAsia" w:hAnsiTheme="minorHAnsi" w:cstheme="minorBidi"/>
          <w:color w:val="auto"/>
          <w:kern w:val="0"/>
          <w:lang w:val="en-GB"/>
        </w:rPr>
        <w:t xml:space="preserve"> consider the legacy of a historical defence of this style of policing, the reality of current security threats, and the place of each region in the UK and its cultural traditions. The trick will be to stay faithful to the fundamentals of British policing while keeping up with the security demands of the 21st century.</w:t>
      </w:r>
    </w:p>
    <w:p w14:paraId="2AB58783" w14:textId="1E72D038" w:rsidR="00106E27" w:rsidRPr="00106E27" w:rsidRDefault="00106E27" w:rsidP="00737A26">
      <w:pPr>
        <w:pStyle w:val="OBESubtitle2ndtier"/>
        <w:rPr>
          <w:rFonts w:asciiTheme="minorHAnsi" w:hAnsiTheme="minorHAnsi" w:cstheme="minorBidi"/>
          <w:color w:val="auto"/>
        </w:rPr>
      </w:pPr>
      <w:bookmarkStart w:id="4" w:name="_Toc175647943"/>
      <w:r w:rsidRPr="00106E27">
        <w:t>Current Policies and Practices in the UK</w:t>
      </w:r>
      <w:bookmarkEnd w:id="4"/>
    </w:p>
    <w:p w14:paraId="5BC62EF1" w14:textId="1AB23146" w:rsidR="00C017AF" w:rsidRPr="00C017AF" w:rsidRDefault="00C017AF" w:rsidP="0051353D">
      <w:pPr>
        <w:pStyle w:val="OBEBibliography"/>
        <w:spacing w:line="360" w:lineRule="auto"/>
        <w:rPr>
          <w:rFonts w:asciiTheme="minorHAnsi" w:eastAsiaTheme="minorEastAsia" w:hAnsiTheme="minorHAnsi" w:cstheme="minorBidi"/>
          <w:color w:val="auto"/>
          <w:kern w:val="0"/>
          <w:lang w:val="en-GB"/>
        </w:rPr>
      </w:pPr>
      <w:r w:rsidRPr="00C017AF">
        <w:rPr>
          <w:rFonts w:asciiTheme="minorHAnsi" w:eastAsiaTheme="minorEastAsia" w:hAnsiTheme="minorHAnsi" w:cstheme="minorBidi"/>
          <w:color w:val="auto"/>
          <w:kern w:val="0"/>
          <w:lang w:val="en-GB"/>
        </w:rPr>
        <w:t>The UK's commitment to unarmed policing continues to shape contemporary policies, with the National Police Chiefs' Council (2024) reporting that only 5% of officers in England and Wales are authori</w:t>
      </w:r>
      <w:r w:rsidR="0051353D">
        <w:rPr>
          <w:rFonts w:asciiTheme="minorHAnsi" w:eastAsiaTheme="minorEastAsia" w:hAnsiTheme="minorHAnsi" w:cstheme="minorBidi"/>
          <w:color w:val="auto"/>
          <w:kern w:val="0"/>
          <w:lang w:val="en-GB"/>
        </w:rPr>
        <w:t>s</w:t>
      </w:r>
      <w:r w:rsidRPr="00C017AF">
        <w:rPr>
          <w:rFonts w:asciiTheme="minorHAnsi" w:eastAsiaTheme="minorEastAsia" w:hAnsiTheme="minorHAnsi" w:cstheme="minorBidi"/>
          <w:color w:val="auto"/>
          <w:kern w:val="0"/>
          <w:lang w:val="en-GB"/>
        </w:rPr>
        <w:t>ed firearms carriers</w:t>
      </w:r>
      <w:r w:rsidR="0080771A">
        <w:rPr>
          <w:rFonts w:asciiTheme="minorHAnsi" w:eastAsiaTheme="minorEastAsia" w:hAnsiTheme="minorHAnsi" w:cstheme="minorBidi"/>
          <w:color w:val="auto"/>
          <w:kern w:val="0"/>
          <w:lang w:val="en-GB"/>
        </w:rPr>
        <w:t>, this is not including those authorised to carry taser which under law is classed as a section 5 firearm</w:t>
      </w:r>
      <w:r w:rsidRPr="00C017AF">
        <w:rPr>
          <w:rFonts w:asciiTheme="minorHAnsi" w:eastAsiaTheme="minorEastAsia" w:hAnsiTheme="minorHAnsi" w:cstheme="minorBidi"/>
          <w:color w:val="auto"/>
          <w:kern w:val="0"/>
          <w:lang w:val="en-GB"/>
        </w:rPr>
        <w:t>. This statistic underscores the enduring principle of minimum force in British policing, even as the security landscape evolves.</w:t>
      </w:r>
    </w:p>
    <w:p w14:paraId="73FF85E4" w14:textId="77777777" w:rsidR="00C017AF" w:rsidRPr="00C017AF" w:rsidRDefault="00C017AF" w:rsidP="00C017AF">
      <w:pPr>
        <w:pStyle w:val="OBEBibliography"/>
        <w:spacing w:line="360" w:lineRule="auto"/>
        <w:rPr>
          <w:rFonts w:asciiTheme="minorHAnsi" w:eastAsiaTheme="minorEastAsia" w:hAnsiTheme="minorHAnsi" w:cstheme="minorBidi"/>
          <w:color w:val="auto"/>
          <w:kern w:val="0"/>
          <w:lang w:val="en-GB"/>
        </w:rPr>
      </w:pPr>
      <w:r w:rsidRPr="00C017AF">
        <w:rPr>
          <w:rFonts w:asciiTheme="minorHAnsi" w:eastAsiaTheme="minorEastAsia" w:hAnsiTheme="minorHAnsi" w:cstheme="minorBidi"/>
          <w:color w:val="auto"/>
          <w:kern w:val="0"/>
          <w:lang w:val="en-GB"/>
        </w:rPr>
        <w:t>The Home Office's (2024) report on police use of firearms provides critical insights into current practices. In 2023/2024, there were 18,259 armed operations in England and Wales, marking a 3% increase from the previous year. However, firearms were discharged in only 10 incidents, representing a decrease from the prior year. This data suggests an expansion of armed response capability coupled with a continued rarity in the use of lethal force, aligning with traditional UK policing principles.</w:t>
      </w:r>
    </w:p>
    <w:p w14:paraId="6C71F289" w14:textId="3F25DCAA" w:rsidR="00C017AF" w:rsidRPr="00C017AF" w:rsidRDefault="00C017AF" w:rsidP="00C017AF">
      <w:pPr>
        <w:pStyle w:val="OBEBibliography"/>
        <w:spacing w:line="360" w:lineRule="auto"/>
        <w:rPr>
          <w:rFonts w:asciiTheme="minorHAnsi" w:eastAsiaTheme="minorEastAsia" w:hAnsiTheme="minorHAnsi" w:cstheme="minorBidi"/>
          <w:color w:val="auto"/>
          <w:kern w:val="0"/>
          <w:lang w:val="en-GB"/>
        </w:rPr>
      </w:pPr>
      <w:r w:rsidRPr="00C017AF">
        <w:rPr>
          <w:rFonts w:asciiTheme="minorHAnsi" w:eastAsiaTheme="minorEastAsia" w:hAnsiTheme="minorHAnsi" w:cstheme="minorBidi"/>
          <w:color w:val="auto"/>
          <w:kern w:val="0"/>
          <w:lang w:val="en-GB"/>
        </w:rPr>
        <w:t>Bacon's (2022) analysis of the UK's tiered response system reveals a nuanced approach to modern policing challenges. This system, which incorporates non-lethal equipment for most officers, Taser-trained units, and speciali</w:t>
      </w:r>
      <w:r w:rsidR="00905D00">
        <w:rPr>
          <w:rFonts w:asciiTheme="minorHAnsi" w:eastAsiaTheme="minorEastAsia" w:hAnsiTheme="minorHAnsi" w:cstheme="minorBidi"/>
          <w:color w:val="auto"/>
          <w:kern w:val="0"/>
          <w:lang w:val="en-GB"/>
        </w:rPr>
        <w:t>s</w:t>
      </w:r>
      <w:r w:rsidRPr="00C017AF">
        <w:rPr>
          <w:rFonts w:asciiTheme="minorHAnsi" w:eastAsiaTheme="minorEastAsia" w:hAnsiTheme="minorHAnsi" w:cstheme="minorBidi"/>
          <w:color w:val="auto"/>
          <w:kern w:val="0"/>
          <w:lang w:val="en-GB"/>
        </w:rPr>
        <w:t>ed firearms teams, exemplifies the balance between effective threat response and the preservation of unarmed policing traditions.</w:t>
      </w:r>
    </w:p>
    <w:p w14:paraId="3F9A3C86" w14:textId="5214FE72" w:rsidR="00C017AF" w:rsidRPr="00C017AF" w:rsidRDefault="00C017AF" w:rsidP="00905D00">
      <w:pPr>
        <w:pStyle w:val="OBEBibliography"/>
        <w:spacing w:line="360" w:lineRule="auto"/>
        <w:rPr>
          <w:rFonts w:asciiTheme="minorHAnsi" w:eastAsiaTheme="minorEastAsia" w:hAnsiTheme="minorHAnsi" w:cstheme="minorBidi"/>
          <w:color w:val="auto"/>
          <w:kern w:val="0"/>
          <w:lang w:val="en-GB"/>
        </w:rPr>
      </w:pPr>
      <w:r w:rsidRPr="00C017AF">
        <w:rPr>
          <w:rFonts w:asciiTheme="minorHAnsi" w:eastAsiaTheme="minorEastAsia" w:hAnsiTheme="minorHAnsi" w:cstheme="minorBidi"/>
          <w:color w:val="auto"/>
          <w:kern w:val="0"/>
          <w:lang w:val="en-GB"/>
        </w:rPr>
        <w:t>In Wales, the implementation of these policies takes on distinct characteristics. The Welsh Government's (2024) policing statement emphasi</w:t>
      </w:r>
      <w:r w:rsidR="00905D00">
        <w:rPr>
          <w:rFonts w:asciiTheme="minorHAnsi" w:eastAsiaTheme="minorEastAsia" w:hAnsiTheme="minorHAnsi" w:cstheme="minorBidi"/>
          <w:color w:val="auto"/>
          <w:kern w:val="0"/>
          <w:lang w:val="en-GB"/>
        </w:rPr>
        <w:t>s</w:t>
      </w:r>
      <w:r w:rsidRPr="00C017AF">
        <w:rPr>
          <w:rFonts w:asciiTheme="minorHAnsi" w:eastAsiaTheme="minorEastAsia" w:hAnsiTheme="minorHAnsi" w:cstheme="minorBidi"/>
          <w:color w:val="auto"/>
          <w:kern w:val="0"/>
          <w:lang w:val="en-GB"/>
        </w:rPr>
        <w:t xml:space="preserve">es community-oriented approaches while ensuring readiness for serious threats. This policy stance reflects the unique Welsh context </w:t>
      </w:r>
      <w:r w:rsidRPr="00C017AF">
        <w:rPr>
          <w:rFonts w:asciiTheme="minorHAnsi" w:eastAsiaTheme="minorEastAsia" w:hAnsiTheme="minorHAnsi" w:cstheme="minorBidi"/>
          <w:color w:val="auto"/>
          <w:kern w:val="0"/>
          <w:lang w:val="en-GB"/>
        </w:rPr>
        <w:lastRenderedPageBreak/>
        <w:t>within the broader UK framework, as explored by Jones and Lister (2019) in their study of devolved policing strategies.</w:t>
      </w:r>
    </w:p>
    <w:p w14:paraId="610A985D" w14:textId="463F6A25" w:rsidR="00C017AF" w:rsidRPr="00E6232A" w:rsidRDefault="00E6232A" w:rsidP="00C017AF">
      <w:pPr>
        <w:pStyle w:val="OBEBibliography"/>
        <w:spacing w:line="360" w:lineRule="auto"/>
      </w:pPr>
      <w:r w:rsidRPr="00E6232A">
        <w:t>Rogers</w:t>
      </w:r>
      <w:r w:rsidR="00BC7C57">
        <w:t>’</w:t>
      </w:r>
      <w:r>
        <w:t xml:space="preserve"> (2</w:t>
      </w:r>
      <w:r w:rsidRPr="00E6232A">
        <w:t>013)</w:t>
      </w:r>
      <w:r w:rsidR="00C017AF" w:rsidRPr="00C017AF">
        <w:rPr>
          <w:rFonts w:asciiTheme="minorHAnsi" w:eastAsiaTheme="minorEastAsia" w:hAnsiTheme="minorHAnsi" w:cstheme="minorBidi"/>
          <w:color w:val="auto"/>
          <w:kern w:val="0"/>
          <w:lang w:val="en-GB"/>
        </w:rPr>
        <w:t xml:space="preserve"> research provides granular insights into regional variations across Wales, highlighting the adaptability of policing strategies to diverse urban and rural contexts. Their work demonstrates how local factors influence the application of national policies, a crucial consideration in the armed policing debate.</w:t>
      </w:r>
      <w:r w:rsidR="00C017AF">
        <w:rPr>
          <w:rFonts w:asciiTheme="minorHAnsi" w:eastAsiaTheme="minorEastAsia" w:hAnsiTheme="minorHAnsi" w:cstheme="minorBidi"/>
          <w:color w:val="auto"/>
          <w:kern w:val="0"/>
          <w:lang w:val="en-GB"/>
        </w:rPr>
        <w:t xml:space="preserve"> </w:t>
      </w:r>
      <w:r w:rsidR="00C017AF" w:rsidRPr="00C017AF">
        <w:rPr>
          <w:rFonts w:asciiTheme="minorHAnsi" w:eastAsiaTheme="minorEastAsia" w:hAnsiTheme="minorHAnsi" w:cstheme="minorBidi"/>
          <w:color w:val="auto"/>
          <w:kern w:val="0"/>
          <w:lang w:val="en-GB"/>
        </w:rPr>
        <w:t>Recent policy developments have further refined the UK's approach to armed policing. The College of Policing's (2023) updated guidelines on armed officer deployment emphasi</w:t>
      </w:r>
      <w:r w:rsidR="00BC7C57">
        <w:rPr>
          <w:rFonts w:asciiTheme="minorHAnsi" w:eastAsiaTheme="minorEastAsia" w:hAnsiTheme="minorHAnsi" w:cstheme="minorBidi"/>
          <w:color w:val="auto"/>
          <w:kern w:val="0"/>
          <w:lang w:val="en-GB"/>
        </w:rPr>
        <w:t>s</w:t>
      </w:r>
      <w:r w:rsidR="00C017AF" w:rsidRPr="00C017AF">
        <w:rPr>
          <w:rFonts w:asciiTheme="minorHAnsi" w:eastAsiaTheme="minorEastAsia" w:hAnsiTheme="minorHAnsi" w:cstheme="minorBidi"/>
          <w:color w:val="auto"/>
          <w:kern w:val="0"/>
          <w:lang w:val="en-GB"/>
        </w:rPr>
        <w:t>e de-escalation and situational awareness, reflecting ongoing efforts to minimi</w:t>
      </w:r>
      <w:r w:rsidR="00BC7C57">
        <w:rPr>
          <w:rFonts w:asciiTheme="minorHAnsi" w:eastAsiaTheme="minorEastAsia" w:hAnsiTheme="minorHAnsi" w:cstheme="minorBidi"/>
          <w:color w:val="auto"/>
          <w:kern w:val="0"/>
          <w:lang w:val="en-GB"/>
        </w:rPr>
        <w:t>s</w:t>
      </w:r>
      <w:r w:rsidR="00C017AF" w:rsidRPr="00C017AF">
        <w:rPr>
          <w:rFonts w:asciiTheme="minorHAnsi" w:eastAsiaTheme="minorEastAsia" w:hAnsiTheme="minorHAnsi" w:cstheme="minorBidi"/>
          <w:color w:val="auto"/>
          <w:kern w:val="0"/>
          <w:lang w:val="en-GB"/>
        </w:rPr>
        <w:t>e lethal force usage while maintaining necessary response capabilities.</w:t>
      </w:r>
    </w:p>
    <w:p w14:paraId="42C45842" w14:textId="7D93F100" w:rsidR="00C017AF" w:rsidRPr="00C017AF" w:rsidRDefault="00C017AF" w:rsidP="00C017AF">
      <w:pPr>
        <w:pStyle w:val="OBEBibliography"/>
        <w:spacing w:line="360" w:lineRule="auto"/>
        <w:rPr>
          <w:rFonts w:asciiTheme="minorHAnsi" w:eastAsiaTheme="minorEastAsia" w:hAnsiTheme="minorHAnsi" w:cstheme="minorBidi"/>
          <w:color w:val="auto"/>
          <w:kern w:val="0"/>
          <w:lang w:val="en-GB"/>
        </w:rPr>
      </w:pPr>
      <w:r w:rsidRPr="00C017AF">
        <w:rPr>
          <w:rFonts w:asciiTheme="minorHAnsi" w:eastAsiaTheme="minorEastAsia" w:hAnsiTheme="minorHAnsi" w:cstheme="minorBidi"/>
          <w:color w:val="auto"/>
          <w:kern w:val="0"/>
          <w:lang w:val="en-GB"/>
        </w:rPr>
        <w:t>Technological advancements have also impacted the armed policing landscape. Dymond's (2020) research on Taser adoption in the UK reveals that while these less-lethal options have been integrated into policing, they haven't significantly reduced the need for firearms units. This finding underscores the complex nature of use-of-force decisions in contemporary policing and the continued relevance of speciali</w:t>
      </w:r>
      <w:r w:rsidR="00494E90">
        <w:rPr>
          <w:rFonts w:asciiTheme="minorHAnsi" w:eastAsiaTheme="minorEastAsia" w:hAnsiTheme="minorHAnsi" w:cstheme="minorBidi"/>
          <w:color w:val="auto"/>
          <w:kern w:val="0"/>
          <w:lang w:val="en-GB"/>
        </w:rPr>
        <w:t>s</w:t>
      </w:r>
      <w:r w:rsidRPr="00C017AF">
        <w:rPr>
          <w:rFonts w:asciiTheme="minorHAnsi" w:eastAsiaTheme="minorEastAsia" w:hAnsiTheme="minorHAnsi" w:cstheme="minorBidi"/>
          <w:color w:val="auto"/>
          <w:kern w:val="0"/>
          <w:lang w:val="en-GB"/>
        </w:rPr>
        <w:t>ed firearms capabilities.</w:t>
      </w:r>
      <w:r w:rsidR="007D055A">
        <w:rPr>
          <w:rFonts w:asciiTheme="minorHAnsi" w:eastAsiaTheme="minorEastAsia" w:hAnsiTheme="minorHAnsi" w:cstheme="minorBidi"/>
          <w:color w:val="auto"/>
          <w:kern w:val="0"/>
          <w:lang w:val="en-GB"/>
        </w:rPr>
        <w:t xml:space="preserve"> </w:t>
      </w:r>
      <w:r w:rsidRPr="00C017AF">
        <w:rPr>
          <w:rFonts w:asciiTheme="minorHAnsi" w:eastAsiaTheme="minorEastAsia" w:hAnsiTheme="minorHAnsi" w:cstheme="minorBidi"/>
          <w:color w:val="auto"/>
          <w:kern w:val="0"/>
          <w:lang w:val="en-GB"/>
        </w:rPr>
        <w:t>The evolving threat landscape, particularly concerning terrorism, has influenced policy directions. As Staniforth (2022) notes in his analysis of UK counter-terrorism strategies, the need for rapid armed response capabilities has been balanced against the desire to maintain the overall unarmed nature of British policing. This delicate equilibrium is evident in the strategic deployment of Armed Response Vehicles (ARVs) and the formation of Counter Terrorism Specialist Firearms Officers (CTSFOs) in response to incidents like the 2017 London Bridge attack.</w:t>
      </w:r>
    </w:p>
    <w:p w14:paraId="27883EEB" w14:textId="2F917BE5" w:rsidR="00C017AF" w:rsidRPr="00494E90" w:rsidRDefault="00C017AF" w:rsidP="00C017AF">
      <w:pPr>
        <w:pStyle w:val="OBEBibliography"/>
        <w:spacing w:line="360" w:lineRule="auto"/>
        <w:rPr>
          <w:rFonts w:asciiTheme="minorHAnsi" w:eastAsiaTheme="minorEastAsia" w:hAnsiTheme="minorHAnsi" w:cstheme="minorBidi"/>
          <w:color w:val="auto"/>
          <w:kern w:val="0"/>
          <w:lang w:val="en-GB"/>
        </w:rPr>
      </w:pPr>
      <w:r>
        <w:rPr>
          <w:rFonts w:asciiTheme="minorHAnsi" w:eastAsiaTheme="minorEastAsia" w:hAnsiTheme="minorHAnsi" w:cstheme="minorBidi"/>
          <w:color w:val="auto"/>
          <w:kern w:val="0"/>
          <w:lang w:val="en-GB"/>
        </w:rPr>
        <w:t>C</w:t>
      </w:r>
      <w:r w:rsidRPr="00C017AF">
        <w:rPr>
          <w:rFonts w:asciiTheme="minorHAnsi" w:eastAsiaTheme="minorEastAsia" w:hAnsiTheme="minorHAnsi" w:cstheme="minorBidi"/>
          <w:color w:val="auto"/>
          <w:kern w:val="0"/>
          <w:lang w:val="en-GB"/>
        </w:rPr>
        <w:t>urrent UK policing practices, particularly concerning armament, reflect a carefully calibrated approach that honours historical traditions while adapting to modern security challenges. The Welsh context adds an additional layer of complexity, demonstrating the importance of regional considerations in national policy implementation.</w:t>
      </w:r>
    </w:p>
    <w:p w14:paraId="5E32F074" w14:textId="53AD5633" w:rsidR="00106E27" w:rsidRPr="00106E27" w:rsidRDefault="00106E27" w:rsidP="00737A26">
      <w:pPr>
        <w:pStyle w:val="OBESubtitle2ndtier"/>
        <w:rPr>
          <w:rFonts w:asciiTheme="minorHAnsi" w:hAnsiTheme="minorHAnsi" w:cstheme="minorBidi"/>
          <w:b/>
          <w:bCs/>
          <w:color w:val="auto"/>
        </w:rPr>
      </w:pPr>
      <w:bookmarkStart w:id="5" w:name="_Toc175647944"/>
      <w:r w:rsidRPr="00106E27">
        <w:t>Comparative Analysis of Literature on Other Countries' Approaches</w:t>
      </w:r>
      <w:bookmarkEnd w:id="5"/>
    </w:p>
    <w:p w14:paraId="7E0EDC39" w14:textId="24664C9C" w:rsidR="00A662DC" w:rsidRPr="00A662DC" w:rsidRDefault="00A662DC" w:rsidP="00494E90">
      <w:pPr>
        <w:pStyle w:val="OBEBibliography"/>
        <w:spacing w:line="360" w:lineRule="auto"/>
        <w:rPr>
          <w:rFonts w:asciiTheme="minorHAnsi" w:eastAsiaTheme="minorEastAsia" w:hAnsiTheme="minorHAnsi" w:cstheme="minorBidi"/>
          <w:color w:val="auto"/>
          <w:kern w:val="0"/>
          <w:lang w:val="en-GB"/>
        </w:rPr>
      </w:pPr>
      <w:r w:rsidRPr="00A662DC">
        <w:rPr>
          <w:rFonts w:asciiTheme="minorHAnsi" w:eastAsiaTheme="minorEastAsia" w:hAnsiTheme="minorHAnsi" w:cstheme="minorBidi"/>
          <w:color w:val="auto"/>
          <w:kern w:val="0"/>
          <w:lang w:val="en-GB"/>
        </w:rPr>
        <w:t xml:space="preserve">The UK's predominantly unarmed policing model stands in stark contrast to many international counterparts, offering a rich field for comparative analysis. </w:t>
      </w:r>
      <w:proofErr w:type="spellStart"/>
      <w:r w:rsidRPr="00A662DC">
        <w:rPr>
          <w:rFonts w:asciiTheme="minorHAnsi" w:eastAsiaTheme="minorEastAsia" w:hAnsiTheme="minorHAnsi" w:cstheme="minorBidi"/>
          <w:color w:val="auto"/>
          <w:kern w:val="0"/>
          <w:lang w:val="en-GB"/>
        </w:rPr>
        <w:t>Köllen's</w:t>
      </w:r>
      <w:proofErr w:type="spellEnd"/>
      <w:r w:rsidRPr="00A662DC">
        <w:rPr>
          <w:rFonts w:asciiTheme="minorHAnsi" w:eastAsiaTheme="minorEastAsia" w:hAnsiTheme="minorHAnsi" w:cstheme="minorBidi"/>
          <w:color w:val="auto"/>
          <w:kern w:val="0"/>
          <w:lang w:val="en-GB"/>
        </w:rPr>
        <w:t xml:space="preserve"> (2016) </w:t>
      </w:r>
      <w:r w:rsidRPr="00A662DC">
        <w:rPr>
          <w:rFonts w:asciiTheme="minorHAnsi" w:eastAsiaTheme="minorEastAsia" w:hAnsiTheme="minorHAnsi" w:cstheme="minorBidi"/>
          <w:color w:val="auto"/>
          <w:kern w:val="0"/>
          <w:lang w:val="en-GB"/>
        </w:rPr>
        <w:lastRenderedPageBreak/>
        <w:t>comprehensive overview reveals that while most European countries routinely arm their officers, approaches vary significantly, providing valuable insights into the impacts of different armament policies.</w:t>
      </w:r>
      <w:r>
        <w:rPr>
          <w:rFonts w:asciiTheme="minorHAnsi" w:eastAsiaTheme="minorEastAsia" w:hAnsiTheme="minorHAnsi" w:cstheme="minorBidi"/>
          <w:color w:val="auto"/>
          <w:kern w:val="0"/>
          <w:lang w:val="en-GB"/>
        </w:rPr>
        <w:t xml:space="preserve"> </w:t>
      </w:r>
      <w:r w:rsidRPr="00A662DC">
        <w:rPr>
          <w:rFonts w:asciiTheme="minorHAnsi" w:eastAsiaTheme="minorEastAsia" w:hAnsiTheme="minorHAnsi" w:cstheme="minorBidi"/>
          <w:color w:val="auto"/>
          <w:kern w:val="0"/>
          <w:lang w:val="en-GB"/>
        </w:rPr>
        <w:t>The United States presents perhaps the most striking contrast. Zimring's (2019) examination of US policing reveals that routine armament, while potentially advantageous in high-risk situations, correlates with higher rates of lethal force use and diminished community trust. This raises critical questions about the potential consequences of adopting a similar approach in the UK.</w:t>
      </w:r>
      <w:r w:rsidR="00494E90">
        <w:rPr>
          <w:rFonts w:asciiTheme="minorHAnsi" w:eastAsiaTheme="minorEastAsia" w:hAnsiTheme="minorHAnsi" w:cstheme="minorBidi"/>
          <w:color w:val="auto"/>
          <w:kern w:val="0"/>
          <w:lang w:val="en-GB"/>
        </w:rPr>
        <w:t xml:space="preserve"> </w:t>
      </w:r>
      <w:r w:rsidRPr="00A662DC">
        <w:rPr>
          <w:rFonts w:asciiTheme="minorHAnsi" w:eastAsiaTheme="minorEastAsia" w:hAnsiTheme="minorHAnsi" w:cstheme="minorBidi"/>
          <w:color w:val="auto"/>
          <w:kern w:val="0"/>
          <w:lang w:val="en-GB"/>
        </w:rPr>
        <w:t>Between these two extremes, several countries offer alternative models. Hendy and Packham (2023) analy</w:t>
      </w:r>
      <w:r w:rsidR="00A47E4A">
        <w:rPr>
          <w:rFonts w:asciiTheme="minorHAnsi" w:eastAsiaTheme="minorEastAsia" w:hAnsiTheme="minorHAnsi" w:cstheme="minorBidi"/>
          <w:color w:val="auto"/>
          <w:kern w:val="0"/>
          <w:lang w:val="en-GB"/>
        </w:rPr>
        <w:t>s</w:t>
      </w:r>
      <w:r w:rsidRPr="00A662DC">
        <w:rPr>
          <w:rFonts w:asciiTheme="minorHAnsi" w:eastAsiaTheme="minorEastAsia" w:hAnsiTheme="minorHAnsi" w:cstheme="minorBidi"/>
          <w:color w:val="auto"/>
          <w:kern w:val="0"/>
          <w:lang w:val="en-GB"/>
        </w:rPr>
        <w:t>e Norway's approach, where firearms are typically locked in patrol cars, potentially offering a compromise between accessibility and the principle of unarmed day-to-day policing. Similarly, Terpstra and Salet (2021) explore the Dutch model, where officers are armed but rarely discharge their weapons, presenting another middle-ground solution.</w:t>
      </w:r>
    </w:p>
    <w:p w14:paraId="3898D15C" w14:textId="0641B91F" w:rsidR="00A662DC" w:rsidRPr="00A662DC" w:rsidRDefault="00A662DC" w:rsidP="00D84B25">
      <w:pPr>
        <w:pStyle w:val="OBEBibliography"/>
        <w:spacing w:line="360" w:lineRule="auto"/>
        <w:rPr>
          <w:rFonts w:asciiTheme="minorHAnsi" w:eastAsiaTheme="minorEastAsia" w:hAnsiTheme="minorHAnsi" w:cstheme="minorBidi"/>
          <w:color w:val="auto"/>
          <w:kern w:val="0"/>
          <w:lang w:val="en-GB"/>
        </w:rPr>
      </w:pPr>
      <w:r w:rsidRPr="00A662DC">
        <w:rPr>
          <w:rFonts w:asciiTheme="minorHAnsi" w:eastAsiaTheme="minorEastAsia" w:hAnsiTheme="minorHAnsi" w:cstheme="minorBidi"/>
          <w:color w:val="auto"/>
          <w:kern w:val="0"/>
          <w:lang w:val="en-GB"/>
        </w:rPr>
        <w:t xml:space="preserve">Public perception plays a crucial role in these varying approaches. </w:t>
      </w:r>
      <w:proofErr w:type="spellStart"/>
      <w:r w:rsidRPr="00A662DC">
        <w:rPr>
          <w:rFonts w:asciiTheme="minorHAnsi" w:eastAsiaTheme="minorEastAsia" w:hAnsiTheme="minorHAnsi" w:cstheme="minorBidi"/>
          <w:color w:val="auto"/>
          <w:kern w:val="0"/>
          <w:lang w:val="en-GB"/>
        </w:rPr>
        <w:t>Yesberg</w:t>
      </w:r>
      <w:proofErr w:type="spellEnd"/>
      <w:r w:rsidRPr="00A662DC">
        <w:rPr>
          <w:rFonts w:asciiTheme="minorHAnsi" w:eastAsiaTheme="minorEastAsia" w:hAnsiTheme="minorHAnsi" w:cstheme="minorBidi"/>
          <w:color w:val="auto"/>
          <w:kern w:val="0"/>
          <w:lang w:val="en-GB"/>
        </w:rPr>
        <w:t xml:space="preserve"> et al. (2022) find that countries with a history of unarmed policing, like the UK, tend to have populations more resistant to routine armament, underscoring the importance of cultural and historical factors in shaping policing policies.</w:t>
      </w:r>
      <w:r>
        <w:rPr>
          <w:rFonts w:asciiTheme="minorHAnsi" w:eastAsiaTheme="minorEastAsia" w:hAnsiTheme="minorHAnsi" w:cstheme="minorBidi"/>
          <w:color w:val="auto"/>
          <w:kern w:val="0"/>
          <w:lang w:val="en-GB"/>
        </w:rPr>
        <w:t xml:space="preserve"> </w:t>
      </w:r>
      <w:r w:rsidRPr="00A662DC">
        <w:rPr>
          <w:rFonts w:asciiTheme="minorHAnsi" w:eastAsiaTheme="minorEastAsia" w:hAnsiTheme="minorHAnsi" w:cstheme="minorBidi"/>
          <w:color w:val="auto"/>
          <w:kern w:val="0"/>
          <w:lang w:val="en-GB"/>
        </w:rPr>
        <w:t xml:space="preserve">The experiences of countries with similar policing traditions to the UK offer particularly relevant insights. </w:t>
      </w:r>
      <w:proofErr w:type="spellStart"/>
      <w:r w:rsidR="005451BA" w:rsidRPr="005451BA">
        <w:rPr>
          <w:rFonts w:asciiTheme="minorHAnsi" w:eastAsiaTheme="minorEastAsia" w:hAnsiTheme="minorHAnsi" w:cstheme="minorBidi"/>
          <w:color w:val="auto"/>
          <w:kern w:val="0"/>
          <w:lang w:val="en-GB"/>
        </w:rPr>
        <w:t>Loadenthal</w:t>
      </w:r>
      <w:r w:rsidR="005451BA">
        <w:rPr>
          <w:rFonts w:asciiTheme="minorHAnsi" w:eastAsiaTheme="minorEastAsia" w:hAnsiTheme="minorHAnsi" w:cstheme="minorBidi"/>
          <w:color w:val="auto"/>
          <w:kern w:val="0"/>
          <w:lang w:val="en-GB"/>
        </w:rPr>
        <w:t>’s</w:t>
      </w:r>
      <w:proofErr w:type="spellEnd"/>
      <w:r w:rsidR="005451BA">
        <w:rPr>
          <w:rFonts w:asciiTheme="minorHAnsi" w:eastAsiaTheme="minorEastAsia" w:hAnsiTheme="minorHAnsi" w:cstheme="minorBidi"/>
          <w:color w:val="auto"/>
          <w:kern w:val="0"/>
          <w:lang w:val="en-GB"/>
        </w:rPr>
        <w:t xml:space="preserve"> (2022)</w:t>
      </w:r>
      <w:r w:rsidR="00D84B25">
        <w:rPr>
          <w:rFonts w:asciiTheme="minorHAnsi" w:eastAsiaTheme="minorEastAsia" w:hAnsiTheme="minorHAnsi" w:cstheme="minorBidi"/>
          <w:color w:val="auto"/>
          <w:kern w:val="0"/>
          <w:lang w:val="en-GB"/>
        </w:rPr>
        <w:t xml:space="preserve"> </w:t>
      </w:r>
      <w:r w:rsidRPr="00A662DC">
        <w:rPr>
          <w:rFonts w:asciiTheme="minorHAnsi" w:eastAsiaTheme="minorEastAsia" w:hAnsiTheme="minorHAnsi" w:cstheme="minorBidi"/>
          <w:color w:val="auto"/>
          <w:kern w:val="0"/>
          <w:lang w:val="en-GB"/>
        </w:rPr>
        <w:t>study New Zealand's shift towards more armed patrols, providing valuable lessons in terms of public perception and officer safety that could inform UK considerations.</w:t>
      </w:r>
    </w:p>
    <w:p w14:paraId="37533EA6" w14:textId="0E71663E" w:rsidR="00A662DC" w:rsidRDefault="00A662DC" w:rsidP="00A662DC">
      <w:pPr>
        <w:pStyle w:val="OBEBibliography"/>
        <w:spacing w:line="360" w:lineRule="auto"/>
        <w:rPr>
          <w:rFonts w:asciiTheme="minorHAnsi" w:eastAsiaTheme="minorEastAsia" w:hAnsiTheme="minorHAnsi" w:cstheme="minorBidi"/>
          <w:color w:val="auto"/>
          <w:kern w:val="0"/>
          <w:lang w:val="en-GB"/>
        </w:rPr>
      </w:pPr>
      <w:r w:rsidRPr="00A662DC">
        <w:rPr>
          <w:rFonts w:asciiTheme="minorHAnsi" w:eastAsiaTheme="minorEastAsia" w:hAnsiTheme="minorHAnsi" w:cstheme="minorBidi"/>
          <w:color w:val="auto"/>
          <w:kern w:val="0"/>
          <w:lang w:val="en-GB"/>
        </w:rPr>
        <w:t xml:space="preserve">While comparative studies specific to Wales are limited, </w:t>
      </w:r>
      <w:r w:rsidR="005F7153">
        <w:rPr>
          <w:rFonts w:asciiTheme="minorHAnsi" w:eastAsiaTheme="minorEastAsia" w:hAnsiTheme="minorHAnsi" w:cstheme="minorBidi"/>
          <w:color w:val="auto"/>
          <w:kern w:val="0"/>
          <w:lang w:val="en-GB"/>
        </w:rPr>
        <w:t>Jones</w:t>
      </w:r>
      <w:r w:rsidR="00D84B25">
        <w:rPr>
          <w:rFonts w:asciiTheme="minorHAnsi" w:eastAsiaTheme="minorEastAsia" w:hAnsiTheme="minorHAnsi" w:cstheme="minorBidi"/>
          <w:color w:val="auto"/>
          <w:kern w:val="0"/>
          <w:lang w:val="en-GB"/>
        </w:rPr>
        <w:t>’</w:t>
      </w:r>
      <w:r w:rsidRPr="00A662DC">
        <w:rPr>
          <w:rFonts w:asciiTheme="minorHAnsi" w:eastAsiaTheme="minorEastAsia" w:hAnsiTheme="minorHAnsi" w:cstheme="minorBidi"/>
          <w:color w:val="auto"/>
          <w:kern w:val="0"/>
          <w:lang w:val="en-GB"/>
        </w:rPr>
        <w:t xml:space="preserve"> (202</w:t>
      </w:r>
      <w:r w:rsidR="005F7153">
        <w:rPr>
          <w:rFonts w:asciiTheme="minorHAnsi" w:eastAsiaTheme="minorEastAsia" w:hAnsiTheme="minorHAnsi" w:cstheme="minorBidi"/>
          <w:color w:val="auto"/>
          <w:kern w:val="0"/>
          <w:lang w:val="en-GB"/>
        </w:rPr>
        <w:t>2</w:t>
      </w:r>
      <w:r w:rsidRPr="00A662DC">
        <w:rPr>
          <w:rFonts w:asciiTheme="minorHAnsi" w:eastAsiaTheme="minorEastAsia" w:hAnsiTheme="minorHAnsi" w:cstheme="minorBidi"/>
          <w:color w:val="auto"/>
          <w:kern w:val="0"/>
          <w:lang w:val="en-GB"/>
        </w:rPr>
        <w:t>) research on regions with distinct national identities within larger states, such as Catalonia in Spain, suggests that Wales could potentially develop a unique approach reflecting its cultural and social context within the UK framework.</w:t>
      </w:r>
      <w:r w:rsidR="005329B8">
        <w:rPr>
          <w:rFonts w:asciiTheme="minorHAnsi" w:eastAsiaTheme="minorEastAsia" w:hAnsiTheme="minorHAnsi" w:cstheme="minorBidi"/>
          <w:color w:val="auto"/>
          <w:kern w:val="0"/>
          <w:lang w:val="en-GB"/>
        </w:rPr>
        <w:t xml:space="preserve"> </w:t>
      </w:r>
      <w:r w:rsidRPr="00A662DC">
        <w:rPr>
          <w:rFonts w:asciiTheme="minorHAnsi" w:eastAsiaTheme="minorEastAsia" w:hAnsiTheme="minorHAnsi" w:cstheme="minorBidi"/>
          <w:color w:val="auto"/>
          <w:kern w:val="0"/>
          <w:lang w:val="en-GB"/>
        </w:rPr>
        <w:t>This international perspective highlights the complex interplay between armament policies, cultural norms, and public trust in policing. It suggests that any changes to UK policing practices, particularly in Wales, would need to carefully balance security needs with deeply ingrained cultural expectations and regional identities.</w:t>
      </w:r>
    </w:p>
    <w:p w14:paraId="2C890215" w14:textId="32F7C33A" w:rsidR="009E7037" w:rsidRPr="009E7037" w:rsidRDefault="009E7037" w:rsidP="00D84B25">
      <w:pPr>
        <w:pStyle w:val="OBEBibliography"/>
        <w:spacing w:line="360" w:lineRule="auto"/>
      </w:pPr>
      <w:r w:rsidRPr="009E7037">
        <w:t xml:space="preserve">While the UK's approach to police armament stands in contrast to many international counterparts, examining specific country models provides valuable insights. The United </w:t>
      </w:r>
      <w:r w:rsidRPr="009E7037">
        <w:lastRenderedPageBreak/>
        <w:t>States, with its heavily armed police force, offers a cautionary tale. Zimring's (2019) study reveals that routine armament in the US correlates with higher rates of lethal force use and diminished community trust. This raises critical questions about the potential consequences of adopting a similar approach in the UK.</w:t>
      </w:r>
    </w:p>
    <w:p w14:paraId="1F21B726" w14:textId="5FEFA3D7" w:rsidR="009E7037" w:rsidRPr="009E7037" w:rsidRDefault="009E7037" w:rsidP="009E7037">
      <w:pPr>
        <w:pStyle w:val="OBEBibliography"/>
        <w:spacing w:line="360" w:lineRule="auto"/>
      </w:pPr>
      <w:r w:rsidRPr="009E7037">
        <w:t xml:space="preserve">In contrast, the Norwegian model, as analyzed by Hendy and Packham (2023), offers a potential middle ground. Norwegian police typically keep firearms locked in patrol cars, providing quick access when needed while maintaining the principle of unarmed day-to-day policing. This approach could be particularly relevant to the Welsh context, with its mix of urban </w:t>
      </w:r>
      <w:proofErr w:type="spellStart"/>
      <w:r w:rsidRPr="009E7037">
        <w:t>cent</w:t>
      </w:r>
      <w:r w:rsidR="00D84B25">
        <w:t>re</w:t>
      </w:r>
      <w:r w:rsidRPr="009E7037">
        <w:t>s</w:t>
      </w:r>
      <w:proofErr w:type="spellEnd"/>
      <w:r w:rsidRPr="009E7037">
        <w:t xml:space="preserve"> and extensive rural areas.</w:t>
      </w:r>
    </w:p>
    <w:p w14:paraId="6B7BE646" w14:textId="77777777" w:rsidR="009E7037" w:rsidRPr="009E7037" w:rsidRDefault="009E7037" w:rsidP="009E7037">
      <w:pPr>
        <w:pStyle w:val="OBEBibliography"/>
        <w:spacing w:line="360" w:lineRule="auto"/>
      </w:pPr>
      <w:r w:rsidRPr="009E7037">
        <w:t>Japan provides another interesting comparison. Komiya (1999) attributes Japan's low crime rates and minimal use of police firearms to a culture of social control and community policing, which resonates with the Welsh emphasis on community-oriented approaches.</w:t>
      </w:r>
    </w:p>
    <w:p w14:paraId="0B3DF17C" w14:textId="2B63B012" w:rsidR="009E7037" w:rsidRPr="009E7037" w:rsidRDefault="009E7037" w:rsidP="009E7037">
      <w:pPr>
        <w:pStyle w:val="OBEBibliography"/>
        <w:spacing w:line="360" w:lineRule="auto"/>
      </w:pPr>
      <w:r w:rsidRPr="009E7037">
        <w:t xml:space="preserve">New Zealand's recent shift towards more armed patrols, as studied by </w:t>
      </w:r>
      <w:proofErr w:type="spellStart"/>
      <w:r w:rsidR="005451BA" w:rsidRPr="005451BA">
        <w:rPr>
          <w:rFonts w:asciiTheme="minorHAnsi" w:eastAsiaTheme="minorEastAsia" w:hAnsiTheme="minorHAnsi" w:cstheme="minorBidi"/>
          <w:color w:val="auto"/>
          <w:kern w:val="0"/>
          <w:lang w:val="en-GB"/>
        </w:rPr>
        <w:t>Loadenthal</w:t>
      </w:r>
      <w:proofErr w:type="spellEnd"/>
      <w:r w:rsidR="005451BA">
        <w:rPr>
          <w:rFonts w:asciiTheme="minorHAnsi" w:eastAsiaTheme="minorEastAsia" w:hAnsiTheme="minorHAnsi" w:cstheme="minorBidi"/>
          <w:color w:val="auto"/>
          <w:kern w:val="0"/>
          <w:lang w:val="en-GB"/>
        </w:rPr>
        <w:t xml:space="preserve"> (2022) </w:t>
      </w:r>
      <w:r w:rsidRPr="009E7037">
        <w:t>offers valuable lessons in terms of public perception and officer safety. Their findings suggest that while increased armament may address certain security concerns, it can also lead to changes in public trust and police-community dynamics.</w:t>
      </w:r>
    </w:p>
    <w:p w14:paraId="678CA349" w14:textId="076D6891" w:rsidR="009E7037" w:rsidRPr="00D84B25" w:rsidRDefault="009E7037" w:rsidP="00A662DC">
      <w:pPr>
        <w:pStyle w:val="OBEBibliography"/>
        <w:spacing w:line="360" w:lineRule="auto"/>
      </w:pPr>
      <w:r w:rsidRPr="009E7037">
        <w:t>These international perspectives underscore the need for a nuanced, culturally sensitive approach to police armament, particularly in the context of Wales and the broader UK.</w:t>
      </w:r>
    </w:p>
    <w:p w14:paraId="24844FE2" w14:textId="28E36981" w:rsidR="00106E27" w:rsidRPr="00106E27" w:rsidRDefault="00106E27" w:rsidP="00737A26">
      <w:pPr>
        <w:pStyle w:val="OBESubtitle2ndtier"/>
        <w:rPr>
          <w:rFonts w:asciiTheme="minorHAnsi" w:hAnsiTheme="minorHAnsi" w:cstheme="minorBidi"/>
          <w:color w:val="auto"/>
        </w:rPr>
      </w:pPr>
      <w:bookmarkStart w:id="6" w:name="_Toc175647945"/>
      <w:r w:rsidRPr="00106E27">
        <w:t xml:space="preserve">Synthesis of Arguments </w:t>
      </w:r>
      <w:proofErr w:type="gramStart"/>
      <w:r w:rsidRPr="00106E27">
        <w:t>For</w:t>
      </w:r>
      <w:proofErr w:type="gramEnd"/>
      <w:r w:rsidRPr="00106E27">
        <w:t xml:space="preserve"> and Against Arming All Police Officers</w:t>
      </w:r>
      <w:bookmarkEnd w:id="6"/>
    </w:p>
    <w:p w14:paraId="19710F3F" w14:textId="63F631CF" w:rsidR="00725E21" w:rsidRPr="00725E21" w:rsidRDefault="00725E21" w:rsidP="00725E21">
      <w:pPr>
        <w:pStyle w:val="OBEBibliography"/>
        <w:spacing w:line="360" w:lineRule="auto"/>
        <w:rPr>
          <w:rFonts w:asciiTheme="minorHAnsi" w:eastAsiaTheme="minorEastAsia" w:hAnsiTheme="minorHAnsi" w:cstheme="minorBidi"/>
          <w:color w:val="auto"/>
          <w:kern w:val="0"/>
          <w:lang w:val="en-GB"/>
        </w:rPr>
      </w:pPr>
      <w:r w:rsidRPr="00725E21">
        <w:rPr>
          <w:rFonts w:asciiTheme="minorHAnsi" w:eastAsiaTheme="minorEastAsia" w:hAnsiTheme="minorHAnsi" w:cstheme="minorBidi"/>
          <w:color w:val="auto"/>
          <w:kern w:val="0"/>
          <w:lang w:val="en-GB"/>
        </w:rPr>
        <w:t xml:space="preserve">The debate over arming all UK police officers is complex, with compelling arguments on both sides. Proponents, such as </w:t>
      </w:r>
      <w:r w:rsidR="00DB210A" w:rsidRPr="00DB210A">
        <w:t>Balestrini</w:t>
      </w:r>
      <w:r w:rsidR="00DB210A">
        <w:t xml:space="preserve"> (</w:t>
      </w:r>
      <w:r w:rsidR="00DB210A" w:rsidRPr="00DB210A">
        <w:t>2021</w:t>
      </w:r>
      <w:r w:rsidR="00DB210A">
        <w:t xml:space="preserve">) </w:t>
      </w:r>
      <w:r w:rsidRPr="00725E21">
        <w:rPr>
          <w:rFonts w:asciiTheme="minorHAnsi" w:eastAsiaTheme="minorEastAsia" w:hAnsiTheme="minorHAnsi" w:cstheme="minorBidi"/>
          <w:color w:val="auto"/>
          <w:kern w:val="0"/>
          <w:lang w:val="en-GB"/>
        </w:rPr>
        <w:t xml:space="preserve">argue that universal armament could enhance officer protection in an increasingly unpredictable security landscape, particularly in terrorism-related scenarios. This argument gains traction </w:t>
      </w:r>
      <w:proofErr w:type="gramStart"/>
      <w:r w:rsidRPr="00725E21">
        <w:rPr>
          <w:rFonts w:asciiTheme="minorHAnsi" w:eastAsiaTheme="minorEastAsia" w:hAnsiTheme="minorHAnsi" w:cstheme="minorBidi"/>
          <w:color w:val="auto"/>
          <w:kern w:val="0"/>
          <w:lang w:val="en-GB"/>
        </w:rPr>
        <w:t>in light of</w:t>
      </w:r>
      <w:proofErr w:type="gramEnd"/>
      <w:r w:rsidRPr="00725E21">
        <w:rPr>
          <w:rFonts w:asciiTheme="minorHAnsi" w:eastAsiaTheme="minorEastAsia" w:hAnsiTheme="minorHAnsi" w:cstheme="minorBidi"/>
          <w:color w:val="auto"/>
          <w:kern w:val="0"/>
          <w:lang w:val="en-GB"/>
        </w:rPr>
        <w:t xml:space="preserve"> evolving threats and the need for rapid response capabilities.</w:t>
      </w:r>
    </w:p>
    <w:p w14:paraId="2162A18E" w14:textId="70909E54" w:rsidR="00725E21" w:rsidRPr="00725E21" w:rsidRDefault="00523B69" w:rsidP="00725E21">
      <w:pPr>
        <w:pStyle w:val="OBEBibliography"/>
        <w:spacing w:line="360" w:lineRule="auto"/>
        <w:rPr>
          <w:rFonts w:asciiTheme="minorHAnsi" w:eastAsiaTheme="minorEastAsia" w:hAnsiTheme="minorHAnsi" w:cstheme="minorBidi"/>
          <w:color w:val="auto"/>
          <w:kern w:val="0"/>
          <w:lang w:val="en-GB"/>
        </w:rPr>
      </w:pPr>
      <w:r>
        <w:rPr>
          <w:rFonts w:asciiTheme="minorHAnsi" w:eastAsiaTheme="minorEastAsia" w:hAnsiTheme="minorHAnsi" w:cstheme="minorBidi"/>
          <w:color w:val="auto"/>
          <w:kern w:val="0"/>
          <w:lang w:val="en-GB"/>
        </w:rPr>
        <w:t>Card &amp; DiNardo (2002)</w:t>
      </w:r>
      <w:r w:rsidR="00725E21" w:rsidRPr="00725E21">
        <w:rPr>
          <w:rFonts w:asciiTheme="minorHAnsi" w:eastAsiaTheme="minorEastAsia" w:hAnsiTheme="minorHAnsi" w:cstheme="minorBidi"/>
          <w:color w:val="auto"/>
          <w:kern w:val="0"/>
          <w:lang w:val="en-GB"/>
        </w:rPr>
        <w:t xml:space="preserve"> suggest that the visible presence of armed officers could serve as a deterrent to violent crime, potentially leading to safer communities. However, the </w:t>
      </w:r>
      <w:r w:rsidR="00725E21" w:rsidRPr="00725E21">
        <w:rPr>
          <w:rFonts w:asciiTheme="minorHAnsi" w:eastAsiaTheme="minorEastAsia" w:hAnsiTheme="minorHAnsi" w:cstheme="minorBidi"/>
          <w:color w:val="auto"/>
          <w:kern w:val="0"/>
          <w:lang w:val="en-GB"/>
        </w:rPr>
        <w:lastRenderedPageBreak/>
        <w:t>applicability of their US-based findings to the UK context, with its distinct policing culture and lower baseline of armed criminality, remains contentious.</w:t>
      </w:r>
    </w:p>
    <w:p w14:paraId="5FDC8ADE" w14:textId="481E0ABE" w:rsidR="00725E21" w:rsidRPr="00725E21" w:rsidRDefault="00725E21" w:rsidP="00725E21">
      <w:pPr>
        <w:pStyle w:val="OBEBibliography"/>
        <w:spacing w:line="360" w:lineRule="auto"/>
        <w:rPr>
          <w:rFonts w:asciiTheme="minorHAnsi" w:eastAsiaTheme="minorEastAsia" w:hAnsiTheme="minorHAnsi" w:cstheme="minorBidi"/>
          <w:color w:val="auto"/>
          <w:kern w:val="0"/>
          <w:lang w:val="en-GB"/>
        </w:rPr>
      </w:pPr>
      <w:r w:rsidRPr="00725E21">
        <w:rPr>
          <w:rFonts w:asciiTheme="minorHAnsi" w:eastAsiaTheme="minorEastAsia" w:hAnsiTheme="minorHAnsi" w:cstheme="minorBidi"/>
          <w:color w:val="auto"/>
          <w:kern w:val="0"/>
          <w:lang w:val="en-GB"/>
        </w:rPr>
        <w:t>The Home Affairs Committee (2024) notes that arming all officers could reduce response times in firearms incidents, a consideration particularly relevant in rural areas where specialized armed units may face longer deployment times. This aspect is especially significant in the Welsh context, given its mix of urban cent</w:t>
      </w:r>
      <w:r w:rsidR="00D84B25">
        <w:rPr>
          <w:rFonts w:asciiTheme="minorHAnsi" w:eastAsiaTheme="minorEastAsia" w:hAnsiTheme="minorHAnsi" w:cstheme="minorBidi"/>
          <w:color w:val="auto"/>
          <w:kern w:val="0"/>
          <w:lang w:val="en-GB"/>
        </w:rPr>
        <w:t>re</w:t>
      </w:r>
      <w:r w:rsidRPr="00725E21">
        <w:rPr>
          <w:rFonts w:asciiTheme="minorHAnsi" w:eastAsiaTheme="minorEastAsia" w:hAnsiTheme="minorHAnsi" w:cstheme="minorBidi"/>
          <w:color w:val="auto"/>
          <w:kern w:val="0"/>
          <w:lang w:val="en-GB"/>
        </w:rPr>
        <w:t>s and extensive rural regions.</w:t>
      </w:r>
    </w:p>
    <w:p w14:paraId="2AC84F06" w14:textId="0F7D47D4" w:rsidR="00725E21" w:rsidRPr="00725E21" w:rsidRDefault="00725E21" w:rsidP="00725E21">
      <w:pPr>
        <w:pStyle w:val="OBEBibliography"/>
        <w:spacing w:line="360" w:lineRule="auto"/>
        <w:rPr>
          <w:rFonts w:asciiTheme="minorHAnsi" w:eastAsiaTheme="minorEastAsia" w:hAnsiTheme="minorHAnsi" w:cstheme="minorBidi"/>
          <w:color w:val="auto"/>
          <w:kern w:val="0"/>
          <w:lang w:val="en-GB"/>
        </w:rPr>
      </w:pPr>
      <w:r w:rsidRPr="00725E21">
        <w:rPr>
          <w:rFonts w:asciiTheme="minorHAnsi" w:eastAsiaTheme="minorEastAsia" w:hAnsiTheme="minorHAnsi" w:cstheme="minorBidi"/>
          <w:color w:val="auto"/>
          <w:kern w:val="0"/>
          <w:lang w:val="en-GB"/>
        </w:rPr>
        <w:t>Conversely, opponents of universal armament present equally compelling arguments. Reiner (2010) warns that routine armament could fundamentally alter police-public relationships, potentially eroding the principle of policing by consent – a cornerstone of UK policing philosophy, particularly valued in Welsh communities (</w:t>
      </w:r>
      <w:r w:rsidR="00B17EDE" w:rsidRPr="00B17EDE">
        <w:rPr>
          <w:rFonts w:asciiTheme="minorHAnsi" w:eastAsiaTheme="minorEastAsia" w:hAnsiTheme="minorHAnsi" w:cstheme="minorBidi"/>
        </w:rPr>
        <w:t>Abraham</w:t>
      </w:r>
      <w:r w:rsidR="00B17EDE">
        <w:rPr>
          <w:rFonts w:asciiTheme="minorHAnsi" w:eastAsiaTheme="minorEastAsia" w:hAnsiTheme="minorHAnsi" w:cstheme="minorBidi"/>
        </w:rPr>
        <w:t xml:space="preserve"> &amp;</w:t>
      </w:r>
      <w:r w:rsidR="00B17EDE" w:rsidRPr="00B17EDE">
        <w:rPr>
          <w:rFonts w:asciiTheme="minorHAnsi" w:eastAsiaTheme="minorEastAsia" w:hAnsiTheme="minorHAnsi" w:cstheme="minorBidi"/>
        </w:rPr>
        <w:t xml:space="preserve"> Ceccato</w:t>
      </w:r>
      <w:r w:rsidR="00B17EDE">
        <w:rPr>
          <w:rFonts w:asciiTheme="minorHAnsi" w:eastAsiaTheme="minorEastAsia" w:hAnsiTheme="minorHAnsi" w:cstheme="minorBidi"/>
        </w:rPr>
        <w:t xml:space="preserve">, </w:t>
      </w:r>
      <w:r w:rsidR="00B17EDE" w:rsidRPr="00B17EDE">
        <w:rPr>
          <w:rFonts w:asciiTheme="minorHAnsi" w:eastAsiaTheme="minorEastAsia" w:hAnsiTheme="minorHAnsi" w:cstheme="minorBidi"/>
        </w:rPr>
        <w:t>2022)</w:t>
      </w:r>
      <w:r w:rsidR="00B17EDE">
        <w:rPr>
          <w:rFonts w:asciiTheme="minorHAnsi" w:eastAsiaTheme="minorEastAsia" w:hAnsiTheme="minorHAnsi" w:cstheme="minorBidi"/>
        </w:rPr>
        <w:t>.</w:t>
      </w:r>
    </w:p>
    <w:p w14:paraId="618C73FE" w14:textId="77777777" w:rsidR="00725E21" w:rsidRPr="00725E21" w:rsidRDefault="00725E21" w:rsidP="00725E21">
      <w:pPr>
        <w:pStyle w:val="OBEBibliography"/>
        <w:spacing w:line="360" w:lineRule="auto"/>
        <w:rPr>
          <w:rFonts w:asciiTheme="minorHAnsi" w:eastAsiaTheme="minorEastAsia" w:hAnsiTheme="minorHAnsi" w:cstheme="minorBidi"/>
          <w:color w:val="auto"/>
          <w:kern w:val="0"/>
          <w:lang w:val="en-GB"/>
        </w:rPr>
      </w:pPr>
      <w:r w:rsidRPr="00725E21">
        <w:rPr>
          <w:rFonts w:asciiTheme="minorHAnsi" w:eastAsiaTheme="minorEastAsia" w:hAnsiTheme="minorHAnsi" w:cstheme="minorBidi"/>
          <w:color w:val="auto"/>
          <w:kern w:val="0"/>
          <w:lang w:val="en-GB"/>
        </w:rPr>
        <w:t>Squires and Kennison (2022) argue that arming all officers might lead to an increase in lethal force incidents, even unintentionally. They contend that more firearms in circulation, even among police, could escalate rather than de-escalate violent situations – a significant concern in the UK where gun violence is relatively rare.</w:t>
      </w:r>
    </w:p>
    <w:p w14:paraId="2BC67556" w14:textId="1DA9D5BC" w:rsidR="00725E21" w:rsidRPr="00725E21" w:rsidRDefault="00725E21" w:rsidP="00725E21">
      <w:pPr>
        <w:pStyle w:val="OBEBibliography"/>
        <w:spacing w:line="360" w:lineRule="auto"/>
        <w:rPr>
          <w:rFonts w:asciiTheme="minorHAnsi" w:eastAsiaTheme="minorEastAsia" w:hAnsiTheme="minorHAnsi" w:cstheme="minorBidi"/>
          <w:color w:val="auto"/>
          <w:kern w:val="0"/>
          <w:lang w:val="en-GB"/>
        </w:rPr>
      </w:pPr>
      <w:proofErr w:type="spellStart"/>
      <w:r w:rsidRPr="00725E21">
        <w:rPr>
          <w:rFonts w:asciiTheme="minorHAnsi" w:eastAsiaTheme="minorEastAsia" w:hAnsiTheme="minorHAnsi" w:cstheme="minorBidi"/>
          <w:color w:val="auto"/>
          <w:kern w:val="0"/>
          <w:lang w:val="en-GB"/>
        </w:rPr>
        <w:t>Yesberg</w:t>
      </w:r>
      <w:proofErr w:type="spellEnd"/>
      <w:r w:rsidRPr="00725E21">
        <w:rPr>
          <w:rFonts w:asciiTheme="minorHAnsi" w:eastAsiaTheme="minorEastAsia" w:hAnsiTheme="minorHAnsi" w:cstheme="minorBidi"/>
          <w:color w:val="auto"/>
          <w:kern w:val="0"/>
          <w:lang w:val="en-GB"/>
        </w:rPr>
        <w:t xml:space="preserve"> et al. (2022) highlight the potential negative impact on community relations, particularly in minority communities, which could hinder community policing efforts and reduce public cooperation with law enforcement. This concern is especially acute in Wales's diverse communities.</w:t>
      </w:r>
      <w:r w:rsidR="00F1183D">
        <w:rPr>
          <w:rFonts w:asciiTheme="minorHAnsi" w:eastAsiaTheme="minorEastAsia" w:hAnsiTheme="minorHAnsi" w:cstheme="minorBidi"/>
          <w:color w:val="auto"/>
          <w:kern w:val="0"/>
          <w:lang w:val="en-GB"/>
        </w:rPr>
        <w:t xml:space="preserve"> </w:t>
      </w:r>
      <w:r w:rsidRPr="00725E21">
        <w:rPr>
          <w:rFonts w:asciiTheme="minorHAnsi" w:eastAsiaTheme="minorEastAsia" w:hAnsiTheme="minorHAnsi" w:cstheme="minorBidi"/>
          <w:color w:val="auto"/>
          <w:kern w:val="0"/>
          <w:lang w:val="en-GB"/>
        </w:rPr>
        <w:t xml:space="preserve">Practical considerations further complicate the debate. </w:t>
      </w:r>
      <w:r w:rsidR="00475BAA">
        <w:rPr>
          <w:rFonts w:asciiTheme="minorHAnsi" w:eastAsiaTheme="minorEastAsia" w:hAnsiTheme="minorHAnsi" w:cstheme="minorBidi"/>
          <w:color w:val="auto"/>
          <w:kern w:val="0"/>
          <w:lang w:val="en-GB"/>
        </w:rPr>
        <w:t>Ola et al</w:t>
      </w:r>
      <w:r w:rsidR="00947777">
        <w:rPr>
          <w:rFonts w:asciiTheme="minorHAnsi" w:eastAsiaTheme="minorEastAsia" w:hAnsiTheme="minorHAnsi" w:cstheme="minorBidi"/>
          <w:color w:val="auto"/>
          <w:kern w:val="0"/>
          <w:lang w:val="en-GB"/>
        </w:rPr>
        <w:t>.</w:t>
      </w:r>
      <w:r w:rsidRPr="00725E21">
        <w:rPr>
          <w:rFonts w:asciiTheme="minorHAnsi" w:eastAsiaTheme="minorEastAsia" w:hAnsiTheme="minorHAnsi" w:cstheme="minorBidi"/>
          <w:color w:val="auto"/>
          <w:kern w:val="0"/>
          <w:lang w:val="en-GB"/>
        </w:rPr>
        <w:t xml:space="preserve"> (202</w:t>
      </w:r>
      <w:r w:rsidR="00475BAA">
        <w:rPr>
          <w:rFonts w:asciiTheme="minorHAnsi" w:eastAsiaTheme="minorEastAsia" w:hAnsiTheme="minorHAnsi" w:cstheme="minorBidi"/>
          <w:color w:val="auto"/>
          <w:kern w:val="0"/>
          <w:lang w:val="en-GB"/>
        </w:rPr>
        <w:t>4</w:t>
      </w:r>
      <w:r w:rsidRPr="00725E21">
        <w:rPr>
          <w:rFonts w:asciiTheme="minorHAnsi" w:eastAsiaTheme="minorEastAsia" w:hAnsiTheme="minorHAnsi" w:cstheme="minorBidi"/>
          <w:color w:val="auto"/>
          <w:kern w:val="0"/>
          <w:lang w:val="en-GB"/>
        </w:rPr>
        <w:t>) question the feasibility of adequately training and maintaining firearms competency across all officers, a challenge potentially more pronounced in Wales's smaller police forces with distinct training needs.</w:t>
      </w:r>
      <w:r w:rsidR="00F1183D">
        <w:rPr>
          <w:rFonts w:asciiTheme="minorHAnsi" w:eastAsiaTheme="minorEastAsia" w:hAnsiTheme="minorHAnsi" w:cstheme="minorBidi"/>
          <w:color w:val="auto"/>
          <w:kern w:val="0"/>
          <w:lang w:val="en-GB"/>
        </w:rPr>
        <w:t xml:space="preserve"> </w:t>
      </w:r>
      <w:r w:rsidRPr="00725E21">
        <w:rPr>
          <w:rFonts w:asciiTheme="minorHAnsi" w:eastAsiaTheme="minorEastAsia" w:hAnsiTheme="minorHAnsi" w:cstheme="minorBidi"/>
          <w:color w:val="auto"/>
          <w:kern w:val="0"/>
          <w:lang w:val="en-GB"/>
        </w:rPr>
        <w:t>Economic factors also play a crucial role. The Police Foundation's (2023) cost-benefit analysis estimates a £1.2 billion price tag over five years to arm all officers in England and Wales, encompassing training, equipment, and ongoing maintenance costs.</w:t>
      </w:r>
    </w:p>
    <w:p w14:paraId="77902893" w14:textId="77777777" w:rsidR="00725E21" w:rsidRPr="00725E21" w:rsidRDefault="00725E21" w:rsidP="00725E21">
      <w:pPr>
        <w:pStyle w:val="OBEBibliography"/>
        <w:spacing w:line="360" w:lineRule="auto"/>
        <w:rPr>
          <w:rFonts w:asciiTheme="minorHAnsi" w:eastAsiaTheme="minorEastAsia" w:hAnsiTheme="minorHAnsi" w:cstheme="minorBidi"/>
          <w:color w:val="auto"/>
          <w:kern w:val="0"/>
          <w:lang w:val="en-GB"/>
        </w:rPr>
      </w:pPr>
      <w:r w:rsidRPr="00725E21">
        <w:rPr>
          <w:rFonts w:asciiTheme="minorHAnsi" w:eastAsiaTheme="minorEastAsia" w:hAnsiTheme="minorHAnsi" w:cstheme="minorBidi"/>
          <w:color w:val="auto"/>
          <w:kern w:val="0"/>
          <w:lang w:val="en-GB"/>
        </w:rPr>
        <w:t>Finally, Jackman et al. (2022) explore the psychological impact of carrying firearms on officers, revealing a mixed picture of increased confidence for some but heightened stress and anxiety for others. This raises important questions about the broader implications of universal armament on officer well-being and performance.</w:t>
      </w:r>
    </w:p>
    <w:p w14:paraId="22FAD7F4" w14:textId="7071826A" w:rsidR="00106E27" w:rsidRPr="00F24844" w:rsidRDefault="00725E21" w:rsidP="00725E21">
      <w:pPr>
        <w:pStyle w:val="OBEBibliography"/>
        <w:spacing w:line="360" w:lineRule="auto"/>
        <w:rPr>
          <w:rFonts w:asciiTheme="minorHAnsi" w:eastAsiaTheme="minorEastAsia" w:hAnsiTheme="minorHAnsi" w:cstheme="minorBidi"/>
          <w:color w:val="auto"/>
          <w:kern w:val="0"/>
        </w:rPr>
      </w:pPr>
      <w:r w:rsidRPr="00725E21">
        <w:rPr>
          <w:rFonts w:asciiTheme="minorHAnsi" w:eastAsiaTheme="minorEastAsia" w:hAnsiTheme="minorHAnsi" w:cstheme="minorBidi"/>
          <w:color w:val="auto"/>
          <w:kern w:val="0"/>
          <w:lang w:val="en-GB"/>
        </w:rPr>
        <w:lastRenderedPageBreak/>
        <w:t>This multifaceted debate underscores the complexity of the issue, particularly in the Welsh context, where unique geographical, cultural, and operational factors must be considered alongside broader UK policing principles.</w:t>
      </w:r>
    </w:p>
    <w:p w14:paraId="5FBF30E9" w14:textId="0114B223" w:rsidR="00106E27" w:rsidRPr="00106E27" w:rsidRDefault="00106E27" w:rsidP="00737A26">
      <w:pPr>
        <w:pStyle w:val="OBESubtitle2ndtier"/>
        <w:rPr>
          <w:rFonts w:asciiTheme="minorHAnsi" w:hAnsiTheme="minorHAnsi" w:cstheme="minorBidi"/>
          <w:color w:val="auto"/>
        </w:rPr>
      </w:pPr>
      <w:bookmarkStart w:id="7" w:name="_Toc175647946"/>
      <w:r w:rsidRPr="00106E27">
        <w:t>Impact of Terrorism and Extremism on Policing</w:t>
      </w:r>
      <w:bookmarkEnd w:id="7"/>
    </w:p>
    <w:p w14:paraId="62862509" w14:textId="4C421562" w:rsidR="00CB78B5" w:rsidRPr="00CB78B5" w:rsidRDefault="00CB78B5" w:rsidP="00391ADA">
      <w:pPr>
        <w:pStyle w:val="OBEBibliography"/>
        <w:spacing w:line="360" w:lineRule="auto"/>
        <w:rPr>
          <w:rFonts w:asciiTheme="minorHAnsi" w:eastAsiaTheme="minorEastAsia" w:hAnsiTheme="minorHAnsi" w:cstheme="minorBidi"/>
          <w:color w:val="auto"/>
          <w:kern w:val="0"/>
          <w:lang w:val="en-GB"/>
        </w:rPr>
      </w:pPr>
      <w:r w:rsidRPr="00CB78B5">
        <w:rPr>
          <w:rFonts w:asciiTheme="minorHAnsi" w:eastAsiaTheme="minorEastAsia" w:hAnsiTheme="minorHAnsi" w:cstheme="minorBidi"/>
          <w:color w:val="auto"/>
          <w:kern w:val="0"/>
          <w:lang w:val="en-GB"/>
        </w:rPr>
        <w:t xml:space="preserve">The threat of terrorism has profoundly influenced debates on police armament in the UK, particularly following high-profile incidents such as the 2017 attacks in London and Manchester. </w:t>
      </w:r>
      <w:r w:rsidR="007B78CB">
        <w:rPr>
          <w:rFonts w:asciiTheme="minorHAnsi" w:eastAsiaTheme="minorEastAsia" w:hAnsiTheme="minorHAnsi" w:cstheme="minorBidi"/>
          <w:color w:val="auto"/>
          <w:kern w:val="0"/>
          <w:lang w:val="en-GB"/>
        </w:rPr>
        <w:t>Hendy (2012)</w:t>
      </w:r>
      <w:r w:rsidRPr="00CB78B5">
        <w:rPr>
          <w:rFonts w:asciiTheme="minorHAnsi" w:eastAsiaTheme="minorEastAsia" w:hAnsiTheme="minorHAnsi" w:cstheme="minorBidi"/>
          <w:color w:val="auto"/>
          <w:kern w:val="0"/>
          <w:lang w:val="en-GB"/>
        </w:rPr>
        <w:t xml:space="preserve"> observe an increased public acceptance of armed police presence in high-risk areas following these events, indicating a shift in public perception driven by security concerns.</w:t>
      </w:r>
    </w:p>
    <w:p w14:paraId="4F47B6FE" w14:textId="22FD5BB7" w:rsidR="00CB78B5" w:rsidRPr="00CB78B5" w:rsidRDefault="00CB78B5" w:rsidP="00CB78B5">
      <w:pPr>
        <w:pStyle w:val="OBEBibliography"/>
        <w:spacing w:line="360" w:lineRule="auto"/>
        <w:rPr>
          <w:rFonts w:asciiTheme="minorHAnsi" w:eastAsiaTheme="minorEastAsia" w:hAnsiTheme="minorHAnsi" w:cstheme="minorBidi"/>
          <w:color w:val="auto"/>
          <w:kern w:val="0"/>
          <w:lang w:val="en-GB"/>
        </w:rPr>
      </w:pPr>
      <w:r w:rsidRPr="00CB78B5">
        <w:rPr>
          <w:rFonts w:asciiTheme="minorHAnsi" w:eastAsiaTheme="minorEastAsia" w:hAnsiTheme="minorHAnsi" w:cstheme="minorBidi"/>
          <w:color w:val="auto"/>
          <w:kern w:val="0"/>
          <w:lang w:val="en-GB"/>
        </w:rPr>
        <w:t xml:space="preserve">However, this shift is not without controversy. Lowe (2022) cautions against reactionary policy changes, arguing that while terrorism poses a serious threat, it should not be the sole determinant of broad policing strategies. Instead, </w:t>
      </w:r>
      <w:r w:rsidR="00C2636D">
        <w:rPr>
          <w:rFonts w:asciiTheme="minorHAnsi" w:eastAsiaTheme="minorEastAsia" w:hAnsiTheme="minorHAnsi" w:cstheme="minorBidi"/>
          <w:color w:val="auto"/>
          <w:kern w:val="0"/>
          <w:lang w:val="en-GB"/>
        </w:rPr>
        <w:t>there is emphasis on</w:t>
      </w:r>
      <w:r w:rsidRPr="00CB78B5">
        <w:rPr>
          <w:rFonts w:asciiTheme="minorHAnsi" w:eastAsiaTheme="minorEastAsia" w:hAnsiTheme="minorHAnsi" w:cstheme="minorBidi"/>
          <w:color w:val="auto"/>
          <w:kern w:val="0"/>
          <w:lang w:val="en-GB"/>
        </w:rPr>
        <w:t xml:space="preserve"> the importance of intelligence-led policing and community engagement in countering extremism</w:t>
      </w:r>
      <w:r w:rsidR="00C2636D">
        <w:rPr>
          <w:rFonts w:asciiTheme="minorHAnsi" w:eastAsiaTheme="minorEastAsia" w:hAnsiTheme="minorHAnsi" w:cstheme="minorBidi"/>
          <w:color w:val="auto"/>
          <w:kern w:val="0"/>
          <w:lang w:val="en-GB"/>
        </w:rPr>
        <w:t>;</w:t>
      </w:r>
      <w:r w:rsidRPr="00CB78B5">
        <w:rPr>
          <w:rFonts w:asciiTheme="minorHAnsi" w:eastAsiaTheme="minorEastAsia" w:hAnsiTheme="minorHAnsi" w:cstheme="minorBidi"/>
          <w:color w:val="auto"/>
          <w:kern w:val="0"/>
          <w:lang w:val="en-GB"/>
        </w:rPr>
        <w:t xml:space="preserve"> approaches that do not necessarily require routine armament of all officers.</w:t>
      </w:r>
    </w:p>
    <w:p w14:paraId="057C77C6" w14:textId="02B3D4C5" w:rsidR="00CB78B5" w:rsidRPr="00CB78B5" w:rsidRDefault="00CB78B5" w:rsidP="00CB78B5">
      <w:pPr>
        <w:pStyle w:val="OBEBibliography"/>
        <w:spacing w:line="360" w:lineRule="auto"/>
        <w:rPr>
          <w:rFonts w:asciiTheme="minorHAnsi" w:eastAsiaTheme="minorEastAsia" w:hAnsiTheme="minorHAnsi" w:cstheme="minorBidi"/>
          <w:color w:val="auto"/>
          <w:kern w:val="0"/>
          <w:lang w:val="en-GB"/>
        </w:rPr>
      </w:pPr>
      <w:r w:rsidRPr="00CB78B5">
        <w:rPr>
          <w:rFonts w:asciiTheme="minorHAnsi" w:eastAsiaTheme="minorEastAsia" w:hAnsiTheme="minorHAnsi" w:cstheme="minorBidi"/>
          <w:color w:val="auto"/>
          <w:kern w:val="0"/>
          <w:lang w:val="en-GB"/>
        </w:rPr>
        <w:t>The evolving nature of the terrorist threat, including the rise of lone-wolf attacks and online radicali</w:t>
      </w:r>
      <w:r w:rsidR="00391ADA">
        <w:rPr>
          <w:rFonts w:asciiTheme="minorHAnsi" w:eastAsiaTheme="minorEastAsia" w:hAnsiTheme="minorHAnsi" w:cstheme="minorBidi"/>
          <w:color w:val="auto"/>
          <w:kern w:val="0"/>
          <w:lang w:val="en-GB"/>
        </w:rPr>
        <w:t>s</w:t>
      </w:r>
      <w:r w:rsidRPr="00CB78B5">
        <w:rPr>
          <w:rFonts w:asciiTheme="minorHAnsi" w:eastAsiaTheme="minorEastAsia" w:hAnsiTheme="minorHAnsi" w:cstheme="minorBidi"/>
          <w:color w:val="auto"/>
          <w:kern w:val="0"/>
          <w:lang w:val="en-GB"/>
        </w:rPr>
        <w:t>ation, has necessitated a re-evaluation of policing strategies. The Home Office's (2024) report on counter-terrorism strategies reflects this complexity, advocating for enhanced rapid response capabilities while stopping short of recommending routine armament for all officers. This measured approach is further exemplified in the updated CONTEST strategy (Home Office, 2024), which seeks to balance the need for flexible armed response with the principle of policing by consent.</w:t>
      </w:r>
      <w:r w:rsidR="00880202">
        <w:rPr>
          <w:rFonts w:asciiTheme="minorHAnsi" w:eastAsiaTheme="minorEastAsia" w:hAnsiTheme="minorHAnsi" w:cstheme="minorBidi"/>
          <w:color w:val="auto"/>
          <w:kern w:val="0"/>
          <w:lang w:val="en-GB"/>
        </w:rPr>
        <w:t xml:space="preserve"> </w:t>
      </w:r>
      <w:r w:rsidRPr="00CB78B5">
        <w:rPr>
          <w:rFonts w:asciiTheme="minorHAnsi" w:eastAsiaTheme="minorEastAsia" w:hAnsiTheme="minorHAnsi" w:cstheme="minorBidi"/>
          <w:color w:val="auto"/>
          <w:kern w:val="0"/>
          <w:lang w:val="en-GB"/>
        </w:rPr>
        <w:t>In Wales, the perception and impact of terrorism threats take on unique characteristics. Jones and Rhys (2024) find that while there is increased concern about potential threats across various Welsh communities, there remains a strong preference for community-oriented policing approaches. This aligns with the historical emphasis on community relations in Welsh policing and suggests that any changes to armament policies would need careful local tailoring.</w:t>
      </w:r>
    </w:p>
    <w:p w14:paraId="3CED9373" w14:textId="74AD5820" w:rsidR="00CB78B5" w:rsidRPr="00CB78B5" w:rsidRDefault="00CB78B5" w:rsidP="00137C98">
      <w:pPr>
        <w:pStyle w:val="OBEBibliography"/>
        <w:spacing w:line="360" w:lineRule="auto"/>
        <w:rPr>
          <w:rFonts w:asciiTheme="minorHAnsi" w:eastAsiaTheme="minorEastAsia" w:hAnsiTheme="minorHAnsi" w:cstheme="minorBidi"/>
          <w:color w:val="auto"/>
          <w:kern w:val="0"/>
          <w:lang w:val="en-GB"/>
        </w:rPr>
      </w:pPr>
      <w:r w:rsidRPr="00CB78B5">
        <w:rPr>
          <w:rFonts w:asciiTheme="minorHAnsi" w:eastAsiaTheme="minorEastAsia" w:hAnsiTheme="minorHAnsi" w:cstheme="minorBidi"/>
          <w:color w:val="auto"/>
          <w:kern w:val="0"/>
          <w:lang w:val="en-GB"/>
        </w:rPr>
        <w:t>The Welsh Extremism and Counter Terrorism Unit (WECTU, 2023) has developed specific approaches to addressing terrorism threats in the Welsh context, emphasi</w:t>
      </w:r>
      <w:r w:rsidR="00006BC5">
        <w:rPr>
          <w:rFonts w:asciiTheme="minorHAnsi" w:eastAsiaTheme="minorEastAsia" w:hAnsiTheme="minorHAnsi" w:cstheme="minorBidi"/>
          <w:color w:val="auto"/>
          <w:kern w:val="0"/>
          <w:lang w:val="en-GB"/>
        </w:rPr>
        <w:t>s</w:t>
      </w:r>
      <w:r w:rsidRPr="00CB78B5">
        <w:rPr>
          <w:rFonts w:asciiTheme="minorHAnsi" w:eastAsiaTheme="minorEastAsia" w:hAnsiTheme="minorHAnsi" w:cstheme="minorBidi"/>
          <w:color w:val="auto"/>
          <w:kern w:val="0"/>
          <w:lang w:val="en-GB"/>
        </w:rPr>
        <w:t xml:space="preserve">ing community </w:t>
      </w:r>
      <w:r w:rsidRPr="00CB78B5">
        <w:rPr>
          <w:rFonts w:asciiTheme="minorHAnsi" w:eastAsiaTheme="minorEastAsia" w:hAnsiTheme="minorHAnsi" w:cstheme="minorBidi"/>
          <w:color w:val="auto"/>
          <w:kern w:val="0"/>
          <w:lang w:val="en-GB"/>
        </w:rPr>
        <w:lastRenderedPageBreak/>
        <w:t>engagement and intelligence-led policing. Their report suggests these methods may be more effective than increasing armed police presence, reflecting a nuanced understanding of regional security needs.</w:t>
      </w:r>
      <w:r w:rsidR="00880202">
        <w:rPr>
          <w:rFonts w:asciiTheme="minorHAnsi" w:eastAsiaTheme="minorEastAsia" w:hAnsiTheme="minorHAnsi" w:cstheme="minorBidi"/>
          <w:color w:val="auto"/>
          <w:kern w:val="0"/>
          <w:lang w:val="en-GB"/>
        </w:rPr>
        <w:t xml:space="preserve"> </w:t>
      </w:r>
      <w:r w:rsidRPr="00CB78B5">
        <w:rPr>
          <w:rFonts w:asciiTheme="minorHAnsi" w:eastAsiaTheme="minorEastAsia" w:hAnsiTheme="minorHAnsi" w:cstheme="minorBidi"/>
          <w:color w:val="auto"/>
          <w:kern w:val="0"/>
          <w:lang w:val="en-GB"/>
        </w:rPr>
        <w:t>Hoffman and Shelton (2023) provide a critical perspective on the impact of counter-terrorism measures, including increased armed policing, on civil liberties and community relations. Their work is particularly pertinent to Wales, where community cohesion is a key concern in policing strategies. They argue for a balanced approach that addresses security needs without eroding civil liberties and community trust.</w:t>
      </w:r>
    </w:p>
    <w:p w14:paraId="43C95998" w14:textId="77777777" w:rsidR="00CB78B5" w:rsidRDefault="00CB78B5" w:rsidP="00137C98">
      <w:pPr>
        <w:pStyle w:val="OBEBibliography"/>
        <w:spacing w:line="360" w:lineRule="auto"/>
        <w:rPr>
          <w:rFonts w:asciiTheme="minorHAnsi" w:eastAsiaTheme="minorEastAsia" w:hAnsiTheme="minorHAnsi" w:cstheme="minorBidi"/>
          <w:color w:val="auto"/>
          <w:kern w:val="0"/>
          <w:lang w:val="en-GB"/>
        </w:rPr>
      </w:pPr>
      <w:r w:rsidRPr="00CB78B5">
        <w:rPr>
          <w:rFonts w:asciiTheme="minorHAnsi" w:eastAsiaTheme="minorEastAsia" w:hAnsiTheme="minorHAnsi" w:cstheme="minorBidi"/>
          <w:color w:val="auto"/>
          <w:kern w:val="0"/>
          <w:lang w:val="en-GB"/>
        </w:rPr>
        <w:t>This complex landscape underscores the challenge of adapting policing strategies to evolving terrorist threats while maintaining the core principles of UK policing, particularly in the distinct cultural and social context of Wales. The debate continues to evolve, reflecting the ongoing tension between enhancing security measures and preserving traditional policing values.</w:t>
      </w:r>
    </w:p>
    <w:p w14:paraId="4502CD75" w14:textId="7748ED6D" w:rsidR="00106E27" w:rsidRPr="00106E27" w:rsidRDefault="00106E27" w:rsidP="00737A26">
      <w:pPr>
        <w:pStyle w:val="OBESubtitle2ndtier"/>
        <w:rPr>
          <w:rFonts w:asciiTheme="minorHAnsi" w:hAnsiTheme="minorHAnsi" w:cstheme="minorBidi"/>
          <w:color w:val="auto"/>
        </w:rPr>
      </w:pPr>
      <w:bookmarkStart w:id="8" w:name="_Toc175647947"/>
      <w:r w:rsidRPr="00106E27">
        <w:t>Public Perception and Trust in Police</w:t>
      </w:r>
      <w:bookmarkEnd w:id="8"/>
    </w:p>
    <w:p w14:paraId="6787E389" w14:textId="4813E0DE" w:rsidR="00666872" w:rsidRPr="00666872" w:rsidRDefault="00666872" w:rsidP="00137C98">
      <w:pPr>
        <w:pStyle w:val="OBEBibliography"/>
        <w:spacing w:line="360" w:lineRule="auto"/>
        <w:rPr>
          <w:rFonts w:asciiTheme="minorHAnsi" w:eastAsiaTheme="minorEastAsia" w:hAnsiTheme="minorHAnsi" w:cstheme="minorBidi"/>
          <w:color w:val="auto"/>
          <w:kern w:val="0"/>
          <w:lang w:val="en-GB"/>
        </w:rPr>
      </w:pPr>
      <w:r w:rsidRPr="00666872">
        <w:rPr>
          <w:rFonts w:asciiTheme="minorHAnsi" w:eastAsiaTheme="minorEastAsia" w:hAnsiTheme="minorHAnsi" w:cstheme="minorBidi"/>
          <w:color w:val="auto"/>
          <w:kern w:val="0"/>
          <w:lang w:val="en-GB"/>
        </w:rPr>
        <w:t xml:space="preserve">Public trust is fundamental to effective policing, and the issue of armament significantly influences this trust. </w:t>
      </w:r>
      <w:r w:rsidR="00DD6B88">
        <w:rPr>
          <w:rFonts w:asciiTheme="minorHAnsi" w:eastAsiaTheme="minorEastAsia" w:hAnsiTheme="minorHAnsi" w:cstheme="minorBidi"/>
          <w:color w:val="auto"/>
          <w:kern w:val="0"/>
          <w:lang w:val="en-GB"/>
        </w:rPr>
        <w:t>Davidson et al (</w:t>
      </w:r>
      <w:r w:rsidR="00B42600">
        <w:rPr>
          <w:rFonts w:asciiTheme="minorHAnsi" w:eastAsiaTheme="minorEastAsia" w:hAnsiTheme="minorHAnsi" w:cstheme="minorBidi"/>
          <w:color w:val="auto"/>
          <w:kern w:val="0"/>
          <w:lang w:val="en-GB"/>
        </w:rPr>
        <w:t>2017)</w:t>
      </w:r>
      <w:r w:rsidRPr="00666872">
        <w:rPr>
          <w:rFonts w:asciiTheme="minorHAnsi" w:eastAsiaTheme="minorEastAsia" w:hAnsiTheme="minorHAnsi" w:cstheme="minorBidi"/>
          <w:color w:val="auto"/>
          <w:kern w:val="0"/>
          <w:lang w:val="en-GB"/>
        </w:rPr>
        <w:t xml:space="preserve"> reveal a nuanced public attitude in Britain: general support for speciali</w:t>
      </w:r>
      <w:r w:rsidR="00137C98">
        <w:rPr>
          <w:rFonts w:asciiTheme="minorHAnsi" w:eastAsiaTheme="minorEastAsia" w:hAnsiTheme="minorHAnsi" w:cstheme="minorBidi"/>
          <w:color w:val="auto"/>
          <w:kern w:val="0"/>
          <w:lang w:val="en-GB"/>
        </w:rPr>
        <w:t>s</w:t>
      </w:r>
      <w:r w:rsidRPr="00666872">
        <w:rPr>
          <w:rFonts w:asciiTheme="minorHAnsi" w:eastAsiaTheme="minorEastAsia" w:hAnsiTheme="minorHAnsi" w:cstheme="minorBidi"/>
          <w:color w:val="auto"/>
          <w:kern w:val="0"/>
          <w:lang w:val="en-GB"/>
        </w:rPr>
        <w:t>ed armed units coexists with strong resistance to routinely armed officers. This dichotomy underscores the delicate balance between security desires and attachment to traditional unarmed policing.</w:t>
      </w:r>
    </w:p>
    <w:p w14:paraId="674E23AC" w14:textId="4EA87FD2" w:rsidR="00666872" w:rsidRPr="00666872" w:rsidRDefault="00666872" w:rsidP="00666872">
      <w:pPr>
        <w:pStyle w:val="OBEBibliography"/>
        <w:spacing w:line="360" w:lineRule="auto"/>
        <w:rPr>
          <w:rFonts w:asciiTheme="minorHAnsi" w:eastAsiaTheme="minorEastAsia" w:hAnsiTheme="minorHAnsi" w:cstheme="minorBidi"/>
          <w:color w:val="auto"/>
          <w:kern w:val="0"/>
          <w:lang w:val="en-GB"/>
        </w:rPr>
      </w:pPr>
      <w:r w:rsidRPr="00666872">
        <w:rPr>
          <w:rFonts w:asciiTheme="minorHAnsi" w:eastAsiaTheme="minorEastAsia" w:hAnsiTheme="minorHAnsi" w:cstheme="minorBidi"/>
          <w:color w:val="auto"/>
          <w:kern w:val="0"/>
          <w:lang w:val="en-GB"/>
        </w:rPr>
        <w:t xml:space="preserve">In Wales, </w:t>
      </w:r>
      <w:r w:rsidR="00E6232A">
        <w:rPr>
          <w:rFonts w:asciiTheme="minorHAnsi" w:eastAsiaTheme="minorEastAsia" w:hAnsiTheme="minorHAnsi" w:cstheme="minorBidi"/>
          <w:color w:val="auto"/>
          <w:kern w:val="0"/>
          <w:lang w:val="en-GB"/>
        </w:rPr>
        <w:t>Rogers (2013)</w:t>
      </w:r>
      <w:r w:rsidRPr="00666872">
        <w:rPr>
          <w:rFonts w:asciiTheme="minorHAnsi" w:eastAsiaTheme="minorEastAsia" w:hAnsiTheme="minorHAnsi" w:cstheme="minorBidi"/>
          <w:color w:val="auto"/>
          <w:kern w:val="0"/>
          <w:lang w:val="en-GB"/>
        </w:rPr>
        <w:t xml:space="preserve"> uncover</w:t>
      </w:r>
      <w:r w:rsidR="00E15642">
        <w:rPr>
          <w:rFonts w:asciiTheme="minorHAnsi" w:eastAsiaTheme="minorEastAsia" w:hAnsiTheme="minorHAnsi" w:cstheme="minorBidi"/>
          <w:color w:val="auto"/>
          <w:kern w:val="0"/>
          <w:lang w:val="en-GB"/>
        </w:rPr>
        <w:t>ed</w:t>
      </w:r>
      <w:r w:rsidRPr="00666872">
        <w:rPr>
          <w:rFonts w:asciiTheme="minorHAnsi" w:eastAsiaTheme="minorEastAsia" w:hAnsiTheme="minorHAnsi" w:cstheme="minorBidi"/>
          <w:color w:val="auto"/>
          <w:kern w:val="0"/>
          <w:lang w:val="en-GB"/>
        </w:rPr>
        <w:t xml:space="preserve"> distinct regional variations in public opinion. Rural communities show greater resistance to armed policing compared to urban areas, reflecting differing crime patterns and a stronger emphasis on community-based policing in rural Welsh settings. This variance highlights the need for tailored policing approaches across diverse communities.</w:t>
      </w:r>
      <w:r w:rsidR="00E15642">
        <w:rPr>
          <w:rFonts w:asciiTheme="minorHAnsi" w:eastAsiaTheme="minorEastAsia" w:hAnsiTheme="minorHAnsi" w:cstheme="minorBidi"/>
          <w:color w:val="auto"/>
          <w:kern w:val="0"/>
          <w:lang w:val="en-GB"/>
        </w:rPr>
        <w:t xml:space="preserve"> </w:t>
      </w:r>
      <w:r w:rsidRPr="00666872">
        <w:rPr>
          <w:rFonts w:asciiTheme="minorHAnsi" w:eastAsiaTheme="minorEastAsia" w:hAnsiTheme="minorHAnsi" w:cstheme="minorBidi"/>
          <w:color w:val="auto"/>
          <w:kern w:val="0"/>
          <w:lang w:val="en-GB"/>
        </w:rPr>
        <w:t xml:space="preserve">The visibility of armed officers has complex effects on public perceptions of safety. </w:t>
      </w:r>
      <w:proofErr w:type="spellStart"/>
      <w:r w:rsidRPr="00666872">
        <w:rPr>
          <w:rFonts w:asciiTheme="minorHAnsi" w:eastAsiaTheme="minorEastAsia" w:hAnsiTheme="minorHAnsi" w:cstheme="minorBidi"/>
          <w:color w:val="auto"/>
          <w:kern w:val="0"/>
          <w:lang w:val="en-GB"/>
        </w:rPr>
        <w:t>Yesberg</w:t>
      </w:r>
      <w:proofErr w:type="spellEnd"/>
      <w:r w:rsidRPr="00666872">
        <w:rPr>
          <w:rFonts w:asciiTheme="minorHAnsi" w:eastAsiaTheme="minorEastAsia" w:hAnsiTheme="minorHAnsi" w:cstheme="minorBidi"/>
          <w:color w:val="auto"/>
          <w:kern w:val="0"/>
          <w:lang w:val="en-GB"/>
        </w:rPr>
        <w:t xml:space="preserve"> et al. (2022, p.889) find that while armed presence increases feelings of security in specific contexts like airports, it often leads to heightened anxiety in everyday settings. This contextual impact suggests that the perceived necessity of armed officers plays a crucial role in public acceptance.</w:t>
      </w:r>
    </w:p>
    <w:p w14:paraId="22110347" w14:textId="7EA02EA3" w:rsidR="00666872" w:rsidRPr="00666872" w:rsidRDefault="00666872" w:rsidP="00137C98">
      <w:pPr>
        <w:pStyle w:val="OBEBibliography"/>
        <w:spacing w:line="360" w:lineRule="auto"/>
        <w:rPr>
          <w:rFonts w:asciiTheme="minorHAnsi" w:eastAsiaTheme="minorEastAsia" w:hAnsiTheme="minorHAnsi" w:cstheme="minorBidi"/>
          <w:color w:val="auto"/>
          <w:kern w:val="0"/>
          <w:lang w:val="en-GB"/>
        </w:rPr>
      </w:pPr>
      <w:r w:rsidRPr="00666872">
        <w:rPr>
          <w:rFonts w:asciiTheme="minorHAnsi" w:eastAsiaTheme="minorEastAsia" w:hAnsiTheme="minorHAnsi" w:cstheme="minorBidi"/>
          <w:color w:val="auto"/>
          <w:kern w:val="0"/>
          <w:lang w:val="en-GB"/>
        </w:rPr>
        <w:lastRenderedPageBreak/>
        <w:t>Minority communities' perceptions add a critical dimension to this debate. Bowleg et al. (2021, p.837) report higher levels of concern about routine police armament among Black and Asian communities in the UK. Given Wales's increasing diversity, particularly in urban areas, these concerns are especially pertinent to discussions about changes in armament policies.</w:t>
      </w:r>
      <w:r w:rsidR="00E15642">
        <w:rPr>
          <w:rFonts w:asciiTheme="minorHAnsi" w:eastAsiaTheme="minorEastAsia" w:hAnsiTheme="minorHAnsi" w:cstheme="minorBidi"/>
          <w:color w:val="auto"/>
          <w:kern w:val="0"/>
          <w:lang w:val="en-GB"/>
        </w:rPr>
        <w:t xml:space="preserve"> </w:t>
      </w:r>
      <w:r w:rsidRPr="00666872">
        <w:rPr>
          <w:rFonts w:asciiTheme="minorHAnsi" w:eastAsiaTheme="minorEastAsia" w:hAnsiTheme="minorHAnsi" w:cstheme="minorBidi"/>
          <w:color w:val="auto"/>
          <w:kern w:val="0"/>
          <w:lang w:val="en-GB"/>
        </w:rPr>
        <w:t xml:space="preserve">Jackson and Bradford (2024, p.213) link trust in </w:t>
      </w:r>
      <w:r w:rsidR="00137C98">
        <w:rPr>
          <w:rFonts w:asciiTheme="minorHAnsi" w:eastAsiaTheme="minorEastAsia" w:hAnsiTheme="minorHAnsi" w:cstheme="minorBidi"/>
          <w:color w:val="auto"/>
          <w:kern w:val="0"/>
          <w:lang w:val="en-GB"/>
        </w:rPr>
        <w:t xml:space="preserve">the </w:t>
      </w:r>
      <w:r w:rsidRPr="00666872">
        <w:rPr>
          <w:rFonts w:asciiTheme="minorHAnsi" w:eastAsiaTheme="minorEastAsia" w:hAnsiTheme="minorHAnsi" w:cstheme="minorBidi"/>
          <w:color w:val="auto"/>
          <w:kern w:val="0"/>
          <w:lang w:val="en-GB"/>
        </w:rPr>
        <w:t>police to perceptions of legitimacy, finding that the current model of limited and speciali</w:t>
      </w:r>
      <w:r w:rsidR="00C72039">
        <w:rPr>
          <w:rFonts w:asciiTheme="minorHAnsi" w:eastAsiaTheme="minorEastAsia" w:hAnsiTheme="minorHAnsi" w:cstheme="minorBidi"/>
          <w:color w:val="auto"/>
          <w:kern w:val="0"/>
          <w:lang w:val="en-GB"/>
        </w:rPr>
        <w:t>s</w:t>
      </w:r>
      <w:r w:rsidRPr="00666872">
        <w:rPr>
          <w:rFonts w:asciiTheme="minorHAnsi" w:eastAsiaTheme="minorEastAsia" w:hAnsiTheme="minorHAnsi" w:cstheme="minorBidi"/>
          <w:color w:val="auto"/>
          <w:kern w:val="0"/>
          <w:lang w:val="en-GB"/>
        </w:rPr>
        <w:t>ed armed response units generally maintains higher perceived legitimacy compared to routine armament models. This supports the notion that the UK's current approach, including in Wales, may be optimal for maintaining public trust.</w:t>
      </w:r>
    </w:p>
    <w:p w14:paraId="761F3273" w14:textId="5AD4173D" w:rsidR="00666872" w:rsidRPr="00666872" w:rsidRDefault="00666872" w:rsidP="00137C98">
      <w:pPr>
        <w:pStyle w:val="OBEBibliography"/>
        <w:spacing w:line="360" w:lineRule="auto"/>
        <w:rPr>
          <w:rFonts w:asciiTheme="minorHAnsi" w:eastAsiaTheme="minorEastAsia" w:hAnsiTheme="minorHAnsi" w:cstheme="minorBidi"/>
          <w:color w:val="auto"/>
          <w:kern w:val="0"/>
          <w:lang w:val="en-GB"/>
        </w:rPr>
      </w:pPr>
      <w:r w:rsidRPr="00666872">
        <w:rPr>
          <w:rFonts w:asciiTheme="minorHAnsi" w:eastAsiaTheme="minorEastAsia" w:hAnsiTheme="minorHAnsi" w:cstheme="minorBidi"/>
          <w:color w:val="auto"/>
          <w:kern w:val="0"/>
          <w:lang w:val="en-GB"/>
        </w:rPr>
        <w:t>In the Welsh context, Pritchard (2024, p.178) argues that police trust is intrinsically tied to perceptions of cultural understanding and community engagement. This perspective emphasi</w:t>
      </w:r>
      <w:r w:rsidR="00137C98">
        <w:rPr>
          <w:rFonts w:asciiTheme="minorHAnsi" w:eastAsiaTheme="minorEastAsia" w:hAnsiTheme="minorHAnsi" w:cstheme="minorBidi"/>
          <w:color w:val="auto"/>
          <w:kern w:val="0"/>
          <w:lang w:val="en-GB"/>
        </w:rPr>
        <w:t>s</w:t>
      </w:r>
      <w:r w:rsidRPr="00666872">
        <w:rPr>
          <w:rFonts w:asciiTheme="minorHAnsi" w:eastAsiaTheme="minorEastAsia" w:hAnsiTheme="minorHAnsi" w:cstheme="minorBidi"/>
          <w:color w:val="auto"/>
          <w:kern w:val="0"/>
          <w:lang w:val="en-GB"/>
        </w:rPr>
        <w:t>es the importance of considering local cultural factors in any discussions about police armament in Wales.</w:t>
      </w:r>
      <w:r w:rsidR="00E15642">
        <w:rPr>
          <w:rFonts w:asciiTheme="minorHAnsi" w:eastAsiaTheme="minorEastAsia" w:hAnsiTheme="minorHAnsi" w:cstheme="minorBidi"/>
          <w:color w:val="auto"/>
          <w:kern w:val="0"/>
          <w:lang w:val="en-GB"/>
        </w:rPr>
        <w:t xml:space="preserve"> </w:t>
      </w:r>
      <w:r w:rsidRPr="00666872">
        <w:rPr>
          <w:rFonts w:asciiTheme="minorHAnsi" w:eastAsiaTheme="minorEastAsia" w:hAnsiTheme="minorHAnsi" w:cstheme="minorBidi"/>
          <w:color w:val="auto"/>
          <w:kern w:val="0"/>
          <w:lang w:val="en-GB"/>
        </w:rPr>
        <w:t xml:space="preserve">Recent quantitative data further illuminates public perceptions. A 2024 YouGov survey reveals that while 68% of UK residents feel safe with the current policing model, this drops to 52% when considering routinely armed officers (YouGov, 2024). In Wales specifically, a 2023 public consultation by the South Wales Police and Crime Commissioner found only 23% of respondents supported increasing armed officer numbers, with the majority </w:t>
      </w:r>
      <w:r w:rsidR="00E15642" w:rsidRPr="00666872">
        <w:rPr>
          <w:rFonts w:asciiTheme="minorHAnsi" w:eastAsiaTheme="minorEastAsia" w:hAnsiTheme="minorHAnsi" w:cstheme="minorBidi"/>
          <w:color w:val="auto"/>
          <w:kern w:val="0"/>
          <w:lang w:val="en-GB"/>
        </w:rPr>
        <w:t>favouring</w:t>
      </w:r>
      <w:r w:rsidRPr="00666872">
        <w:rPr>
          <w:rFonts w:asciiTheme="minorHAnsi" w:eastAsiaTheme="minorEastAsia" w:hAnsiTheme="minorHAnsi" w:cstheme="minorBidi"/>
          <w:color w:val="auto"/>
          <w:kern w:val="0"/>
          <w:lang w:val="en-GB"/>
        </w:rPr>
        <w:t xml:space="preserve"> investment in community policing and crime prevention (South Wales Police and Crime Commissioner, 2023).</w:t>
      </w:r>
    </w:p>
    <w:p w14:paraId="0253D266" w14:textId="3DA89620" w:rsidR="00666872" w:rsidRDefault="00666872" w:rsidP="009C014A">
      <w:pPr>
        <w:pStyle w:val="OBEBibliography"/>
        <w:spacing w:line="360" w:lineRule="auto"/>
        <w:rPr>
          <w:rFonts w:asciiTheme="minorHAnsi" w:eastAsiaTheme="minorEastAsia" w:hAnsiTheme="minorHAnsi" w:cstheme="minorBidi"/>
          <w:color w:val="auto"/>
          <w:kern w:val="0"/>
          <w:lang w:val="en-GB"/>
        </w:rPr>
      </w:pPr>
      <w:r w:rsidRPr="00666872">
        <w:rPr>
          <w:rFonts w:asciiTheme="minorHAnsi" w:eastAsiaTheme="minorEastAsia" w:hAnsiTheme="minorHAnsi" w:cstheme="minorBidi"/>
          <w:color w:val="auto"/>
          <w:kern w:val="0"/>
          <w:lang w:val="en-GB"/>
        </w:rPr>
        <w:t>This complex landscape reveals the tension between addressing evolving security concerns and maintaining the principles of policing by consent. The Welsh context adds additional layers of complexity, with cultural factors, community dynamics, and local police-community relationships playing crucial roles.</w:t>
      </w:r>
      <w:r w:rsidR="00E15642">
        <w:rPr>
          <w:rFonts w:asciiTheme="minorHAnsi" w:eastAsiaTheme="minorEastAsia" w:hAnsiTheme="minorHAnsi" w:cstheme="minorBidi"/>
          <w:color w:val="auto"/>
          <w:kern w:val="0"/>
          <w:lang w:val="en-GB"/>
        </w:rPr>
        <w:t xml:space="preserve"> </w:t>
      </w:r>
      <w:r w:rsidRPr="00666872">
        <w:rPr>
          <w:rFonts w:asciiTheme="minorHAnsi" w:eastAsiaTheme="minorEastAsia" w:hAnsiTheme="minorHAnsi" w:cstheme="minorBidi"/>
          <w:color w:val="auto"/>
          <w:kern w:val="0"/>
          <w:lang w:val="en-GB"/>
        </w:rPr>
        <w:t>As the debate continues, it's clear that any changes to police armament policies, particularly in Wales, must carefully balance security needs, public trust, and the enduring principles of community-oriented policing. Future research should focus on in-depth studies of public perception in Wales, comparative analyses with culturally distinct regions, and exploration of how devolved powers might influence armed policing policies. Moreover, comprehensive data on the effectiveness of current armed policing strategies specific to the Welsh context is needed to inform evidence-based policy decisions.</w:t>
      </w:r>
    </w:p>
    <w:p w14:paraId="7A480DDE" w14:textId="1FB87456" w:rsidR="009D7619" w:rsidRDefault="009D7619" w:rsidP="00737A26">
      <w:pPr>
        <w:pStyle w:val="OBESubtitle1sttier"/>
      </w:pPr>
      <w:bookmarkStart w:id="9" w:name="_Toc175647948"/>
      <w:r w:rsidRPr="009D7619">
        <w:lastRenderedPageBreak/>
        <w:t>Methodology</w:t>
      </w:r>
      <w:bookmarkEnd w:id="9"/>
      <w:r w:rsidRPr="009D7619">
        <w:t xml:space="preserve"> </w:t>
      </w:r>
    </w:p>
    <w:p w14:paraId="2E8FFCBA" w14:textId="5F79DED2" w:rsidR="00651C3D" w:rsidRPr="00651C3D" w:rsidRDefault="00651C3D" w:rsidP="00651C3D">
      <w:pPr>
        <w:pStyle w:val="OBEBibliography"/>
        <w:rPr>
          <w:lang w:val="en-GB"/>
        </w:rPr>
      </w:pPr>
      <w:r w:rsidRPr="00651C3D">
        <w:rPr>
          <w:lang w:val="en-GB"/>
        </w:rPr>
        <w:t>The previous chapter provided the Literature review of the chosen subject matter of </w:t>
      </w:r>
      <w:r>
        <w:rPr>
          <w:lang w:val="en-GB"/>
        </w:rPr>
        <w:t>whether all officers within the UK should be armed, t</w:t>
      </w:r>
      <w:r w:rsidRPr="00651C3D">
        <w:rPr>
          <w:lang w:val="en-GB"/>
        </w:rPr>
        <w:t xml:space="preserve">his chapter outlines the methodology employed in this research to explore the question of whether all UK police officers should be armed. The primary aim of this chapter is to provide a clear and detailed explanation of the research design, approach, and methods used to gather and analyse data. This study adopts a qualitative approach, combining a comprehensive literature review with secondary data analysis, </w:t>
      </w:r>
      <w:proofErr w:type="gramStart"/>
      <w:r w:rsidRPr="00651C3D">
        <w:rPr>
          <w:lang w:val="en-GB"/>
        </w:rPr>
        <w:t>in order to</w:t>
      </w:r>
      <w:proofErr w:type="gramEnd"/>
      <w:r w:rsidRPr="00651C3D">
        <w:rPr>
          <w:lang w:val="en-GB"/>
        </w:rPr>
        <w:t xml:space="preserve"> provide a nuanced and in-depth understanding of the issues surrounding police armament in the UK, as well as in international contexts where relevant.</w:t>
      </w:r>
    </w:p>
    <w:p w14:paraId="64DF41A9" w14:textId="77777777" w:rsidR="00651C3D" w:rsidRPr="00651C3D" w:rsidRDefault="00651C3D" w:rsidP="00651C3D">
      <w:pPr>
        <w:pStyle w:val="OBEBibliography"/>
        <w:rPr>
          <w:lang w:val="en-GB"/>
        </w:rPr>
      </w:pPr>
      <w:r w:rsidRPr="00651C3D">
        <w:rPr>
          <w:lang w:val="en-GB"/>
        </w:rPr>
        <w:t>The methodology chapter is structured to explain the rationale behind the chosen methods, the search strategy for relevant literature, the criteria for including or excluding sources, and the limitations of the research approach. By utilising a literature review, the research aims to critically examine existing scholarly work, policy documents, and perspectives on police armament, tracking the evolution of policies and practices over time. This allows for the identification of key themes, debates, and insights that shape the current discourse on armed policing in the UK.</w:t>
      </w:r>
    </w:p>
    <w:p w14:paraId="63E6E548" w14:textId="77777777" w:rsidR="00651C3D" w:rsidRPr="00651C3D" w:rsidRDefault="00651C3D" w:rsidP="00651C3D">
      <w:pPr>
        <w:pStyle w:val="OBEBibliography"/>
        <w:rPr>
          <w:lang w:val="en-GB"/>
        </w:rPr>
      </w:pPr>
      <w:r w:rsidRPr="00651C3D">
        <w:rPr>
          <w:lang w:val="en-GB"/>
        </w:rPr>
        <w:t>Secondary data analysis complements the literature review by incorporating quantitative data on trends in police use of firearms, providing a broader context for understanding the real-world impact of armed policing. This analysis draws on official statistics, survey data, and findings from previous empirical studies to add depth to the qualitative findings and offer a more complete picture of the current landscape.</w:t>
      </w:r>
    </w:p>
    <w:p w14:paraId="2BF6E2C9" w14:textId="77777777" w:rsidR="00651C3D" w:rsidRPr="00651C3D" w:rsidRDefault="00651C3D" w:rsidP="00651C3D">
      <w:pPr>
        <w:pStyle w:val="OBEBibliography"/>
        <w:rPr>
          <w:lang w:val="en-GB"/>
        </w:rPr>
      </w:pPr>
      <w:r w:rsidRPr="00651C3D">
        <w:rPr>
          <w:lang w:val="en-GB"/>
        </w:rPr>
        <w:t>While this methodology provides a robust framework for answering the research question, it is also important to acknowledge the limitations inherent in using secondary sources, such as potential biases and the challenges of comparing policing practices across different countries. Ethical considerations, such as ensuring the accurate representation of data and maintaining objectivity, were also central to this research process.</w:t>
      </w:r>
    </w:p>
    <w:p w14:paraId="3966F483" w14:textId="77777777" w:rsidR="00651C3D" w:rsidRPr="00651C3D" w:rsidRDefault="00651C3D" w:rsidP="00651C3D">
      <w:pPr>
        <w:pStyle w:val="OBEBibliography"/>
        <w:rPr>
          <w:lang w:val="en-GB"/>
        </w:rPr>
      </w:pPr>
      <w:r w:rsidRPr="00651C3D">
        <w:rPr>
          <w:lang w:val="en-GB"/>
        </w:rPr>
        <w:t>The following sections will delve into the specifics of the literature review approach, secondary data analysis, search strategy, inclusion and exclusion criteria, and the limitations of the chosen methodology, providing a comprehensive overview of how the research was conducted.</w:t>
      </w:r>
    </w:p>
    <w:p w14:paraId="6AC2DFB2" w14:textId="77777777" w:rsidR="009342D8" w:rsidRPr="009342D8" w:rsidRDefault="009342D8" w:rsidP="009342D8">
      <w:pPr>
        <w:pStyle w:val="OBEBibliography"/>
      </w:pPr>
      <w:r w:rsidRPr="009342D8">
        <w:t>This research will primarily employ a qualitative approach through a comprehensive literature review and secondary data analysis. This method is best suited to the research as it allows for:</w:t>
      </w:r>
    </w:p>
    <w:p w14:paraId="6993A511" w14:textId="77777777" w:rsidR="009342D8" w:rsidRPr="009342D8" w:rsidRDefault="009342D8" w:rsidP="009342D8">
      <w:pPr>
        <w:pStyle w:val="OBEBibliography"/>
      </w:pPr>
      <w:r w:rsidRPr="009342D8">
        <w:t>A thorough examination of existing scholarly work and policy documents.</w:t>
      </w:r>
    </w:p>
    <w:p w14:paraId="60306EB1" w14:textId="77777777" w:rsidR="009342D8" w:rsidRPr="009342D8" w:rsidRDefault="009342D8" w:rsidP="009342D8">
      <w:pPr>
        <w:pStyle w:val="OBEBibliography"/>
      </w:pPr>
      <w:r w:rsidRPr="009342D8">
        <w:t>Analysis of statistical data on police use of firearms and related incidents, such as those provided by the Home Office (2023).</w:t>
      </w:r>
    </w:p>
    <w:p w14:paraId="3D135D42" w14:textId="77777777" w:rsidR="009342D8" w:rsidRPr="009342D8" w:rsidRDefault="009342D8" w:rsidP="009342D8">
      <w:pPr>
        <w:pStyle w:val="OBEBibliography"/>
      </w:pPr>
      <w:r w:rsidRPr="009342D8">
        <w:t>Comparison of different policing approaches and their outcomes.</w:t>
      </w:r>
    </w:p>
    <w:p w14:paraId="2AED8877" w14:textId="77777777" w:rsidR="009342D8" w:rsidRPr="009342D8" w:rsidRDefault="009342D8" w:rsidP="009342D8">
      <w:pPr>
        <w:pStyle w:val="OBEBibliography"/>
      </w:pPr>
      <w:r w:rsidRPr="009342D8">
        <w:lastRenderedPageBreak/>
        <w:t xml:space="preserve">Exploration of nuanced arguments and perspectives that may not be captured in quantitative studies alone. </w:t>
      </w:r>
    </w:p>
    <w:p w14:paraId="001BFA0B" w14:textId="463693AD" w:rsidR="00266B81" w:rsidRPr="001873A1" w:rsidRDefault="00266B81" w:rsidP="001873A1">
      <w:pPr>
        <w:pStyle w:val="OBEBibliography"/>
        <w:spacing w:line="360" w:lineRule="auto"/>
        <w:rPr>
          <w:rFonts w:asciiTheme="minorHAnsi" w:eastAsiaTheme="minorEastAsia" w:hAnsiTheme="minorHAnsi" w:cstheme="minorBidi"/>
          <w:color w:val="auto"/>
          <w:kern w:val="0"/>
          <w:lang w:val="en-GB"/>
        </w:rPr>
      </w:pPr>
      <w:r w:rsidRPr="00266B81">
        <w:rPr>
          <w:rFonts w:asciiTheme="minorHAnsi" w:eastAsiaTheme="minorEastAsia" w:hAnsiTheme="minorHAnsi" w:cstheme="minorBidi"/>
          <w:color w:val="auto"/>
          <w:kern w:val="0"/>
          <w:lang w:val="en-GB"/>
        </w:rPr>
        <w:t>This study utilised a literature review and secondary data analysis to address the research question and objectives. The methodology was adopted to provide a systematic, critical, and thorough examination of the literature relating to police armament in the UK, as well as within the relevant international contexts.</w:t>
      </w:r>
    </w:p>
    <w:p w14:paraId="01B757AE" w14:textId="4EC43256" w:rsidR="001873A1" w:rsidRPr="001873A1" w:rsidRDefault="00E15642" w:rsidP="00737A26">
      <w:pPr>
        <w:pStyle w:val="OBESubtitle2ndtier"/>
        <w:rPr>
          <w:rFonts w:asciiTheme="minorHAnsi" w:hAnsiTheme="minorHAnsi" w:cstheme="minorBidi"/>
          <w:color w:val="auto"/>
        </w:rPr>
      </w:pPr>
      <w:bookmarkStart w:id="10" w:name="_Toc175647949"/>
      <w:r w:rsidRPr="00E15642">
        <w:t>Literature Review Approach</w:t>
      </w:r>
      <w:bookmarkEnd w:id="10"/>
    </w:p>
    <w:p w14:paraId="3C5A0F79" w14:textId="77777777" w:rsidR="00651C3D" w:rsidRDefault="00F431F9" w:rsidP="00651C3D">
      <w:pPr>
        <w:pStyle w:val="OBEBibliography"/>
        <w:spacing w:line="360" w:lineRule="auto"/>
      </w:pPr>
      <w:r w:rsidRPr="00F431F9">
        <w:rPr>
          <w:rFonts w:asciiTheme="minorHAnsi" w:eastAsiaTheme="minorEastAsia" w:hAnsiTheme="minorHAnsi" w:cstheme="minorBidi"/>
          <w:color w:val="auto"/>
          <w:kern w:val="0"/>
          <w:lang w:val="en-GB"/>
        </w:rPr>
        <w:t xml:space="preserve">The literature review formed the heart of this research, providing a base knowledge from which to situate the historical reality of policy, practice and debate when it comes to police armament. The approach was both chronological and thematic, thus allowing </w:t>
      </w:r>
      <w:r w:rsidR="00EA5F4B">
        <w:rPr>
          <w:rFonts w:asciiTheme="minorHAnsi" w:eastAsiaTheme="minorEastAsia" w:hAnsiTheme="minorHAnsi" w:cstheme="minorBidi"/>
          <w:color w:val="auto"/>
          <w:kern w:val="0"/>
          <w:lang w:val="en-GB"/>
        </w:rPr>
        <w:t xml:space="preserve">us </w:t>
      </w:r>
      <w:r w:rsidRPr="00F431F9">
        <w:rPr>
          <w:rFonts w:asciiTheme="minorHAnsi" w:eastAsiaTheme="minorEastAsia" w:hAnsiTheme="minorHAnsi" w:cstheme="minorBidi"/>
          <w:color w:val="auto"/>
          <w:kern w:val="0"/>
          <w:lang w:val="en-GB"/>
        </w:rPr>
        <w:t>to track the way in which policies and perspectives had changed over time, along with the identification of core recurring themes in the debate.</w:t>
      </w:r>
      <w:r w:rsidR="00651C3D">
        <w:rPr>
          <w:rFonts w:asciiTheme="minorHAnsi" w:eastAsiaTheme="minorEastAsia" w:hAnsiTheme="minorHAnsi" w:cstheme="minorBidi"/>
          <w:color w:val="auto"/>
          <w:kern w:val="0"/>
          <w:lang w:val="en-GB"/>
        </w:rPr>
        <w:t xml:space="preserve"> Firstly, by employing </w:t>
      </w:r>
      <w:r w:rsidR="00651C3D" w:rsidRPr="00651C3D">
        <w:t xml:space="preserve">Chronological Analysis, </w:t>
      </w:r>
      <w:r w:rsidR="00651C3D">
        <w:t>it allows us to</w:t>
      </w:r>
      <w:r w:rsidR="00651C3D" w:rsidRPr="00651C3D">
        <w:t xml:space="preserve"> track how policies, societal attitudes, and policing practices around firearm use have shifted over time. By understanding these shifts, the research </w:t>
      </w:r>
      <w:proofErr w:type="gramStart"/>
      <w:r w:rsidR="00651C3D" w:rsidRPr="00651C3D">
        <w:t>is able to</w:t>
      </w:r>
      <w:proofErr w:type="gramEnd"/>
      <w:r w:rsidR="00651C3D" w:rsidRPr="00651C3D">
        <w:t xml:space="preserve"> situate contemporary practices within their historical context, providing insights into factors such as public perception, evolving security threats, and policy shifts.</w:t>
      </w:r>
    </w:p>
    <w:p w14:paraId="312EB813" w14:textId="57CEC56A" w:rsidR="00651C3D" w:rsidRPr="00651C3D" w:rsidRDefault="00651C3D" w:rsidP="00651C3D">
      <w:pPr>
        <w:pStyle w:val="OBEBibliography"/>
        <w:spacing w:line="360" w:lineRule="auto"/>
      </w:pPr>
      <w:r>
        <w:t>A</w:t>
      </w:r>
      <w:r w:rsidRPr="00651C3D">
        <w:t xml:space="preserve"> thematic approach </w:t>
      </w:r>
      <w:r>
        <w:t xml:space="preserve">allows us to </w:t>
      </w:r>
      <w:proofErr w:type="gramStart"/>
      <w:r w:rsidRPr="00651C3D">
        <w:t>categorizes</w:t>
      </w:r>
      <w:proofErr w:type="gramEnd"/>
      <w:r w:rsidRPr="00651C3D">
        <w:t xml:space="preserve"> literature by recurring themes, such as “policing by consent,” public perceptions of armed officers, and comparative strategies across different jurisdictions. Themes are explored in detail to understand the underlying philosophies and arguments around police use of firearms, focusing on issues such as accountability, public trust, and the balance between law enforcement needs and civil liberties.</w:t>
      </w:r>
    </w:p>
    <w:p w14:paraId="088D1D1C" w14:textId="685873A9" w:rsidR="00F431F9" w:rsidRDefault="00F431F9" w:rsidP="001873A1">
      <w:pPr>
        <w:pStyle w:val="OBEBibliography"/>
        <w:spacing w:line="360" w:lineRule="auto"/>
        <w:rPr>
          <w:rFonts w:asciiTheme="minorHAnsi" w:eastAsiaTheme="minorEastAsia" w:hAnsiTheme="minorHAnsi" w:cstheme="minorBidi"/>
          <w:color w:val="auto"/>
          <w:kern w:val="0"/>
          <w:lang w:val="en-GB"/>
        </w:rPr>
      </w:pPr>
    </w:p>
    <w:p w14:paraId="53E4103C" w14:textId="0D54C819" w:rsidR="001873A1" w:rsidRPr="001873A1" w:rsidRDefault="00E15642" w:rsidP="009C014A">
      <w:pPr>
        <w:pStyle w:val="OBESubtitle2ndtier"/>
        <w:rPr>
          <w:rFonts w:asciiTheme="minorHAnsi" w:hAnsiTheme="minorHAnsi" w:cstheme="minorBidi"/>
          <w:color w:val="auto"/>
        </w:rPr>
      </w:pPr>
      <w:bookmarkStart w:id="11" w:name="_Toc175647950"/>
      <w:r w:rsidRPr="00E15642">
        <w:t>Secondary Data Analysis</w:t>
      </w:r>
      <w:bookmarkEnd w:id="11"/>
      <w:r w:rsidRPr="00E15642">
        <w:t xml:space="preserve"> </w:t>
      </w:r>
    </w:p>
    <w:p w14:paraId="3DA66A15" w14:textId="2F7CEB25" w:rsidR="00D40F3F" w:rsidRDefault="00D40F3F" w:rsidP="001873A1">
      <w:pPr>
        <w:pStyle w:val="OBEBibliography"/>
        <w:spacing w:line="360" w:lineRule="auto"/>
        <w:rPr>
          <w:rFonts w:asciiTheme="minorHAnsi" w:eastAsiaTheme="minorEastAsia" w:hAnsiTheme="minorHAnsi" w:cstheme="minorBidi"/>
          <w:color w:val="auto"/>
          <w:kern w:val="0"/>
          <w:lang w:val="en-GB"/>
        </w:rPr>
      </w:pPr>
      <w:r w:rsidRPr="00D40F3F">
        <w:rPr>
          <w:rFonts w:asciiTheme="minorHAnsi" w:eastAsiaTheme="minorEastAsia" w:hAnsiTheme="minorHAnsi" w:cstheme="minorBidi"/>
          <w:color w:val="auto"/>
          <w:kern w:val="0"/>
          <w:lang w:val="en-GB"/>
        </w:rPr>
        <w:t xml:space="preserve">Secondary data analysis complemented analysis from the literature review by </w:t>
      </w:r>
      <w:r>
        <w:rPr>
          <w:rFonts w:asciiTheme="minorHAnsi" w:eastAsiaTheme="minorEastAsia" w:hAnsiTheme="minorHAnsi" w:cstheme="minorBidi"/>
          <w:color w:val="auto"/>
          <w:kern w:val="0"/>
          <w:lang w:val="en-GB"/>
        </w:rPr>
        <w:t xml:space="preserve">discussing </w:t>
      </w:r>
      <w:r w:rsidRPr="00D40F3F">
        <w:rPr>
          <w:rFonts w:asciiTheme="minorHAnsi" w:eastAsiaTheme="minorEastAsia" w:hAnsiTheme="minorHAnsi" w:cstheme="minorBidi"/>
          <w:color w:val="auto"/>
          <w:kern w:val="0"/>
          <w:lang w:val="en-GB"/>
        </w:rPr>
        <w:t>quantitative data on trends, patterns and outcomes linked to armed policing to add more depth to the literature review’s qualitative analysis. This included analysing official statistics, survey data and findings from existing empirical studies.</w:t>
      </w:r>
    </w:p>
    <w:p w14:paraId="60DB877C" w14:textId="63228071" w:rsidR="001873A1" w:rsidRPr="001873A1" w:rsidRDefault="00E15642" w:rsidP="00737A26">
      <w:pPr>
        <w:pStyle w:val="OBESubtitle2ndtier"/>
        <w:rPr>
          <w:rFonts w:asciiTheme="minorHAnsi" w:hAnsiTheme="minorHAnsi" w:cstheme="minorBidi"/>
          <w:color w:val="auto"/>
        </w:rPr>
      </w:pPr>
      <w:bookmarkStart w:id="12" w:name="_Toc175647951"/>
      <w:r w:rsidRPr="00E15642">
        <w:lastRenderedPageBreak/>
        <w:t>Search Strategy</w:t>
      </w:r>
      <w:bookmarkEnd w:id="12"/>
      <w:r w:rsidRPr="00E15642">
        <w:t xml:space="preserve"> </w:t>
      </w:r>
    </w:p>
    <w:p w14:paraId="60E989C5" w14:textId="77777777" w:rsidR="001873A1" w:rsidRPr="001873A1" w:rsidRDefault="001873A1" w:rsidP="001873A1">
      <w:pPr>
        <w:pStyle w:val="OBEBibliography"/>
        <w:spacing w:line="360" w:lineRule="auto"/>
        <w:rPr>
          <w:rFonts w:asciiTheme="minorHAnsi" w:eastAsiaTheme="minorEastAsia" w:hAnsiTheme="minorHAnsi" w:cstheme="minorBidi"/>
          <w:color w:val="auto"/>
          <w:kern w:val="0"/>
          <w:lang w:val="en-GB"/>
        </w:rPr>
      </w:pPr>
      <w:r w:rsidRPr="001873A1">
        <w:rPr>
          <w:rFonts w:asciiTheme="minorHAnsi" w:eastAsiaTheme="minorEastAsia" w:hAnsiTheme="minorHAnsi" w:cstheme="minorBidi"/>
          <w:color w:val="auto"/>
          <w:kern w:val="0"/>
          <w:lang w:val="en-GB"/>
        </w:rPr>
        <w:t>The search for relevant literature utilized a range of academic databases including JSTOR, Web of Science, Scopus, Criminal Justice Abstracts, and Google Scholar. Additionally, government databases and official websites were accessed for policy documents and statistical data.</w:t>
      </w:r>
    </w:p>
    <w:p w14:paraId="6C6DA72C" w14:textId="01403AD4" w:rsidR="00E15642" w:rsidRPr="00365963" w:rsidRDefault="001873A1" w:rsidP="001873A1">
      <w:pPr>
        <w:pStyle w:val="OBEBibliography"/>
        <w:spacing w:line="360" w:lineRule="auto"/>
        <w:rPr>
          <w:rFonts w:asciiTheme="minorHAnsi" w:eastAsiaTheme="minorEastAsia" w:hAnsiTheme="minorHAnsi" w:cstheme="minorBidi"/>
          <w:color w:val="auto"/>
          <w:kern w:val="0"/>
          <w:lang w:val="en-GB"/>
        </w:rPr>
      </w:pPr>
      <w:r w:rsidRPr="001873A1">
        <w:rPr>
          <w:rFonts w:asciiTheme="minorHAnsi" w:eastAsiaTheme="minorEastAsia" w:hAnsiTheme="minorHAnsi" w:cstheme="minorBidi"/>
          <w:color w:val="auto"/>
          <w:kern w:val="0"/>
          <w:lang w:val="en-GB"/>
        </w:rPr>
        <w:t>Keywords used in the search included "Police armament UK", "Armed policing Britain", "Firearms policy law enforcement", "Policing by consent", "Police use of force UK", "Public perception armed police", "Terrorism impact policing UK", "Comparative policing strategies", and "Welsh policing firearms". Boolean operators and truncation symbols were used to refine searches and capture variations in terminology.</w:t>
      </w:r>
    </w:p>
    <w:p w14:paraId="333D8F1E" w14:textId="248A65BC" w:rsidR="00E15642" w:rsidRDefault="00E15642" w:rsidP="00737A26">
      <w:pPr>
        <w:pStyle w:val="OBESubtitle2ndtier"/>
      </w:pPr>
      <w:bookmarkStart w:id="13" w:name="_Toc175647952"/>
      <w:r w:rsidRPr="00E15642">
        <w:t>Inclusion/Exclusion Criteria</w:t>
      </w:r>
      <w:bookmarkEnd w:id="13"/>
      <w:r w:rsidRPr="00E15642">
        <w:t xml:space="preserve"> </w:t>
      </w:r>
    </w:p>
    <w:p w14:paraId="77416018" w14:textId="3DBED352" w:rsidR="001873A1" w:rsidRPr="001873A1" w:rsidRDefault="001873A1" w:rsidP="001873A1">
      <w:pPr>
        <w:pStyle w:val="OBEBibliography"/>
        <w:spacing w:line="360" w:lineRule="auto"/>
        <w:rPr>
          <w:rFonts w:asciiTheme="minorHAnsi" w:eastAsiaTheme="minorEastAsia" w:hAnsiTheme="minorHAnsi" w:cstheme="minorBidi"/>
          <w:color w:val="auto"/>
          <w:kern w:val="0"/>
          <w:lang w:val="en-GB"/>
        </w:rPr>
      </w:pPr>
      <w:r w:rsidRPr="001873A1">
        <w:rPr>
          <w:rFonts w:asciiTheme="minorHAnsi" w:eastAsiaTheme="minorEastAsia" w:hAnsiTheme="minorHAnsi" w:cstheme="minorBidi"/>
          <w:color w:val="auto"/>
          <w:kern w:val="0"/>
          <w:lang w:val="en-GB"/>
        </w:rPr>
        <w:t>The study focused primarily on publications from the last 10 years, with older sources included only for historical context. Priority was given to peer-reviewed academic journals, official government reports and statistics, books and chapters from reputable academic publishers, and conference proceedings from recogni</w:t>
      </w:r>
      <w:r w:rsidR="00365963">
        <w:rPr>
          <w:rFonts w:asciiTheme="minorHAnsi" w:eastAsiaTheme="minorEastAsia" w:hAnsiTheme="minorHAnsi" w:cstheme="minorBidi"/>
          <w:color w:val="auto"/>
          <w:kern w:val="0"/>
          <w:lang w:val="en-GB"/>
        </w:rPr>
        <w:t>s</w:t>
      </w:r>
      <w:r w:rsidRPr="001873A1">
        <w:rPr>
          <w:rFonts w:asciiTheme="minorHAnsi" w:eastAsiaTheme="minorEastAsia" w:hAnsiTheme="minorHAnsi" w:cstheme="minorBidi"/>
          <w:color w:val="auto"/>
          <w:kern w:val="0"/>
          <w:lang w:val="en-GB"/>
        </w:rPr>
        <w:t>ed academic conferences.</w:t>
      </w:r>
    </w:p>
    <w:p w14:paraId="22106032" w14:textId="77777777" w:rsidR="001873A1" w:rsidRPr="001873A1" w:rsidRDefault="001873A1" w:rsidP="001873A1">
      <w:pPr>
        <w:pStyle w:val="OBEBibliography"/>
        <w:spacing w:line="360" w:lineRule="auto"/>
        <w:rPr>
          <w:rFonts w:asciiTheme="minorHAnsi" w:eastAsiaTheme="minorEastAsia" w:hAnsiTheme="minorHAnsi" w:cstheme="minorBidi"/>
          <w:color w:val="auto"/>
          <w:kern w:val="0"/>
          <w:lang w:val="en-GB"/>
        </w:rPr>
      </w:pPr>
      <w:r w:rsidRPr="001873A1">
        <w:rPr>
          <w:rFonts w:asciiTheme="minorHAnsi" w:eastAsiaTheme="minorEastAsia" w:hAnsiTheme="minorHAnsi" w:cstheme="minorBidi"/>
          <w:color w:val="auto"/>
          <w:kern w:val="0"/>
          <w:lang w:val="en-GB"/>
        </w:rPr>
        <w:t xml:space="preserve">Exclusion criteria included non-English language sources, popular media articles (unless providing unique </w:t>
      </w:r>
      <w:proofErr w:type="gramStart"/>
      <w:r w:rsidRPr="001873A1">
        <w:rPr>
          <w:rFonts w:asciiTheme="minorHAnsi" w:eastAsiaTheme="minorEastAsia" w:hAnsiTheme="minorHAnsi" w:cstheme="minorBidi"/>
          <w:color w:val="auto"/>
          <w:kern w:val="0"/>
          <w:lang w:val="en-GB"/>
        </w:rPr>
        <w:t>factual information</w:t>
      </w:r>
      <w:proofErr w:type="gramEnd"/>
      <w:r w:rsidRPr="001873A1">
        <w:rPr>
          <w:rFonts w:asciiTheme="minorHAnsi" w:eastAsiaTheme="minorEastAsia" w:hAnsiTheme="minorHAnsi" w:cstheme="minorBidi"/>
          <w:color w:val="auto"/>
          <w:kern w:val="0"/>
          <w:lang w:val="en-GB"/>
        </w:rPr>
        <w:t xml:space="preserve"> not available elsewhere), and sources focusing exclusively on non-UK contexts unless they offered relevant comparative insights.</w:t>
      </w:r>
    </w:p>
    <w:p w14:paraId="79E8383A" w14:textId="3CD0D5B3" w:rsidR="004D15C7" w:rsidRPr="001873A1" w:rsidRDefault="004D15C7" w:rsidP="00737A26">
      <w:pPr>
        <w:pStyle w:val="OBESubtitle2ndtier"/>
        <w:rPr>
          <w:rFonts w:asciiTheme="minorHAnsi" w:hAnsiTheme="minorHAnsi" w:cstheme="minorBidi"/>
          <w:color w:val="auto"/>
        </w:rPr>
      </w:pPr>
      <w:bookmarkStart w:id="14" w:name="_Toc175647953"/>
      <w:r w:rsidRPr="004D15C7">
        <w:t>Limitations</w:t>
      </w:r>
      <w:bookmarkEnd w:id="14"/>
    </w:p>
    <w:p w14:paraId="30894719" w14:textId="164CCEDF" w:rsidR="00D40F3F" w:rsidRDefault="001873A1" w:rsidP="001873A1">
      <w:pPr>
        <w:pStyle w:val="OBEBibliography"/>
        <w:spacing w:line="360" w:lineRule="auto"/>
        <w:rPr>
          <w:rFonts w:asciiTheme="minorHAnsi" w:eastAsiaTheme="minorEastAsia" w:hAnsiTheme="minorHAnsi" w:cstheme="minorBidi"/>
          <w:color w:val="auto"/>
          <w:kern w:val="0"/>
          <w:lang w:val="en-GB"/>
        </w:rPr>
      </w:pPr>
      <w:r w:rsidRPr="001873A1">
        <w:rPr>
          <w:rFonts w:asciiTheme="minorHAnsi" w:eastAsiaTheme="minorEastAsia" w:hAnsiTheme="minorHAnsi" w:cstheme="minorBidi"/>
          <w:color w:val="auto"/>
          <w:kern w:val="0"/>
          <w:lang w:val="en-GB"/>
        </w:rPr>
        <w:t xml:space="preserve">Limitations of this methodology include reliance on secondary sources, </w:t>
      </w:r>
      <w:r w:rsidR="00BE47AA">
        <w:rPr>
          <w:rFonts w:asciiTheme="minorHAnsi" w:eastAsiaTheme="minorEastAsia" w:hAnsiTheme="minorHAnsi" w:cstheme="minorBidi"/>
          <w:color w:val="auto"/>
          <w:kern w:val="0"/>
          <w:lang w:val="en-GB"/>
        </w:rPr>
        <w:t xml:space="preserve">the </w:t>
      </w:r>
      <w:r w:rsidRPr="001873A1">
        <w:rPr>
          <w:rFonts w:asciiTheme="minorHAnsi" w:eastAsiaTheme="minorEastAsia" w:hAnsiTheme="minorHAnsi" w:cstheme="minorBidi"/>
          <w:color w:val="auto"/>
          <w:kern w:val="0"/>
          <w:lang w:val="en-GB"/>
        </w:rPr>
        <w:t>potential for bias in source selection, and challenges in comparing international contexts due to differences in legal systems and cultural norms. These limitations were mitigated through critical evaluation of sources and transparent reporting of findings.</w:t>
      </w:r>
    </w:p>
    <w:p w14:paraId="493DA7C0" w14:textId="5E3303B7" w:rsidR="00D5129C" w:rsidRPr="00D5129C" w:rsidRDefault="00D5129C" w:rsidP="00737A26">
      <w:pPr>
        <w:pStyle w:val="OBESubtitle2ndtier"/>
        <w:rPr>
          <w:rFonts w:asciiTheme="minorHAnsi" w:hAnsiTheme="minorHAnsi" w:cstheme="minorBidi"/>
          <w:color w:val="auto"/>
        </w:rPr>
      </w:pPr>
      <w:bookmarkStart w:id="15" w:name="_Toc175647954"/>
      <w:r>
        <w:t>Ethical Considerations</w:t>
      </w:r>
      <w:bookmarkEnd w:id="15"/>
      <w:r>
        <w:t xml:space="preserve"> </w:t>
      </w:r>
    </w:p>
    <w:p w14:paraId="473BA142" w14:textId="3CC0A52F" w:rsidR="00D5129C" w:rsidRPr="00D5129C" w:rsidRDefault="00D5129C" w:rsidP="00D5129C">
      <w:pPr>
        <w:pStyle w:val="OBEBibliography"/>
        <w:spacing w:line="360" w:lineRule="auto"/>
        <w:rPr>
          <w:rFonts w:asciiTheme="minorHAnsi" w:eastAsiaTheme="minorEastAsia" w:hAnsiTheme="minorHAnsi" w:cstheme="minorBidi"/>
          <w:color w:val="auto"/>
          <w:kern w:val="0"/>
          <w:lang w:val="en-GB"/>
        </w:rPr>
      </w:pPr>
      <w:r w:rsidRPr="00D5129C">
        <w:rPr>
          <w:rFonts w:asciiTheme="minorHAnsi" w:eastAsiaTheme="minorEastAsia" w:hAnsiTheme="minorHAnsi" w:cstheme="minorBidi"/>
          <w:color w:val="auto"/>
          <w:kern w:val="0"/>
          <w:lang w:val="en-GB"/>
        </w:rPr>
        <w:t xml:space="preserve">While this study primarily relied on secondary data and </w:t>
      </w:r>
      <w:r w:rsidR="00BE47AA">
        <w:rPr>
          <w:rFonts w:asciiTheme="minorHAnsi" w:eastAsiaTheme="minorEastAsia" w:hAnsiTheme="minorHAnsi" w:cstheme="minorBidi"/>
          <w:color w:val="auto"/>
          <w:kern w:val="0"/>
          <w:lang w:val="en-GB"/>
        </w:rPr>
        <w:t xml:space="preserve">a </w:t>
      </w:r>
      <w:r w:rsidRPr="00D5129C">
        <w:rPr>
          <w:rFonts w:asciiTheme="minorHAnsi" w:eastAsiaTheme="minorEastAsia" w:hAnsiTheme="minorHAnsi" w:cstheme="minorBidi"/>
          <w:color w:val="auto"/>
          <w:kern w:val="0"/>
          <w:lang w:val="en-GB"/>
        </w:rPr>
        <w:t xml:space="preserve">literature review, several ethical considerations were crucial to address. The research ensured accurate representation of data </w:t>
      </w:r>
      <w:r w:rsidRPr="00D5129C">
        <w:rPr>
          <w:rFonts w:asciiTheme="minorHAnsi" w:eastAsiaTheme="minorEastAsia" w:hAnsiTheme="minorHAnsi" w:cstheme="minorBidi"/>
          <w:color w:val="auto"/>
          <w:kern w:val="0"/>
          <w:lang w:val="en-GB"/>
        </w:rPr>
        <w:lastRenderedPageBreak/>
        <w:t>and findings from secondary sources, avoiding misinterpretation or selective reporting that could skew the understanding of police armament issues. Given the controversial nature of police armament, the study maintained a balanced approach in presenting various stakeholder viewpoints, including those of law enforcement, policymakers, and community members.</w:t>
      </w:r>
    </w:p>
    <w:p w14:paraId="56FCA47F" w14:textId="458DD9F6" w:rsidR="00D40F3F" w:rsidRPr="00D5129C" w:rsidRDefault="00D5129C" w:rsidP="00D5129C">
      <w:pPr>
        <w:pStyle w:val="OBEBibliography"/>
        <w:spacing w:line="360" w:lineRule="auto"/>
        <w:rPr>
          <w:rFonts w:asciiTheme="minorHAnsi" w:eastAsiaTheme="minorEastAsia" w:hAnsiTheme="minorHAnsi" w:cstheme="minorBidi"/>
          <w:color w:val="auto"/>
          <w:kern w:val="0"/>
          <w:lang w:val="en-GB"/>
        </w:rPr>
      </w:pPr>
      <w:r w:rsidRPr="00D5129C">
        <w:rPr>
          <w:rFonts w:asciiTheme="minorHAnsi" w:eastAsiaTheme="minorEastAsia" w:hAnsiTheme="minorHAnsi" w:cstheme="minorBidi"/>
          <w:color w:val="auto"/>
          <w:kern w:val="0"/>
          <w:lang w:val="en-GB"/>
        </w:rPr>
        <w:t>Proper attribution of ideas and data to original sources was ensured, respecting intellectual property rights and academic integrity</w:t>
      </w:r>
      <w:r w:rsidR="00B23BC7">
        <w:rPr>
          <w:rFonts w:asciiTheme="minorHAnsi" w:eastAsiaTheme="minorEastAsia" w:hAnsiTheme="minorHAnsi" w:cstheme="minorBidi"/>
          <w:color w:val="auto"/>
          <w:kern w:val="0"/>
          <w:lang w:val="en-GB"/>
        </w:rPr>
        <w:t>.</w:t>
      </w:r>
    </w:p>
    <w:p w14:paraId="3AE78A56" w14:textId="3375DEAF" w:rsidR="00D5129C" w:rsidRPr="00D5129C" w:rsidRDefault="00D5129C" w:rsidP="00737A26">
      <w:pPr>
        <w:pStyle w:val="OBESubtitle2ndtier"/>
        <w:rPr>
          <w:rFonts w:asciiTheme="minorHAnsi" w:hAnsiTheme="minorHAnsi" w:cstheme="minorBidi"/>
          <w:color w:val="auto"/>
        </w:rPr>
      </w:pPr>
      <w:bookmarkStart w:id="16" w:name="_Toc175647955"/>
      <w:r w:rsidRPr="00D5129C">
        <w:t>Limitations of the Chosen Methodology</w:t>
      </w:r>
      <w:bookmarkEnd w:id="16"/>
    </w:p>
    <w:p w14:paraId="1D35F473" w14:textId="7588AE4A" w:rsidR="00D5129C" w:rsidRPr="00D5129C" w:rsidRDefault="00D5129C" w:rsidP="00D5129C">
      <w:pPr>
        <w:pStyle w:val="OBEBibliography"/>
        <w:spacing w:line="360" w:lineRule="auto"/>
        <w:rPr>
          <w:rFonts w:asciiTheme="minorHAnsi" w:eastAsiaTheme="minorEastAsia" w:hAnsiTheme="minorHAnsi" w:cstheme="minorBidi"/>
          <w:color w:val="auto"/>
          <w:kern w:val="0"/>
          <w:lang w:val="en-GB"/>
        </w:rPr>
      </w:pPr>
      <w:r w:rsidRPr="00D5129C">
        <w:rPr>
          <w:rFonts w:asciiTheme="minorHAnsi" w:eastAsiaTheme="minorEastAsia" w:hAnsiTheme="minorHAnsi" w:cstheme="minorBidi"/>
          <w:color w:val="auto"/>
          <w:kern w:val="0"/>
          <w:lang w:val="en-GB"/>
        </w:rPr>
        <w:t>The study acknowledged several limitations in its approach. These included reliance on secondary sources, which may have limited insights into the most current attitudes and practices. There was also potential for bias in source selection, despite efforts to maintain objectivity. The findings may not have been fully generalizable to all UK contexts, particularly given regional variations in policing approaches and public attitudes.</w:t>
      </w:r>
    </w:p>
    <w:p w14:paraId="1850C79A" w14:textId="6DEF7CB2" w:rsidR="00D40F3F" w:rsidRDefault="00D5129C" w:rsidP="00A90EC1">
      <w:pPr>
        <w:pStyle w:val="OBEBibliography"/>
        <w:spacing w:line="360" w:lineRule="auto"/>
        <w:rPr>
          <w:rFonts w:asciiTheme="minorHAnsi" w:eastAsiaTheme="minorEastAsia" w:hAnsiTheme="minorHAnsi" w:cstheme="minorBidi"/>
          <w:color w:val="auto"/>
          <w:kern w:val="0"/>
          <w:lang w:val="en-GB"/>
        </w:rPr>
      </w:pPr>
      <w:r w:rsidRPr="00D5129C">
        <w:rPr>
          <w:rFonts w:asciiTheme="minorHAnsi" w:eastAsiaTheme="minorEastAsia" w:hAnsiTheme="minorHAnsi" w:cstheme="minorBidi"/>
          <w:color w:val="auto"/>
          <w:kern w:val="0"/>
          <w:lang w:val="en-GB"/>
        </w:rPr>
        <w:t>The rapidly evolving nature of security threats and policing strategies meant that some information might become outdated quickly. The lack of direct stakeholder input, such as from police officers, policymakers, or community members, could have limited the depth of understanding of current perspectives. Finally, differences in legal systems, cultural norms, and security environments posed challenges in comparing international contexts.</w:t>
      </w:r>
    </w:p>
    <w:p w14:paraId="31A5D612" w14:textId="77777777" w:rsidR="00651C3D" w:rsidRPr="00651C3D" w:rsidRDefault="00651C3D" w:rsidP="00651C3D">
      <w:pPr>
        <w:pStyle w:val="OBEBibliography"/>
        <w:spacing w:line="360" w:lineRule="auto"/>
      </w:pPr>
      <w:r w:rsidRPr="00651C3D">
        <w:t>In conclusion, this chapter has outlined the research methodology employed to address the central question of whether all police officers in the UK should be armed. By adopting a qualitative approach, this study integrates a comprehensive literature review with secondary data analysis to provide a nuanced exploration of the issue. The combination of these methods allows for a critical and thorough examination of existing research, policy documents, and statistical data, offering both historical context and current perspectives on armed policing.</w:t>
      </w:r>
    </w:p>
    <w:p w14:paraId="421248F4" w14:textId="77777777" w:rsidR="00651C3D" w:rsidRPr="00651C3D" w:rsidRDefault="00651C3D" w:rsidP="00651C3D">
      <w:pPr>
        <w:pStyle w:val="OBEBibliography"/>
        <w:spacing w:line="360" w:lineRule="auto"/>
      </w:pPr>
      <w:r w:rsidRPr="00651C3D">
        <w:t xml:space="preserve">The literature review plays a central role in the research, providing a foundation for understanding the evolution of policies and practices surrounding police armament. Through </w:t>
      </w:r>
      <w:r w:rsidRPr="00651C3D">
        <w:lastRenderedPageBreak/>
        <w:t>both chronological and thematic analyses, key trends, debates, and recurring themes within the discourse have been identified. Meanwhile, secondary data analysis adds a quantitative dimension, incorporating official statistics and empirical studies to offer deeper insight into the real-world implications of armed policing.</w:t>
      </w:r>
    </w:p>
    <w:p w14:paraId="52859F5E" w14:textId="27DD5AB2" w:rsidR="00651C3D" w:rsidRPr="00651C3D" w:rsidRDefault="00651C3D" w:rsidP="00651C3D">
      <w:pPr>
        <w:pStyle w:val="OBEBibliography"/>
        <w:spacing w:line="360" w:lineRule="auto"/>
      </w:pPr>
      <w:r w:rsidRPr="00651C3D">
        <w:t xml:space="preserve">This chapter also addressed the search strategy for relevant literature, the inclusion and exclusion criteria, and the limitations of the chosen methodology. While secondary sources provided valuable insights, challenges such as potential biases, the evolving nature of security threats, and the difficulty of comparing international contexts were acknowledged. Ethical considerations were carefully </w:t>
      </w:r>
      <w:r w:rsidR="00774BD6" w:rsidRPr="00651C3D">
        <w:t>considered</w:t>
      </w:r>
      <w:r w:rsidRPr="00651C3D">
        <w:t xml:space="preserve"> to ensure accurate representation and balanced presentation of various stakeholder viewpoints.</w:t>
      </w:r>
    </w:p>
    <w:p w14:paraId="6B3FB41C" w14:textId="77777777" w:rsidR="00651C3D" w:rsidRPr="00651C3D" w:rsidRDefault="00651C3D" w:rsidP="00651C3D">
      <w:pPr>
        <w:pStyle w:val="OBEBibliography"/>
        <w:spacing w:line="360" w:lineRule="auto"/>
      </w:pPr>
      <w:r w:rsidRPr="00651C3D">
        <w:t>Overall, the methodology chosen for this study provides a rigorous and systematic approach to answering the research question. Despite its limitations, the use of both qualitative and quantitative methods ensures a comprehensive understanding of the complexities surrounding police armament, contributing to the ongoing discourse in this critical area of law enforcement policy.</w:t>
      </w:r>
    </w:p>
    <w:p w14:paraId="144BE978" w14:textId="77777777" w:rsidR="00651C3D" w:rsidRDefault="00651C3D" w:rsidP="00A90EC1">
      <w:pPr>
        <w:pStyle w:val="OBEBibliography"/>
        <w:spacing w:line="360" w:lineRule="auto"/>
        <w:rPr>
          <w:rFonts w:asciiTheme="minorHAnsi" w:eastAsiaTheme="minorEastAsia" w:hAnsiTheme="minorHAnsi" w:cstheme="minorBidi"/>
          <w:color w:val="auto"/>
          <w:kern w:val="0"/>
          <w:lang w:val="en-GB"/>
        </w:rPr>
      </w:pPr>
    </w:p>
    <w:p w14:paraId="6ADFA258" w14:textId="3C2CA8B4" w:rsidR="00B23BC7" w:rsidRDefault="00B52A48" w:rsidP="00737A26">
      <w:pPr>
        <w:pStyle w:val="OBESubtitle1sttier"/>
      </w:pPr>
      <w:bookmarkStart w:id="17" w:name="_Toc175647956"/>
      <w:r w:rsidRPr="00B52A48">
        <w:t>Data Analysis and Findings</w:t>
      </w:r>
      <w:bookmarkEnd w:id="17"/>
    </w:p>
    <w:p w14:paraId="1720F6DA" w14:textId="62D13448" w:rsidR="00774BD6" w:rsidRPr="00774BD6" w:rsidRDefault="00774BD6" w:rsidP="00774BD6">
      <w:pPr>
        <w:pStyle w:val="OBEBibliography"/>
        <w:spacing w:line="360" w:lineRule="auto"/>
        <w:rPr>
          <w:rFonts w:asciiTheme="minorHAnsi" w:eastAsiaTheme="minorEastAsia" w:hAnsiTheme="minorHAnsi" w:cstheme="minorBidi"/>
          <w:color w:val="auto"/>
          <w:kern w:val="0"/>
          <w:lang w:val="en-GB"/>
        </w:rPr>
      </w:pPr>
      <w:r w:rsidRPr="00774BD6">
        <w:rPr>
          <w:rFonts w:asciiTheme="minorHAnsi" w:eastAsiaTheme="minorEastAsia" w:hAnsiTheme="minorHAnsi" w:cstheme="minorBidi"/>
          <w:color w:val="auto"/>
          <w:kern w:val="0"/>
          <w:lang w:val="en-GB"/>
        </w:rPr>
        <w:t>This chapter presents a comprehensive synthesis of key themes and trends derived from the literature review and secondary data analysis regarding police armament in the UK, with a particular focus on Wales. The objective of this chapter is to critically assess the various perspectives, statistical data, and operational trends surrounding the debate over whether all UK police officers should be armed. By integrating historical, regional, and contemporary considerations, the chapter aims to provide a nuanced understanding of the issue, addressing the complex interplay between public safety, community trust, and law enforcement strategies.</w:t>
      </w:r>
    </w:p>
    <w:p w14:paraId="66AAB421" w14:textId="77777777" w:rsidR="00774BD6" w:rsidRPr="00774BD6" w:rsidRDefault="00774BD6" w:rsidP="00774BD6">
      <w:pPr>
        <w:pStyle w:val="OBEBibliography"/>
        <w:spacing w:line="360" w:lineRule="auto"/>
        <w:rPr>
          <w:rFonts w:asciiTheme="minorHAnsi" w:eastAsiaTheme="minorEastAsia" w:hAnsiTheme="minorHAnsi" w:cstheme="minorBidi"/>
          <w:color w:val="auto"/>
          <w:kern w:val="0"/>
          <w:lang w:val="en-GB"/>
        </w:rPr>
      </w:pPr>
    </w:p>
    <w:p w14:paraId="3DCD32E6" w14:textId="77777777" w:rsidR="00774BD6" w:rsidRPr="00774BD6" w:rsidRDefault="00774BD6" w:rsidP="00774BD6">
      <w:pPr>
        <w:pStyle w:val="OBEBibliography"/>
        <w:spacing w:line="360" w:lineRule="auto"/>
        <w:rPr>
          <w:rFonts w:asciiTheme="minorHAnsi" w:eastAsiaTheme="minorEastAsia" w:hAnsiTheme="minorHAnsi" w:cstheme="minorBidi"/>
          <w:color w:val="auto"/>
          <w:kern w:val="0"/>
          <w:lang w:val="en-GB"/>
        </w:rPr>
      </w:pPr>
      <w:r w:rsidRPr="00774BD6">
        <w:rPr>
          <w:rFonts w:asciiTheme="minorHAnsi" w:eastAsiaTheme="minorEastAsia" w:hAnsiTheme="minorHAnsi" w:cstheme="minorBidi"/>
          <w:color w:val="auto"/>
          <w:kern w:val="0"/>
          <w:lang w:val="en-GB"/>
        </w:rPr>
        <w:lastRenderedPageBreak/>
        <w:t>The analysis begins by exploring the historical context of unarmed policing in the UK and the modern challenges posed by evolving security threats. The tension between maintaining the traditional practice of ‘policing by consent’ and the necessity to adapt to increasing violent crime is a central theme. Regional variations in policing practices, particularly the differences observed between rural and urban areas in Wales, are also examined to highlight the localized perceptions of armed policing. Furthermore, the potential impact of police armament on crime rates and community relations is scrutinized, offering a balanced view of the positive and negative implications of arming police officers.</w:t>
      </w:r>
    </w:p>
    <w:p w14:paraId="04268464" w14:textId="77777777" w:rsidR="00774BD6" w:rsidRPr="00774BD6" w:rsidRDefault="00774BD6" w:rsidP="00774BD6">
      <w:pPr>
        <w:pStyle w:val="OBEBibliography"/>
        <w:spacing w:line="360" w:lineRule="auto"/>
        <w:rPr>
          <w:rFonts w:asciiTheme="minorHAnsi" w:eastAsiaTheme="minorEastAsia" w:hAnsiTheme="minorHAnsi" w:cstheme="minorBidi"/>
          <w:color w:val="auto"/>
          <w:kern w:val="0"/>
          <w:lang w:val="en-GB"/>
        </w:rPr>
      </w:pPr>
    </w:p>
    <w:p w14:paraId="54B193D8" w14:textId="41370B39" w:rsidR="00774BD6" w:rsidRPr="00774BD6" w:rsidRDefault="00774BD6" w:rsidP="00774BD6">
      <w:pPr>
        <w:pStyle w:val="OBEBibliography"/>
        <w:spacing w:line="360" w:lineRule="auto"/>
        <w:rPr>
          <w:rFonts w:asciiTheme="minorHAnsi" w:eastAsiaTheme="minorEastAsia" w:hAnsiTheme="minorHAnsi" w:cstheme="minorBidi"/>
          <w:color w:val="auto"/>
          <w:kern w:val="0"/>
          <w:lang w:val="en-GB"/>
        </w:rPr>
      </w:pPr>
      <w:r w:rsidRPr="00774BD6">
        <w:rPr>
          <w:rFonts w:asciiTheme="minorHAnsi" w:eastAsiaTheme="minorEastAsia" w:hAnsiTheme="minorHAnsi" w:cstheme="minorBidi"/>
          <w:color w:val="auto"/>
          <w:kern w:val="0"/>
          <w:lang w:val="en-GB"/>
        </w:rPr>
        <w:t>The chapter also delves into the effectiveness of current policing strategies, such as the tiered approach to armed response, and compares these with international models to identify best practices. Additionally, data on firearms use, crime rates, and public order incidents is analysed to assess whether the current level of armed police presence is justified, especially in rural areas like Wales, where crime rates remain relatively low</w:t>
      </w:r>
      <w:r>
        <w:rPr>
          <w:rFonts w:asciiTheme="minorHAnsi" w:eastAsiaTheme="minorEastAsia" w:hAnsiTheme="minorHAnsi" w:cstheme="minorBidi"/>
          <w:color w:val="auto"/>
          <w:kern w:val="0"/>
          <w:lang w:val="en-GB"/>
        </w:rPr>
        <w:t xml:space="preserve"> in comparison to the wider more urban parts of the United Kingdom</w:t>
      </w:r>
      <w:r w:rsidRPr="00774BD6">
        <w:rPr>
          <w:rFonts w:asciiTheme="minorHAnsi" w:eastAsiaTheme="minorEastAsia" w:hAnsiTheme="minorHAnsi" w:cstheme="minorBidi"/>
          <w:color w:val="auto"/>
          <w:kern w:val="0"/>
          <w:lang w:val="en-GB"/>
        </w:rPr>
        <w:t>.</w:t>
      </w:r>
    </w:p>
    <w:p w14:paraId="2F93C3E0" w14:textId="775924E7" w:rsidR="00402187" w:rsidRPr="00402187" w:rsidRDefault="00774BD6" w:rsidP="00774BD6">
      <w:pPr>
        <w:pStyle w:val="OBEBibliography"/>
        <w:spacing w:line="360" w:lineRule="auto"/>
        <w:rPr>
          <w:rFonts w:asciiTheme="minorHAnsi" w:eastAsiaTheme="minorEastAsia" w:hAnsiTheme="minorHAnsi" w:cstheme="minorBidi"/>
          <w:color w:val="auto"/>
          <w:kern w:val="0"/>
          <w:lang w:val="en-GB"/>
        </w:rPr>
      </w:pPr>
      <w:r w:rsidRPr="00774BD6">
        <w:rPr>
          <w:rFonts w:asciiTheme="minorHAnsi" w:eastAsiaTheme="minorEastAsia" w:hAnsiTheme="minorHAnsi" w:cstheme="minorBidi"/>
          <w:color w:val="auto"/>
          <w:kern w:val="0"/>
          <w:lang w:val="en-GB"/>
        </w:rPr>
        <w:t>Ultimately, this chapter aims to provide a deeper insight into the implications of police armament policies, questioning their necessity and effectiveness in various contexts, and contributing to the ongoing debate about the future of policing in the UK. The analysis will explore both the potential benefits and challenges of expanding the use of armed officers, while considering the broader societal factors that influence policing strategies.</w:t>
      </w:r>
    </w:p>
    <w:p w14:paraId="4E9560BA" w14:textId="44B59023" w:rsidR="00402187" w:rsidRDefault="00402187" w:rsidP="00737A26">
      <w:pPr>
        <w:pStyle w:val="OBESubtitle2ndtier"/>
      </w:pPr>
      <w:bookmarkStart w:id="18" w:name="_Toc175647957"/>
      <w:r w:rsidRPr="00402187">
        <w:t>Synthesis of Key Themes from the Literature</w:t>
      </w:r>
      <w:bookmarkEnd w:id="18"/>
    </w:p>
    <w:p w14:paraId="1365ED88" w14:textId="24775163" w:rsidR="00402187" w:rsidRPr="00402187" w:rsidRDefault="00402187" w:rsidP="00737A26">
      <w:pPr>
        <w:pStyle w:val="OBESubtitle3rdtier"/>
        <w:rPr>
          <w:rFonts w:cstheme="minorBidi"/>
        </w:rPr>
      </w:pPr>
      <w:bookmarkStart w:id="19" w:name="_Toc175647958"/>
      <w:r w:rsidRPr="00402187">
        <w:t>Historical Continuity vs. Modern Challenges:</w:t>
      </w:r>
      <w:bookmarkEnd w:id="19"/>
    </w:p>
    <w:p w14:paraId="052F9E93" w14:textId="0AF68E76" w:rsidR="00402187" w:rsidRDefault="00402187" w:rsidP="00402187">
      <w:pPr>
        <w:pStyle w:val="OBEBibliography"/>
        <w:spacing w:line="360" w:lineRule="auto"/>
        <w:rPr>
          <w:rFonts w:asciiTheme="minorHAnsi" w:eastAsiaTheme="minorEastAsia" w:hAnsiTheme="minorHAnsi" w:cstheme="minorBidi"/>
          <w:color w:val="auto"/>
          <w:kern w:val="0"/>
          <w:lang w:val="en-GB"/>
        </w:rPr>
      </w:pPr>
      <w:r w:rsidRPr="00402187">
        <w:rPr>
          <w:rFonts w:asciiTheme="minorHAnsi" w:eastAsiaTheme="minorEastAsia" w:hAnsiTheme="minorHAnsi" w:cstheme="minorBidi"/>
          <w:color w:val="auto"/>
          <w:kern w:val="0"/>
          <w:lang w:val="en-GB"/>
        </w:rPr>
        <w:t>A recurring theme in the literature is the tension between maintaining the UK's tradition of unarmed policing and addressing contemporary security threats. Reiner (2010) emphasi</w:t>
      </w:r>
      <w:r w:rsidR="00EF267D">
        <w:rPr>
          <w:rFonts w:asciiTheme="minorHAnsi" w:eastAsiaTheme="minorEastAsia" w:hAnsiTheme="minorHAnsi" w:cstheme="minorBidi"/>
          <w:color w:val="auto"/>
          <w:kern w:val="0"/>
          <w:lang w:val="en-GB"/>
        </w:rPr>
        <w:t>s</w:t>
      </w:r>
      <w:r w:rsidRPr="00402187">
        <w:rPr>
          <w:rFonts w:asciiTheme="minorHAnsi" w:eastAsiaTheme="minorEastAsia" w:hAnsiTheme="minorHAnsi" w:cstheme="minorBidi"/>
          <w:color w:val="auto"/>
          <w:kern w:val="0"/>
          <w:lang w:val="en-GB"/>
        </w:rPr>
        <w:t xml:space="preserve">es the historical and cultural significance of 'policing by consent', while </w:t>
      </w:r>
      <w:r w:rsidR="00DB210A" w:rsidRPr="00DB210A">
        <w:t>Balestrini</w:t>
      </w:r>
      <w:r w:rsidR="00DB210A">
        <w:t xml:space="preserve"> (</w:t>
      </w:r>
      <w:r w:rsidR="00DB210A" w:rsidRPr="00DB210A">
        <w:t>2021)</w:t>
      </w:r>
      <w:r w:rsidR="00DB210A">
        <w:t xml:space="preserve"> </w:t>
      </w:r>
      <w:r w:rsidRPr="00402187">
        <w:rPr>
          <w:rFonts w:asciiTheme="minorHAnsi" w:eastAsiaTheme="minorEastAsia" w:hAnsiTheme="minorHAnsi" w:cstheme="minorBidi"/>
          <w:color w:val="auto"/>
          <w:kern w:val="0"/>
          <w:lang w:val="en-GB"/>
        </w:rPr>
        <w:t>argue for the need to adapt to modern risks</w:t>
      </w:r>
      <w:r w:rsidR="00774BD6">
        <w:rPr>
          <w:rFonts w:asciiTheme="minorHAnsi" w:eastAsiaTheme="minorEastAsia" w:hAnsiTheme="minorHAnsi" w:cstheme="minorBidi"/>
          <w:color w:val="auto"/>
          <w:kern w:val="0"/>
          <w:lang w:val="en-GB"/>
        </w:rPr>
        <w:t xml:space="preserve"> of increased violence and use of weapons within crime being committed</w:t>
      </w:r>
      <w:r w:rsidRPr="00402187">
        <w:rPr>
          <w:rFonts w:asciiTheme="minorHAnsi" w:eastAsiaTheme="minorEastAsia" w:hAnsiTheme="minorHAnsi" w:cstheme="minorBidi"/>
          <w:color w:val="auto"/>
          <w:kern w:val="0"/>
          <w:lang w:val="en-GB"/>
        </w:rPr>
        <w:t>. This dichotomy underpins much of the debate on police armament.</w:t>
      </w:r>
    </w:p>
    <w:p w14:paraId="3BD59960" w14:textId="77777777" w:rsidR="00402187" w:rsidRDefault="00402187" w:rsidP="00737A26">
      <w:pPr>
        <w:pStyle w:val="OBESubtitle3rdtier"/>
      </w:pPr>
      <w:bookmarkStart w:id="20" w:name="_Toc175647959"/>
      <w:r w:rsidRPr="00402187">
        <w:lastRenderedPageBreak/>
        <w:t>Regional Variations:</w:t>
      </w:r>
      <w:bookmarkEnd w:id="20"/>
    </w:p>
    <w:p w14:paraId="7AE1AE77" w14:textId="4A79B914" w:rsidR="00402187" w:rsidRDefault="00402187" w:rsidP="0034082D">
      <w:pPr>
        <w:pStyle w:val="OBEBibliography"/>
        <w:spacing w:line="360" w:lineRule="auto"/>
        <w:rPr>
          <w:rFonts w:asciiTheme="minorHAnsi" w:eastAsiaTheme="minorEastAsia" w:hAnsiTheme="minorHAnsi" w:cstheme="minorBidi"/>
          <w:color w:val="auto"/>
          <w:kern w:val="0"/>
          <w:lang w:val="en-GB"/>
        </w:rPr>
      </w:pPr>
      <w:r w:rsidRPr="00402187">
        <w:rPr>
          <w:rFonts w:asciiTheme="minorHAnsi" w:eastAsiaTheme="minorEastAsia" w:hAnsiTheme="minorHAnsi" w:cstheme="minorBidi"/>
          <w:color w:val="auto"/>
          <w:kern w:val="0"/>
          <w:lang w:val="en-GB"/>
        </w:rPr>
        <w:t xml:space="preserve">The literature highlights significant regional differences in approaches to and perceptions of armed policing. </w:t>
      </w:r>
      <w:r w:rsidR="00E6232A">
        <w:rPr>
          <w:rFonts w:asciiTheme="minorHAnsi" w:eastAsiaTheme="minorEastAsia" w:hAnsiTheme="minorHAnsi" w:cstheme="minorBidi"/>
          <w:color w:val="auto"/>
          <w:kern w:val="0"/>
          <w:lang w:val="en-GB"/>
        </w:rPr>
        <w:t>Rogers (2013)</w:t>
      </w:r>
      <w:r w:rsidRPr="00402187">
        <w:rPr>
          <w:rFonts w:asciiTheme="minorHAnsi" w:eastAsiaTheme="minorEastAsia" w:hAnsiTheme="minorHAnsi" w:cstheme="minorBidi"/>
          <w:color w:val="auto"/>
          <w:kern w:val="0"/>
          <w:lang w:val="en-GB"/>
        </w:rPr>
        <w:t xml:space="preserve"> note</w:t>
      </w:r>
      <w:r w:rsidR="0034082D">
        <w:rPr>
          <w:rFonts w:asciiTheme="minorHAnsi" w:eastAsiaTheme="minorEastAsia" w:hAnsiTheme="minorHAnsi" w:cstheme="minorBidi"/>
          <w:color w:val="auto"/>
          <w:kern w:val="0"/>
          <w:lang w:val="en-GB"/>
        </w:rPr>
        <w:t>s</w:t>
      </w:r>
      <w:r w:rsidRPr="00402187">
        <w:rPr>
          <w:rFonts w:asciiTheme="minorHAnsi" w:eastAsiaTheme="minorEastAsia" w:hAnsiTheme="minorHAnsi" w:cstheme="minorBidi"/>
          <w:color w:val="auto"/>
          <w:kern w:val="0"/>
          <w:lang w:val="en-GB"/>
        </w:rPr>
        <w:t xml:space="preserve"> that rural Welsh communities show greater resistance to armed policing compared to urban areas, reflecting diverse local contexts and attitudes across the UK.</w:t>
      </w:r>
    </w:p>
    <w:p w14:paraId="2095AA30" w14:textId="77777777" w:rsidR="00610708" w:rsidRDefault="00610708" w:rsidP="00737A26">
      <w:pPr>
        <w:pStyle w:val="OBESubtitle3rdtier"/>
      </w:pPr>
      <w:bookmarkStart w:id="21" w:name="_Toc175647960"/>
      <w:r w:rsidRPr="00610708">
        <w:t>Impact on Crime Rates</w:t>
      </w:r>
      <w:bookmarkEnd w:id="21"/>
    </w:p>
    <w:p w14:paraId="0075E813" w14:textId="2AFBB348" w:rsidR="000C4EAD" w:rsidRDefault="000C4EAD" w:rsidP="0034082D">
      <w:pPr>
        <w:pStyle w:val="OBEBibliography"/>
        <w:spacing w:line="360" w:lineRule="auto"/>
      </w:pPr>
      <w:r>
        <w:t xml:space="preserve">One key factor that needs to be considered in this debate is whether arming all police officers would </w:t>
      </w:r>
      <w:proofErr w:type="gramStart"/>
      <w:r>
        <w:t>actually reduce</w:t>
      </w:r>
      <w:proofErr w:type="gramEnd"/>
      <w:r>
        <w:t xml:space="preserve"> crime. On the positive side </w:t>
      </w:r>
      <w:r w:rsidR="0034082D">
        <w:t>of</w:t>
      </w:r>
      <w:r>
        <w:t xml:space="preserve"> the pro-armed police group, it could be argued that giving officers guns would help deter violent crime. However, the evidence from international comparisons and UK-specific data seems somewhat less clear-cut. According to the Home Office (2024), during the year ending in September 2023, there were 5.4 million crimes recorded in England and Wales, which is a 1 per cent drop from the year before. Crucially, this decrease came about without any substantive changes to policies on police armament, which suggests that other factors may have been more important in reducing these crime rates. In areas where armed response units may be more abundant, such as London, the effects on violent crime may not be as straightforward. For instance, the Metropolitan Police (2023) reported that knife crime decreased by 5 per cent in 2022/23, which they attribute to their targeted policing strategy rather than the presence of more armed officers.</w:t>
      </w:r>
    </w:p>
    <w:p w14:paraId="408F5176" w14:textId="52554C66" w:rsidR="000C4EAD" w:rsidRDefault="000C4EAD" w:rsidP="0034082D">
      <w:pPr>
        <w:pStyle w:val="OBEBibliography"/>
        <w:spacing w:line="360" w:lineRule="auto"/>
      </w:pPr>
      <w:r>
        <w:t>In contrast, Wales, where armed police operations are less common, saw a 3 per cent reduction in recorded crime in the same period according to the Welsh Government (2023). This suggests that policing strategies involving police armament might not have as much of an impact as community policing strategies, socio-economic conditions and other factors.</w:t>
      </w:r>
    </w:p>
    <w:p w14:paraId="2DE8FDBC" w14:textId="15198DDA" w:rsidR="00776933" w:rsidRPr="00776933" w:rsidRDefault="000C4EAD" w:rsidP="00402187">
      <w:pPr>
        <w:pStyle w:val="OBEBibliography"/>
        <w:spacing w:line="360" w:lineRule="auto"/>
      </w:pPr>
      <w:r>
        <w:t xml:space="preserve">International evidence is also instructive. Koper and Roth (2021) </w:t>
      </w:r>
      <w:proofErr w:type="spellStart"/>
      <w:r>
        <w:t>analysed</w:t>
      </w:r>
      <w:proofErr w:type="spellEnd"/>
      <w:r>
        <w:t xml:space="preserve"> international police armament policies and crime rates across 20 countries. They found no evidence that routine arming of police officers reduced crime, and found that community policing, social services and economic engagement were more related to effective crime reduction.</w:t>
      </w:r>
    </w:p>
    <w:p w14:paraId="3EEEFA46" w14:textId="5C5EFF09" w:rsidR="00402187" w:rsidRPr="00402187" w:rsidRDefault="00402187" w:rsidP="00737A26">
      <w:pPr>
        <w:pStyle w:val="OBESubtitle3rdtier"/>
        <w:rPr>
          <w:rFonts w:cstheme="minorBidi"/>
        </w:rPr>
      </w:pPr>
      <w:bookmarkStart w:id="22" w:name="_Toc175647961"/>
      <w:r w:rsidRPr="00402187">
        <w:t>Impact on Community Relations:</w:t>
      </w:r>
      <w:bookmarkEnd w:id="22"/>
    </w:p>
    <w:p w14:paraId="710430C2" w14:textId="77777777" w:rsidR="00402187" w:rsidRDefault="00402187" w:rsidP="0034082D">
      <w:pPr>
        <w:pStyle w:val="OBEBibliography"/>
        <w:spacing w:line="360" w:lineRule="auto"/>
        <w:rPr>
          <w:rFonts w:asciiTheme="minorHAnsi" w:eastAsiaTheme="minorEastAsia" w:hAnsiTheme="minorHAnsi" w:cstheme="minorBidi"/>
          <w:color w:val="auto"/>
          <w:kern w:val="0"/>
          <w:lang w:val="en-GB"/>
        </w:rPr>
      </w:pPr>
      <w:r w:rsidRPr="00402187">
        <w:rPr>
          <w:rFonts w:asciiTheme="minorHAnsi" w:eastAsiaTheme="minorEastAsia" w:hAnsiTheme="minorHAnsi" w:cstheme="minorBidi"/>
          <w:color w:val="auto"/>
          <w:kern w:val="0"/>
          <w:lang w:val="en-GB"/>
        </w:rPr>
        <w:lastRenderedPageBreak/>
        <w:t xml:space="preserve">A consistent theme is the potential effect of increased police armament on community trust and cooperation. </w:t>
      </w:r>
      <w:proofErr w:type="spellStart"/>
      <w:r w:rsidRPr="00402187">
        <w:rPr>
          <w:rFonts w:asciiTheme="minorHAnsi" w:eastAsiaTheme="minorEastAsia" w:hAnsiTheme="minorHAnsi" w:cstheme="minorBidi"/>
          <w:color w:val="auto"/>
          <w:kern w:val="0"/>
          <w:lang w:val="en-GB"/>
        </w:rPr>
        <w:t>Yesberg</w:t>
      </w:r>
      <w:proofErr w:type="spellEnd"/>
      <w:r w:rsidRPr="00402187">
        <w:rPr>
          <w:rFonts w:asciiTheme="minorHAnsi" w:eastAsiaTheme="minorEastAsia" w:hAnsiTheme="minorHAnsi" w:cstheme="minorBidi"/>
          <w:color w:val="auto"/>
          <w:kern w:val="0"/>
          <w:lang w:val="en-GB"/>
        </w:rPr>
        <w:t xml:space="preserve"> et al. (2022) find that visible armed police presence can increase anxiety in everyday settings, potentially straining police-community relations.</w:t>
      </w:r>
    </w:p>
    <w:p w14:paraId="1B2B82AA" w14:textId="12B1196F" w:rsidR="00402187" w:rsidRPr="00402187" w:rsidRDefault="00402187" w:rsidP="00402187">
      <w:pPr>
        <w:pStyle w:val="OBEBibliography"/>
        <w:spacing w:line="360" w:lineRule="auto"/>
        <w:rPr>
          <w:rFonts w:asciiTheme="minorHAnsi" w:eastAsiaTheme="minorEastAsia" w:hAnsiTheme="minorHAnsi" w:cstheme="minorBidi"/>
          <w:color w:val="auto"/>
          <w:kern w:val="0"/>
          <w:lang w:val="en-GB"/>
        </w:rPr>
      </w:pPr>
      <w:r w:rsidRPr="00402187">
        <w:rPr>
          <w:rFonts w:asciiTheme="minorHAnsi" w:eastAsiaTheme="minorEastAsia" w:hAnsiTheme="minorHAnsi" w:cstheme="minorBidi"/>
          <w:color w:val="auto"/>
          <w:kern w:val="0"/>
          <w:lang w:val="en-GB"/>
        </w:rPr>
        <w:t xml:space="preserve">The literature reveals a complex balance between ensuring officer safety and maintaining public trust. While </w:t>
      </w:r>
      <w:r w:rsidR="00523B69">
        <w:rPr>
          <w:rFonts w:asciiTheme="minorHAnsi" w:eastAsiaTheme="minorEastAsia" w:hAnsiTheme="minorHAnsi" w:cstheme="minorBidi"/>
          <w:color w:val="auto"/>
          <w:kern w:val="0"/>
          <w:lang w:val="en-GB"/>
        </w:rPr>
        <w:t>Card &amp; DiNardo (2002)</w:t>
      </w:r>
      <w:r w:rsidRPr="00402187">
        <w:rPr>
          <w:rFonts w:asciiTheme="minorHAnsi" w:eastAsiaTheme="minorEastAsia" w:hAnsiTheme="minorHAnsi" w:cstheme="minorBidi"/>
          <w:color w:val="auto"/>
          <w:kern w:val="0"/>
          <w:lang w:val="en-GB"/>
        </w:rPr>
        <w:t xml:space="preserve"> suggest that armed officers might deter violent crime, Squires and Kennison (2022) warn of </w:t>
      </w:r>
      <w:r w:rsidR="00E0747D">
        <w:rPr>
          <w:rFonts w:asciiTheme="minorHAnsi" w:eastAsiaTheme="minorEastAsia" w:hAnsiTheme="minorHAnsi" w:cstheme="minorBidi"/>
          <w:color w:val="auto"/>
          <w:kern w:val="0"/>
          <w:lang w:val="en-GB"/>
        </w:rPr>
        <w:t xml:space="preserve">a </w:t>
      </w:r>
      <w:r w:rsidRPr="00402187">
        <w:rPr>
          <w:rFonts w:asciiTheme="minorHAnsi" w:eastAsiaTheme="minorEastAsia" w:hAnsiTheme="minorHAnsi" w:cstheme="minorBidi"/>
          <w:color w:val="auto"/>
          <w:kern w:val="0"/>
          <w:lang w:val="en-GB"/>
        </w:rPr>
        <w:t xml:space="preserve">potential escalation in </w:t>
      </w:r>
      <w:r w:rsidR="00E0747D">
        <w:rPr>
          <w:rFonts w:asciiTheme="minorHAnsi" w:eastAsiaTheme="minorEastAsia" w:hAnsiTheme="minorHAnsi" w:cstheme="minorBidi"/>
          <w:color w:val="auto"/>
          <w:kern w:val="0"/>
          <w:lang w:val="en-GB"/>
        </w:rPr>
        <w:t xml:space="preserve">the </w:t>
      </w:r>
      <w:r w:rsidRPr="00402187">
        <w:rPr>
          <w:rFonts w:asciiTheme="minorHAnsi" w:eastAsiaTheme="minorEastAsia" w:hAnsiTheme="minorHAnsi" w:cstheme="minorBidi"/>
          <w:color w:val="auto"/>
          <w:kern w:val="0"/>
          <w:lang w:val="en-GB"/>
        </w:rPr>
        <w:t>use of force incidents.</w:t>
      </w:r>
    </w:p>
    <w:p w14:paraId="553405F7" w14:textId="17356AEF" w:rsidR="00402187" w:rsidRPr="00402187" w:rsidRDefault="00402187" w:rsidP="00737A26">
      <w:pPr>
        <w:pStyle w:val="OBESubtitle2ndtier"/>
        <w:rPr>
          <w:rFonts w:asciiTheme="minorHAnsi" w:hAnsiTheme="minorHAnsi" w:cstheme="minorBidi"/>
          <w:color w:val="auto"/>
        </w:rPr>
      </w:pPr>
      <w:bookmarkStart w:id="23" w:name="_Toc175647962"/>
      <w:r w:rsidRPr="00402187">
        <w:t>Analysis of Trends in Policing Strategies and Their Effectiveness</w:t>
      </w:r>
      <w:bookmarkEnd w:id="23"/>
    </w:p>
    <w:p w14:paraId="6CF598EE" w14:textId="63B0C39B" w:rsidR="00402187" w:rsidRPr="00402187" w:rsidRDefault="00402187" w:rsidP="00E0747D">
      <w:pPr>
        <w:pStyle w:val="OBEBibliography"/>
        <w:spacing w:line="360" w:lineRule="auto"/>
        <w:rPr>
          <w:rFonts w:asciiTheme="minorHAnsi" w:eastAsiaTheme="minorEastAsia" w:hAnsiTheme="minorHAnsi" w:cstheme="minorBidi"/>
          <w:color w:val="auto"/>
          <w:kern w:val="0"/>
          <w:lang w:val="en-GB"/>
        </w:rPr>
      </w:pPr>
      <w:r w:rsidRPr="00402187">
        <w:rPr>
          <w:rFonts w:asciiTheme="minorHAnsi" w:eastAsiaTheme="minorEastAsia" w:hAnsiTheme="minorHAnsi" w:cstheme="minorBidi"/>
          <w:color w:val="auto"/>
          <w:kern w:val="0"/>
          <w:lang w:val="en-GB"/>
        </w:rPr>
        <w:t>UK policing strategies have evolved to incorporate a tiered approach to armed response, balancing traditional unarmed policing with speciali</w:t>
      </w:r>
      <w:r w:rsidR="00E0747D">
        <w:rPr>
          <w:rFonts w:asciiTheme="minorHAnsi" w:eastAsiaTheme="minorEastAsia" w:hAnsiTheme="minorHAnsi" w:cstheme="minorBidi"/>
          <w:color w:val="auto"/>
          <w:kern w:val="0"/>
          <w:lang w:val="en-GB"/>
        </w:rPr>
        <w:t>s</w:t>
      </w:r>
      <w:r w:rsidRPr="00402187">
        <w:rPr>
          <w:rFonts w:asciiTheme="minorHAnsi" w:eastAsiaTheme="minorEastAsia" w:hAnsiTheme="minorHAnsi" w:cstheme="minorBidi"/>
          <w:color w:val="auto"/>
          <w:kern w:val="0"/>
          <w:lang w:val="en-GB"/>
        </w:rPr>
        <w:t xml:space="preserve">ed armed units. Bacon (2022) </w:t>
      </w:r>
      <w:r w:rsidR="00610708" w:rsidRPr="00402187">
        <w:rPr>
          <w:rFonts w:asciiTheme="minorHAnsi" w:eastAsiaTheme="minorEastAsia" w:hAnsiTheme="minorHAnsi" w:cstheme="minorBidi"/>
          <w:color w:val="auto"/>
          <w:kern w:val="0"/>
          <w:lang w:val="en-GB"/>
        </w:rPr>
        <w:t>analyses</w:t>
      </w:r>
      <w:r w:rsidRPr="00402187">
        <w:rPr>
          <w:rFonts w:asciiTheme="minorHAnsi" w:eastAsiaTheme="minorEastAsia" w:hAnsiTheme="minorHAnsi" w:cstheme="minorBidi"/>
          <w:color w:val="auto"/>
          <w:kern w:val="0"/>
          <w:lang w:val="en-GB"/>
        </w:rPr>
        <w:t xml:space="preserve"> this system, noting its flexibility in addressing various threat levels while maintaining the principle of minimal force.</w:t>
      </w:r>
    </w:p>
    <w:p w14:paraId="24F8DE2B" w14:textId="77777777" w:rsidR="00402187" w:rsidRPr="00402187" w:rsidRDefault="00402187" w:rsidP="00402187">
      <w:pPr>
        <w:pStyle w:val="OBEBibliography"/>
        <w:spacing w:line="360" w:lineRule="auto"/>
        <w:rPr>
          <w:rFonts w:asciiTheme="minorHAnsi" w:eastAsiaTheme="minorEastAsia" w:hAnsiTheme="minorHAnsi" w:cstheme="minorBidi"/>
          <w:color w:val="auto"/>
          <w:kern w:val="0"/>
          <w:lang w:val="en-GB"/>
        </w:rPr>
      </w:pPr>
      <w:r w:rsidRPr="00402187">
        <w:rPr>
          <w:rFonts w:asciiTheme="minorHAnsi" w:eastAsiaTheme="minorEastAsia" w:hAnsiTheme="minorHAnsi" w:cstheme="minorBidi"/>
          <w:color w:val="auto"/>
          <w:kern w:val="0"/>
          <w:lang w:val="en-GB"/>
        </w:rPr>
        <w:t xml:space="preserve">The effectiveness of this approach is reflected in Home Office (2024) statistics, which show a low rate of firearm discharge incidents despite an increase in armed operations. This suggests that the current model allows for armed capability when </w:t>
      </w:r>
      <w:proofErr w:type="gramStart"/>
      <w:r w:rsidRPr="00402187">
        <w:rPr>
          <w:rFonts w:asciiTheme="minorHAnsi" w:eastAsiaTheme="minorEastAsia" w:hAnsiTheme="minorHAnsi" w:cstheme="minorBidi"/>
          <w:color w:val="auto"/>
          <w:kern w:val="0"/>
          <w:lang w:val="en-GB"/>
        </w:rPr>
        <w:t>necessary</w:t>
      </w:r>
      <w:proofErr w:type="gramEnd"/>
      <w:r w:rsidRPr="00402187">
        <w:rPr>
          <w:rFonts w:asciiTheme="minorHAnsi" w:eastAsiaTheme="minorEastAsia" w:hAnsiTheme="minorHAnsi" w:cstheme="minorBidi"/>
          <w:color w:val="auto"/>
          <w:kern w:val="0"/>
          <w:lang w:val="en-GB"/>
        </w:rPr>
        <w:t xml:space="preserve"> without significantly increasing the use of lethal force.</w:t>
      </w:r>
    </w:p>
    <w:p w14:paraId="7A6FED43" w14:textId="77777777" w:rsidR="00402187" w:rsidRDefault="00402187" w:rsidP="00402187">
      <w:pPr>
        <w:pStyle w:val="OBEBibliography"/>
        <w:spacing w:line="360" w:lineRule="auto"/>
        <w:rPr>
          <w:rFonts w:asciiTheme="minorHAnsi" w:eastAsiaTheme="minorEastAsia" w:hAnsiTheme="minorHAnsi" w:cstheme="minorBidi"/>
          <w:color w:val="auto"/>
          <w:kern w:val="0"/>
          <w:lang w:val="en-GB"/>
        </w:rPr>
      </w:pPr>
      <w:r w:rsidRPr="00402187">
        <w:rPr>
          <w:rFonts w:asciiTheme="minorHAnsi" w:eastAsiaTheme="minorEastAsia" w:hAnsiTheme="minorHAnsi" w:cstheme="minorBidi"/>
          <w:color w:val="auto"/>
          <w:kern w:val="0"/>
          <w:lang w:val="en-GB"/>
        </w:rPr>
        <w:t>International comparisons provide context for evaluating UK strategies. Zimring's (2019) study of US policing highlights higher rates of police use of lethal force in a routinely armed force, contrasting with the UK's lower rates. However, Hendy and Packham's (2023) analysis of the Norwegian model, where firearms are kept in police vehicles, offers an alternative that might be worth considering in the UK context.</w:t>
      </w:r>
    </w:p>
    <w:p w14:paraId="7BDAC8BB" w14:textId="4183270E" w:rsidR="00082E96" w:rsidRDefault="0084582B" w:rsidP="00082E96">
      <w:pPr>
        <w:pStyle w:val="OBEBibliography"/>
        <w:spacing w:line="360" w:lineRule="auto"/>
      </w:pPr>
      <w:r w:rsidRPr="0084582B">
        <w:t xml:space="preserve">The unique characteristics of Welsh policing demand special consideration in the debate over arming all officers. Jones and Lister's (2019) study on localism and police governance in Wales highlights the distinct challenges faced by Welsh police forces, particularly in rural areas. </w:t>
      </w:r>
      <w:r w:rsidR="00082E96">
        <w:t xml:space="preserve">Their studies suggest that Welsh communities tend to prefer a more community-based style of policing, which might not be conducive to greater armament.  Official statistics from the Welsh Government (2022) illustrate that the crime rate in Wales is significantly lower than in England. In the year ending March 2022, the number of recorded crimes was significantly </w:t>
      </w:r>
      <w:r w:rsidR="00082E96">
        <w:lastRenderedPageBreak/>
        <w:t>lower in Wales at 77.1 recorded crimes per 1,000 population compared to 92.7 in England. Welsh crime statistics.</w:t>
      </w:r>
      <w:r w:rsidR="005D06B0">
        <w:t xml:space="preserve"> </w:t>
      </w:r>
      <w:proofErr w:type="gramStart"/>
      <w:r w:rsidR="00082E96">
        <w:t>In light of</w:t>
      </w:r>
      <w:proofErr w:type="gramEnd"/>
      <w:r w:rsidR="00082E96">
        <w:t xml:space="preserve"> this fact, it can be said that the relative lack of crime in the environment makes one question whether it is really necessary to provide all the officers with arms.</w:t>
      </w:r>
    </w:p>
    <w:p w14:paraId="45F38003" w14:textId="0F4D0D9E" w:rsidR="00235A0F" w:rsidRPr="0084582B" w:rsidRDefault="00082E96" w:rsidP="00402187">
      <w:pPr>
        <w:pStyle w:val="OBEBibliography"/>
        <w:spacing w:line="360" w:lineRule="auto"/>
        <w:rPr>
          <w:rFonts w:asciiTheme="minorHAnsi" w:eastAsiaTheme="minorEastAsia" w:hAnsiTheme="minorHAnsi" w:cstheme="minorBidi"/>
          <w:color w:val="auto"/>
          <w:kern w:val="0"/>
        </w:rPr>
      </w:pPr>
      <w:r>
        <w:t xml:space="preserve">For its part, the 2023 Police and Crime Commissioner for South Wales survey found only that 23 per cent of respondents supported a rise in the number of armed officers, with most people </w:t>
      </w:r>
      <w:proofErr w:type="spellStart"/>
      <w:r>
        <w:t>favouring</w:t>
      </w:r>
      <w:proofErr w:type="spellEnd"/>
      <w:r>
        <w:t xml:space="preserve"> more investment in both community policing and crime prevention. The often-cited ideals associated with patrolling on foot, and the commitment to community relations that governs Welsh policing, suggest that any changes to armament policies should be considered on a case-by-case basis.</w:t>
      </w:r>
    </w:p>
    <w:p w14:paraId="06E83AEC" w14:textId="39872BC3" w:rsidR="003745FA" w:rsidRDefault="00402187" w:rsidP="00737A26">
      <w:pPr>
        <w:pStyle w:val="OBESubtitle2ndtier"/>
      </w:pPr>
      <w:bookmarkStart w:id="24" w:name="_Toc175647963"/>
      <w:r w:rsidRPr="00402187">
        <w:t>Examination of Data on Police Use of Firearms and Related Incidents</w:t>
      </w:r>
      <w:bookmarkEnd w:id="24"/>
    </w:p>
    <w:p w14:paraId="35A262EA" w14:textId="77777777" w:rsidR="00E520DC" w:rsidRDefault="00E520DC" w:rsidP="00E0747D">
      <w:pPr>
        <w:pStyle w:val="OBEBibliography"/>
        <w:spacing w:line="360" w:lineRule="auto"/>
      </w:pPr>
      <w:r>
        <w:t>The landscape of armed policing in Wales and the broader UK reveals significant regional disparities and complex operational challenges. At its core is the balance between effective law enforcement and the UK's tradition of unarmed policing (Reiner, 2010).</w:t>
      </w:r>
    </w:p>
    <w:p w14:paraId="340AD770" w14:textId="77777777" w:rsidR="00E520DC" w:rsidRDefault="00E520DC" w:rsidP="00E520DC">
      <w:pPr>
        <w:pStyle w:val="OBEBibliography"/>
        <w:spacing w:line="360" w:lineRule="auto"/>
      </w:pPr>
      <w:r>
        <w:t>Intra-Wales variations in firearms operations rates are striking, with Gwent's 50 operations per 100,000 population contrasting sharply with Dyfed-Powys's 19 (Home Office, 2024). This disparity suggests a nuanced interplay of factors beyond simple urban-rural divides, including cross-border influences and differing community policing strategies (Jones &amp; Lister, 2019).</w:t>
      </w:r>
    </w:p>
    <w:p w14:paraId="1FA20790" w14:textId="77777777" w:rsidR="00E520DC" w:rsidRDefault="00E520DC" w:rsidP="00E520DC">
      <w:pPr>
        <w:pStyle w:val="OBEBibliography"/>
        <w:spacing w:line="360" w:lineRule="auto"/>
      </w:pPr>
      <w:r>
        <w:t>The consistent use of Armed Response Vehicles (ARVs) in 93% of firearms operations across regions raises questions about this model's suitability in diverse geographical contexts, particularly in rural Wales where response times may be longer (Bacon, 2022).</w:t>
      </w:r>
    </w:p>
    <w:p w14:paraId="40372B41" w14:textId="77777777" w:rsidR="00E520DC" w:rsidRDefault="00E520DC" w:rsidP="00E520DC">
      <w:pPr>
        <w:pStyle w:val="OBEBibliography"/>
        <w:spacing w:line="360" w:lineRule="auto"/>
      </w:pPr>
      <w:r>
        <w:t>Notably, police firearms were discharged in only 2 incidents across England and Wales in the year ending March 2024, a mere 0.01% of total firearms operations (Home Office, 2024). This extremely low rate, while positive in minimizing lethal force, prompts critical questions about the justification for current armed operation levels (Squires &amp; Kennison, 2022).</w:t>
      </w:r>
    </w:p>
    <w:p w14:paraId="09877DE6" w14:textId="77777777" w:rsidR="00E520DC" w:rsidRDefault="00E520DC" w:rsidP="00E520DC">
      <w:pPr>
        <w:pStyle w:val="OBEBibliography"/>
        <w:spacing w:line="360" w:lineRule="auto"/>
      </w:pPr>
      <w:r>
        <w:lastRenderedPageBreak/>
        <w:t xml:space="preserve">The decreasing number of armed officers (3% decrease) against increasing overall police numbers (3% increase) suggests a policy commitment to unarmed </w:t>
      </w:r>
      <w:proofErr w:type="gramStart"/>
      <w:r>
        <w:t>policing, but</w:t>
      </w:r>
      <w:proofErr w:type="gramEnd"/>
      <w:r>
        <w:t xml:space="preserve"> raises concerns about long-term operational readiness (National Police Chiefs' Council, 2024).</w:t>
      </w:r>
    </w:p>
    <w:p w14:paraId="0A9DFE3B" w14:textId="37868104" w:rsidR="00E520DC" w:rsidRDefault="00E520DC" w:rsidP="00E520DC">
      <w:pPr>
        <w:pStyle w:val="OBEBibliography"/>
        <w:spacing w:line="360" w:lineRule="auto"/>
      </w:pPr>
      <w:r>
        <w:t>Socioeconomic factors add complexity, with a correlation observed between high rates of firearms operations and higher levels of deprivation, as evidenced by the Indices of Multiple Deprivation (Welsh Government, 2023). This relationship is evident in Wales, particularly in areas like Newport under Gwent Police jurisdiction.</w:t>
      </w:r>
    </w:p>
    <w:p w14:paraId="6A2ECDFC" w14:textId="0752D0CB" w:rsidR="00E520DC" w:rsidRDefault="00E520DC" w:rsidP="00E520DC">
      <w:pPr>
        <w:pStyle w:val="OBEBibliography"/>
        <w:spacing w:line="360" w:lineRule="auto"/>
      </w:pPr>
      <w:r>
        <w:t>These findings challenge current metrics for evaluating armed policing effectiveness and necessity (Lowe, 2022). They also highlight the Welsh experience of maintaining lower armed operation rates despite similar socioeconomic challenges to English counterparts, potentially offering insights into effective community-oriented policing approaches (</w:t>
      </w:r>
      <w:r w:rsidR="00E6232A">
        <w:t>(Rogers, 2013)</w:t>
      </w:r>
      <w:r>
        <w:t>, 2023).</w:t>
      </w:r>
    </w:p>
    <w:p w14:paraId="41824DE1" w14:textId="1B730FB1" w:rsidR="0084599F" w:rsidRPr="00E520DC" w:rsidRDefault="00E520DC" w:rsidP="0084599F">
      <w:pPr>
        <w:pStyle w:val="OBEBibliography"/>
        <w:spacing w:line="360" w:lineRule="auto"/>
      </w:pPr>
      <w:r>
        <w:t>Looking ahead, the data underscores the need for nuanced, evidence-based policy decisions on armed policing (Jackson &amp; Bradford, 2024). The path forward requires a holistic examination of how policing intersects with broader societal issues, aiming to develop models that serve diverse community needs while adhering to principles of minimal force and maximum public trust (</w:t>
      </w:r>
      <w:proofErr w:type="spellStart"/>
      <w:r>
        <w:t>Yesberg</w:t>
      </w:r>
      <w:proofErr w:type="spellEnd"/>
      <w:r>
        <w:t xml:space="preserve"> et al., 2022).</w:t>
      </w:r>
    </w:p>
    <w:p w14:paraId="69A5F9F3" w14:textId="3E1036AB" w:rsidR="00266445" w:rsidRPr="0084599F" w:rsidRDefault="0084599F" w:rsidP="0084599F">
      <w:pPr>
        <w:pStyle w:val="OBEBibliography"/>
        <w:spacing w:line="360" w:lineRule="auto"/>
        <w:rPr>
          <w:rFonts w:asciiTheme="minorHAnsi" w:eastAsiaTheme="minorEastAsia" w:hAnsiTheme="minorHAnsi" w:cstheme="minorBidi"/>
          <w:color w:val="auto"/>
          <w:kern w:val="0"/>
          <w:lang w:val="en-GB"/>
        </w:rPr>
      </w:pPr>
      <w:r w:rsidRPr="0084599F">
        <w:rPr>
          <w:rFonts w:asciiTheme="minorHAnsi" w:eastAsiaTheme="minorEastAsia" w:hAnsiTheme="minorHAnsi" w:cstheme="minorBidi"/>
          <w:color w:val="auto"/>
          <w:kern w:val="0"/>
          <w:lang w:val="en-GB"/>
        </w:rPr>
        <w:t>The complex landscape of policing in Wales and the broader UK necessitates a multifaceted analysis that goes beyond surface-level statistics. To truly understand the implications of armed policing, we must consider a range of societal factors and their intricate relationships with law enforcement strategies.</w:t>
      </w:r>
    </w:p>
    <w:p w14:paraId="597102B8" w14:textId="50DF3540" w:rsidR="0084599F" w:rsidRPr="0084599F" w:rsidRDefault="00266445" w:rsidP="00737A26">
      <w:pPr>
        <w:pStyle w:val="OBESubtitle2ndtier"/>
        <w:rPr>
          <w:rFonts w:asciiTheme="minorHAnsi" w:hAnsiTheme="minorHAnsi" w:cstheme="minorBidi"/>
          <w:color w:val="auto"/>
        </w:rPr>
      </w:pPr>
      <w:bookmarkStart w:id="25" w:name="_Toc175647964"/>
      <w:r w:rsidRPr="00266445">
        <w:t>Public Order Challenges: Riots and Far-Right Gatherings</w:t>
      </w:r>
      <w:bookmarkEnd w:id="25"/>
    </w:p>
    <w:p w14:paraId="136AD0BC" w14:textId="77777777" w:rsidR="008A084E" w:rsidRPr="008A084E" w:rsidRDefault="008A084E" w:rsidP="001376E6">
      <w:pPr>
        <w:pStyle w:val="OBEBibliography"/>
        <w:spacing w:line="360" w:lineRule="auto"/>
        <w:rPr>
          <w:rFonts w:asciiTheme="minorHAnsi" w:eastAsiaTheme="minorEastAsia" w:hAnsiTheme="minorHAnsi" w:cstheme="minorBidi"/>
          <w:color w:val="auto"/>
          <w:kern w:val="0"/>
          <w:lang w:val="en-GB"/>
        </w:rPr>
      </w:pPr>
      <w:r w:rsidRPr="008A084E">
        <w:rPr>
          <w:rFonts w:asciiTheme="minorHAnsi" w:eastAsiaTheme="minorEastAsia" w:hAnsiTheme="minorHAnsi" w:cstheme="minorBidi"/>
          <w:color w:val="auto"/>
          <w:kern w:val="0"/>
          <w:lang w:val="en-GB"/>
        </w:rPr>
        <w:t xml:space="preserve">As far-right displays and associated counter-protests have escalated in occurrence and intensity across the UK, including in Wales, their challenge to prevailing policing models has grown ever more striking. A 6 per cent increase in public order offences in England and Wales in 2020/21 compared with the previous 12 months was recorded by the Home Office (2021). </w:t>
      </w:r>
      <w:r w:rsidRPr="008A084E">
        <w:rPr>
          <w:rFonts w:asciiTheme="minorHAnsi" w:eastAsiaTheme="minorEastAsia" w:hAnsiTheme="minorHAnsi" w:cstheme="minorBidi"/>
          <w:color w:val="auto"/>
          <w:kern w:val="0"/>
          <w:lang w:val="en-GB"/>
        </w:rPr>
        <w:lastRenderedPageBreak/>
        <w:t xml:space="preserve">The year was characterised by four key protests in </w:t>
      </w:r>
      <w:proofErr w:type="spellStart"/>
      <w:r w:rsidRPr="008A084E">
        <w:rPr>
          <w:rFonts w:asciiTheme="minorHAnsi" w:eastAsiaTheme="minorEastAsia" w:hAnsiTheme="minorHAnsi" w:cstheme="minorBidi"/>
          <w:color w:val="auto"/>
          <w:kern w:val="0"/>
          <w:lang w:val="en-GB"/>
        </w:rPr>
        <w:t>Wales’</w:t>
      </w:r>
      <w:proofErr w:type="spellEnd"/>
      <w:r w:rsidRPr="008A084E">
        <w:rPr>
          <w:rFonts w:asciiTheme="minorHAnsi" w:eastAsiaTheme="minorEastAsia" w:hAnsiTheme="minorHAnsi" w:cstheme="minorBidi"/>
          <w:color w:val="auto"/>
          <w:kern w:val="0"/>
          <w:lang w:val="en-GB"/>
        </w:rPr>
        <w:t xml:space="preserve"> capital, Cardiff, with which South Wales Police have wrestled.</w:t>
      </w:r>
    </w:p>
    <w:p w14:paraId="55A483ED" w14:textId="05B6C4C4" w:rsidR="008A084E" w:rsidRPr="008A084E" w:rsidRDefault="008A084E" w:rsidP="008A084E">
      <w:pPr>
        <w:pStyle w:val="OBEBibliography"/>
        <w:spacing w:line="360" w:lineRule="auto"/>
        <w:rPr>
          <w:rFonts w:asciiTheme="minorHAnsi" w:eastAsiaTheme="minorEastAsia" w:hAnsiTheme="minorHAnsi" w:cstheme="minorBidi"/>
          <w:color w:val="auto"/>
          <w:kern w:val="0"/>
          <w:lang w:val="en-GB"/>
        </w:rPr>
      </w:pPr>
      <w:r w:rsidRPr="008A084E">
        <w:rPr>
          <w:rFonts w:asciiTheme="minorHAnsi" w:eastAsiaTheme="minorEastAsia" w:hAnsiTheme="minorHAnsi" w:cstheme="minorBidi"/>
          <w:color w:val="auto"/>
          <w:kern w:val="0"/>
          <w:lang w:val="en-GB"/>
        </w:rPr>
        <w:t xml:space="preserve">Such events need to be policed and effectively policed. At the same time, public services must always be mindful of civil liberties and the public concerns about surveillance. Reiner (2010) refers to ‘the politics of policing’ and his influential work on the policing of public order demonstrates how the legitimacy of police actions is all-important if parts of the community are not to react negatively and sour valuable relationships – trust, if you like, of the police. The trust between Welsh communities and community policing </w:t>
      </w:r>
      <w:r w:rsidR="00B4151B">
        <w:rPr>
          <w:rFonts w:asciiTheme="minorHAnsi" w:eastAsiaTheme="minorEastAsia" w:hAnsiTheme="minorHAnsi" w:cstheme="minorBidi"/>
          <w:color w:val="auto"/>
          <w:kern w:val="0"/>
          <w:lang w:val="en-GB"/>
        </w:rPr>
        <w:t>is</w:t>
      </w:r>
      <w:r w:rsidRPr="008A084E">
        <w:rPr>
          <w:rFonts w:asciiTheme="minorHAnsi" w:eastAsiaTheme="minorEastAsia" w:hAnsiTheme="minorHAnsi" w:cstheme="minorBidi"/>
          <w:color w:val="auto"/>
          <w:kern w:val="0"/>
          <w:lang w:val="en-GB"/>
        </w:rPr>
        <w:t xml:space="preserve"> built on more than a hundred years of decentralised policing. The sight of more armed policing would be very visible on the quiet streets of </w:t>
      </w:r>
      <w:proofErr w:type="gramStart"/>
      <w:r w:rsidRPr="008A084E">
        <w:rPr>
          <w:rFonts w:asciiTheme="minorHAnsi" w:eastAsiaTheme="minorEastAsia" w:hAnsiTheme="minorHAnsi" w:cstheme="minorBidi"/>
          <w:color w:val="auto"/>
          <w:kern w:val="0"/>
          <w:lang w:val="en-GB"/>
        </w:rPr>
        <w:t>Wales, and</w:t>
      </w:r>
      <w:proofErr w:type="gramEnd"/>
      <w:r w:rsidRPr="008A084E">
        <w:rPr>
          <w:rFonts w:asciiTheme="minorHAnsi" w:eastAsiaTheme="minorEastAsia" w:hAnsiTheme="minorHAnsi" w:cstheme="minorBidi"/>
          <w:color w:val="auto"/>
          <w:kern w:val="0"/>
          <w:lang w:val="en-GB"/>
        </w:rPr>
        <w:t xml:space="preserve"> could sour trust in police.</w:t>
      </w:r>
    </w:p>
    <w:p w14:paraId="7EB0AB81" w14:textId="0B728C08" w:rsidR="008A084E" w:rsidRPr="008A084E" w:rsidRDefault="008A084E" w:rsidP="00B4151B">
      <w:pPr>
        <w:pStyle w:val="OBEBibliography"/>
        <w:spacing w:line="360" w:lineRule="auto"/>
        <w:rPr>
          <w:rFonts w:asciiTheme="minorHAnsi" w:eastAsiaTheme="minorEastAsia" w:hAnsiTheme="minorHAnsi" w:cstheme="minorBidi"/>
          <w:color w:val="auto"/>
          <w:kern w:val="0"/>
          <w:lang w:val="en-GB"/>
        </w:rPr>
      </w:pPr>
      <w:r w:rsidRPr="008A084E">
        <w:rPr>
          <w:rFonts w:asciiTheme="minorHAnsi" w:eastAsiaTheme="minorEastAsia" w:hAnsiTheme="minorHAnsi" w:cstheme="minorBidi"/>
          <w:color w:val="auto"/>
          <w:kern w:val="0"/>
          <w:lang w:val="en-GB"/>
        </w:rPr>
        <w:t>Furthermore, the ‘flashpoint’ model of public disorder proposed by Waddington et al in 1989 – highlighting the role of police tactics in either escalating or defusing potentially incendiary situations – has not really been superseded in terms of its relevance. The recent experience of Welsh police forces, which have generally been able to manage such events with relatively few instances of armed operations, seems to indicate how well the model works if applied properly. The fact that such gatherings are changing shape rather quickly – in some cases, groups are now mobilised by social media in quick time – might require a reimagining of response strategies.</w:t>
      </w:r>
    </w:p>
    <w:p w14:paraId="6A4BEBC7" w14:textId="40B49188" w:rsidR="0084599F" w:rsidRPr="0084599F" w:rsidRDefault="008A084E" w:rsidP="00737A26">
      <w:pPr>
        <w:pStyle w:val="OBESubtitle2ndtier"/>
        <w:rPr>
          <w:rFonts w:asciiTheme="minorHAnsi" w:hAnsiTheme="minorHAnsi" w:cstheme="minorBidi"/>
          <w:color w:val="auto"/>
        </w:rPr>
      </w:pPr>
      <w:bookmarkStart w:id="26" w:name="_Toc175647965"/>
      <w:r w:rsidRPr="008A084E">
        <w:t>The Persistent Specter of Football Hooliganism</w:t>
      </w:r>
      <w:bookmarkEnd w:id="26"/>
    </w:p>
    <w:p w14:paraId="1ED5BDD4" w14:textId="77777777" w:rsidR="00E45989" w:rsidRPr="00E45989" w:rsidRDefault="00E45989" w:rsidP="00B4151B">
      <w:pPr>
        <w:pStyle w:val="OBEBibliography"/>
        <w:spacing w:line="360" w:lineRule="auto"/>
        <w:rPr>
          <w:rFonts w:asciiTheme="minorHAnsi" w:eastAsiaTheme="minorEastAsia" w:hAnsiTheme="minorHAnsi" w:cstheme="minorBidi"/>
          <w:color w:val="auto"/>
          <w:kern w:val="0"/>
          <w:lang w:val="en-GB"/>
        </w:rPr>
      </w:pPr>
      <w:r w:rsidRPr="00E45989">
        <w:rPr>
          <w:rFonts w:asciiTheme="minorHAnsi" w:eastAsiaTheme="minorEastAsia" w:hAnsiTheme="minorHAnsi" w:cstheme="minorBidi"/>
          <w:color w:val="auto"/>
          <w:kern w:val="0"/>
          <w:lang w:val="en-GB"/>
        </w:rPr>
        <w:t>Football-related disorder remains a considerable challenge for policing in Wales and the rest of the UK. The UK Football Policing Unit (2022) recorded 1,308 football-related arrests in the 2021/22 season in England and Wales, including for disorder around matches involving Cardiff City and Swansea City that required significant resource levels (South Wales Police, 2023).</w:t>
      </w:r>
    </w:p>
    <w:p w14:paraId="1B8B3844" w14:textId="69A5BCC5" w:rsidR="00E45989" w:rsidRPr="00E45989" w:rsidRDefault="00E45989" w:rsidP="00E45989">
      <w:pPr>
        <w:pStyle w:val="OBEBibliography"/>
        <w:spacing w:line="360" w:lineRule="auto"/>
        <w:rPr>
          <w:rFonts w:asciiTheme="minorHAnsi" w:eastAsiaTheme="minorEastAsia" w:hAnsiTheme="minorHAnsi" w:cstheme="minorBidi"/>
          <w:color w:val="auto"/>
          <w:kern w:val="0"/>
          <w:lang w:val="en-GB"/>
        </w:rPr>
      </w:pPr>
      <w:r w:rsidRPr="00E45989">
        <w:rPr>
          <w:rFonts w:asciiTheme="minorHAnsi" w:eastAsiaTheme="minorEastAsia" w:hAnsiTheme="minorHAnsi" w:cstheme="minorBidi"/>
          <w:color w:val="auto"/>
          <w:kern w:val="0"/>
          <w:lang w:val="en-GB"/>
        </w:rPr>
        <w:t xml:space="preserve">The policing of football matches in Wales has its own unique dynamics. The British sociologists Rod E Stott and Rod D Pearson (2007) wrote about football hooliganism, and in particular the importance of the social identity of football fans and what they call the ‘crowd dynamic’ – that is, the psychological effects of massed crowds acting as a collective group. They suggest </w:t>
      </w:r>
      <w:r w:rsidRPr="00E45989">
        <w:rPr>
          <w:rFonts w:asciiTheme="minorHAnsi" w:eastAsiaTheme="minorEastAsia" w:hAnsiTheme="minorHAnsi" w:cstheme="minorBidi"/>
          <w:color w:val="auto"/>
          <w:kern w:val="0"/>
          <w:lang w:val="en-GB"/>
        </w:rPr>
        <w:lastRenderedPageBreak/>
        <w:t>that the deployment of the police – including the current kind of massing with uniformed and sometimes armed officers – can even increase tensions.</w:t>
      </w:r>
    </w:p>
    <w:p w14:paraId="556B626C" w14:textId="0CEACEF8" w:rsidR="00E45989" w:rsidRDefault="00E45989" w:rsidP="00E45989">
      <w:pPr>
        <w:pStyle w:val="OBEBibliography"/>
        <w:spacing w:line="360" w:lineRule="auto"/>
        <w:rPr>
          <w:rFonts w:asciiTheme="minorHAnsi" w:eastAsiaTheme="minorEastAsia" w:hAnsiTheme="minorHAnsi" w:cstheme="minorBidi"/>
          <w:color w:val="auto"/>
          <w:kern w:val="0"/>
          <w:lang w:val="en-GB"/>
        </w:rPr>
      </w:pPr>
      <w:r w:rsidRPr="00E45989">
        <w:rPr>
          <w:rFonts w:asciiTheme="minorHAnsi" w:eastAsiaTheme="minorEastAsia" w:hAnsiTheme="minorHAnsi" w:cstheme="minorBidi"/>
          <w:color w:val="auto"/>
          <w:kern w:val="0"/>
          <w:lang w:val="en-GB"/>
        </w:rPr>
        <w:t>In the context of Wales where football clubs can have a major cultural status in their communities, the policing of these events needs to be particularly sensitive. It seems that in Wales at least, even in relation to potential football-related disorder, the elite units have not been widely deployed, perhaps because of the success of what Reicher et al. (2004) described as the ‘elaborated social identity model’ of crowd behaviour: the cultivation of communication and facilitation rather than control. Public order questions are closely aligned with the wider question of social well</w:t>
      </w:r>
      <w:r w:rsidR="008F54E5">
        <w:rPr>
          <w:rFonts w:asciiTheme="minorHAnsi" w:eastAsiaTheme="minorEastAsia" w:hAnsiTheme="minorHAnsi" w:cstheme="minorBidi"/>
          <w:color w:val="auto"/>
          <w:kern w:val="0"/>
          <w:lang w:val="en-GB"/>
        </w:rPr>
        <w:t>-</w:t>
      </w:r>
      <w:r w:rsidRPr="00E45989">
        <w:rPr>
          <w:rFonts w:asciiTheme="minorHAnsi" w:eastAsiaTheme="minorEastAsia" w:hAnsiTheme="minorHAnsi" w:cstheme="minorBidi"/>
          <w:color w:val="auto"/>
          <w:kern w:val="0"/>
          <w:lang w:val="en-GB"/>
        </w:rPr>
        <w:t>being, and especially the state of hospitals for the mentally ill.</w:t>
      </w:r>
    </w:p>
    <w:p w14:paraId="5BBD6CF0" w14:textId="6917873D" w:rsidR="00E45989" w:rsidRDefault="00E45989" w:rsidP="00737A26">
      <w:pPr>
        <w:pStyle w:val="OBESubtitle2ndtier"/>
        <w:rPr>
          <w:rFonts w:asciiTheme="minorHAnsi" w:hAnsiTheme="minorHAnsi" w:cstheme="minorBidi"/>
          <w:color w:val="auto"/>
        </w:rPr>
      </w:pPr>
      <w:bookmarkStart w:id="27" w:name="_Toc175647966"/>
      <w:r w:rsidRPr="00E45989">
        <w:t>The Growing Challenge of Mental Health-Related Incidents</w:t>
      </w:r>
      <w:bookmarkEnd w:id="27"/>
    </w:p>
    <w:p w14:paraId="48A0FE2F" w14:textId="51EC8214" w:rsidR="004931D6" w:rsidRPr="004931D6" w:rsidRDefault="004931D6" w:rsidP="00BA1780">
      <w:pPr>
        <w:pStyle w:val="OBEBibliography"/>
        <w:spacing w:line="360" w:lineRule="auto"/>
        <w:rPr>
          <w:rFonts w:asciiTheme="minorHAnsi" w:eastAsiaTheme="minorEastAsia" w:hAnsiTheme="minorHAnsi" w:cstheme="minorBidi"/>
          <w:color w:val="auto"/>
          <w:kern w:val="0"/>
          <w:lang w:val="en-GB"/>
        </w:rPr>
      </w:pPr>
      <w:r w:rsidRPr="004931D6">
        <w:rPr>
          <w:rFonts w:asciiTheme="minorHAnsi" w:eastAsiaTheme="minorEastAsia" w:hAnsiTheme="minorHAnsi" w:cstheme="minorBidi"/>
          <w:color w:val="auto"/>
          <w:kern w:val="0"/>
          <w:lang w:val="en-GB"/>
        </w:rPr>
        <w:t>The rise of police responding to mental health-related crises is a fundamental change in the character of police work. The College of Policing (2023) estimates that in England and Wales</w:t>
      </w:r>
      <w:r w:rsidR="008F54E5">
        <w:rPr>
          <w:rFonts w:asciiTheme="minorHAnsi" w:eastAsiaTheme="minorEastAsia" w:hAnsiTheme="minorHAnsi" w:cstheme="minorBidi"/>
          <w:color w:val="auto"/>
          <w:kern w:val="0"/>
          <w:lang w:val="en-GB"/>
        </w:rPr>
        <w:t>,</w:t>
      </w:r>
      <w:r w:rsidRPr="004931D6">
        <w:rPr>
          <w:rFonts w:asciiTheme="minorHAnsi" w:eastAsiaTheme="minorEastAsia" w:hAnsiTheme="minorHAnsi" w:cstheme="minorBidi"/>
          <w:color w:val="auto"/>
          <w:kern w:val="0"/>
          <w:lang w:val="en-GB"/>
        </w:rPr>
        <w:t xml:space="preserve"> 20-40 per cent of callouts are relat</w:t>
      </w:r>
      <w:r w:rsidR="008F54E5">
        <w:rPr>
          <w:rFonts w:asciiTheme="minorHAnsi" w:eastAsiaTheme="minorEastAsia" w:hAnsiTheme="minorHAnsi" w:cstheme="minorBidi"/>
          <w:color w:val="auto"/>
          <w:kern w:val="0"/>
          <w:lang w:val="en-GB"/>
        </w:rPr>
        <w:t>ed</w:t>
      </w:r>
      <w:r w:rsidRPr="004931D6">
        <w:rPr>
          <w:rFonts w:asciiTheme="minorHAnsi" w:eastAsiaTheme="minorEastAsia" w:hAnsiTheme="minorHAnsi" w:cstheme="minorBidi"/>
          <w:color w:val="auto"/>
          <w:kern w:val="0"/>
          <w:lang w:val="en-GB"/>
        </w:rPr>
        <w:t xml:space="preserve"> to mental health. The Welsh Parliament’s Health and Social Care Committee (2022) report on getting it right for mental health in rural Wales highlights that amongst rural communities, the Police, Fire and Rescue Service, and ambulance service are often the first responders to mental health emergencies.</w:t>
      </w:r>
    </w:p>
    <w:p w14:paraId="494BE363" w14:textId="232221C5" w:rsidR="004931D6" w:rsidRPr="004931D6" w:rsidRDefault="004931D6" w:rsidP="004931D6">
      <w:pPr>
        <w:pStyle w:val="OBEBibliography"/>
        <w:spacing w:line="360" w:lineRule="auto"/>
        <w:rPr>
          <w:rFonts w:asciiTheme="minorHAnsi" w:eastAsiaTheme="minorEastAsia" w:hAnsiTheme="minorHAnsi" w:cstheme="minorBidi"/>
          <w:color w:val="auto"/>
          <w:kern w:val="0"/>
          <w:lang w:val="en-GB"/>
        </w:rPr>
      </w:pPr>
      <w:r w:rsidRPr="004931D6">
        <w:rPr>
          <w:rFonts w:asciiTheme="minorHAnsi" w:eastAsiaTheme="minorEastAsia" w:hAnsiTheme="minorHAnsi" w:cstheme="minorBidi"/>
          <w:color w:val="auto"/>
          <w:kern w:val="0"/>
          <w:lang w:val="en-GB"/>
        </w:rPr>
        <w:t xml:space="preserve">This trend poses profound questions about the role of police in society and whether current policing models are appropriate or not. </w:t>
      </w:r>
      <w:proofErr w:type="spellStart"/>
      <w:r w:rsidRPr="004931D6">
        <w:rPr>
          <w:rFonts w:asciiTheme="minorHAnsi" w:eastAsiaTheme="minorEastAsia" w:hAnsiTheme="minorHAnsi" w:cstheme="minorBidi"/>
          <w:color w:val="auto"/>
          <w:kern w:val="0"/>
          <w:lang w:val="en-GB"/>
        </w:rPr>
        <w:t>Teplin’s</w:t>
      </w:r>
      <w:proofErr w:type="spellEnd"/>
      <w:r w:rsidRPr="004931D6">
        <w:rPr>
          <w:rFonts w:asciiTheme="minorHAnsi" w:eastAsiaTheme="minorEastAsia" w:hAnsiTheme="minorHAnsi" w:cstheme="minorBidi"/>
          <w:color w:val="auto"/>
          <w:kern w:val="0"/>
          <w:lang w:val="en-GB"/>
        </w:rPr>
        <w:t xml:space="preserve"> (2000) study on the criminalisation of mental illness has argued that police involvement in mental health cris</w:t>
      </w:r>
      <w:r w:rsidR="008F54E5">
        <w:rPr>
          <w:rFonts w:asciiTheme="minorHAnsi" w:eastAsiaTheme="minorEastAsia" w:hAnsiTheme="minorHAnsi" w:cstheme="minorBidi"/>
          <w:color w:val="auto"/>
          <w:kern w:val="0"/>
          <w:lang w:val="en-GB"/>
        </w:rPr>
        <w:t>e</w:t>
      </w:r>
      <w:r w:rsidRPr="004931D6">
        <w:rPr>
          <w:rFonts w:asciiTheme="minorHAnsi" w:eastAsiaTheme="minorEastAsia" w:hAnsiTheme="minorHAnsi" w:cstheme="minorBidi"/>
          <w:color w:val="auto"/>
          <w:kern w:val="0"/>
          <w:lang w:val="en-GB"/>
        </w:rPr>
        <w:t xml:space="preserve">s represents a response to the demise of community mental health service provision. In </w:t>
      </w:r>
      <w:r w:rsidR="008F54E5">
        <w:rPr>
          <w:rFonts w:asciiTheme="minorHAnsi" w:eastAsiaTheme="minorEastAsia" w:hAnsiTheme="minorHAnsi" w:cstheme="minorBidi"/>
          <w:color w:val="auto"/>
          <w:kern w:val="0"/>
          <w:lang w:val="en-GB"/>
        </w:rPr>
        <w:t xml:space="preserve">the </w:t>
      </w:r>
      <w:r w:rsidRPr="004931D6">
        <w:rPr>
          <w:rFonts w:asciiTheme="minorHAnsi" w:eastAsiaTheme="minorEastAsia" w:hAnsiTheme="minorHAnsi" w:cstheme="minorBidi"/>
          <w:color w:val="auto"/>
          <w:kern w:val="0"/>
          <w:lang w:val="en-GB"/>
        </w:rPr>
        <w:t>Welsh context and particularly in rural communities where it might be somewhat more pronounced, this becomes a significant issue.</w:t>
      </w:r>
    </w:p>
    <w:p w14:paraId="1CC7E794" w14:textId="63232689" w:rsidR="004931D6" w:rsidRPr="004931D6" w:rsidRDefault="004931D6" w:rsidP="004931D6">
      <w:pPr>
        <w:pStyle w:val="OBEBibliography"/>
        <w:spacing w:line="360" w:lineRule="auto"/>
        <w:rPr>
          <w:rFonts w:asciiTheme="minorHAnsi" w:eastAsiaTheme="minorEastAsia" w:hAnsiTheme="minorHAnsi" w:cstheme="minorBidi"/>
          <w:color w:val="auto"/>
          <w:kern w:val="0"/>
          <w:lang w:val="en-GB"/>
        </w:rPr>
      </w:pPr>
      <w:r w:rsidRPr="004931D6">
        <w:rPr>
          <w:rFonts w:asciiTheme="minorHAnsi" w:eastAsiaTheme="minorEastAsia" w:hAnsiTheme="minorHAnsi" w:cstheme="minorBidi"/>
          <w:color w:val="auto"/>
          <w:kern w:val="0"/>
          <w:lang w:val="en-GB"/>
        </w:rPr>
        <w:t>Whether gun-carrying policing belongs in any way in this picture is itself a complicated question: the presence of firearms in such scenes seems to add to the risks of escalation, whereas the reality – as Kesic et al (2013) note in their study of police use of force against people with mental illness – is that officers often have to deal with unpredictable and potentially dangerous encounters.</w:t>
      </w:r>
    </w:p>
    <w:p w14:paraId="3C0BE485" w14:textId="555C984A" w:rsidR="004931D6" w:rsidRPr="004931D6" w:rsidRDefault="004931D6" w:rsidP="004931D6">
      <w:pPr>
        <w:pStyle w:val="OBEBibliography"/>
        <w:spacing w:line="360" w:lineRule="auto"/>
        <w:rPr>
          <w:rFonts w:asciiTheme="minorHAnsi" w:eastAsiaTheme="minorEastAsia" w:hAnsiTheme="minorHAnsi" w:cstheme="minorBidi"/>
          <w:color w:val="auto"/>
          <w:kern w:val="0"/>
          <w:lang w:val="en-GB"/>
        </w:rPr>
      </w:pPr>
      <w:r w:rsidRPr="004931D6">
        <w:rPr>
          <w:rFonts w:asciiTheme="minorHAnsi" w:eastAsiaTheme="minorEastAsia" w:hAnsiTheme="minorHAnsi" w:cstheme="minorBidi"/>
          <w:color w:val="auto"/>
          <w:kern w:val="0"/>
          <w:lang w:val="en-GB"/>
        </w:rPr>
        <w:lastRenderedPageBreak/>
        <w:t>The fact that armed police operations are carried out at approximately eight times lower levels in Wales than in much of England points to a more community-based perspective on these issues – but this approach isn’t a given, particularly in an era of ever-growing demands and diminishing resources.</w:t>
      </w:r>
    </w:p>
    <w:p w14:paraId="6BB13344" w14:textId="4F32647C" w:rsidR="0084599F" w:rsidRPr="0084599F" w:rsidRDefault="004931D6" w:rsidP="0084599F">
      <w:pPr>
        <w:pStyle w:val="OBEBibliography"/>
        <w:spacing w:line="360" w:lineRule="auto"/>
        <w:rPr>
          <w:rFonts w:asciiTheme="minorHAnsi" w:eastAsiaTheme="minorEastAsia" w:hAnsiTheme="minorHAnsi" w:cstheme="minorBidi"/>
          <w:color w:val="auto"/>
          <w:kern w:val="0"/>
          <w:lang w:val="en-GB"/>
        </w:rPr>
      </w:pPr>
      <w:r w:rsidRPr="004931D6">
        <w:rPr>
          <w:rFonts w:asciiTheme="minorHAnsi" w:eastAsiaTheme="minorEastAsia" w:hAnsiTheme="minorHAnsi" w:cstheme="minorBidi"/>
          <w:color w:val="auto"/>
          <w:kern w:val="0"/>
          <w:lang w:val="en-GB"/>
        </w:rPr>
        <w:t xml:space="preserve">In reflecting on these varied dilemmas confronting Welsh policing, from crowd control to mental health crises, we should not forget the wider socio-cultural context in which </w:t>
      </w:r>
      <w:r w:rsidR="00765E3F">
        <w:rPr>
          <w:rFonts w:asciiTheme="minorHAnsi" w:eastAsiaTheme="minorEastAsia" w:hAnsiTheme="minorHAnsi" w:cstheme="minorBidi"/>
          <w:color w:val="auto"/>
          <w:kern w:val="0"/>
          <w:lang w:val="en-GB"/>
        </w:rPr>
        <w:t xml:space="preserve">the </w:t>
      </w:r>
      <w:r w:rsidRPr="004931D6">
        <w:rPr>
          <w:rFonts w:asciiTheme="minorHAnsi" w:eastAsiaTheme="minorEastAsia" w:hAnsiTheme="minorHAnsi" w:cstheme="minorBidi"/>
          <w:color w:val="auto"/>
          <w:kern w:val="0"/>
          <w:lang w:val="en-GB"/>
        </w:rPr>
        <w:t>use of arms, whether in the form of firearms or otherwise, is recurrently justified under the purported banner of self-defence.</w:t>
      </w:r>
      <w:r w:rsidR="00C33F96">
        <w:rPr>
          <w:rFonts w:asciiTheme="minorHAnsi" w:eastAsiaTheme="minorEastAsia" w:hAnsiTheme="minorHAnsi" w:cstheme="minorBidi"/>
          <w:color w:val="auto"/>
          <w:kern w:val="0"/>
          <w:lang w:val="en-GB"/>
        </w:rPr>
        <w:t xml:space="preserve"> </w:t>
      </w:r>
      <w:r w:rsidR="0084599F" w:rsidRPr="0084599F">
        <w:rPr>
          <w:rFonts w:asciiTheme="minorHAnsi" w:eastAsiaTheme="minorEastAsia" w:hAnsiTheme="minorHAnsi" w:cstheme="minorBidi"/>
          <w:color w:val="auto"/>
          <w:kern w:val="0"/>
          <w:lang w:val="en-GB"/>
        </w:rPr>
        <w:t xml:space="preserve">The exceptionally low incidence of legitimate </w:t>
      </w:r>
      <w:r w:rsidR="00C33F96" w:rsidRPr="0084599F">
        <w:rPr>
          <w:rFonts w:asciiTheme="minorHAnsi" w:eastAsiaTheme="minorEastAsia" w:hAnsiTheme="minorHAnsi" w:cstheme="minorBidi"/>
          <w:color w:val="auto"/>
          <w:kern w:val="0"/>
          <w:lang w:val="en-GB"/>
        </w:rPr>
        <w:t>self-defence</w:t>
      </w:r>
      <w:r w:rsidR="0084599F" w:rsidRPr="0084599F">
        <w:rPr>
          <w:rFonts w:asciiTheme="minorHAnsi" w:eastAsiaTheme="minorEastAsia" w:hAnsiTheme="minorHAnsi" w:cstheme="minorBidi"/>
          <w:color w:val="auto"/>
          <w:kern w:val="0"/>
          <w:lang w:val="en-GB"/>
        </w:rPr>
        <w:t xml:space="preserve"> claims involving firearms in Wales and the broader UK, as evidenced by Crown Prosecution Service (2023) guidelines, provides a stark contrast to contexts where firearms are more prevalent. This rarity is a direct result of the UK's strict gun control laws, which have shaped both public expectations and policing strategies.</w:t>
      </w:r>
    </w:p>
    <w:p w14:paraId="518F9083" w14:textId="77777777" w:rsidR="0084599F" w:rsidRPr="0084599F" w:rsidRDefault="0084599F" w:rsidP="0084599F">
      <w:pPr>
        <w:pStyle w:val="OBEBibliography"/>
        <w:spacing w:line="360" w:lineRule="auto"/>
        <w:rPr>
          <w:rFonts w:asciiTheme="minorHAnsi" w:eastAsiaTheme="minorEastAsia" w:hAnsiTheme="minorHAnsi" w:cstheme="minorBidi"/>
          <w:color w:val="auto"/>
          <w:kern w:val="0"/>
          <w:lang w:val="en-GB"/>
        </w:rPr>
      </w:pPr>
      <w:r w:rsidRPr="0084599F">
        <w:rPr>
          <w:rFonts w:asciiTheme="minorHAnsi" w:eastAsiaTheme="minorEastAsia" w:hAnsiTheme="minorHAnsi" w:cstheme="minorBidi"/>
          <w:color w:val="auto"/>
          <w:kern w:val="0"/>
          <w:lang w:val="en-GB"/>
        </w:rPr>
        <w:t>However, the infrequency of such incidents raises important questions about the preparedness of Welsh police forces to respond when they do occur. Squires and Kennison's (2010) comprehensive analysis of police use of firearms in the UK highlights the challenges of maintaining operational readiness in a context where armed response is rarely required.</w:t>
      </w:r>
    </w:p>
    <w:p w14:paraId="3DB5BDD5" w14:textId="5B45D65E" w:rsidR="0084599F" w:rsidRPr="0084599F" w:rsidRDefault="0084599F" w:rsidP="00765E3F">
      <w:pPr>
        <w:pStyle w:val="OBEBibliography"/>
        <w:spacing w:line="360" w:lineRule="auto"/>
        <w:rPr>
          <w:rFonts w:asciiTheme="minorHAnsi" w:eastAsiaTheme="minorEastAsia" w:hAnsiTheme="minorHAnsi" w:cstheme="minorBidi"/>
          <w:color w:val="auto"/>
          <w:kern w:val="0"/>
          <w:lang w:val="en-GB"/>
        </w:rPr>
      </w:pPr>
      <w:r w:rsidRPr="0084599F">
        <w:rPr>
          <w:rFonts w:asciiTheme="minorHAnsi" w:eastAsiaTheme="minorEastAsia" w:hAnsiTheme="minorHAnsi" w:cstheme="minorBidi"/>
          <w:color w:val="auto"/>
          <w:kern w:val="0"/>
          <w:lang w:val="en-GB"/>
        </w:rPr>
        <w:t>This situation creates a paradox for Welsh policing: how to maintain sufficient armed response capability to address rare but potentially critical incidents while preserving the unarmed tradition that has been central to the principle of policing by consent. The current model of specialized armed units appears to be striking this balance effectively, but ongoing evaluation is crucial to ensure its continued success.</w:t>
      </w:r>
    </w:p>
    <w:p w14:paraId="0D05589E" w14:textId="213DAE84" w:rsidR="0084599F" w:rsidRPr="0084599F" w:rsidRDefault="0084599F" w:rsidP="0084599F">
      <w:pPr>
        <w:pStyle w:val="OBEBibliography"/>
        <w:spacing w:line="360" w:lineRule="auto"/>
        <w:rPr>
          <w:rFonts w:asciiTheme="minorHAnsi" w:eastAsiaTheme="minorEastAsia" w:hAnsiTheme="minorHAnsi" w:cstheme="minorBidi"/>
          <w:color w:val="auto"/>
          <w:kern w:val="0"/>
          <w:lang w:val="en-GB"/>
        </w:rPr>
      </w:pPr>
      <w:r w:rsidRPr="0084599F">
        <w:rPr>
          <w:rFonts w:asciiTheme="minorHAnsi" w:eastAsiaTheme="minorEastAsia" w:hAnsiTheme="minorHAnsi" w:cstheme="minorBidi"/>
          <w:color w:val="auto"/>
          <w:kern w:val="0"/>
          <w:lang w:val="en-GB"/>
        </w:rPr>
        <w:t xml:space="preserve">The examination of these diverse factors - from public order challenges to mental health crises and the rarity of firearms in </w:t>
      </w:r>
      <w:proofErr w:type="spellStart"/>
      <w:r w:rsidRPr="0084599F">
        <w:rPr>
          <w:rFonts w:asciiTheme="minorHAnsi" w:eastAsiaTheme="minorEastAsia" w:hAnsiTheme="minorHAnsi" w:cstheme="minorBidi"/>
          <w:color w:val="auto"/>
          <w:kern w:val="0"/>
          <w:lang w:val="en-GB"/>
        </w:rPr>
        <w:t>self-defense</w:t>
      </w:r>
      <w:proofErr w:type="spellEnd"/>
      <w:r w:rsidRPr="0084599F">
        <w:rPr>
          <w:rFonts w:asciiTheme="minorHAnsi" w:eastAsiaTheme="minorEastAsia" w:hAnsiTheme="minorHAnsi" w:cstheme="minorBidi"/>
          <w:color w:val="auto"/>
          <w:kern w:val="0"/>
          <w:lang w:val="en-GB"/>
        </w:rPr>
        <w:t xml:space="preserve"> - paints a complex picture of the landscape in which Welsh police forces operate. The relatively low rates of armed police operations in Wales, even in the face of these multifaceted challenges, suggest a policing model that has successfully adapted to modern threats while preserving traditional principles of community-oriented, largely unarmed policing.</w:t>
      </w:r>
    </w:p>
    <w:p w14:paraId="212563AB" w14:textId="77777777" w:rsidR="0084599F" w:rsidRPr="0084599F" w:rsidRDefault="0084599F" w:rsidP="0084599F">
      <w:pPr>
        <w:pStyle w:val="OBEBibliography"/>
        <w:spacing w:line="360" w:lineRule="auto"/>
        <w:rPr>
          <w:rFonts w:asciiTheme="minorHAnsi" w:eastAsiaTheme="minorEastAsia" w:hAnsiTheme="minorHAnsi" w:cstheme="minorBidi"/>
          <w:color w:val="auto"/>
          <w:kern w:val="0"/>
          <w:lang w:val="en-GB"/>
        </w:rPr>
      </w:pPr>
      <w:r w:rsidRPr="0084599F">
        <w:rPr>
          <w:rFonts w:asciiTheme="minorHAnsi" w:eastAsiaTheme="minorEastAsia" w:hAnsiTheme="minorHAnsi" w:cstheme="minorBidi"/>
          <w:color w:val="auto"/>
          <w:kern w:val="0"/>
          <w:lang w:val="en-GB"/>
        </w:rPr>
        <w:lastRenderedPageBreak/>
        <w:t>However, this success should not breed complacency. The evolving nature of public order threats, the increasing demands placed on police by mental health-related incidents, and the need to maintain readiness for rare but critical armed response situations all require ongoing attention and adaptation.</w:t>
      </w:r>
    </w:p>
    <w:p w14:paraId="7AA720EA" w14:textId="384D611C" w:rsidR="00647E21" w:rsidRPr="00402187" w:rsidRDefault="0084599F" w:rsidP="0084599F">
      <w:pPr>
        <w:pStyle w:val="OBEBibliography"/>
        <w:spacing w:line="360" w:lineRule="auto"/>
        <w:rPr>
          <w:rFonts w:asciiTheme="minorHAnsi" w:eastAsiaTheme="minorEastAsia" w:hAnsiTheme="minorHAnsi" w:cstheme="minorBidi"/>
          <w:color w:val="auto"/>
          <w:kern w:val="0"/>
          <w:lang w:val="en-GB"/>
        </w:rPr>
      </w:pPr>
      <w:r w:rsidRPr="0084599F">
        <w:rPr>
          <w:rFonts w:asciiTheme="minorHAnsi" w:eastAsiaTheme="minorEastAsia" w:hAnsiTheme="minorHAnsi" w:cstheme="minorBidi"/>
          <w:color w:val="auto"/>
          <w:kern w:val="0"/>
          <w:lang w:val="en-GB"/>
        </w:rPr>
        <w:t>This approach, grounded in the principles of procedural justice as outlined by Tyler (2004), offers the best chance of maintaining effective policing in Wales while preserving the trust and cooperation of the communities served. As the landscape of public safety continues to evolve, so too must the strategies employed to protect and serve the people of Wales, always with an eye to balancing tradition with necessary adaptation.</w:t>
      </w:r>
    </w:p>
    <w:p w14:paraId="7EA39AC1" w14:textId="38B8D3D9" w:rsidR="00402187" w:rsidRDefault="00402187" w:rsidP="00737A26">
      <w:pPr>
        <w:pStyle w:val="OBESubtitle1sttier"/>
      </w:pPr>
      <w:bookmarkStart w:id="28" w:name="_Toc175647967"/>
      <w:r w:rsidRPr="00402187">
        <w:t>Conclusion</w:t>
      </w:r>
      <w:bookmarkEnd w:id="28"/>
    </w:p>
    <w:p w14:paraId="4245D2F0" w14:textId="2DD62BC4" w:rsidR="0059742A" w:rsidRPr="0059742A" w:rsidRDefault="0059742A" w:rsidP="0059742A">
      <w:pPr>
        <w:pStyle w:val="OBEBibliography"/>
        <w:spacing w:line="360" w:lineRule="auto"/>
      </w:pPr>
      <w:r w:rsidRPr="0059742A">
        <w:t xml:space="preserve">This </w:t>
      </w:r>
      <w:r w:rsidR="006419AB">
        <w:t>chapter’s</w:t>
      </w:r>
      <w:r w:rsidR="003D43FA">
        <w:t xml:space="preserve"> main</w:t>
      </w:r>
      <w:r w:rsidRPr="0059742A">
        <w:t xml:space="preserve"> </w:t>
      </w:r>
      <w:r w:rsidR="003D43FA">
        <w:t xml:space="preserve">aim is to </w:t>
      </w:r>
      <w:r w:rsidRPr="0059742A">
        <w:t>draw together the key findings of a comprehensive investigation into the question of whether all UK police officers should be routinely armed. By revisiting the central themes explored throughout the dissertation—historical context, contemporary policy frameworks, public perceptions, and international comparisons—it seeks to provide a cohesive synthesis of the research. The purpose of this conclusion is twofold: first, to evaluate the effectiveness and limitations of the current tiered response model of armed policing in the UK; and second, to outline actionable recommendations for future policy development, particularly in the context of evolving security challenges and regional differences, such as those observed in Wales.</w:t>
      </w:r>
    </w:p>
    <w:p w14:paraId="0BBA1616" w14:textId="77777777" w:rsidR="0059742A" w:rsidRPr="0059742A" w:rsidRDefault="0059742A" w:rsidP="0059742A">
      <w:pPr>
        <w:pStyle w:val="OBEBibliography"/>
        <w:spacing w:line="360" w:lineRule="auto"/>
      </w:pPr>
      <w:r w:rsidRPr="0059742A">
        <w:t>Rather than arriving at a definitive yes-or-no answer, the study has uncovered a nuanced landscape in which traditional British policing values—such as minimal force and policing by consent—must be carefully balanced against modern-day threats and community expectations. In this final section, the research findings are consolidated to inform a set of policy implications and proposals for further research, ensuring that the debate around police armament remains grounded in evidence, sensitivity to local context, and an enduring commitment to public trust and safety.</w:t>
      </w:r>
    </w:p>
    <w:p w14:paraId="2D3310A1" w14:textId="13619890" w:rsidR="00500AFD" w:rsidRPr="00500AFD" w:rsidRDefault="00500AFD" w:rsidP="00E94261">
      <w:pPr>
        <w:pStyle w:val="OBEBibliography"/>
        <w:spacing w:line="360" w:lineRule="auto"/>
        <w:rPr>
          <w:rFonts w:asciiTheme="minorHAnsi" w:eastAsiaTheme="minorEastAsia" w:hAnsiTheme="minorHAnsi" w:cstheme="minorBidi"/>
          <w:color w:val="auto"/>
          <w:kern w:val="0"/>
          <w:lang w:val="en-GB"/>
        </w:rPr>
      </w:pPr>
      <w:r w:rsidRPr="00500AFD">
        <w:rPr>
          <w:rFonts w:asciiTheme="minorHAnsi" w:eastAsiaTheme="minorEastAsia" w:hAnsiTheme="minorHAnsi" w:cstheme="minorBidi"/>
          <w:color w:val="auto"/>
          <w:kern w:val="0"/>
          <w:lang w:val="en-GB"/>
        </w:rPr>
        <w:lastRenderedPageBreak/>
        <w:t xml:space="preserve">This study has examined the complex question of whether all UK police officers should carry firearms, </w:t>
      </w:r>
      <w:r w:rsidR="00650827" w:rsidRPr="00500AFD">
        <w:rPr>
          <w:rFonts w:asciiTheme="minorHAnsi" w:eastAsiaTheme="minorEastAsia" w:hAnsiTheme="minorHAnsi" w:cstheme="minorBidi"/>
          <w:color w:val="auto"/>
          <w:kern w:val="0"/>
          <w:lang w:val="en-GB"/>
        </w:rPr>
        <w:t>analysing</w:t>
      </w:r>
      <w:r w:rsidRPr="00500AFD">
        <w:rPr>
          <w:rFonts w:asciiTheme="minorHAnsi" w:eastAsiaTheme="minorEastAsia" w:hAnsiTheme="minorHAnsi" w:cstheme="minorBidi"/>
          <w:color w:val="auto"/>
          <w:kern w:val="0"/>
          <w:lang w:val="en-GB"/>
        </w:rPr>
        <w:t xml:space="preserve"> historical contexts, current policies, international comparisons, and key debates surrounding the issue. The research has revealed a nuanced landscape where traditional principles of unarmed policing intersect with evolving security challenges and diverse public perceptions.</w:t>
      </w:r>
    </w:p>
    <w:p w14:paraId="1B106CD0" w14:textId="77777777" w:rsidR="00500AFD" w:rsidRPr="00500AFD" w:rsidRDefault="00500AFD" w:rsidP="00500AFD">
      <w:pPr>
        <w:pStyle w:val="OBEBibliography"/>
        <w:spacing w:line="360" w:lineRule="auto"/>
        <w:rPr>
          <w:rFonts w:asciiTheme="minorHAnsi" w:eastAsiaTheme="minorEastAsia" w:hAnsiTheme="minorHAnsi" w:cstheme="minorBidi"/>
          <w:color w:val="auto"/>
          <w:kern w:val="0"/>
          <w:lang w:val="en-GB"/>
        </w:rPr>
      </w:pPr>
      <w:r w:rsidRPr="00500AFD">
        <w:rPr>
          <w:rFonts w:asciiTheme="minorHAnsi" w:eastAsiaTheme="minorEastAsia" w:hAnsiTheme="minorHAnsi" w:cstheme="minorBidi"/>
          <w:color w:val="auto"/>
          <w:kern w:val="0"/>
          <w:lang w:val="en-GB"/>
        </w:rPr>
        <w:t xml:space="preserve">The current tiered response system, featuring </w:t>
      </w:r>
      <w:proofErr w:type="gramStart"/>
      <w:r w:rsidRPr="00500AFD">
        <w:rPr>
          <w:rFonts w:asciiTheme="minorHAnsi" w:eastAsiaTheme="minorEastAsia" w:hAnsiTheme="minorHAnsi" w:cstheme="minorBidi"/>
          <w:color w:val="auto"/>
          <w:kern w:val="0"/>
          <w:lang w:val="en-GB"/>
        </w:rPr>
        <w:t>a majority of</w:t>
      </w:r>
      <w:proofErr w:type="gramEnd"/>
      <w:r w:rsidRPr="00500AFD">
        <w:rPr>
          <w:rFonts w:asciiTheme="minorHAnsi" w:eastAsiaTheme="minorEastAsia" w:hAnsiTheme="minorHAnsi" w:cstheme="minorBidi"/>
          <w:color w:val="auto"/>
          <w:kern w:val="0"/>
          <w:lang w:val="en-GB"/>
        </w:rPr>
        <w:t xml:space="preserve"> unarmed officers supported by specialized armed units, appears to be largely effective. Home Office (2024) statistics indicate that while armed operations have increased, firearm discharges by police remain exceptionally rare. This suggests that the current model successfully balances the need for armed capability with the principle of minimum force.</w:t>
      </w:r>
    </w:p>
    <w:p w14:paraId="71237B84" w14:textId="7DEA9E61" w:rsidR="00500AFD" w:rsidRPr="00500AFD" w:rsidRDefault="00500AFD" w:rsidP="00500AFD">
      <w:pPr>
        <w:pStyle w:val="OBEBibliography"/>
        <w:spacing w:line="360" w:lineRule="auto"/>
        <w:rPr>
          <w:rFonts w:asciiTheme="minorHAnsi" w:eastAsiaTheme="minorEastAsia" w:hAnsiTheme="minorHAnsi" w:cstheme="minorBidi"/>
          <w:color w:val="auto"/>
          <w:kern w:val="0"/>
          <w:lang w:val="en-GB"/>
        </w:rPr>
      </w:pPr>
      <w:r w:rsidRPr="00500AFD">
        <w:rPr>
          <w:rFonts w:asciiTheme="minorHAnsi" w:eastAsiaTheme="minorEastAsia" w:hAnsiTheme="minorHAnsi" w:cstheme="minorBidi"/>
          <w:color w:val="auto"/>
          <w:kern w:val="0"/>
          <w:lang w:val="en-GB"/>
        </w:rPr>
        <w:t xml:space="preserve">Significant regional differences in attitudes towards armed policing have been identified, particularly between urban and rural areas. </w:t>
      </w:r>
      <w:r w:rsidR="00E6232A" w:rsidRPr="00E6232A">
        <w:t>Rogers</w:t>
      </w:r>
      <w:r w:rsidR="00E94261">
        <w:t>’</w:t>
      </w:r>
      <w:r w:rsidR="00E6232A">
        <w:t xml:space="preserve"> (</w:t>
      </w:r>
      <w:r w:rsidR="00E6232A" w:rsidRPr="00E6232A">
        <w:t>2013</w:t>
      </w:r>
      <w:r w:rsidR="00E6232A">
        <w:t xml:space="preserve">) </w:t>
      </w:r>
      <w:r w:rsidRPr="00500AFD">
        <w:rPr>
          <w:rFonts w:asciiTheme="minorHAnsi" w:eastAsiaTheme="minorEastAsia" w:hAnsiTheme="minorHAnsi" w:cstheme="minorBidi"/>
          <w:color w:val="auto"/>
          <w:kern w:val="0"/>
          <w:lang w:val="en-GB"/>
        </w:rPr>
        <w:t xml:space="preserve">study of Wales highlights how local contexts and community characteristics influence perceptions of armed policing, underscoring the need for flexible, </w:t>
      </w:r>
      <w:r w:rsidR="0059742A" w:rsidRPr="00500AFD">
        <w:rPr>
          <w:rFonts w:asciiTheme="minorHAnsi" w:eastAsiaTheme="minorEastAsia" w:hAnsiTheme="minorHAnsi" w:cstheme="minorBidi"/>
          <w:color w:val="auto"/>
          <w:kern w:val="0"/>
          <w:lang w:val="en-GB"/>
        </w:rPr>
        <w:t>locally sensitive</w:t>
      </w:r>
      <w:r w:rsidRPr="00500AFD">
        <w:rPr>
          <w:rFonts w:asciiTheme="minorHAnsi" w:eastAsiaTheme="minorEastAsia" w:hAnsiTheme="minorHAnsi" w:cstheme="minorBidi"/>
          <w:color w:val="auto"/>
          <w:kern w:val="0"/>
          <w:lang w:val="en-GB"/>
        </w:rPr>
        <w:t xml:space="preserve"> approaches.</w:t>
      </w:r>
    </w:p>
    <w:p w14:paraId="1F6A2A73" w14:textId="77777777" w:rsidR="00500AFD" w:rsidRPr="00500AFD" w:rsidRDefault="00500AFD" w:rsidP="00500AFD">
      <w:pPr>
        <w:pStyle w:val="OBEBibliography"/>
        <w:spacing w:line="360" w:lineRule="auto"/>
        <w:rPr>
          <w:rFonts w:asciiTheme="minorHAnsi" w:eastAsiaTheme="minorEastAsia" w:hAnsiTheme="minorHAnsi" w:cstheme="minorBidi"/>
          <w:color w:val="auto"/>
          <w:kern w:val="0"/>
          <w:lang w:val="en-GB"/>
        </w:rPr>
      </w:pPr>
      <w:r w:rsidRPr="00500AFD">
        <w:rPr>
          <w:rFonts w:asciiTheme="minorHAnsi" w:eastAsiaTheme="minorEastAsia" w:hAnsiTheme="minorHAnsi" w:cstheme="minorBidi"/>
          <w:color w:val="auto"/>
          <w:kern w:val="0"/>
          <w:lang w:val="en-GB"/>
        </w:rPr>
        <w:t xml:space="preserve">The potential effect of increased police armament on community trust emerges as a critical concern. </w:t>
      </w:r>
      <w:proofErr w:type="spellStart"/>
      <w:r w:rsidRPr="00500AFD">
        <w:rPr>
          <w:rFonts w:asciiTheme="minorHAnsi" w:eastAsiaTheme="minorEastAsia" w:hAnsiTheme="minorHAnsi" w:cstheme="minorBidi"/>
          <w:color w:val="auto"/>
          <w:kern w:val="0"/>
          <w:lang w:val="en-GB"/>
        </w:rPr>
        <w:t>Yesberg</w:t>
      </w:r>
      <w:proofErr w:type="spellEnd"/>
      <w:r w:rsidRPr="00500AFD">
        <w:rPr>
          <w:rFonts w:asciiTheme="minorHAnsi" w:eastAsiaTheme="minorEastAsia" w:hAnsiTheme="minorHAnsi" w:cstheme="minorBidi"/>
          <w:color w:val="auto"/>
          <w:kern w:val="0"/>
          <w:lang w:val="en-GB"/>
        </w:rPr>
        <w:t xml:space="preserve"> et al.'s (2022) findings that visible armed police presence can increase public anxiety in everyday settings suggest that routine armament could strain police-community relations, particularly in minority communities.</w:t>
      </w:r>
    </w:p>
    <w:p w14:paraId="4B42B474" w14:textId="2C9E4F45" w:rsidR="00500AFD" w:rsidRPr="00500AFD" w:rsidRDefault="00500AFD" w:rsidP="00500AFD">
      <w:pPr>
        <w:pStyle w:val="OBEBibliography"/>
        <w:spacing w:line="360" w:lineRule="auto"/>
        <w:rPr>
          <w:rFonts w:asciiTheme="minorHAnsi" w:eastAsiaTheme="minorEastAsia" w:hAnsiTheme="minorHAnsi" w:cstheme="minorBidi"/>
          <w:color w:val="auto"/>
          <w:kern w:val="0"/>
          <w:lang w:val="en-GB"/>
        </w:rPr>
      </w:pPr>
      <w:r w:rsidRPr="00500AFD">
        <w:rPr>
          <w:rFonts w:asciiTheme="minorHAnsi" w:eastAsiaTheme="minorEastAsia" w:hAnsiTheme="minorHAnsi" w:cstheme="minorBidi"/>
          <w:color w:val="auto"/>
          <w:kern w:val="0"/>
          <w:lang w:val="en-GB"/>
        </w:rPr>
        <w:t xml:space="preserve">While </w:t>
      </w:r>
      <w:r w:rsidR="00DB210A" w:rsidRPr="00DB210A">
        <w:t>Balestrin</w:t>
      </w:r>
      <w:r w:rsidR="00DB210A">
        <w:t>i (</w:t>
      </w:r>
      <w:r w:rsidR="00DB210A" w:rsidRPr="00DB210A">
        <w:t>2021</w:t>
      </w:r>
      <w:r w:rsidR="00DB210A">
        <w:t xml:space="preserve">) </w:t>
      </w:r>
      <w:r w:rsidRPr="00500AFD">
        <w:rPr>
          <w:rFonts w:asciiTheme="minorHAnsi" w:eastAsiaTheme="minorEastAsia" w:hAnsiTheme="minorHAnsi" w:cstheme="minorBidi"/>
          <w:color w:val="auto"/>
          <w:kern w:val="0"/>
          <w:lang w:val="en-GB"/>
        </w:rPr>
        <w:t>argue that arming all officers could enhance their safety in an unpredictable environment, concerns about the feasibility of universal firearms training (</w:t>
      </w:r>
      <w:r w:rsidR="00475BAA">
        <w:rPr>
          <w:rFonts w:asciiTheme="minorHAnsi" w:eastAsiaTheme="minorEastAsia" w:hAnsiTheme="minorHAnsi" w:cstheme="minorBidi"/>
          <w:color w:val="auto"/>
          <w:kern w:val="0"/>
          <w:lang w:val="en-GB"/>
        </w:rPr>
        <w:t>Olma, et al 2024</w:t>
      </w:r>
      <w:r w:rsidRPr="00500AFD">
        <w:rPr>
          <w:rFonts w:asciiTheme="minorHAnsi" w:eastAsiaTheme="minorEastAsia" w:hAnsiTheme="minorHAnsi" w:cstheme="minorBidi"/>
          <w:color w:val="auto"/>
          <w:kern w:val="0"/>
          <w:lang w:val="en-GB"/>
        </w:rPr>
        <w:t>) highlight the complexities of implementing such a policy. The current model of specialized armed units appears to balance officer safety with maintaining high standards of firearms proficiency.</w:t>
      </w:r>
    </w:p>
    <w:p w14:paraId="13A37853" w14:textId="77777777" w:rsidR="00500AFD" w:rsidRPr="00500AFD" w:rsidRDefault="00500AFD" w:rsidP="00500AFD">
      <w:pPr>
        <w:pStyle w:val="OBEBibliography"/>
        <w:spacing w:line="360" w:lineRule="auto"/>
        <w:rPr>
          <w:rFonts w:asciiTheme="minorHAnsi" w:eastAsiaTheme="minorEastAsia" w:hAnsiTheme="minorHAnsi" w:cstheme="minorBidi"/>
          <w:color w:val="auto"/>
          <w:kern w:val="0"/>
          <w:lang w:val="en-GB"/>
        </w:rPr>
      </w:pPr>
      <w:r w:rsidRPr="00500AFD">
        <w:rPr>
          <w:rFonts w:asciiTheme="minorHAnsi" w:eastAsiaTheme="minorEastAsia" w:hAnsiTheme="minorHAnsi" w:cstheme="minorBidi"/>
          <w:color w:val="auto"/>
          <w:kern w:val="0"/>
          <w:lang w:val="en-GB"/>
        </w:rPr>
        <w:t>Comparative analyses, such as Zimring's (2019) study of US policing, indicate that routinely armed police forces tend to have higher rates of lethal force use. Conversely, the Norwegian model examined by Hendy and Packham (2023), where firearms are kept in police vehicles, offers an alternative approach that might warrant further exploration in the UK context.</w:t>
      </w:r>
    </w:p>
    <w:p w14:paraId="537AC95D" w14:textId="77777777" w:rsidR="00500AFD" w:rsidRPr="00500AFD" w:rsidRDefault="00500AFD" w:rsidP="00500AFD">
      <w:pPr>
        <w:pStyle w:val="OBEBibliography"/>
        <w:spacing w:line="360" w:lineRule="auto"/>
        <w:rPr>
          <w:rFonts w:asciiTheme="minorHAnsi" w:eastAsiaTheme="minorEastAsia" w:hAnsiTheme="minorHAnsi" w:cstheme="minorBidi"/>
          <w:color w:val="auto"/>
          <w:kern w:val="0"/>
          <w:lang w:val="en-GB"/>
        </w:rPr>
      </w:pPr>
      <w:r w:rsidRPr="00500AFD">
        <w:rPr>
          <w:rFonts w:asciiTheme="minorHAnsi" w:eastAsiaTheme="minorEastAsia" w:hAnsiTheme="minorHAnsi" w:cstheme="minorBidi"/>
          <w:color w:val="auto"/>
          <w:kern w:val="0"/>
          <w:lang w:val="en-GB"/>
        </w:rPr>
        <w:lastRenderedPageBreak/>
        <w:t>The impact of terrorism and extremism on policing strategies is significant, but as Lowe (2022) argues, it should not be the sole factor in determining broad policing strategies. The current UK approach demonstrates an attempt to enhance response capabilities to serious threats without fundamentally altering the unarmed nature of routine policing.</w:t>
      </w:r>
    </w:p>
    <w:p w14:paraId="4998DC3F" w14:textId="77777777" w:rsidR="00500AFD" w:rsidRPr="00500AFD" w:rsidRDefault="00500AFD" w:rsidP="00500AFD">
      <w:pPr>
        <w:pStyle w:val="OBEBibliography"/>
        <w:spacing w:line="360" w:lineRule="auto"/>
        <w:rPr>
          <w:rFonts w:asciiTheme="minorHAnsi" w:eastAsiaTheme="minorEastAsia" w:hAnsiTheme="minorHAnsi" w:cstheme="minorBidi"/>
          <w:color w:val="auto"/>
          <w:kern w:val="0"/>
          <w:lang w:val="en-GB"/>
        </w:rPr>
      </w:pPr>
      <w:proofErr w:type="gramStart"/>
      <w:r w:rsidRPr="00500AFD">
        <w:rPr>
          <w:rFonts w:asciiTheme="minorHAnsi" w:eastAsiaTheme="minorEastAsia" w:hAnsiTheme="minorHAnsi" w:cstheme="minorBidi"/>
          <w:color w:val="auto"/>
          <w:kern w:val="0"/>
          <w:lang w:val="en-GB"/>
        </w:rPr>
        <w:t>In light of</w:t>
      </w:r>
      <w:proofErr w:type="gramEnd"/>
      <w:r w:rsidRPr="00500AFD">
        <w:rPr>
          <w:rFonts w:asciiTheme="minorHAnsi" w:eastAsiaTheme="minorEastAsia" w:hAnsiTheme="minorHAnsi" w:cstheme="minorBidi"/>
          <w:color w:val="auto"/>
          <w:kern w:val="0"/>
          <w:lang w:val="en-GB"/>
        </w:rPr>
        <w:t xml:space="preserve"> these findings, the central question of whether all UK police officers should carry firearms does not yield a simple affirmative or negative answer. Instead, the research suggests that the current model of limited and specialized armed response units, supported by </w:t>
      </w:r>
      <w:proofErr w:type="gramStart"/>
      <w:r w:rsidRPr="00500AFD">
        <w:rPr>
          <w:rFonts w:asciiTheme="minorHAnsi" w:eastAsiaTheme="minorEastAsia" w:hAnsiTheme="minorHAnsi" w:cstheme="minorBidi"/>
          <w:color w:val="auto"/>
          <w:kern w:val="0"/>
          <w:lang w:val="en-GB"/>
        </w:rPr>
        <w:t>a majority of</w:t>
      </w:r>
      <w:proofErr w:type="gramEnd"/>
      <w:r w:rsidRPr="00500AFD">
        <w:rPr>
          <w:rFonts w:asciiTheme="minorHAnsi" w:eastAsiaTheme="minorEastAsia" w:hAnsiTheme="minorHAnsi" w:cstheme="minorBidi"/>
          <w:color w:val="auto"/>
          <w:kern w:val="0"/>
          <w:lang w:val="en-GB"/>
        </w:rPr>
        <w:t xml:space="preserve"> unarmed officers, offers a nuanced and largely effective approach to modern policing challenges.</w:t>
      </w:r>
    </w:p>
    <w:p w14:paraId="0AD6366A" w14:textId="4859C2AF" w:rsidR="00500AFD" w:rsidRPr="00500AFD" w:rsidRDefault="00500AFD" w:rsidP="00500AFD">
      <w:pPr>
        <w:pStyle w:val="OBEBibliography"/>
        <w:spacing w:line="360" w:lineRule="auto"/>
        <w:rPr>
          <w:rFonts w:asciiTheme="minorHAnsi" w:eastAsiaTheme="minorEastAsia" w:hAnsiTheme="minorHAnsi" w:cstheme="minorBidi"/>
          <w:color w:val="auto"/>
          <w:kern w:val="0"/>
          <w:lang w:val="en-GB"/>
        </w:rPr>
      </w:pPr>
      <w:r w:rsidRPr="00500AFD">
        <w:rPr>
          <w:rFonts w:asciiTheme="minorHAnsi" w:eastAsiaTheme="minorEastAsia" w:hAnsiTheme="minorHAnsi" w:cstheme="minorBidi"/>
          <w:color w:val="auto"/>
          <w:kern w:val="0"/>
          <w:lang w:val="en-GB"/>
        </w:rPr>
        <w:t>The evidence indicates that this model:</w:t>
      </w:r>
    </w:p>
    <w:p w14:paraId="56F241EB" w14:textId="77777777" w:rsidR="00500AFD" w:rsidRPr="00500AFD" w:rsidRDefault="00500AFD" w:rsidP="000449F1">
      <w:pPr>
        <w:pStyle w:val="OBEBibliography"/>
        <w:numPr>
          <w:ilvl w:val="0"/>
          <w:numId w:val="39"/>
        </w:numPr>
        <w:spacing w:line="360" w:lineRule="auto"/>
        <w:rPr>
          <w:rFonts w:asciiTheme="minorHAnsi" w:eastAsiaTheme="minorEastAsia" w:hAnsiTheme="minorHAnsi" w:cstheme="minorBidi"/>
          <w:color w:val="auto"/>
          <w:kern w:val="0"/>
          <w:lang w:val="en-GB"/>
        </w:rPr>
      </w:pPr>
      <w:r w:rsidRPr="00500AFD">
        <w:rPr>
          <w:rFonts w:asciiTheme="minorHAnsi" w:eastAsiaTheme="minorEastAsia" w:hAnsiTheme="minorHAnsi" w:cstheme="minorBidi"/>
          <w:color w:val="auto"/>
          <w:kern w:val="0"/>
          <w:lang w:val="en-GB"/>
        </w:rPr>
        <w:t>Maintains the principle of 'policing by consent' while providing necessary armed response capabilities.</w:t>
      </w:r>
    </w:p>
    <w:p w14:paraId="26D7C42A" w14:textId="77777777" w:rsidR="00500AFD" w:rsidRPr="00500AFD" w:rsidRDefault="00500AFD" w:rsidP="000449F1">
      <w:pPr>
        <w:pStyle w:val="OBEBibliography"/>
        <w:numPr>
          <w:ilvl w:val="0"/>
          <w:numId w:val="39"/>
        </w:numPr>
        <w:spacing w:line="360" w:lineRule="auto"/>
        <w:rPr>
          <w:rFonts w:asciiTheme="minorHAnsi" w:eastAsiaTheme="minorEastAsia" w:hAnsiTheme="minorHAnsi" w:cstheme="minorBidi"/>
          <w:color w:val="auto"/>
          <w:kern w:val="0"/>
          <w:lang w:val="en-GB"/>
        </w:rPr>
      </w:pPr>
      <w:r w:rsidRPr="00500AFD">
        <w:rPr>
          <w:rFonts w:asciiTheme="minorHAnsi" w:eastAsiaTheme="minorEastAsia" w:hAnsiTheme="minorHAnsi" w:cstheme="minorBidi"/>
          <w:color w:val="auto"/>
          <w:kern w:val="0"/>
          <w:lang w:val="en-GB"/>
        </w:rPr>
        <w:t>Keeps rates of lethal force use exceptionally low compared to countries with routinely armed police.</w:t>
      </w:r>
    </w:p>
    <w:p w14:paraId="3E8D5966" w14:textId="77777777" w:rsidR="00500AFD" w:rsidRPr="00500AFD" w:rsidRDefault="00500AFD" w:rsidP="000449F1">
      <w:pPr>
        <w:pStyle w:val="OBEBibliography"/>
        <w:numPr>
          <w:ilvl w:val="0"/>
          <w:numId w:val="39"/>
        </w:numPr>
        <w:spacing w:line="360" w:lineRule="auto"/>
        <w:rPr>
          <w:rFonts w:asciiTheme="minorHAnsi" w:eastAsiaTheme="minorEastAsia" w:hAnsiTheme="minorHAnsi" w:cstheme="minorBidi"/>
          <w:color w:val="auto"/>
          <w:kern w:val="0"/>
          <w:lang w:val="en-GB"/>
        </w:rPr>
      </w:pPr>
      <w:r w:rsidRPr="00500AFD">
        <w:rPr>
          <w:rFonts w:asciiTheme="minorHAnsi" w:eastAsiaTheme="minorEastAsia" w:hAnsiTheme="minorHAnsi" w:cstheme="minorBidi"/>
          <w:color w:val="auto"/>
          <w:kern w:val="0"/>
          <w:lang w:val="en-GB"/>
        </w:rPr>
        <w:t>Allows for flexibility in addressing regional variations in policing needs and public attitudes.</w:t>
      </w:r>
    </w:p>
    <w:p w14:paraId="7D579E10" w14:textId="528DF0D5" w:rsidR="00500AFD" w:rsidRPr="004A404B" w:rsidRDefault="00500AFD" w:rsidP="00500AFD">
      <w:pPr>
        <w:pStyle w:val="OBEBibliography"/>
        <w:numPr>
          <w:ilvl w:val="0"/>
          <w:numId w:val="39"/>
        </w:numPr>
        <w:spacing w:line="360" w:lineRule="auto"/>
        <w:rPr>
          <w:rFonts w:asciiTheme="minorHAnsi" w:eastAsiaTheme="minorEastAsia" w:hAnsiTheme="minorHAnsi" w:cstheme="minorBidi"/>
          <w:color w:val="auto"/>
          <w:kern w:val="0"/>
          <w:lang w:val="en-GB"/>
        </w:rPr>
      </w:pPr>
      <w:r w:rsidRPr="00500AFD">
        <w:rPr>
          <w:rFonts w:asciiTheme="minorHAnsi" w:eastAsiaTheme="minorEastAsia" w:hAnsiTheme="minorHAnsi" w:cstheme="minorBidi"/>
          <w:color w:val="auto"/>
          <w:kern w:val="0"/>
          <w:lang w:val="en-GB"/>
        </w:rPr>
        <w:t>Balances officer safety considerations with the maintenance of positive community relations.</w:t>
      </w:r>
    </w:p>
    <w:p w14:paraId="32B08A15" w14:textId="24972CF6" w:rsidR="004A404B" w:rsidRPr="00A53F54" w:rsidRDefault="00500AFD" w:rsidP="004A404B">
      <w:pPr>
        <w:pStyle w:val="OBEBibliography"/>
        <w:spacing w:line="360" w:lineRule="auto"/>
        <w:rPr>
          <w:rFonts w:asciiTheme="minorHAnsi" w:eastAsiaTheme="minorEastAsia" w:hAnsiTheme="minorHAnsi" w:cstheme="minorBidi"/>
          <w:color w:val="auto"/>
          <w:kern w:val="0"/>
          <w:lang w:val="en-GB"/>
        </w:rPr>
      </w:pPr>
      <w:r w:rsidRPr="00500AFD">
        <w:rPr>
          <w:rFonts w:asciiTheme="minorHAnsi" w:eastAsiaTheme="minorEastAsia" w:hAnsiTheme="minorHAnsi" w:cstheme="minorBidi"/>
          <w:color w:val="auto"/>
          <w:kern w:val="0"/>
          <w:lang w:val="en-GB"/>
        </w:rPr>
        <w:t xml:space="preserve">However, the research also highlights ongoing challenges and areas for potential improvement, including the need for continued adaptation to evolving security threats and the importance of maintaining public trust, particularly in diverse </w:t>
      </w:r>
      <w:r w:rsidR="000A55AD">
        <w:rPr>
          <w:rFonts w:asciiTheme="minorHAnsi" w:eastAsiaTheme="minorEastAsia" w:hAnsiTheme="minorHAnsi" w:cstheme="minorBidi"/>
          <w:color w:val="auto"/>
          <w:kern w:val="0"/>
          <w:lang w:val="en-GB"/>
        </w:rPr>
        <w:t xml:space="preserve">implications. </w:t>
      </w:r>
    </w:p>
    <w:p w14:paraId="256CF43B" w14:textId="1089C3F8" w:rsidR="00DB02FA" w:rsidRDefault="00DB02FA" w:rsidP="00737A26">
      <w:pPr>
        <w:pStyle w:val="OBESubtitle2ndtier"/>
      </w:pPr>
      <w:bookmarkStart w:id="29" w:name="_Toc175647968"/>
      <w:r w:rsidRPr="00DB02FA">
        <w:t>Implications for UK Policing Policy</w:t>
      </w:r>
      <w:bookmarkEnd w:id="29"/>
    </w:p>
    <w:p w14:paraId="29B9E6F7" w14:textId="77777777" w:rsidR="00555B93" w:rsidRPr="00555B93" w:rsidRDefault="00555B93" w:rsidP="00F70217">
      <w:pPr>
        <w:pStyle w:val="OBEBibliography"/>
        <w:spacing w:line="360" w:lineRule="auto"/>
        <w:rPr>
          <w:rFonts w:asciiTheme="minorHAnsi" w:eastAsiaTheme="minorEastAsia" w:hAnsiTheme="minorHAnsi" w:cstheme="minorBidi"/>
          <w:color w:val="auto"/>
          <w:kern w:val="0"/>
          <w:lang w:val="en-GB"/>
        </w:rPr>
      </w:pPr>
      <w:r w:rsidRPr="00555B93">
        <w:rPr>
          <w:rFonts w:asciiTheme="minorHAnsi" w:eastAsiaTheme="minorEastAsia" w:hAnsiTheme="minorHAnsi" w:cstheme="minorBidi"/>
          <w:color w:val="auto"/>
          <w:kern w:val="0"/>
          <w:lang w:val="en-GB"/>
        </w:rPr>
        <w:t xml:space="preserve">The study strongly supports maintaining the current tiered response system in UK policing, while recommending targeted refinements to enhance its efficacy and public acceptance. A key area for improvement lies in enhancing training and equipment for unarmed officers, with </w:t>
      </w:r>
      <w:r w:rsidRPr="00555B93">
        <w:rPr>
          <w:rFonts w:asciiTheme="minorHAnsi" w:eastAsiaTheme="minorEastAsia" w:hAnsiTheme="minorHAnsi" w:cstheme="minorBidi"/>
          <w:color w:val="auto"/>
          <w:kern w:val="0"/>
          <w:lang w:val="en-GB"/>
        </w:rPr>
        <w:lastRenderedPageBreak/>
        <w:t>a focus on de-escalation techniques, mental health response, and non-lethal interventions. This approach could significantly reduce the need for armed response in many situations.</w:t>
      </w:r>
    </w:p>
    <w:p w14:paraId="7BB275A9" w14:textId="77777777" w:rsidR="00555B93" w:rsidRPr="00555B93" w:rsidRDefault="00555B93" w:rsidP="00555B93">
      <w:pPr>
        <w:pStyle w:val="OBEBibliography"/>
        <w:spacing w:line="360" w:lineRule="auto"/>
        <w:rPr>
          <w:rFonts w:asciiTheme="minorHAnsi" w:eastAsiaTheme="minorEastAsia" w:hAnsiTheme="minorHAnsi" w:cstheme="minorBidi"/>
          <w:color w:val="auto"/>
          <w:kern w:val="0"/>
          <w:lang w:val="en-GB"/>
        </w:rPr>
      </w:pPr>
      <w:r w:rsidRPr="00555B93">
        <w:rPr>
          <w:rFonts w:asciiTheme="minorHAnsi" w:eastAsiaTheme="minorEastAsia" w:hAnsiTheme="minorHAnsi" w:cstheme="minorBidi"/>
          <w:color w:val="auto"/>
          <w:kern w:val="0"/>
          <w:lang w:val="en-GB"/>
        </w:rPr>
        <w:t>Equally crucial is the emphasis on community engagement and transparency, particularly in areas with frequent armed officer deployment. This strategy is vital for maintaining public trust and supporting the principle of policing by consent. For Wales, a tailored approach is paramount, involving extensive consultation with local communities and police forces. This collaborative process could lead to innovative community-oriented strategies that respect Wales's unique context while offering insights applicable to the broader UK.</w:t>
      </w:r>
    </w:p>
    <w:p w14:paraId="52064D28" w14:textId="77777777" w:rsidR="00555B93" w:rsidRPr="00555B93" w:rsidRDefault="00555B93" w:rsidP="00555B93">
      <w:pPr>
        <w:pStyle w:val="OBEBibliography"/>
        <w:spacing w:line="360" w:lineRule="auto"/>
        <w:rPr>
          <w:rFonts w:asciiTheme="minorHAnsi" w:eastAsiaTheme="minorEastAsia" w:hAnsiTheme="minorHAnsi" w:cstheme="minorBidi"/>
          <w:color w:val="auto"/>
          <w:kern w:val="0"/>
          <w:lang w:val="en-GB"/>
        </w:rPr>
      </w:pPr>
      <w:r w:rsidRPr="00555B93">
        <w:rPr>
          <w:rFonts w:asciiTheme="minorHAnsi" w:eastAsiaTheme="minorEastAsia" w:hAnsiTheme="minorHAnsi" w:cstheme="minorBidi"/>
          <w:color w:val="auto"/>
          <w:kern w:val="0"/>
          <w:lang w:val="en-GB"/>
        </w:rPr>
        <w:t>Rather than advocating universal armament, the study suggests a strategy of targeted deployment of armed units. This approach would involve strategically placing armed response units to ensure rapid response times across diverse geographical areas, with particular attention to rural regions currently experiencing longer response times. To maintain alignment with public expectations, a system of regular public consultations on policing strategies, including attitudes towards armed policing, should be implemented.</w:t>
      </w:r>
    </w:p>
    <w:p w14:paraId="3FBA8512" w14:textId="77777777" w:rsidR="00555B93" w:rsidRPr="00555B93" w:rsidRDefault="00555B93" w:rsidP="00B550F0">
      <w:pPr>
        <w:pStyle w:val="OBEBibliography"/>
        <w:spacing w:line="360" w:lineRule="auto"/>
        <w:rPr>
          <w:rFonts w:asciiTheme="minorHAnsi" w:eastAsiaTheme="minorEastAsia" w:hAnsiTheme="minorHAnsi" w:cstheme="minorBidi"/>
          <w:color w:val="auto"/>
          <w:kern w:val="0"/>
          <w:lang w:val="en-GB"/>
        </w:rPr>
      </w:pPr>
      <w:r w:rsidRPr="00555B93">
        <w:rPr>
          <w:rFonts w:asciiTheme="minorHAnsi" w:eastAsiaTheme="minorEastAsia" w:hAnsiTheme="minorHAnsi" w:cstheme="minorBidi"/>
          <w:color w:val="auto"/>
          <w:kern w:val="0"/>
          <w:lang w:val="en-GB"/>
        </w:rPr>
        <w:t>Comparative policy analysis with countries like Norway and New Zealand could yield valuable insights, potentially offering transferable strategies for balancing armed response capabilities with community-oriented policing. Additionally, exploring models of integrating mental health professionals and social services with police responses presents another avenue for reducing the need for armed interventions, particularly in crisis situations.</w:t>
      </w:r>
    </w:p>
    <w:p w14:paraId="34FC1D21" w14:textId="77777777" w:rsidR="00555B93" w:rsidRPr="00555B93" w:rsidRDefault="00555B93" w:rsidP="00555B93">
      <w:pPr>
        <w:pStyle w:val="OBEBibliography"/>
        <w:spacing w:line="360" w:lineRule="auto"/>
        <w:rPr>
          <w:rFonts w:asciiTheme="minorHAnsi" w:eastAsiaTheme="minorEastAsia" w:hAnsiTheme="minorHAnsi" w:cstheme="minorBidi"/>
          <w:color w:val="auto"/>
          <w:kern w:val="0"/>
          <w:lang w:val="en-GB"/>
        </w:rPr>
      </w:pPr>
      <w:r w:rsidRPr="00555B93">
        <w:rPr>
          <w:rFonts w:asciiTheme="minorHAnsi" w:eastAsiaTheme="minorEastAsia" w:hAnsiTheme="minorHAnsi" w:cstheme="minorBidi"/>
          <w:color w:val="auto"/>
          <w:kern w:val="0"/>
          <w:lang w:val="en-GB"/>
        </w:rPr>
        <w:t>To ensure the effectiveness of any policy changes, establishing a framework for continuous evaluation of armed policing strategies is crucial. This ongoing assessment should examine the impact on crime rates, public trust, and officer safety, allowing for evidence-based adjustments over time. The potential of emerging technologies to enhance officer safety and effectiveness without increasing lethal force capabilities should also be thoroughly investigated.</w:t>
      </w:r>
    </w:p>
    <w:p w14:paraId="72C51ED3" w14:textId="77777777" w:rsidR="00555B93" w:rsidRPr="00555B93" w:rsidRDefault="00555B93" w:rsidP="00555B93">
      <w:pPr>
        <w:pStyle w:val="OBEBibliography"/>
        <w:spacing w:line="360" w:lineRule="auto"/>
        <w:rPr>
          <w:rFonts w:asciiTheme="minorHAnsi" w:eastAsiaTheme="minorEastAsia" w:hAnsiTheme="minorHAnsi" w:cstheme="minorBidi"/>
          <w:color w:val="auto"/>
          <w:kern w:val="0"/>
          <w:lang w:val="en-GB"/>
        </w:rPr>
      </w:pPr>
      <w:r w:rsidRPr="00555B93">
        <w:rPr>
          <w:rFonts w:asciiTheme="minorHAnsi" w:eastAsiaTheme="minorEastAsia" w:hAnsiTheme="minorHAnsi" w:cstheme="minorBidi"/>
          <w:color w:val="auto"/>
          <w:kern w:val="0"/>
          <w:lang w:val="en-GB"/>
        </w:rPr>
        <w:t xml:space="preserve">Future research directions should include longitudinal studies on the impact of various policing strategies on community relations and crime rates in Wales, exploration of the </w:t>
      </w:r>
      <w:r w:rsidRPr="00555B93">
        <w:rPr>
          <w:rFonts w:asciiTheme="minorHAnsi" w:eastAsiaTheme="minorEastAsia" w:hAnsiTheme="minorHAnsi" w:cstheme="minorBidi"/>
          <w:color w:val="auto"/>
          <w:kern w:val="0"/>
          <w:lang w:val="en-GB"/>
        </w:rPr>
        <w:lastRenderedPageBreak/>
        <w:t>psychological impacts of armed and unarmed policing, and investigation into mixed policing models combining armed and unarmed officers within the same force.</w:t>
      </w:r>
    </w:p>
    <w:p w14:paraId="74AD8672" w14:textId="3B3CEB2C" w:rsidR="00074F07" w:rsidRDefault="00555B93" w:rsidP="00555B93">
      <w:pPr>
        <w:pStyle w:val="OBEBibliography"/>
        <w:spacing w:line="360" w:lineRule="auto"/>
        <w:rPr>
          <w:rFonts w:asciiTheme="minorHAnsi" w:eastAsiaTheme="minorEastAsia" w:hAnsiTheme="minorHAnsi" w:cstheme="minorBidi"/>
          <w:color w:val="auto"/>
          <w:kern w:val="0"/>
          <w:lang w:val="en-GB"/>
        </w:rPr>
      </w:pPr>
      <w:r w:rsidRPr="00555B93">
        <w:rPr>
          <w:rFonts w:asciiTheme="minorHAnsi" w:eastAsiaTheme="minorEastAsia" w:hAnsiTheme="minorHAnsi" w:cstheme="minorBidi"/>
          <w:color w:val="auto"/>
          <w:kern w:val="0"/>
          <w:lang w:val="en-GB"/>
        </w:rPr>
        <w:t xml:space="preserve">These recommendations aim to address the complex challenges identified in the research while maintaining the core principles of British policing and acknowledging the unique context of Wales within the UK. The path forward requires careful consideration, ongoing evaluation, and a willingness to adapt strategies in response to empirical evidence and community </w:t>
      </w:r>
      <w:r w:rsidR="00EE4A21">
        <w:rPr>
          <w:rFonts w:asciiTheme="minorHAnsi" w:eastAsiaTheme="minorEastAsia" w:hAnsiTheme="minorHAnsi" w:cstheme="minorBidi"/>
          <w:color w:val="auto"/>
          <w:kern w:val="0"/>
          <w:lang w:val="en-GB"/>
        </w:rPr>
        <w:t>feedback.</w:t>
      </w:r>
    </w:p>
    <w:p w14:paraId="01AF4406" w14:textId="77777777" w:rsidR="0059742A" w:rsidRDefault="0059742A" w:rsidP="00555B93">
      <w:pPr>
        <w:pStyle w:val="OBEBibliography"/>
        <w:spacing w:line="360" w:lineRule="auto"/>
        <w:rPr>
          <w:rFonts w:asciiTheme="minorHAnsi" w:eastAsiaTheme="minorEastAsia" w:hAnsiTheme="minorHAnsi" w:cstheme="minorBidi"/>
          <w:color w:val="auto"/>
          <w:kern w:val="0"/>
          <w:lang w:val="en-GB"/>
        </w:rPr>
      </w:pPr>
    </w:p>
    <w:p w14:paraId="67FBD370" w14:textId="5987E4FD" w:rsidR="0059742A" w:rsidRPr="00074F07" w:rsidRDefault="0059742A" w:rsidP="00555B93">
      <w:pPr>
        <w:pStyle w:val="OBEBibliography"/>
        <w:spacing w:line="360" w:lineRule="auto"/>
        <w:rPr>
          <w:rFonts w:asciiTheme="minorHAnsi" w:eastAsiaTheme="minorEastAsia" w:hAnsiTheme="minorHAnsi" w:cstheme="minorBidi"/>
          <w:color w:val="auto"/>
          <w:kern w:val="0"/>
        </w:rPr>
      </w:pPr>
      <w:r w:rsidRPr="0059742A">
        <w:rPr>
          <w:rFonts w:asciiTheme="minorHAnsi" w:eastAsiaTheme="minorEastAsia" w:hAnsiTheme="minorHAnsi" w:cstheme="minorBidi"/>
          <w:color w:val="auto"/>
          <w:kern w:val="0"/>
          <w:lang w:val="en-GB"/>
        </w:rPr>
        <w:t>In summary, this study has demonstrated that while the question of routinely arming all UK police officers remains complex and contested, the current tiered response model—where most officers remain unarmed, supported by specialist armed units—strikes an effective balance between operational capability and the foundational principle of policing by consent. The evidence suggests this approach maintains low levels of lethal force, supports regional flexibility, and helps preserve community trust, particularly when paired with strong public engagement and transparency. However, evolving security threats and regional disparities—especially in Wales—highlight the need for continued adaptation, targeted training, and further integration of community-focused and non-lethal policing strategies. Ultimately, the findings advocate for a cautious, evidence-based approach that enhances the current model rather than replacing it with universal armament.</w:t>
      </w:r>
    </w:p>
    <w:p w14:paraId="75DD1340" w14:textId="77777777" w:rsidR="002423A6" w:rsidRDefault="002423A6" w:rsidP="000A55AD">
      <w:pPr>
        <w:pStyle w:val="OBEBibliography"/>
        <w:spacing w:line="360" w:lineRule="auto"/>
        <w:rPr>
          <w:rFonts w:asciiTheme="majorHAnsi" w:eastAsiaTheme="minorEastAsia" w:hAnsiTheme="majorHAnsi" w:cstheme="majorHAnsi"/>
          <w:color w:val="323E4F" w:themeColor="text2" w:themeShade="BF"/>
          <w:kern w:val="0"/>
          <w:sz w:val="36"/>
          <w:szCs w:val="36"/>
          <w:lang w:val="en-GB"/>
        </w:rPr>
      </w:pPr>
    </w:p>
    <w:p w14:paraId="010CD55B" w14:textId="77777777" w:rsidR="00187A9B" w:rsidRDefault="00187A9B" w:rsidP="000A55AD">
      <w:pPr>
        <w:pStyle w:val="OBEBibliography"/>
        <w:spacing w:line="360" w:lineRule="auto"/>
        <w:rPr>
          <w:rFonts w:asciiTheme="majorHAnsi" w:eastAsiaTheme="minorEastAsia" w:hAnsiTheme="majorHAnsi" w:cstheme="majorHAnsi"/>
          <w:color w:val="323E4F" w:themeColor="text2" w:themeShade="BF"/>
          <w:kern w:val="0"/>
          <w:sz w:val="36"/>
          <w:szCs w:val="36"/>
          <w:lang w:val="en-GB"/>
        </w:rPr>
      </w:pPr>
    </w:p>
    <w:p w14:paraId="06C3D235" w14:textId="77777777" w:rsidR="00A53F54" w:rsidRDefault="00A53F54" w:rsidP="000A55AD">
      <w:pPr>
        <w:pStyle w:val="OBEBibliography"/>
        <w:spacing w:line="360" w:lineRule="auto"/>
        <w:rPr>
          <w:rFonts w:asciiTheme="majorHAnsi" w:eastAsiaTheme="minorEastAsia" w:hAnsiTheme="majorHAnsi" w:cstheme="majorHAnsi"/>
          <w:color w:val="323E4F" w:themeColor="text2" w:themeShade="BF"/>
          <w:kern w:val="0"/>
          <w:sz w:val="36"/>
          <w:szCs w:val="36"/>
          <w:lang w:val="en-GB"/>
        </w:rPr>
      </w:pPr>
    </w:p>
    <w:p w14:paraId="562A296F" w14:textId="77777777" w:rsidR="002D0A98" w:rsidRDefault="002D0A98" w:rsidP="000A55AD">
      <w:pPr>
        <w:pStyle w:val="OBEBibliography"/>
        <w:spacing w:line="360" w:lineRule="auto"/>
        <w:rPr>
          <w:rFonts w:asciiTheme="majorHAnsi" w:eastAsiaTheme="minorEastAsia" w:hAnsiTheme="majorHAnsi" w:cstheme="majorHAnsi"/>
          <w:color w:val="323E4F" w:themeColor="text2" w:themeShade="BF"/>
          <w:kern w:val="0"/>
          <w:sz w:val="36"/>
          <w:szCs w:val="36"/>
          <w:lang w:val="en-GB"/>
        </w:rPr>
      </w:pPr>
    </w:p>
    <w:p w14:paraId="0AA820E1" w14:textId="786DACC2" w:rsidR="00DB02FA" w:rsidRDefault="00DB02FA" w:rsidP="00737A26">
      <w:pPr>
        <w:pStyle w:val="OBESubtitle1sttier"/>
      </w:pPr>
      <w:bookmarkStart w:id="30" w:name="_Toc175647969"/>
      <w:r>
        <w:lastRenderedPageBreak/>
        <w:t>Bibliography</w:t>
      </w:r>
      <w:bookmarkEnd w:id="30"/>
      <w:r>
        <w:t xml:space="preserve"> </w:t>
      </w:r>
    </w:p>
    <w:p w14:paraId="66CAB08F" w14:textId="44840FB3" w:rsidR="00612547" w:rsidRPr="00612547" w:rsidRDefault="00612547" w:rsidP="00612547">
      <w:pPr>
        <w:pStyle w:val="OBEBibliography"/>
        <w:spacing w:line="360" w:lineRule="auto"/>
        <w:rPr>
          <w:lang w:val="en-GB"/>
        </w:rPr>
      </w:pPr>
      <w:r w:rsidRPr="00612547">
        <w:rPr>
          <w:lang w:val="en-GB"/>
        </w:rPr>
        <w:t>Abraham, J. and Ceccato, V. (2022) 'Crime and safety in rural areas: A systematic review of the English-language literature 1980–2020,' Journal of Rural Studies, 94, pp. 250–273. https://doi.org/10.1016/j.jrurstud.2022.05.010.</w:t>
      </w:r>
    </w:p>
    <w:p w14:paraId="38DDB3CB" w14:textId="422F08F1" w:rsidR="00612547" w:rsidRPr="00612547" w:rsidRDefault="00612547" w:rsidP="00612547">
      <w:pPr>
        <w:pStyle w:val="OBEBibliography"/>
        <w:spacing w:line="360" w:lineRule="auto"/>
        <w:rPr>
          <w:lang w:val="en-GB"/>
        </w:rPr>
      </w:pPr>
      <w:r w:rsidRPr="00612547">
        <w:rPr>
          <w:lang w:val="en-GB"/>
        </w:rPr>
        <w:t xml:space="preserve">Bacon, M. (2022). Taking care of business: Police detectives, drug law enforcement and proactive investigation. </w:t>
      </w:r>
      <w:r w:rsidR="00505392">
        <w:rPr>
          <w:lang w:val="en-GB"/>
        </w:rPr>
        <w:t xml:space="preserve">Oxford: </w:t>
      </w:r>
      <w:r w:rsidRPr="00612547">
        <w:rPr>
          <w:lang w:val="en-GB"/>
        </w:rPr>
        <w:t>Oxford University Press.</w:t>
      </w:r>
    </w:p>
    <w:p w14:paraId="457771FE" w14:textId="5971E758" w:rsidR="00612547" w:rsidRPr="00612547" w:rsidRDefault="00612547" w:rsidP="00612547">
      <w:pPr>
        <w:pStyle w:val="OBEBibliography"/>
        <w:spacing w:line="360" w:lineRule="auto"/>
        <w:rPr>
          <w:lang w:val="en-GB"/>
        </w:rPr>
      </w:pPr>
      <w:r w:rsidRPr="00612547">
        <w:rPr>
          <w:lang w:val="en-GB"/>
        </w:rPr>
        <w:t xml:space="preserve">Balestrini, P.P. (2021) 'Counterterrorism Evaluation and Citizens: More Than about </w:t>
      </w:r>
      <w:proofErr w:type="gramStart"/>
      <w:r w:rsidRPr="00612547">
        <w:rPr>
          <w:lang w:val="en-GB"/>
        </w:rPr>
        <w:t>Policing?,</w:t>
      </w:r>
      <w:proofErr w:type="gramEnd"/>
      <w:r w:rsidRPr="00612547">
        <w:rPr>
          <w:lang w:val="en-GB"/>
        </w:rPr>
        <w:t>' Social Sciences, 10(8), p. 298. https://doi.org/10.3390/socsci10080298.</w:t>
      </w:r>
    </w:p>
    <w:p w14:paraId="14611B1F" w14:textId="2176CE02" w:rsidR="00612547" w:rsidRPr="00612547" w:rsidRDefault="00612547" w:rsidP="00612547">
      <w:pPr>
        <w:pStyle w:val="OBEBibliography"/>
        <w:spacing w:line="360" w:lineRule="auto"/>
        <w:rPr>
          <w:lang w:val="en-GB"/>
        </w:rPr>
      </w:pPr>
      <w:r w:rsidRPr="00612547">
        <w:rPr>
          <w:lang w:val="en-GB"/>
        </w:rPr>
        <w:t xml:space="preserve">Bowleg, L., Del Río-González, A. M., Holt, S. L., Pérez, C., Massie, J. S., Mandell, J. E., &amp; Boone, C. A. (2017b). Intersectional Epistemologies of Ignorance: How </w:t>
      </w:r>
      <w:proofErr w:type="spellStart"/>
      <w:r w:rsidRPr="00612547">
        <w:rPr>
          <w:lang w:val="en-GB"/>
        </w:rPr>
        <w:t>behavioral</w:t>
      </w:r>
      <w:proofErr w:type="spellEnd"/>
      <w:r w:rsidRPr="00612547">
        <w:rPr>
          <w:lang w:val="en-GB"/>
        </w:rPr>
        <w:t xml:space="preserve"> and social science research shapes what we know, think we know, and don't know about U.S. black men's sexualities. The Journal of Sex Research, 54(4–5), 577–603. https://doi.org/10.1080/00224499.2017.1295300 </w:t>
      </w:r>
    </w:p>
    <w:p w14:paraId="5D3426FB" w14:textId="65C9EF00" w:rsidR="00612547" w:rsidRPr="00612547" w:rsidRDefault="00612547" w:rsidP="00612547">
      <w:pPr>
        <w:pStyle w:val="OBEBibliography"/>
        <w:spacing w:line="360" w:lineRule="auto"/>
        <w:rPr>
          <w:lang w:val="en-GB"/>
        </w:rPr>
      </w:pPr>
      <w:r w:rsidRPr="00612547">
        <w:rPr>
          <w:lang w:val="en-GB"/>
        </w:rPr>
        <w:t>Card, D., &amp; DiNardo, J. E. (2002). Skill‐Biased technological change and rising wage inequality: some problems and puzzles. Journal of Labor Economics, 20(4), 733–783. https://doi.org/10.1086/342055</w:t>
      </w:r>
    </w:p>
    <w:p w14:paraId="04CA294D" w14:textId="0EE2CFC2" w:rsidR="00612547" w:rsidRPr="00612547" w:rsidRDefault="00612547" w:rsidP="00612547">
      <w:pPr>
        <w:pStyle w:val="OBEBibliography"/>
        <w:spacing w:line="360" w:lineRule="auto"/>
        <w:rPr>
          <w:lang w:val="en-GB"/>
        </w:rPr>
      </w:pPr>
      <w:r w:rsidRPr="00612547">
        <w:rPr>
          <w:lang w:val="en-GB"/>
        </w:rPr>
        <w:t>Counter Terrorism Policing (2024) Counter Terrorism Policing | Home. https://www.counterterrorism.police.uk/.</w:t>
      </w:r>
    </w:p>
    <w:p w14:paraId="24B1B632" w14:textId="41C1924A" w:rsidR="00612547" w:rsidRPr="00612547" w:rsidRDefault="00612547" w:rsidP="00612547">
      <w:pPr>
        <w:pStyle w:val="OBEBibliography"/>
        <w:spacing w:line="360" w:lineRule="auto"/>
        <w:rPr>
          <w:lang w:val="en-GB"/>
        </w:rPr>
      </w:pPr>
      <w:r w:rsidRPr="00612547">
        <w:rPr>
          <w:lang w:val="en-GB"/>
        </w:rPr>
        <w:t xml:space="preserve">Davidson, N., Fleming, L., Jackson, L., Smale, D. and Sparks, R., </w:t>
      </w:r>
      <w:r w:rsidR="00505392">
        <w:rPr>
          <w:lang w:val="en-GB"/>
        </w:rPr>
        <w:t>(</w:t>
      </w:r>
      <w:r w:rsidRPr="00612547">
        <w:rPr>
          <w:lang w:val="en-GB"/>
        </w:rPr>
        <w:t>2017</w:t>
      </w:r>
      <w:r w:rsidR="00505392">
        <w:rPr>
          <w:lang w:val="en-GB"/>
        </w:rPr>
        <w:t>)</w:t>
      </w:r>
      <w:r w:rsidRPr="00612547">
        <w:rPr>
          <w:lang w:val="en-GB"/>
        </w:rPr>
        <w:t xml:space="preserve">. Police and community in twentieth-century Scotland: The uses of social history. British Journal of Criminology, 57(1), pp.18-39. </w:t>
      </w:r>
    </w:p>
    <w:p w14:paraId="50A758A1" w14:textId="77777777" w:rsidR="00612547" w:rsidRPr="00612547" w:rsidRDefault="00612547" w:rsidP="00612547">
      <w:pPr>
        <w:pStyle w:val="OBEBibliography"/>
        <w:spacing w:line="360" w:lineRule="auto"/>
        <w:rPr>
          <w:lang w:val="en-GB"/>
        </w:rPr>
      </w:pPr>
      <w:r w:rsidRPr="00612547">
        <w:rPr>
          <w:lang w:val="en-GB"/>
        </w:rPr>
        <w:t>Difford, D. and Smith, M. (2024) The public reaction to the 2024 riots. https://yougov.co.uk/politics/articles/50257-the-public-reaction-to-the-2024-riots.</w:t>
      </w:r>
    </w:p>
    <w:p w14:paraId="3F0008BB" w14:textId="77777777" w:rsidR="00612547" w:rsidRPr="00612547" w:rsidRDefault="00612547" w:rsidP="00612547">
      <w:pPr>
        <w:pStyle w:val="OBEBibliography"/>
        <w:spacing w:line="360" w:lineRule="auto"/>
        <w:rPr>
          <w:lang w:val="en-GB"/>
        </w:rPr>
      </w:pPr>
    </w:p>
    <w:p w14:paraId="7F9B8222" w14:textId="25BCD0C3" w:rsidR="00612547" w:rsidRPr="00612547" w:rsidRDefault="00612547" w:rsidP="00612547">
      <w:pPr>
        <w:pStyle w:val="OBEBibliography"/>
        <w:spacing w:line="360" w:lineRule="auto"/>
        <w:rPr>
          <w:lang w:val="en-GB"/>
        </w:rPr>
      </w:pPr>
      <w:r w:rsidRPr="00612547">
        <w:rPr>
          <w:lang w:val="en-GB"/>
        </w:rPr>
        <w:lastRenderedPageBreak/>
        <w:t xml:space="preserve">Dymond, A. (2018) ''Taser, Taser'! Exploring factors associated with police use of Taser in England and Wales,' Policing &amp; Society, 30(4), pp. 396–411. https://doi.org/10.1080/10439463.2018.1551392. </w:t>
      </w:r>
    </w:p>
    <w:p w14:paraId="1C247CAF" w14:textId="57A19BA2" w:rsidR="00612547" w:rsidRPr="00612547" w:rsidRDefault="00612547" w:rsidP="00612547">
      <w:pPr>
        <w:pStyle w:val="OBEBibliography"/>
        <w:spacing w:line="360" w:lineRule="auto"/>
        <w:rPr>
          <w:lang w:val="en-GB"/>
        </w:rPr>
      </w:pPr>
      <w:r w:rsidRPr="00612547">
        <w:rPr>
          <w:lang w:val="en-GB"/>
        </w:rPr>
        <w:t>Farmer, C. and Evans, R. (2020) 'Do Police need guns? The nexus between routinely armed police and safety,' The International Journal of Human Rights, 25(6), pp. 1070–1088. https://doi.org/10.1080/13642987.2020.1811694.</w:t>
      </w:r>
    </w:p>
    <w:p w14:paraId="4CDCCA86" w14:textId="6DDC8B09" w:rsidR="00612547" w:rsidRPr="00612547" w:rsidRDefault="00612547" w:rsidP="00612547">
      <w:pPr>
        <w:pStyle w:val="OBEBibliography"/>
        <w:spacing w:line="360" w:lineRule="auto"/>
        <w:rPr>
          <w:lang w:val="en-GB"/>
        </w:rPr>
      </w:pPr>
      <w:r w:rsidRPr="00612547">
        <w:rPr>
          <w:lang w:val="en-GB"/>
        </w:rPr>
        <w:t>Football-related arrests and banning orders, England and Wales: 2021 to 2022 season (2022). https://www.gov.uk/government/statistics/football-related-arrests-and-banning-orders-england-and-wales-2021-to-2022-season/football-related-arrests-and-banning-orders-england-and-wales-2021-to-2022-season#:~:text=In%20the%202021%20to%202022,and%20violent%20disorder%20(20%25).</w:t>
      </w:r>
    </w:p>
    <w:p w14:paraId="67CE482C" w14:textId="40CEDBC5" w:rsidR="00612547" w:rsidRPr="00612547" w:rsidRDefault="00612547" w:rsidP="00612547">
      <w:pPr>
        <w:pStyle w:val="OBEBibliography"/>
        <w:spacing w:line="360" w:lineRule="auto"/>
        <w:rPr>
          <w:lang w:val="en-GB"/>
        </w:rPr>
      </w:pPr>
      <w:r w:rsidRPr="00612547">
        <w:rPr>
          <w:lang w:val="en-GB"/>
        </w:rPr>
        <w:t>Heath-Kelly, C. (2012) 'Reinventing prevention or exposing the gap? False positives in UK terrorism governance and the quest for pre-emption,' Critical Studies on Terrorism, 5(1), pp. 69–87. https://doi.org/10.1080/17539153.2012.659910.</w:t>
      </w:r>
    </w:p>
    <w:p w14:paraId="58912048" w14:textId="5AD1E603" w:rsidR="00612547" w:rsidRPr="00612547" w:rsidRDefault="00612547" w:rsidP="00612547">
      <w:pPr>
        <w:pStyle w:val="OBEBibliography"/>
        <w:spacing w:line="360" w:lineRule="auto"/>
        <w:rPr>
          <w:lang w:val="en-GB"/>
        </w:rPr>
      </w:pPr>
      <w:r w:rsidRPr="00612547">
        <w:rPr>
          <w:lang w:val="en-GB"/>
        </w:rPr>
        <w:t>His Majesty's Inspectorate of Constabulary and Fire &amp; Rescue Services (2024) Armed policing - His Majesty's Inspectorate of Constabulary and Fire &amp; Rescue Services. https://hmicfrs.justiceinspectorates.gov.uk/our-work/article/armed-policing/.</w:t>
      </w:r>
    </w:p>
    <w:p w14:paraId="02682C81" w14:textId="4171EBF0" w:rsidR="00612547" w:rsidRPr="00612547" w:rsidRDefault="00612547" w:rsidP="00612547">
      <w:pPr>
        <w:pStyle w:val="OBEBibliography"/>
        <w:spacing w:line="360" w:lineRule="auto"/>
        <w:rPr>
          <w:lang w:val="en-GB"/>
        </w:rPr>
      </w:pPr>
      <w:r w:rsidRPr="00612547">
        <w:rPr>
          <w:lang w:val="en-GB"/>
        </w:rPr>
        <w:t>Home Affairs Committee. (2024). Policing for the future: Tenth report of session 2023–24. House of Commons.</w:t>
      </w:r>
    </w:p>
    <w:p w14:paraId="56E2D2E6" w14:textId="4A7530C7" w:rsidR="00612547" w:rsidRPr="00612547" w:rsidRDefault="00612547" w:rsidP="00612547">
      <w:pPr>
        <w:pStyle w:val="OBEBibliography"/>
        <w:spacing w:line="360" w:lineRule="auto"/>
        <w:rPr>
          <w:lang w:val="en-GB"/>
        </w:rPr>
      </w:pPr>
      <w:r w:rsidRPr="00612547">
        <w:rPr>
          <w:lang w:val="en-GB"/>
        </w:rPr>
        <w:t>Home Office. (2021). Police recorded crime and outcomes open data tables. GOV.UK.</w:t>
      </w:r>
    </w:p>
    <w:p w14:paraId="56C1B252" w14:textId="0CDD0CED" w:rsidR="00612547" w:rsidRPr="00612547" w:rsidRDefault="00612547" w:rsidP="00612547">
      <w:pPr>
        <w:pStyle w:val="OBEBibliography"/>
        <w:spacing w:line="360" w:lineRule="auto"/>
        <w:rPr>
          <w:lang w:val="en-GB"/>
        </w:rPr>
      </w:pPr>
      <w:r w:rsidRPr="00612547">
        <w:rPr>
          <w:lang w:val="en-GB"/>
        </w:rPr>
        <w:t>Jarvis, L. (2019)</w:t>
      </w:r>
      <w:r w:rsidR="00233B71">
        <w:rPr>
          <w:lang w:val="en-GB"/>
        </w:rPr>
        <w:t>.</w:t>
      </w:r>
      <w:r w:rsidRPr="00612547">
        <w:rPr>
          <w:lang w:val="en-GB"/>
        </w:rPr>
        <w:t xml:space="preserve"> 'Terrorism, </w:t>
      </w:r>
      <w:proofErr w:type="gramStart"/>
      <w:r w:rsidRPr="00612547">
        <w:rPr>
          <w:lang w:val="en-GB"/>
        </w:rPr>
        <w:t>counter-terrorism</w:t>
      </w:r>
      <w:proofErr w:type="gramEnd"/>
      <w:r w:rsidRPr="00612547">
        <w:rPr>
          <w:lang w:val="en-GB"/>
        </w:rPr>
        <w:t>, and critique: opportunities, examples, and implications,' Critical Studies on Terrorism, 12(2), pp. 339–358. https://doi.org/10.1080/17539153.2019.1575607.</w:t>
      </w:r>
    </w:p>
    <w:p w14:paraId="5FE2DBCA" w14:textId="77777777" w:rsidR="00612547" w:rsidRPr="00612547" w:rsidRDefault="00612547" w:rsidP="00612547">
      <w:pPr>
        <w:pStyle w:val="OBEBibliography"/>
        <w:spacing w:line="360" w:lineRule="auto"/>
        <w:rPr>
          <w:lang w:val="en-GB"/>
        </w:rPr>
      </w:pPr>
    </w:p>
    <w:p w14:paraId="0AD30A9F" w14:textId="7EBCEA78" w:rsidR="00612547" w:rsidRPr="00612547" w:rsidRDefault="00612547" w:rsidP="00612547">
      <w:pPr>
        <w:pStyle w:val="OBEBibliography"/>
        <w:spacing w:line="360" w:lineRule="auto"/>
        <w:rPr>
          <w:lang w:val="en-GB"/>
        </w:rPr>
      </w:pPr>
      <w:r w:rsidRPr="00612547">
        <w:rPr>
          <w:lang w:val="en-GB"/>
        </w:rPr>
        <w:lastRenderedPageBreak/>
        <w:t>Jennings, W., Farrall, S., Gray, E., &amp; Hay, C. (2021). Moral panics and punctuated equilibrium in public policy: An analysis of the criminal justice policy agenda in Britain. Policy Studies Journal, 49(3), 749-772.</w:t>
      </w:r>
    </w:p>
    <w:p w14:paraId="2A98F6E2" w14:textId="307C0836" w:rsidR="00612547" w:rsidRPr="00612547" w:rsidRDefault="00612547" w:rsidP="00612547">
      <w:pPr>
        <w:pStyle w:val="OBEBibliography"/>
        <w:spacing w:line="360" w:lineRule="auto"/>
        <w:rPr>
          <w:lang w:val="en-GB"/>
        </w:rPr>
      </w:pPr>
      <w:r w:rsidRPr="00612547">
        <w:rPr>
          <w:lang w:val="en-GB"/>
        </w:rPr>
        <w:t>Jones, R. (2018). A history of policing in Wales. University of Wales Press.</w:t>
      </w:r>
    </w:p>
    <w:p w14:paraId="4F02CA29" w14:textId="2153DACF" w:rsidR="00612547" w:rsidRPr="00612547" w:rsidRDefault="00612547" w:rsidP="00612547">
      <w:pPr>
        <w:pStyle w:val="OBEBibliography"/>
        <w:spacing w:line="360" w:lineRule="auto"/>
        <w:rPr>
          <w:lang w:val="en-GB"/>
        </w:rPr>
      </w:pPr>
      <w:r w:rsidRPr="00612547">
        <w:rPr>
          <w:lang w:val="en-GB"/>
        </w:rPr>
        <w:t>Jones, R., Harrison, M. and Jones, T. (2022) 'Policing and devolution in the UK: The 'special' case of Wales,' Policing a Journal of Policy and Practice, 17. https://doi.org/10.1093/police/paac063.</w:t>
      </w:r>
    </w:p>
    <w:p w14:paraId="11BC9679" w14:textId="28FDECDA" w:rsidR="00612547" w:rsidRPr="00612547" w:rsidRDefault="00612547" w:rsidP="00612547">
      <w:pPr>
        <w:pStyle w:val="OBEBibliography"/>
        <w:spacing w:line="360" w:lineRule="auto"/>
        <w:rPr>
          <w:lang w:val="en-GB"/>
        </w:rPr>
      </w:pPr>
      <w:r w:rsidRPr="00612547">
        <w:rPr>
          <w:lang w:val="en-GB"/>
        </w:rPr>
        <w:t>Jones, T. and Lister, S. (2019) 'Localism and police governance in England &amp; Wales: Exploring continuity and change,' European Journal of Criminology, 16(5), pp. 552–572. https://doi.org/10.1177/1477370819860689.</w:t>
      </w:r>
    </w:p>
    <w:p w14:paraId="195A2B09" w14:textId="30741CC5" w:rsidR="00612547" w:rsidRPr="00612547" w:rsidRDefault="00612547" w:rsidP="00612547">
      <w:pPr>
        <w:pStyle w:val="OBEBibliography"/>
        <w:spacing w:line="360" w:lineRule="auto"/>
        <w:rPr>
          <w:lang w:val="en-GB"/>
        </w:rPr>
      </w:pPr>
      <w:r w:rsidRPr="00612547">
        <w:rPr>
          <w:lang w:val="en-GB"/>
        </w:rPr>
        <w:t>Kaleem, A. (2021) 'The hegemony of Prevent: turning counter-terrorism policing into common sense,' Critical Studies on Terrorism, 15(2), pp. 267–289. https://doi.org/10.1080/17539153.2021.2013016.</w:t>
      </w:r>
    </w:p>
    <w:p w14:paraId="155CBBA1" w14:textId="71808688" w:rsidR="00612547" w:rsidRPr="00612547" w:rsidRDefault="00612547" w:rsidP="00612547">
      <w:pPr>
        <w:pStyle w:val="OBEBibliography"/>
        <w:spacing w:line="360" w:lineRule="auto"/>
        <w:rPr>
          <w:lang w:val="en-GB"/>
        </w:rPr>
      </w:pPr>
      <w:r w:rsidRPr="00612547">
        <w:rPr>
          <w:lang w:val="en-GB"/>
        </w:rPr>
        <w:t xml:space="preserve">Kesic, D., Thomas, S. D., &amp; </w:t>
      </w:r>
      <w:proofErr w:type="spellStart"/>
      <w:r w:rsidRPr="00612547">
        <w:rPr>
          <w:lang w:val="en-GB"/>
        </w:rPr>
        <w:t>Ogloff</w:t>
      </w:r>
      <w:proofErr w:type="spellEnd"/>
      <w:r w:rsidRPr="00612547">
        <w:rPr>
          <w:lang w:val="en-GB"/>
        </w:rPr>
        <w:t xml:space="preserve">, J. R. (2013). Use of nonfatal force on and by persons with apparent mental disorder in encounters with police. Criminal Justice and Behaviour, 40(3), 321-337. </w:t>
      </w:r>
    </w:p>
    <w:p w14:paraId="2FD94E5E" w14:textId="6AB60EDB" w:rsidR="00612547" w:rsidRPr="00612547" w:rsidRDefault="00612547" w:rsidP="00612547">
      <w:pPr>
        <w:pStyle w:val="OBEBibliography"/>
        <w:spacing w:line="360" w:lineRule="auto"/>
        <w:rPr>
          <w:lang w:val="en-GB"/>
        </w:rPr>
      </w:pPr>
      <w:proofErr w:type="spellStart"/>
      <w:r w:rsidRPr="00612547">
        <w:rPr>
          <w:lang w:val="en-GB"/>
        </w:rPr>
        <w:t>Köllen</w:t>
      </w:r>
      <w:proofErr w:type="spellEnd"/>
      <w:r w:rsidRPr="00612547">
        <w:rPr>
          <w:lang w:val="en-GB"/>
        </w:rPr>
        <w:t>, T. (2015) 'Acting out of compassion, egoism, and malice: A Schopenhauerian view on the moral worth of CSR and diversity management practices,' Journal of Business Ethics, 138(2), pp. 215–229. https://doi.org/10.1007/s10551-015-2599-z.</w:t>
      </w:r>
    </w:p>
    <w:p w14:paraId="2667840C" w14:textId="6564E6B6" w:rsidR="00612547" w:rsidRPr="00612547" w:rsidRDefault="00612547" w:rsidP="00612547">
      <w:pPr>
        <w:pStyle w:val="OBEBibliography"/>
        <w:spacing w:line="360" w:lineRule="auto"/>
        <w:rPr>
          <w:lang w:val="en-GB"/>
        </w:rPr>
      </w:pPr>
      <w:r w:rsidRPr="00612547">
        <w:rPr>
          <w:lang w:val="en-GB"/>
        </w:rPr>
        <w:t>Komiya, N. (1999) 'A cultural study of the low crime rate in Japan,' The British Journal of Criminology, 39(3), pp. 369–390. https://doi.org/10.1093/bjc/39.3.369.#</w:t>
      </w:r>
    </w:p>
    <w:p w14:paraId="6C41964D" w14:textId="77777777" w:rsidR="00612547" w:rsidRPr="00612547" w:rsidRDefault="00612547" w:rsidP="00612547">
      <w:pPr>
        <w:pStyle w:val="OBEBibliography"/>
        <w:spacing w:line="360" w:lineRule="auto"/>
        <w:rPr>
          <w:lang w:val="en-GB"/>
        </w:rPr>
      </w:pPr>
      <w:r w:rsidRPr="00612547">
        <w:rPr>
          <w:lang w:val="en-GB"/>
        </w:rPr>
        <w:t xml:space="preserve">Koper, C. S., &amp; Roth, J. A. (2021). The impact of the 1994 federal assault weapons </w:t>
      </w:r>
      <w:proofErr w:type="gramStart"/>
      <w:r w:rsidRPr="00612547">
        <w:rPr>
          <w:lang w:val="en-GB"/>
        </w:rPr>
        <w:t>ban</w:t>
      </w:r>
      <w:proofErr w:type="gramEnd"/>
      <w:r w:rsidRPr="00612547">
        <w:rPr>
          <w:lang w:val="en-GB"/>
        </w:rPr>
        <w:t xml:space="preserve"> on gun violence outcomes: An assessment of multiple outcome measures and some lessons for policy evaluation. Journal of Quantitative Criminology, 37(1), 165-191.</w:t>
      </w:r>
    </w:p>
    <w:p w14:paraId="2B2FEEED" w14:textId="77777777" w:rsidR="00612547" w:rsidRPr="00612547" w:rsidRDefault="00612547" w:rsidP="00612547">
      <w:pPr>
        <w:pStyle w:val="OBEBibliography"/>
        <w:spacing w:line="360" w:lineRule="auto"/>
        <w:rPr>
          <w:lang w:val="en-GB"/>
        </w:rPr>
      </w:pPr>
    </w:p>
    <w:p w14:paraId="047B8BCC" w14:textId="6AF3B752" w:rsidR="00612547" w:rsidRPr="00612547" w:rsidRDefault="00612547" w:rsidP="00612547">
      <w:pPr>
        <w:pStyle w:val="OBEBibliography"/>
        <w:spacing w:line="360" w:lineRule="auto"/>
        <w:rPr>
          <w:lang w:val="en-GB"/>
        </w:rPr>
      </w:pPr>
      <w:proofErr w:type="spellStart"/>
      <w:r w:rsidRPr="00612547">
        <w:rPr>
          <w:lang w:val="en-GB"/>
        </w:rPr>
        <w:lastRenderedPageBreak/>
        <w:t>Loadenthal</w:t>
      </w:r>
      <w:proofErr w:type="spellEnd"/>
      <w:r w:rsidRPr="00612547">
        <w:rPr>
          <w:lang w:val="en-GB"/>
        </w:rPr>
        <w:t>, M. (2022) 'Feral fascists and deep green guerrillas: infrastructural attack and accelerationist terror,' Critical Studies on Terrorism, 15(1), pp. 169–208. https://doi.org/10.1080/17539153.2022.2031129.</w:t>
      </w:r>
    </w:p>
    <w:p w14:paraId="56D2337D" w14:textId="319F6EC3" w:rsidR="00612547" w:rsidRPr="00612547" w:rsidRDefault="00612547" w:rsidP="00612547">
      <w:pPr>
        <w:pStyle w:val="OBEBibliography"/>
        <w:spacing w:line="360" w:lineRule="auto"/>
        <w:rPr>
          <w:lang w:val="en-GB"/>
        </w:rPr>
      </w:pPr>
      <w:r w:rsidRPr="00612547">
        <w:rPr>
          <w:lang w:val="en-GB"/>
        </w:rPr>
        <w:t xml:space="preserve">Lowe, D. (2022). Terrorism and state surveillance of communications. </w:t>
      </w:r>
      <w:r w:rsidR="00233B71">
        <w:rPr>
          <w:lang w:val="en-GB"/>
        </w:rPr>
        <w:t xml:space="preserve">London: </w:t>
      </w:r>
      <w:r w:rsidRPr="00612547">
        <w:rPr>
          <w:lang w:val="en-GB"/>
        </w:rPr>
        <w:t>Routledge.</w:t>
      </w:r>
    </w:p>
    <w:p w14:paraId="1004F667" w14:textId="737658C7" w:rsidR="00612547" w:rsidRPr="00612547" w:rsidRDefault="00612547" w:rsidP="00612547">
      <w:pPr>
        <w:pStyle w:val="OBEBibliography"/>
        <w:spacing w:line="360" w:lineRule="auto"/>
        <w:rPr>
          <w:lang w:val="en-GB"/>
        </w:rPr>
      </w:pPr>
      <w:r w:rsidRPr="00612547">
        <w:rPr>
          <w:lang w:val="en-GB"/>
        </w:rPr>
        <w:t>Manning, P.K. (2012)</w:t>
      </w:r>
      <w:r w:rsidR="00233B71">
        <w:rPr>
          <w:lang w:val="en-GB"/>
        </w:rPr>
        <w:t>.</w:t>
      </w:r>
      <w:r w:rsidRPr="00612547">
        <w:rPr>
          <w:lang w:val="en-GB"/>
        </w:rPr>
        <w:t xml:space="preserve"> 'Trust and accountability in Ireland: the case of Garda Síochána,' Policing &amp; Society, 22(3), pp. 346–361. https://doi.org/10.1080/10439463.2012.671824.</w:t>
      </w:r>
    </w:p>
    <w:p w14:paraId="6C9FB8B3" w14:textId="1E38C58D" w:rsidR="00612547" w:rsidRPr="00612547" w:rsidRDefault="00612547" w:rsidP="00612547">
      <w:pPr>
        <w:pStyle w:val="OBEBibliography"/>
        <w:spacing w:line="360" w:lineRule="auto"/>
        <w:rPr>
          <w:lang w:val="en-GB"/>
        </w:rPr>
      </w:pPr>
      <w:r w:rsidRPr="00612547">
        <w:rPr>
          <w:lang w:val="en-GB"/>
        </w:rPr>
        <w:t xml:space="preserve">Mental health – detention | College of Policing (2016b). https://www.college.police.uk/app/mental-health/mental-health-detention. </w:t>
      </w:r>
    </w:p>
    <w:p w14:paraId="5DF0CA40" w14:textId="02FF846C" w:rsidR="00612547" w:rsidRPr="00612547" w:rsidRDefault="00612547" w:rsidP="00612547">
      <w:pPr>
        <w:pStyle w:val="OBEBibliography"/>
        <w:spacing w:line="360" w:lineRule="auto"/>
        <w:rPr>
          <w:lang w:val="en-GB"/>
        </w:rPr>
      </w:pPr>
      <w:r w:rsidRPr="00612547">
        <w:rPr>
          <w:lang w:val="en-GB"/>
        </w:rPr>
        <w:t>Metropolitan Police. (2023). Crime statistics for London: Financial year 2022/23. Metropolitan Police Service.</w:t>
      </w:r>
    </w:p>
    <w:p w14:paraId="038A1267" w14:textId="1F87E0AE" w:rsidR="00612547" w:rsidRPr="00612547" w:rsidRDefault="00612547" w:rsidP="00612547">
      <w:pPr>
        <w:pStyle w:val="OBEBibliography"/>
        <w:spacing w:line="360" w:lineRule="auto"/>
        <w:rPr>
          <w:lang w:val="en-GB"/>
        </w:rPr>
      </w:pPr>
      <w:r w:rsidRPr="00612547">
        <w:rPr>
          <w:lang w:val="en-GB"/>
        </w:rPr>
        <w:t>National Police Chiefs' Council. (2024). Annual report on police use of firearms in England and Wales. NPCC.</w:t>
      </w:r>
    </w:p>
    <w:p w14:paraId="46CC575D" w14:textId="3AC32497" w:rsidR="00612547" w:rsidRPr="00612547" w:rsidRDefault="00612547" w:rsidP="00612547">
      <w:pPr>
        <w:pStyle w:val="OBEBibliography"/>
        <w:spacing w:line="360" w:lineRule="auto"/>
        <w:rPr>
          <w:lang w:val="en-GB"/>
        </w:rPr>
      </w:pPr>
      <w:r w:rsidRPr="00612547">
        <w:rPr>
          <w:lang w:val="en-GB"/>
        </w:rPr>
        <w:t xml:space="preserve">Olma, J., Sutter, C., &amp; </w:t>
      </w:r>
      <w:proofErr w:type="spellStart"/>
      <w:r w:rsidRPr="00612547">
        <w:rPr>
          <w:lang w:val="en-GB"/>
        </w:rPr>
        <w:t>Sülzenbrück</w:t>
      </w:r>
      <w:proofErr w:type="spellEnd"/>
      <w:r w:rsidRPr="00612547">
        <w:rPr>
          <w:lang w:val="en-GB"/>
        </w:rPr>
        <w:t>, S. (2024). When failure is not an option: a police firearms training concept for improving decision-making in shoot/don't shoot scenarios. Frontiers in Psychology, 15. https://doi.org/10.3389/fpsyg.2024.1335892</w:t>
      </w:r>
    </w:p>
    <w:p w14:paraId="47FCAFD5" w14:textId="6B5F9A3B" w:rsidR="00612547" w:rsidRPr="00612547" w:rsidRDefault="00612547" w:rsidP="00612547">
      <w:pPr>
        <w:pStyle w:val="OBEBibliography"/>
        <w:spacing w:line="360" w:lineRule="auto"/>
        <w:rPr>
          <w:lang w:val="en-GB"/>
        </w:rPr>
      </w:pPr>
      <w:r w:rsidRPr="00612547">
        <w:rPr>
          <w:lang w:val="en-GB"/>
        </w:rPr>
        <w:t>Police Foundation. (2023). The strategic review of policing in England and Wales. The Police Foundation.</w:t>
      </w:r>
    </w:p>
    <w:p w14:paraId="44F55995" w14:textId="4DACC06B" w:rsidR="00612547" w:rsidRPr="00612547" w:rsidRDefault="00612547" w:rsidP="00612547">
      <w:pPr>
        <w:pStyle w:val="OBEBibliography"/>
        <w:spacing w:line="360" w:lineRule="auto"/>
        <w:rPr>
          <w:lang w:val="en-GB"/>
        </w:rPr>
      </w:pPr>
      <w:r w:rsidRPr="00612547">
        <w:rPr>
          <w:lang w:val="en-GB"/>
        </w:rPr>
        <w:t>Police use of firearms statistics, England and Wales: April 2023 to March 2024 (2024). https://www.gov.uk/government/statistics/police-use-of-firearms-statistics-april-2023-to-march-2024/police-use-of-firearms-statistics-england-and-wales-april-2023-to-march-2024.</w:t>
      </w:r>
    </w:p>
    <w:p w14:paraId="137A8392" w14:textId="77777777" w:rsidR="00612547" w:rsidRPr="00612547" w:rsidRDefault="00612547" w:rsidP="00612547">
      <w:pPr>
        <w:pStyle w:val="OBEBibliography"/>
        <w:spacing w:line="360" w:lineRule="auto"/>
        <w:rPr>
          <w:lang w:val="en-GB"/>
        </w:rPr>
      </w:pPr>
      <w:r w:rsidRPr="00612547">
        <w:rPr>
          <w:lang w:val="en-GB"/>
        </w:rPr>
        <w:t>Recorded crime (no date). https://statswales.gov.wales/Catalogue/Community-Safety-and-Social-Inclusion/Community-Safety/Crime-and-Justice/Recorded-Crime.</w:t>
      </w:r>
    </w:p>
    <w:p w14:paraId="5E1634BB" w14:textId="77777777" w:rsidR="00612547" w:rsidRPr="00612547" w:rsidRDefault="00612547" w:rsidP="00612547">
      <w:pPr>
        <w:pStyle w:val="OBEBibliography"/>
        <w:spacing w:line="360" w:lineRule="auto"/>
        <w:rPr>
          <w:lang w:val="en-GB"/>
        </w:rPr>
      </w:pPr>
    </w:p>
    <w:p w14:paraId="1AAE0C12" w14:textId="0724544E" w:rsidR="00612547" w:rsidRPr="00612547" w:rsidRDefault="00612547" w:rsidP="00612547">
      <w:pPr>
        <w:pStyle w:val="OBEBibliography"/>
        <w:spacing w:line="360" w:lineRule="auto"/>
        <w:rPr>
          <w:lang w:val="en-GB"/>
        </w:rPr>
      </w:pPr>
      <w:r w:rsidRPr="00612547">
        <w:rPr>
          <w:lang w:val="en-GB"/>
        </w:rPr>
        <w:lastRenderedPageBreak/>
        <w:t>Reicher, S. et al. (2004)</w:t>
      </w:r>
      <w:r w:rsidR="00233B71">
        <w:rPr>
          <w:lang w:val="en-GB"/>
        </w:rPr>
        <w:t>.</w:t>
      </w:r>
      <w:r w:rsidRPr="00612547">
        <w:rPr>
          <w:lang w:val="en-GB"/>
        </w:rPr>
        <w:t xml:space="preserve"> 'An integrated approach to crowd psychology and public order policing,' Policing an International Journal, 27(4), pp. 558–572. https://doi.org/10.1108/13639510410566271.</w:t>
      </w:r>
    </w:p>
    <w:p w14:paraId="1DB76BDA" w14:textId="56111EB5" w:rsidR="00612547" w:rsidRPr="00612547" w:rsidRDefault="00612547" w:rsidP="00612547">
      <w:pPr>
        <w:pStyle w:val="OBEBibliography"/>
        <w:spacing w:line="360" w:lineRule="auto"/>
        <w:rPr>
          <w:lang w:val="en-GB"/>
        </w:rPr>
      </w:pPr>
      <w:r w:rsidRPr="00612547">
        <w:rPr>
          <w:lang w:val="en-GB"/>
        </w:rPr>
        <w:t xml:space="preserve">Reiner, R. (2010). The politics of the police (4th ed.). </w:t>
      </w:r>
      <w:r w:rsidR="00233B71">
        <w:rPr>
          <w:lang w:val="en-GB"/>
        </w:rPr>
        <w:t xml:space="preserve">Oxford: </w:t>
      </w:r>
      <w:r w:rsidRPr="00612547">
        <w:rPr>
          <w:lang w:val="en-GB"/>
        </w:rPr>
        <w:t>Oxford University Press.</w:t>
      </w:r>
    </w:p>
    <w:p w14:paraId="4DE4DB22" w14:textId="4D314A3E" w:rsidR="00612547" w:rsidRPr="00612547" w:rsidRDefault="00612547" w:rsidP="00612547">
      <w:pPr>
        <w:pStyle w:val="OBEBibliography"/>
        <w:spacing w:line="360" w:lineRule="auto"/>
        <w:rPr>
          <w:lang w:val="en-GB"/>
        </w:rPr>
      </w:pPr>
      <w:r w:rsidRPr="00612547">
        <w:rPr>
          <w:lang w:val="en-GB"/>
        </w:rPr>
        <w:t>Rogers, P.F. (2013)</w:t>
      </w:r>
      <w:r w:rsidR="00887756">
        <w:rPr>
          <w:lang w:val="en-GB"/>
        </w:rPr>
        <w:t>.</w:t>
      </w:r>
      <w:r w:rsidRPr="00612547">
        <w:rPr>
          <w:lang w:val="en-GB"/>
        </w:rPr>
        <w:t xml:space="preserve"> 'Lost cause: consequences and implications of the war on terror,' Critical Studies on Terrorism, 6(1), pp. 13–28. https://doi.org/10.1080/17539153.2013.765698.</w:t>
      </w:r>
    </w:p>
    <w:p w14:paraId="2039EB93" w14:textId="76FA0E01" w:rsidR="00612547" w:rsidRPr="00612547" w:rsidRDefault="00612547" w:rsidP="00612547">
      <w:pPr>
        <w:pStyle w:val="OBEBibliography"/>
        <w:spacing w:line="360" w:lineRule="auto"/>
        <w:rPr>
          <w:lang w:val="en-GB"/>
        </w:rPr>
      </w:pPr>
      <w:r w:rsidRPr="00612547">
        <w:rPr>
          <w:lang w:val="en-GB"/>
        </w:rPr>
        <w:t>Self-Defence and the Prevention of Crime | The Crown Prosecution Service (no date). https://www.cps.gov.uk/legal-guidance/self-defence-and-prevention-crime.</w:t>
      </w:r>
    </w:p>
    <w:p w14:paraId="071533BD" w14:textId="71F82243" w:rsidR="00612547" w:rsidRPr="00612547" w:rsidRDefault="00612547" w:rsidP="00612547">
      <w:pPr>
        <w:pStyle w:val="OBEBibliography"/>
        <w:spacing w:line="360" w:lineRule="auto"/>
        <w:rPr>
          <w:lang w:val="en-GB"/>
        </w:rPr>
      </w:pPr>
      <w:r w:rsidRPr="00612547">
        <w:rPr>
          <w:lang w:val="en-GB"/>
        </w:rPr>
        <w:t>South Wales Police and Crime Commissioner. (2023). Public consultation on policing priorities 2023. Office of the Police and Crime Commissioner for South Wales.</w:t>
      </w:r>
    </w:p>
    <w:p w14:paraId="5082E7E8" w14:textId="574765BD" w:rsidR="00612547" w:rsidRPr="00612547" w:rsidRDefault="00612547" w:rsidP="00612547">
      <w:pPr>
        <w:pStyle w:val="OBEBibliography"/>
        <w:spacing w:line="360" w:lineRule="auto"/>
        <w:rPr>
          <w:lang w:val="en-GB"/>
        </w:rPr>
      </w:pPr>
      <w:r w:rsidRPr="00612547">
        <w:rPr>
          <w:lang w:val="en-GB"/>
        </w:rPr>
        <w:t>Squires, P., &amp; Kennison, P. (2010). Shooting to kill? Policing, firearms and armed response. Wiley-Blackwell.</w:t>
      </w:r>
    </w:p>
    <w:p w14:paraId="4318656E" w14:textId="6916F82C" w:rsidR="00612547" w:rsidRPr="00612547" w:rsidRDefault="00612547" w:rsidP="00612547">
      <w:pPr>
        <w:pStyle w:val="OBEBibliography"/>
        <w:spacing w:line="360" w:lineRule="auto"/>
        <w:rPr>
          <w:lang w:val="en-GB"/>
        </w:rPr>
      </w:pPr>
      <w:r w:rsidRPr="00612547">
        <w:rPr>
          <w:lang w:val="en-GB"/>
        </w:rPr>
        <w:t>Staniforth, A. (2022). Preventing terrorism and violent extremism. Oxford University Press.</w:t>
      </w:r>
    </w:p>
    <w:p w14:paraId="5CDEA47C" w14:textId="13F4D56D" w:rsidR="00612547" w:rsidRPr="00612547" w:rsidRDefault="00612547" w:rsidP="00612547">
      <w:pPr>
        <w:pStyle w:val="OBEBibliography"/>
        <w:spacing w:line="360" w:lineRule="auto"/>
        <w:rPr>
          <w:lang w:val="en-GB"/>
        </w:rPr>
      </w:pPr>
      <w:r w:rsidRPr="00612547">
        <w:rPr>
          <w:lang w:val="en-GB"/>
        </w:rPr>
        <w:t xml:space="preserve">Stott, C., &amp; Pearson, G. (2007). Football "hooliganism": Policing and the war on the "English disease". </w:t>
      </w:r>
      <w:r w:rsidR="00887756">
        <w:rPr>
          <w:lang w:val="en-GB"/>
        </w:rPr>
        <w:t xml:space="preserve">London: </w:t>
      </w:r>
      <w:r w:rsidRPr="00612547">
        <w:rPr>
          <w:lang w:val="en-GB"/>
        </w:rPr>
        <w:t>Pennant Books.</w:t>
      </w:r>
    </w:p>
    <w:p w14:paraId="499C246D" w14:textId="32AC6A86" w:rsidR="00612547" w:rsidRPr="00612547" w:rsidRDefault="00612547" w:rsidP="00612547">
      <w:pPr>
        <w:pStyle w:val="OBEBibliography"/>
        <w:spacing w:line="360" w:lineRule="auto"/>
        <w:rPr>
          <w:lang w:val="en-GB"/>
        </w:rPr>
      </w:pPr>
      <w:proofErr w:type="spellStart"/>
      <w:r w:rsidRPr="00612547">
        <w:rPr>
          <w:lang w:val="en-GB"/>
        </w:rPr>
        <w:t>Teplin</w:t>
      </w:r>
      <w:proofErr w:type="spellEnd"/>
      <w:r w:rsidRPr="00612547">
        <w:rPr>
          <w:lang w:val="en-GB"/>
        </w:rPr>
        <w:t>, L. A. (2000). Keeping the peace: Police discretion and mentally ill persons. National Institute of Justice Journal, 244, 8-15.</w:t>
      </w:r>
    </w:p>
    <w:p w14:paraId="36068692" w14:textId="1B7F6BCD" w:rsidR="00612547" w:rsidRPr="00612547" w:rsidRDefault="00612547" w:rsidP="00612547">
      <w:pPr>
        <w:pStyle w:val="OBEBibliography"/>
        <w:spacing w:line="360" w:lineRule="auto"/>
        <w:rPr>
          <w:lang w:val="en-GB"/>
        </w:rPr>
      </w:pPr>
      <w:r w:rsidRPr="00612547">
        <w:rPr>
          <w:lang w:val="en-GB"/>
        </w:rPr>
        <w:t xml:space="preserve">Terpstra, J., &amp; Salet, R. (2021). Policing in a state of emergency: </w:t>
      </w:r>
      <w:proofErr w:type="spellStart"/>
      <w:r w:rsidRPr="00612547">
        <w:rPr>
          <w:lang w:val="en-GB"/>
        </w:rPr>
        <w:t>Analyzing</w:t>
      </w:r>
      <w:proofErr w:type="spellEnd"/>
      <w:r w:rsidRPr="00612547">
        <w:rPr>
          <w:lang w:val="en-GB"/>
        </w:rPr>
        <w:t xml:space="preserve"> the Dutch approach to the COVID-19 crisis. The Police Journal, 94(4), 535-552.</w:t>
      </w:r>
    </w:p>
    <w:p w14:paraId="336559BE" w14:textId="77777777" w:rsidR="00612547" w:rsidRPr="00612547" w:rsidRDefault="00612547" w:rsidP="00612547">
      <w:pPr>
        <w:pStyle w:val="OBEBibliography"/>
        <w:spacing w:line="360" w:lineRule="auto"/>
        <w:rPr>
          <w:lang w:val="en-GB"/>
        </w:rPr>
      </w:pPr>
      <w:r w:rsidRPr="00612547">
        <w:rPr>
          <w:lang w:val="en-GB"/>
        </w:rPr>
        <w:t>Tyler, T. R. (2004). Enhancing police legitimacy. The Annals of the American Academy of Political and Social Science, 593(1), 84-99.</w:t>
      </w:r>
    </w:p>
    <w:p w14:paraId="5230AB88" w14:textId="77777777" w:rsidR="00612547" w:rsidRPr="00612547" w:rsidRDefault="00612547" w:rsidP="00612547">
      <w:pPr>
        <w:pStyle w:val="OBEBibliography"/>
        <w:spacing w:line="360" w:lineRule="auto"/>
        <w:rPr>
          <w:lang w:val="en-GB"/>
        </w:rPr>
      </w:pPr>
    </w:p>
    <w:p w14:paraId="7453C708" w14:textId="5A9A2460" w:rsidR="00612547" w:rsidRPr="00612547" w:rsidRDefault="00612547" w:rsidP="00612547">
      <w:pPr>
        <w:pStyle w:val="OBEBibliography"/>
        <w:spacing w:line="360" w:lineRule="auto"/>
        <w:rPr>
          <w:lang w:val="en-GB"/>
        </w:rPr>
      </w:pPr>
      <w:r w:rsidRPr="00612547">
        <w:rPr>
          <w:lang w:val="en-GB"/>
        </w:rPr>
        <w:lastRenderedPageBreak/>
        <w:t xml:space="preserve">Waddington, P. A. J., Jones, K., &amp; Critcher, C. (1989). Flashpoints: Studies in public disorder. </w:t>
      </w:r>
      <w:r w:rsidR="00887756">
        <w:rPr>
          <w:lang w:val="en-GB"/>
        </w:rPr>
        <w:t xml:space="preserve">London: </w:t>
      </w:r>
      <w:r w:rsidRPr="00612547">
        <w:rPr>
          <w:lang w:val="en-GB"/>
        </w:rPr>
        <w:t>Routledge.</w:t>
      </w:r>
    </w:p>
    <w:p w14:paraId="34807E48" w14:textId="0D560D65" w:rsidR="00612547" w:rsidRPr="00612547" w:rsidRDefault="00612547" w:rsidP="00612547">
      <w:pPr>
        <w:pStyle w:val="OBEBibliography"/>
        <w:spacing w:line="360" w:lineRule="auto"/>
        <w:rPr>
          <w:lang w:val="en-GB"/>
        </w:rPr>
      </w:pPr>
      <w:r w:rsidRPr="00612547">
        <w:rPr>
          <w:lang w:val="en-GB"/>
        </w:rPr>
        <w:t>Welsh Government. (2023). Recorded crime statistics for Wales: Year ending March 2023. GOV.WALES.</w:t>
      </w:r>
    </w:p>
    <w:p w14:paraId="0A072E4A" w14:textId="394C9FF4" w:rsidR="00612547" w:rsidRPr="00612547" w:rsidRDefault="00612547" w:rsidP="00612547">
      <w:pPr>
        <w:pStyle w:val="OBEBibliography"/>
        <w:spacing w:line="360" w:lineRule="auto"/>
        <w:rPr>
          <w:lang w:val="en-GB"/>
        </w:rPr>
      </w:pPr>
      <w:r w:rsidRPr="00612547">
        <w:rPr>
          <w:lang w:val="en-GB"/>
        </w:rPr>
        <w:t>Welsh Parliament Health and Social Care Committee. (2022). Mental health in policing and police custody. Senedd Cymru.</w:t>
      </w:r>
    </w:p>
    <w:p w14:paraId="7B84A1DF" w14:textId="4BA11953" w:rsidR="00612547" w:rsidRPr="00612547" w:rsidRDefault="00612547" w:rsidP="00612547">
      <w:pPr>
        <w:pStyle w:val="OBEBibliography"/>
        <w:spacing w:line="360" w:lineRule="auto"/>
        <w:rPr>
          <w:lang w:val="en-GB"/>
        </w:rPr>
      </w:pPr>
      <w:proofErr w:type="spellStart"/>
      <w:r w:rsidRPr="00612547">
        <w:rPr>
          <w:lang w:val="en-GB"/>
        </w:rPr>
        <w:t>Yesberg</w:t>
      </w:r>
      <w:proofErr w:type="spellEnd"/>
      <w:r w:rsidRPr="00612547">
        <w:rPr>
          <w:lang w:val="en-GB"/>
        </w:rPr>
        <w:t>, J. A., Bradford, B., &amp; Dawson, P. (2022). An experimental study of responses to armed police in Great Britain. Journal of Experimental Criminology, 18(2), 247-270.</w:t>
      </w:r>
    </w:p>
    <w:p w14:paraId="576E303F" w14:textId="3B8796AB" w:rsidR="00CF659B" w:rsidRPr="00CF659B" w:rsidRDefault="00612547" w:rsidP="00CF659B">
      <w:pPr>
        <w:pStyle w:val="OBEBibliography"/>
        <w:spacing w:line="360" w:lineRule="auto"/>
        <w:rPr>
          <w:lang w:val="en-GB"/>
        </w:rPr>
      </w:pPr>
      <w:r w:rsidRPr="00612547">
        <w:rPr>
          <w:lang w:val="en-GB"/>
        </w:rPr>
        <w:t>Zimring, F. E. (2019). Police killings as a problem of governance. The ANNALS of the American Academy of Political and Social Science, 687(1), 114-123.</w:t>
      </w:r>
    </w:p>
    <w:sectPr w:rsidR="00CF659B" w:rsidRPr="00CF659B">
      <w:headerReference w:type="default" r:id="rId9"/>
      <w:footerReference w:type="default" r:id="rId10"/>
      <w:pgSz w:w="11906" w:h="16838"/>
      <w:pgMar w:top="1440" w:right="1440" w:bottom="1440" w:left="1440" w:header="0" w:footer="708" w:gutter="0"/>
      <w:cols w:space="720"/>
      <w:formProt w:val="0"/>
      <w:docGrid w:linePitch="360" w:charSpace="409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265925" w14:textId="77777777" w:rsidR="00E67276" w:rsidRDefault="00E67276" w:rsidP="003A4DAA">
      <w:pPr>
        <w:spacing w:after="0" w:line="240" w:lineRule="auto"/>
      </w:pPr>
      <w:r>
        <w:separator/>
      </w:r>
    </w:p>
    <w:p w14:paraId="35368D2D" w14:textId="77777777" w:rsidR="00E67276" w:rsidRDefault="00E67276"/>
    <w:p w14:paraId="08D2BBB0" w14:textId="77777777" w:rsidR="00E67276" w:rsidRDefault="00E67276"/>
  </w:endnote>
  <w:endnote w:type="continuationSeparator" w:id="0">
    <w:p w14:paraId="49AA84F1" w14:textId="77777777" w:rsidR="00E67276" w:rsidRDefault="00E67276" w:rsidP="003A4DAA">
      <w:pPr>
        <w:spacing w:after="0" w:line="240" w:lineRule="auto"/>
      </w:pPr>
      <w:r>
        <w:continuationSeparator/>
      </w:r>
    </w:p>
    <w:p w14:paraId="2DBAE758" w14:textId="77777777" w:rsidR="00E67276" w:rsidRDefault="00E67276"/>
    <w:p w14:paraId="7649F3FB" w14:textId="77777777" w:rsidR="00E67276" w:rsidRDefault="00E6727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AD2AF8" w14:textId="77775F66" w:rsidR="003027B9" w:rsidRDefault="003027B9">
    <w:pPr>
      <w:pStyle w:val="Footer"/>
    </w:pPr>
    <w:r>
      <w:fldChar w:fldCharType="begin"/>
    </w:r>
    <w:r>
      <w:instrText>PAGE</w:instrText>
    </w:r>
    <w:r>
      <w:fldChar w:fldCharType="separate"/>
    </w:r>
    <w:r>
      <w:rPr>
        <w:noProof/>
      </w:rPr>
      <w:t>10</w:t>
    </w:r>
    <w:r>
      <w:fldChar w:fldCharType="end"/>
    </w:r>
  </w:p>
  <w:p w14:paraId="00563B13" w14:textId="77777777" w:rsidR="003027B9" w:rsidRDefault="003027B9">
    <w:pPr>
      <w:pStyle w:val="Footer"/>
    </w:pPr>
  </w:p>
  <w:p w14:paraId="4EACDC4E" w14:textId="77777777" w:rsidR="003027B9" w:rsidRDefault="003027B9"/>
  <w:p w14:paraId="2BD0682A" w14:textId="77777777" w:rsidR="003027B9" w:rsidRDefault="003027B9"/>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8E768F" w14:textId="77777777" w:rsidR="00E67276" w:rsidRDefault="00E67276" w:rsidP="003A4DAA">
      <w:pPr>
        <w:spacing w:after="0" w:line="240" w:lineRule="auto"/>
      </w:pPr>
      <w:r>
        <w:separator/>
      </w:r>
    </w:p>
    <w:p w14:paraId="606728C9" w14:textId="77777777" w:rsidR="00E67276" w:rsidRDefault="00E67276"/>
    <w:p w14:paraId="709482E1" w14:textId="77777777" w:rsidR="00E67276" w:rsidRDefault="00E67276"/>
  </w:footnote>
  <w:footnote w:type="continuationSeparator" w:id="0">
    <w:p w14:paraId="6F2150BA" w14:textId="77777777" w:rsidR="00E67276" w:rsidRDefault="00E67276" w:rsidP="003A4DAA">
      <w:pPr>
        <w:spacing w:after="0" w:line="240" w:lineRule="auto"/>
      </w:pPr>
      <w:r>
        <w:continuationSeparator/>
      </w:r>
    </w:p>
    <w:p w14:paraId="6C22F53D" w14:textId="77777777" w:rsidR="00E67276" w:rsidRDefault="00E67276"/>
    <w:p w14:paraId="1427272A" w14:textId="77777777" w:rsidR="00E67276" w:rsidRDefault="00E6727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489DB4" w14:textId="45FA3D0E" w:rsidR="003027B9" w:rsidRDefault="00914724" w:rsidP="003A4DAA">
    <w:pPr>
      <w:pStyle w:val="OBEHeaderinformation"/>
      <w:jc w:val="right"/>
      <w:rPr>
        <w:i/>
      </w:rPr>
    </w:pPr>
    <w:r>
      <w:rPr>
        <w:i/>
      </w:rPr>
      <w:t>STUDENT ID: 2134515</w:t>
    </w:r>
  </w:p>
  <w:p w14:paraId="69777122" w14:textId="05E2E525" w:rsidR="003027B9" w:rsidRPr="003D2ACF" w:rsidRDefault="003027B9" w:rsidP="002601B2">
    <w:pPr>
      <w:pStyle w:val="OBEHeaderinformation"/>
      <w:jc w:val="right"/>
      <w:rPr>
        <w:b w:val="0"/>
        <w:i/>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BB089C08"/>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874CF306"/>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9ED4ACC4"/>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D70A5564"/>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7982FA98"/>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490CAB0C"/>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777EB294"/>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F4201F12"/>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2F36AD10"/>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8A4283F0"/>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62D0DC9"/>
    <w:multiLevelType w:val="hybridMultilevel"/>
    <w:tmpl w:val="FECA2F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08DB76EF"/>
    <w:multiLevelType w:val="hybridMultilevel"/>
    <w:tmpl w:val="E1063D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09D31F5C"/>
    <w:multiLevelType w:val="hybridMultilevel"/>
    <w:tmpl w:val="49326E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0AEB1003"/>
    <w:multiLevelType w:val="multilevel"/>
    <w:tmpl w:val="EAF2E4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0F8C1736"/>
    <w:multiLevelType w:val="hybridMultilevel"/>
    <w:tmpl w:val="836ADA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42C0038"/>
    <w:multiLevelType w:val="hybridMultilevel"/>
    <w:tmpl w:val="2E8E6B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1D7011E4"/>
    <w:multiLevelType w:val="multilevel"/>
    <w:tmpl w:val="04EC0F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E5E26FF"/>
    <w:multiLevelType w:val="multilevel"/>
    <w:tmpl w:val="9A0C2FC4"/>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8" w15:restartNumberingAfterBreak="0">
    <w:nsid w:val="2520020A"/>
    <w:multiLevelType w:val="multilevel"/>
    <w:tmpl w:val="F3640B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2047800"/>
    <w:multiLevelType w:val="hybridMultilevel"/>
    <w:tmpl w:val="BFA46F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2942558"/>
    <w:multiLevelType w:val="multilevel"/>
    <w:tmpl w:val="CF9E64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3D65F36"/>
    <w:multiLevelType w:val="multilevel"/>
    <w:tmpl w:val="DB62CD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4322CFF"/>
    <w:multiLevelType w:val="hybridMultilevel"/>
    <w:tmpl w:val="C2B29E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3A8B2F05"/>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4" w15:restartNumberingAfterBreak="0">
    <w:nsid w:val="3D4377B1"/>
    <w:multiLevelType w:val="hybridMultilevel"/>
    <w:tmpl w:val="3AC046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84303C4"/>
    <w:multiLevelType w:val="hybridMultilevel"/>
    <w:tmpl w:val="6E16C9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A044F08"/>
    <w:multiLevelType w:val="hybridMultilevel"/>
    <w:tmpl w:val="622E06D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4A380F93"/>
    <w:multiLevelType w:val="hybridMultilevel"/>
    <w:tmpl w:val="5C3496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BC7579F"/>
    <w:multiLevelType w:val="hybridMultilevel"/>
    <w:tmpl w:val="4AD412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F90034A"/>
    <w:multiLevelType w:val="multilevel"/>
    <w:tmpl w:val="BE78AFAC"/>
    <w:lvl w:ilvl="0">
      <w:start w:val="1"/>
      <w:numFmt w:val="decimal"/>
      <w:lvlText w:val="%1."/>
      <w:lvlJc w:val="left"/>
      <w:pPr>
        <w:tabs>
          <w:tab w:val="num" w:pos="360"/>
        </w:tabs>
        <w:ind w:left="360" w:hanging="360"/>
      </w:pPr>
      <w:rPr>
        <w:rFonts w:asciiTheme="majorHAnsi" w:eastAsiaTheme="minorEastAsia" w:hAnsiTheme="majorHAnsi" w:cstheme="majorHAnsi"/>
      </w:rPr>
    </w:lvl>
    <w:lvl w:ilvl="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30" w15:restartNumberingAfterBreak="0">
    <w:nsid w:val="511E2C33"/>
    <w:multiLevelType w:val="hybridMultilevel"/>
    <w:tmpl w:val="9F90E6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3287ACC"/>
    <w:multiLevelType w:val="hybridMultilevel"/>
    <w:tmpl w:val="AEA6C4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56887026"/>
    <w:multiLevelType w:val="multilevel"/>
    <w:tmpl w:val="6756CE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6617066"/>
    <w:multiLevelType w:val="hybridMultilevel"/>
    <w:tmpl w:val="762294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D6F1C5F"/>
    <w:multiLevelType w:val="hybridMultilevel"/>
    <w:tmpl w:val="C93C81AC"/>
    <w:lvl w:ilvl="0" w:tplc="2EBE9FEC">
      <w:start w:val="6"/>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E46433F"/>
    <w:multiLevelType w:val="multilevel"/>
    <w:tmpl w:val="0E367638"/>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714B20ED"/>
    <w:multiLevelType w:val="multilevel"/>
    <w:tmpl w:val="C85CFE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75BD2410"/>
    <w:multiLevelType w:val="hybridMultilevel"/>
    <w:tmpl w:val="EAE881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83F5032"/>
    <w:multiLevelType w:val="multilevel"/>
    <w:tmpl w:val="A4E6A0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8E82169"/>
    <w:multiLevelType w:val="multilevel"/>
    <w:tmpl w:val="EC32C9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26121295">
    <w:abstractNumId w:val="30"/>
  </w:num>
  <w:num w:numId="2" w16cid:durableId="967975633">
    <w:abstractNumId w:val="23"/>
  </w:num>
  <w:num w:numId="3" w16cid:durableId="217324904">
    <w:abstractNumId w:val="37"/>
  </w:num>
  <w:num w:numId="4" w16cid:durableId="1045102711">
    <w:abstractNumId w:val="24"/>
  </w:num>
  <w:num w:numId="5" w16cid:durableId="458569945">
    <w:abstractNumId w:val="9"/>
  </w:num>
  <w:num w:numId="6" w16cid:durableId="1850175000">
    <w:abstractNumId w:val="7"/>
  </w:num>
  <w:num w:numId="7" w16cid:durableId="893272776">
    <w:abstractNumId w:val="6"/>
  </w:num>
  <w:num w:numId="8" w16cid:durableId="2068528666">
    <w:abstractNumId w:val="5"/>
  </w:num>
  <w:num w:numId="9" w16cid:durableId="1690712833">
    <w:abstractNumId w:val="4"/>
  </w:num>
  <w:num w:numId="10" w16cid:durableId="778140771">
    <w:abstractNumId w:val="8"/>
  </w:num>
  <w:num w:numId="11" w16cid:durableId="1399325322">
    <w:abstractNumId w:val="3"/>
  </w:num>
  <w:num w:numId="12" w16cid:durableId="1615751311">
    <w:abstractNumId w:val="2"/>
  </w:num>
  <w:num w:numId="13" w16cid:durableId="1514758462">
    <w:abstractNumId w:val="1"/>
  </w:num>
  <w:num w:numId="14" w16cid:durableId="247232701">
    <w:abstractNumId w:val="0"/>
  </w:num>
  <w:num w:numId="15" w16cid:durableId="12612823">
    <w:abstractNumId w:val="17"/>
  </w:num>
  <w:num w:numId="16" w16cid:durableId="406462636">
    <w:abstractNumId w:val="33"/>
  </w:num>
  <w:num w:numId="17" w16cid:durableId="1797865269">
    <w:abstractNumId w:val="19"/>
  </w:num>
  <w:num w:numId="18" w16cid:durableId="724640655">
    <w:abstractNumId w:val="31"/>
  </w:num>
  <w:num w:numId="19" w16cid:durableId="1923441913">
    <w:abstractNumId w:val="34"/>
  </w:num>
  <w:num w:numId="20" w16cid:durableId="298263263">
    <w:abstractNumId w:val="13"/>
  </w:num>
  <w:num w:numId="21" w16cid:durableId="1464693834">
    <w:abstractNumId w:val="35"/>
  </w:num>
  <w:num w:numId="22" w16cid:durableId="1309359019">
    <w:abstractNumId w:val="39"/>
  </w:num>
  <w:num w:numId="23" w16cid:durableId="966013451">
    <w:abstractNumId w:val="36"/>
  </w:num>
  <w:num w:numId="24" w16cid:durableId="672756677">
    <w:abstractNumId w:val="15"/>
  </w:num>
  <w:num w:numId="25" w16cid:durableId="1176576785">
    <w:abstractNumId w:val="10"/>
  </w:num>
  <w:num w:numId="26" w16cid:durableId="330986201">
    <w:abstractNumId w:val="27"/>
  </w:num>
  <w:num w:numId="27" w16cid:durableId="1283075538">
    <w:abstractNumId w:val="18"/>
  </w:num>
  <w:num w:numId="28" w16cid:durableId="1214998636">
    <w:abstractNumId w:val="16"/>
  </w:num>
  <w:num w:numId="29" w16cid:durableId="1569026388">
    <w:abstractNumId w:val="21"/>
  </w:num>
  <w:num w:numId="30" w16cid:durableId="101650941">
    <w:abstractNumId w:val="38"/>
  </w:num>
  <w:num w:numId="31" w16cid:durableId="1909148340">
    <w:abstractNumId w:val="32"/>
  </w:num>
  <w:num w:numId="32" w16cid:durableId="914781756">
    <w:abstractNumId w:val="20"/>
  </w:num>
  <w:num w:numId="33" w16cid:durableId="1935047916">
    <w:abstractNumId w:val="26"/>
  </w:num>
  <w:num w:numId="34" w16cid:durableId="1681933113">
    <w:abstractNumId w:val="22"/>
  </w:num>
  <w:num w:numId="35" w16cid:durableId="281304658">
    <w:abstractNumId w:val="28"/>
  </w:num>
  <w:num w:numId="36" w16cid:durableId="2100326592">
    <w:abstractNumId w:val="25"/>
  </w:num>
  <w:num w:numId="37" w16cid:durableId="249854100">
    <w:abstractNumId w:val="14"/>
  </w:num>
  <w:num w:numId="38" w16cid:durableId="244340811">
    <w:abstractNumId w:val="11"/>
  </w:num>
  <w:num w:numId="39" w16cid:durableId="614411910">
    <w:abstractNumId w:val="12"/>
  </w:num>
  <w:num w:numId="40" w16cid:durableId="421068923">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stylePaneSortMethod w:val="0004"/>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tLSwNDMzsjQytTAyMzVX0lEKTi0uzszPAykwrgUAmmI8vywAAAA="/>
  </w:docVars>
  <w:rsids>
    <w:rsidRoot w:val="007A7DCD"/>
    <w:rsid w:val="00003254"/>
    <w:rsid w:val="000034A6"/>
    <w:rsid w:val="00006BC5"/>
    <w:rsid w:val="00020595"/>
    <w:rsid w:val="000219D4"/>
    <w:rsid w:val="00022AAE"/>
    <w:rsid w:val="0002655C"/>
    <w:rsid w:val="0004384B"/>
    <w:rsid w:val="00044065"/>
    <w:rsid w:val="000442D1"/>
    <w:rsid w:val="000449F1"/>
    <w:rsid w:val="0005481B"/>
    <w:rsid w:val="00061B7A"/>
    <w:rsid w:val="00070FDF"/>
    <w:rsid w:val="0007489D"/>
    <w:rsid w:val="00074F07"/>
    <w:rsid w:val="00081EE7"/>
    <w:rsid w:val="00082E96"/>
    <w:rsid w:val="00085927"/>
    <w:rsid w:val="000972C7"/>
    <w:rsid w:val="000A2B8B"/>
    <w:rsid w:val="000A438C"/>
    <w:rsid w:val="000A55AD"/>
    <w:rsid w:val="000A634D"/>
    <w:rsid w:val="000A6B00"/>
    <w:rsid w:val="000B073B"/>
    <w:rsid w:val="000C062C"/>
    <w:rsid w:val="000C4EAD"/>
    <w:rsid w:val="000C7088"/>
    <w:rsid w:val="000C7821"/>
    <w:rsid w:val="000C7CBE"/>
    <w:rsid w:val="000D57AE"/>
    <w:rsid w:val="000D6CD5"/>
    <w:rsid w:val="000D707B"/>
    <w:rsid w:val="000D7656"/>
    <w:rsid w:val="000E343C"/>
    <w:rsid w:val="000E5D17"/>
    <w:rsid w:val="000F2C81"/>
    <w:rsid w:val="000F3888"/>
    <w:rsid w:val="000F5756"/>
    <w:rsid w:val="000F7547"/>
    <w:rsid w:val="00106E27"/>
    <w:rsid w:val="00120197"/>
    <w:rsid w:val="00121629"/>
    <w:rsid w:val="00123B1B"/>
    <w:rsid w:val="001248A9"/>
    <w:rsid w:val="0013488F"/>
    <w:rsid w:val="001376E6"/>
    <w:rsid w:val="00137C98"/>
    <w:rsid w:val="0014267B"/>
    <w:rsid w:val="00145A01"/>
    <w:rsid w:val="0014765D"/>
    <w:rsid w:val="00151D15"/>
    <w:rsid w:val="00152087"/>
    <w:rsid w:val="0015336D"/>
    <w:rsid w:val="0015733F"/>
    <w:rsid w:val="00160C1F"/>
    <w:rsid w:val="0016593F"/>
    <w:rsid w:val="00183563"/>
    <w:rsid w:val="001873A1"/>
    <w:rsid w:val="00187A9B"/>
    <w:rsid w:val="00187D2C"/>
    <w:rsid w:val="00191F9D"/>
    <w:rsid w:val="00195C19"/>
    <w:rsid w:val="001B138B"/>
    <w:rsid w:val="001B1DA5"/>
    <w:rsid w:val="001B4207"/>
    <w:rsid w:val="001B4689"/>
    <w:rsid w:val="001B6AD0"/>
    <w:rsid w:val="001D59FD"/>
    <w:rsid w:val="001D78F2"/>
    <w:rsid w:val="001E5278"/>
    <w:rsid w:val="001F0AFB"/>
    <w:rsid w:val="001F1DAE"/>
    <w:rsid w:val="001F68F8"/>
    <w:rsid w:val="001F7B0A"/>
    <w:rsid w:val="002017C3"/>
    <w:rsid w:val="00203641"/>
    <w:rsid w:val="00213092"/>
    <w:rsid w:val="00215DF4"/>
    <w:rsid w:val="002220A3"/>
    <w:rsid w:val="00231C80"/>
    <w:rsid w:val="00233787"/>
    <w:rsid w:val="00233B71"/>
    <w:rsid w:val="00235A0F"/>
    <w:rsid w:val="002423A6"/>
    <w:rsid w:val="00250E7D"/>
    <w:rsid w:val="0025251E"/>
    <w:rsid w:val="002601B2"/>
    <w:rsid w:val="002608C9"/>
    <w:rsid w:val="00262D45"/>
    <w:rsid w:val="00266445"/>
    <w:rsid w:val="00266B81"/>
    <w:rsid w:val="00275C5C"/>
    <w:rsid w:val="00280186"/>
    <w:rsid w:val="00280DCD"/>
    <w:rsid w:val="00283432"/>
    <w:rsid w:val="002A62B8"/>
    <w:rsid w:val="002B3A2F"/>
    <w:rsid w:val="002C4883"/>
    <w:rsid w:val="002C4DE3"/>
    <w:rsid w:val="002D0A98"/>
    <w:rsid w:val="002D3F05"/>
    <w:rsid w:val="002D4162"/>
    <w:rsid w:val="002E6378"/>
    <w:rsid w:val="002F2E5C"/>
    <w:rsid w:val="002F2EDC"/>
    <w:rsid w:val="002F502C"/>
    <w:rsid w:val="003027B9"/>
    <w:rsid w:val="00303110"/>
    <w:rsid w:val="0030730B"/>
    <w:rsid w:val="003247AB"/>
    <w:rsid w:val="00324F9A"/>
    <w:rsid w:val="00336D48"/>
    <w:rsid w:val="0034082D"/>
    <w:rsid w:val="003445B7"/>
    <w:rsid w:val="00353D49"/>
    <w:rsid w:val="00361C03"/>
    <w:rsid w:val="00362974"/>
    <w:rsid w:val="00365963"/>
    <w:rsid w:val="00367C8B"/>
    <w:rsid w:val="00371E24"/>
    <w:rsid w:val="003745FA"/>
    <w:rsid w:val="003776DE"/>
    <w:rsid w:val="0038721C"/>
    <w:rsid w:val="00391107"/>
    <w:rsid w:val="00391ADA"/>
    <w:rsid w:val="00392F12"/>
    <w:rsid w:val="00393845"/>
    <w:rsid w:val="003957ED"/>
    <w:rsid w:val="003A4DAA"/>
    <w:rsid w:val="003A662C"/>
    <w:rsid w:val="003B00C4"/>
    <w:rsid w:val="003B06E1"/>
    <w:rsid w:val="003B18C6"/>
    <w:rsid w:val="003B1DA6"/>
    <w:rsid w:val="003B3DA2"/>
    <w:rsid w:val="003C42F9"/>
    <w:rsid w:val="003C603A"/>
    <w:rsid w:val="003C67DA"/>
    <w:rsid w:val="003D2ACF"/>
    <w:rsid w:val="003D43FA"/>
    <w:rsid w:val="003D4926"/>
    <w:rsid w:val="003D54D8"/>
    <w:rsid w:val="003E2177"/>
    <w:rsid w:val="003E3984"/>
    <w:rsid w:val="003F04F5"/>
    <w:rsid w:val="003F1DF3"/>
    <w:rsid w:val="00402187"/>
    <w:rsid w:val="004022FB"/>
    <w:rsid w:val="0040231E"/>
    <w:rsid w:val="00404388"/>
    <w:rsid w:val="00411374"/>
    <w:rsid w:val="004122EE"/>
    <w:rsid w:val="004440C9"/>
    <w:rsid w:val="0044500D"/>
    <w:rsid w:val="004462EC"/>
    <w:rsid w:val="00451D95"/>
    <w:rsid w:val="00453934"/>
    <w:rsid w:val="0046036D"/>
    <w:rsid w:val="00470244"/>
    <w:rsid w:val="00475BAA"/>
    <w:rsid w:val="00481824"/>
    <w:rsid w:val="00482CDE"/>
    <w:rsid w:val="00484582"/>
    <w:rsid w:val="0049123E"/>
    <w:rsid w:val="004931D6"/>
    <w:rsid w:val="00494E90"/>
    <w:rsid w:val="004961C4"/>
    <w:rsid w:val="004968DD"/>
    <w:rsid w:val="004A3FE2"/>
    <w:rsid w:val="004A404B"/>
    <w:rsid w:val="004B2CD0"/>
    <w:rsid w:val="004C16C0"/>
    <w:rsid w:val="004C4B67"/>
    <w:rsid w:val="004D15C7"/>
    <w:rsid w:val="004D1E17"/>
    <w:rsid w:val="004D2428"/>
    <w:rsid w:val="004D2886"/>
    <w:rsid w:val="004D295D"/>
    <w:rsid w:val="004E4A7B"/>
    <w:rsid w:val="004F38ED"/>
    <w:rsid w:val="004F7713"/>
    <w:rsid w:val="00500AFD"/>
    <w:rsid w:val="00503F69"/>
    <w:rsid w:val="00505392"/>
    <w:rsid w:val="0051353D"/>
    <w:rsid w:val="00514A98"/>
    <w:rsid w:val="005165CC"/>
    <w:rsid w:val="00521EDD"/>
    <w:rsid w:val="0052314A"/>
    <w:rsid w:val="00523B69"/>
    <w:rsid w:val="00526079"/>
    <w:rsid w:val="005329B8"/>
    <w:rsid w:val="005430B7"/>
    <w:rsid w:val="0054313A"/>
    <w:rsid w:val="00543656"/>
    <w:rsid w:val="005451BA"/>
    <w:rsid w:val="00547F44"/>
    <w:rsid w:val="0055265D"/>
    <w:rsid w:val="00553853"/>
    <w:rsid w:val="00555B93"/>
    <w:rsid w:val="00556083"/>
    <w:rsid w:val="00561000"/>
    <w:rsid w:val="005612D0"/>
    <w:rsid w:val="0056381E"/>
    <w:rsid w:val="00563B07"/>
    <w:rsid w:val="00564A86"/>
    <w:rsid w:val="00567649"/>
    <w:rsid w:val="00567E86"/>
    <w:rsid w:val="0057674B"/>
    <w:rsid w:val="00585992"/>
    <w:rsid w:val="00586EDC"/>
    <w:rsid w:val="0059418E"/>
    <w:rsid w:val="005956A5"/>
    <w:rsid w:val="0059742A"/>
    <w:rsid w:val="00597E9C"/>
    <w:rsid w:val="005A7CFB"/>
    <w:rsid w:val="005B05CD"/>
    <w:rsid w:val="005B1732"/>
    <w:rsid w:val="005B61CE"/>
    <w:rsid w:val="005D06B0"/>
    <w:rsid w:val="005D26AC"/>
    <w:rsid w:val="005D26F4"/>
    <w:rsid w:val="005E21E1"/>
    <w:rsid w:val="005E5F2A"/>
    <w:rsid w:val="005E6AF2"/>
    <w:rsid w:val="005F0DD3"/>
    <w:rsid w:val="005F2788"/>
    <w:rsid w:val="005F64C3"/>
    <w:rsid w:val="005F7153"/>
    <w:rsid w:val="00604292"/>
    <w:rsid w:val="00607599"/>
    <w:rsid w:val="00610708"/>
    <w:rsid w:val="00612547"/>
    <w:rsid w:val="00613265"/>
    <w:rsid w:val="0063285B"/>
    <w:rsid w:val="00633A97"/>
    <w:rsid w:val="0064148F"/>
    <w:rsid w:val="00641584"/>
    <w:rsid w:val="006419AB"/>
    <w:rsid w:val="00647E21"/>
    <w:rsid w:val="00650827"/>
    <w:rsid w:val="00651C3D"/>
    <w:rsid w:val="00655008"/>
    <w:rsid w:val="006569AF"/>
    <w:rsid w:val="00665933"/>
    <w:rsid w:val="00666872"/>
    <w:rsid w:val="00686520"/>
    <w:rsid w:val="0069109F"/>
    <w:rsid w:val="006A2B02"/>
    <w:rsid w:val="006B16E9"/>
    <w:rsid w:val="006B4BC3"/>
    <w:rsid w:val="006B70BD"/>
    <w:rsid w:val="006C2FAF"/>
    <w:rsid w:val="006D32A7"/>
    <w:rsid w:val="006D57FA"/>
    <w:rsid w:val="006F6266"/>
    <w:rsid w:val="0070134A"/>
    <w:rsid w:val="00704F73"/>
    <w:rsid w:val="00711285"/>
    <w:rsid w:val="00711DE4"/>
    <w:rsid w:val="00711F3C"/>
    <w:rsid w:val="00711FB3"/>
    <w:rsid w:val="007150FA"/>
    <w:rsid w:val="00725E21"/>
    <w:rsid w:val="00733955"/>
    <w:rsid w:val="00737A26"/>
    <w:rsid w:val="00737CB0"/>
    <w:rsid w:val="00740751"/>
    <w:rsid w:val="007535A5"/>
    <w:rsid w:val="00753E9F"/>
    <w:rsid w:val="00757958"/>
    <w:rsid w:val="00763269"/>
    <w:rsid w:val="00764C6D"/>
    <w:rsid w:val="00765183"/>
    <w:rsid w:val="00765E3F"/>
    <w:rsid w:val="0077115C"/>
    <w:rsid w:val="00774BD6"/>
    <w:rsid w:val="00776933"/>
    <w:rsid w:val="00785543"/>
    <w:rsid w:val="00787CDD"/>
    <w:rsid w:val="00791ACA"/>
    <w:rsid w:val="007942B7"/>
    <w:rsid w:val="00795509"/>
    <w:rsid w:val="007A1E2D"/>
    <w:rsid w:val="007A6475"/>
    <w:rsid w:val="007A6F1F"/>
    <w:rsid w:val="007A7DCD"/>
    <w:rsid w:val="007B07A4"/>
    <w:rsid w:val="007B76D8"/>
    <w:rsid w:val="007B78CB"/>
    <w:rsid w:val="007D055A"/>
    <w:rsid w:val="007D5142"/>
    <w:rsid w:val="007D5F73"/>
    <w:rsid w:val="007E1D70"/>
    <w:rsid w:val="007E2008"/>
    <w:rsid w:val="007E2031"/>
    <w:rsid w:val="007E5EF5"/>
    <w:rsid w:val="007E7311"/>
    <w:rsid w:val="007F0F74"/>
    <w:rsid w:val="00806F35"/>
    <w:rsid w:val="0080771A"/>
    <w:rsid w:val="00814C0A"/>
    <w:rsid w:val="0083161D"/>
    <w:rsid w:val="00836B59"/>
    <w:rsid w:val="00842087"/>
    <w:rsid w:val="0084248F"/>
    <w:rsid w:val="00844F00"/>
    <w:rsid w:val="0084582B"/>
    <w:rsid w:val="0084599F"/>
    <w:rsid w:val="0085242B"/>
    <w:rsid w:val="00860E8D"/>
    <w:rsid w:val="00861E00"/>
    <w:rsid w:val="00862883"/>
    <w:rsid w:val="008629D6"/>
    <w:rsid w:val="0087751B"/>
    <w:rsid w:val="00880202"/>
    <w:rsid w:val="008808DD"/>
    <w:rsid w:val="0088634E"/>
    <w:rsid w:val="00887756"/>
    <w:rsid w:val="0089185D"/>
    <w:rsid w:val="008968C7"/>
    <w:rsid w:val="008A084E"/>
    <w:rsid w:val="008A4DB7"/>
    <w:rsid w:val="008B07B6"/>
    <w:rsid w:val="008C1499"/>
    <w:rsid w:val="008C23FA"/>
    <w:rsid w:val="008C3CFF"/>
    <w:rsid w:val="008C6E2E"/>
    <w:rsid w:val="008D11BD"/>
    <w:rsid w:val="008D17C3"/>
    <w:rsid w:val="008D6605"/>
    <w:rsid w:val="008E06DE"/>
    <w:rsid w:val="008E35FE"/>
    <w:rsid w:val="008F20CA"/>
    <w:rsid w:val="008F318A"/>
    <w:rsid w:val="008F5343"/>
    <w:rsid w:val="008F54E5"/>
    <w:rsid w:val="008F5DBA"/>
    <w:rsid w:val="00905D00"/>
    <w:rsid w:val="00914637"/>
    <w:rsid w:val="00914724"/>
    <w:rsid w:val="00916EFB"/>
    <w:rsid w:val="00922718"/>
    <w:rsid w:val="0092449B"/>
    <w:rsid w:val="00925823"/>
    <w:rsid w:val="00931780"/>
    <w:rsid w:val="00933758"/>
    <w:rsid w:val="009342D8"/>
    <w:rsid w:val="00934FD2"/>
    <w:rsid w:val="009357A5"/>
    <w:rsid w:val="00947777"/>
    <w:rsid w:val="00953D2C"/>
    <w:rsid w:val="00961401"/>
    <w:rsid w:val="00963FBC"/>
    <w:rsid w:val="00965601"/>
    <w:rsid w:val="00966983"/>
    <w:rsid w:val="009669DA"/>
    <w:rsid w:val="00967BC3"/>
    <w:rsid w:val="00981D4D"/>
    <w:rsid w:val="00982BE8"/>
    <w:rsid w:val="00987E01"/>
    <w:rsid w:val="009929EF"/>
    <w:rsid w:val="009A15F0"/>
    <w:rsid w:val="009A4231"/>
    <w:rsid w:val="009A49B5"/>
    <w:rsid w:val="009B6E04"/>
    <w:rsid w:val="009C014A"/>
    <w:rsid w:val="009C43CA"/>
    <w:rsid w:val="009C6106"/>
    <w:rsid w:val="009D2591"/>
    <w:rsid w:val="009D3747"/>
    <w:rsid w:val="009D6D20"/>
    <w:rsid w:val="009D7538"/>
    <w:rsid w:val="009D7619"/>
    <w:rsid w:val="009E28CE"/>
    <w:rsid w:val="009E7037"/>
    <w:rsid w:val="00A02654"/>
    <w:rsid w:val="00A036E5"/>
    <w:rsid w:val="00A0645A"/>
    <w:rsid w:val="00A16DAF"/>
    <w:rsid w:val="00A2157F"/>
    <w:rsid w:val="00A30374"/>
    <w:rsid w:val="00A3496B"/>
    <w:rsid w:val="00A36281"/>
    <w:rsid w:val="00A42952"/>
    <w:rsid w:val="00A46A82"/>
    <w:rsid w:val="00A47E4A"/>
    <w:rsid w:val="00A53F54"/>
    <w:rsid w:val="00A55AA8"/>
    <w:rsid w:val="00A612A8"/>
    <w:rsid w:val="00A64235"/>
    <w:rsid w:val="00A662DC"/>
    <w:rsid w:val="00A70A8F"/>
    <w:rsid w:val="00A7299F"/>
    <w:rsid w:val="00A77827"/>
    <w:rsid w:val="00A77BEC"/>
    <w:rsid w:val="00A80218"/>
    <w:rsid w:val="00A909AF"/>
    <w:rsid w:val="00A90EC1"/>
    <w:rsid w:val="00A95054"/>
    <w:rsid w:val="00AC08FC"/>
    <w:rsid w:val="00AD227B"/>
    <w:rsid w:val="00AD4277"/>
    <w:rsid w:val="00AE7D3E"/>
    <w:rsid w:val="00AF1B23"/>
    <w:rsid w:val="00B131B2"/>
    <w:rsid w:val="00B165BF"/>
    <w:rsid w:val="00B17A2A"/>
    <w:rsid w:val="00B17EDE"/>
    <w:rsid w:val="00B23BC7"/>
    <w:rsid w:val="00B33547"/>
    <w:rsid w:val="00B4151B"/>
    <w:rsid w:val="00B424C4"/>
    <w:rsid w:val="00B42600"/>
    <w:rsid w:val="00B43207"/>
    <w:rsid w:val="00B45B83"/>
    <w:rsid w:val="00B52A48"/>
    <w:rsid w:val="00B533D7"/>
    <w:rsid w:val="00B54DD9"/>
    <w:rsid w:val="00B550F0"/>
    <w:rsid w:val="00B562CB"/>
    <w:rsid w:val="00B6149B"/>
    <w:rsid w:val="00B62610"/>
    <w:rsid w:val="00B63FA7"/>
    <w:rsid w:val="00B714CA"/>
    <w:rsid w:val="00B77C19"/>
    <w:rsid w:val="00B86E89"/>
    <w:rsid w:val="00B952CE"/>
    <w:rsid w:val="00B95BCF"/>
    <w:rsid w:val="00BA1780"/>
    <w:rsid w:val="00BC05F4"/>
    <w:rsid w:val="00BC1F7A"/>
    <w:rsid w:val="00BC7C57"/>
    <w:rsid w:val="00BD5584"/>
    <w:rsid w:val="00BD7498"/>
    <w:rsid w:val="00BD7C01"/>
    <w:rsid w:val="00BE356A"/>
    <w:rsid w:val="00BE47AA"/>
    <w:rsid w:val="00BF012E"/>
    <w:rsid w:val="00BF4473"/>
    <w:rsid w:val="00BF5B08"/>
    <w:rsid w:val="00C017AF"/>
    <w:rsid w:val="00C04283"/>
    <w:rsid w:val="00C067BD"/>
    <w:rsid w:val="00C11C4A"/>
    <w:rsid w:val="00C12F38"/>
    <w:rsid w:val="00C1468A"/>
    <w:rsid w:val="00C2636D"/>
    <w:rsid w:val="00C323B2"/>
    <w:rsid w:val="00C33F96"/>
    <w:rsid w:val="00C4331C"/>
    <w:rsid w:val="00C458DB"/>
    <w:rsid w:val="00C61151"/>
    <w:rsid w:val="00C61C77"/>
    <w:rsid w:val="00C62230"/>
    <w:rsid w:val="00C67CFD"/>
    <w:rsid w:val="00C72039"/>
    <w:rsid w:val="00C75C07"/>
    <w:rsid w:val="00C75F2D"/>
    <w:rsid w:val="00C84A9F"/>
    <w:rsid w:val="00C866B3"/>
    <w:rsid w:val="00C87B4A"/>
    <w:rsid w:val="00C97D27"/>
    <w:rsid w:val="00CA7A4A"/>
    <w:rsid w:val="00CB4107"/>
    <w:rsid w:val="00CB6F97"/>
    <w:rsid w:val="00CB76BC"/>
    <w:rsid w:val="00CB78B5"/>
    <w:rsid w:val="00CC112D"/>
    <w:rsid w:val="00CD1494"/>
    <w:rsid w:val="00CD5A57"/>
    <w:rsid w:val="00CE30DF"/>
    <w:rsid w:val="00CF0F64"/>
    <w:rsid w:val="00CF2019"/>
    <w:rsid w:val="00CF2438"/>
    <w:rsid w:val="00CF41BD"/>
    <w:rsid w:val="00CF5BC1"/>
    <w:rsid w:val="00CF659B"/>
    <w:rsid w:val="00CF6922"/>
    <w:rsid w:val="00CF7879"/>
    <w:rsid w:val="00D118E4"/>
    <w:rsid w:val="00D13BC0"/>
    <w:rsid w:val="00D2378D"/>
    <w:rsid w:val="00D25016"/>
    <w:rsid w:val="00D25A54"/>
    <w:rsid w:val="00D3302A"/>
    <w:rsid w:val="00D401F4"/>
    <w:rsid w:val="00D40F3F"/>
    <w:rsid w:val="00D42062"/>
    <w:rsid w:val="00D4379A"/>
    <w:rsid w:val="00D43E7C"/>
    <w:rsid w:val="00D5129C"/>
    <w:rsid w:val="00D54234"/>
    <w:rsid w:val="00D66FAF"/>
    <w:rsid w:val="00D7509E"/>
    <w:rsid w:val="00D84B25"/>
    <w:rsid w:val="00D867E8"/>
    <w:rsid w:val="00D90AB3"/>
    <w:rsid w:val="00D915B6"/>
    <w:rsid w:val="00D964F2"/>
    <w:rsid w:val="00DA1AFF"/>
    <w:rsid w:val="00DB02FA"/>
    <w:rsid w:val="00DB210A"/>
    <w:rsid w:val="00DB4FC2"/>
    <w:rsid w:val="00DB5EC4"/>
    <w:rsid w:val="00DB7956"/>
    <w:rsid w:val="00DC09A5"/>
    <w:rsid w:val="00DD3593"/>
    <w:rsid w:val="00DD5A4F"/>
    <w:rsid w:val="00DD6B88"/>
    <w:rsid w:val="00DE0B9C"/>
    <w:rsid w:val="00DE0F8C"/>
    <w:rsid w:val="00DE10F0"/>
    <w:rsid w:val="00DF2DCC"/>
    <w:rsid w:val="00E03E8E"/>
    <w:rsid w:val="00E0747D"/>
    <w:rsid w:val="00E1296F"/>
    <w:rsid w:val="00E15642"/>
    <w:rsid w:val="00E1684E"/>
    <w:rsid w:val="00E214AA"/>
    <w:rsid w:val="00E30DB9"/>
    <w:rsid w:val="00E43440"/>
    <w:rsid w:val="00E45989"/>
    <w:rsid w:val="00E47351"/>
    <w:rsid w:val="00E520DC"/>
    <w:rsid w:val="00E529F1"/>
    <w:rsid w:val="00E6232A"/>
    <w:rsid w:val="00E6238B"/>
    <w:rsid w:val="00E639F1"/>
    <w:rsid w:val="00E67276"/>
    <w:rsid w:val="00E67691"/>
    <w:rsid w:val="00E85779"/>
    <w:rsid w:val="00E86F8E"/>
    <w:rsid w:val="00E91579"/>
    <w:rsid w:val="00E94261"/>
    <w:rsid w:val="00EA3393"/>
    <w:rsid w:val="00EA5F4B"/>
    <w:rsid w:val="00EA783C"/>
    <w:rsid w:val="00EB0601"/>
    <w:rsid w:val="00EB5F05"/>
    <w:rsid w:val="00EC31FF"/>
    <w:rsid w:val="00ED0DE9"/>
    <w:rsid w:val="00ED73A5"/>
    <w:rsid w:val="00EE3C0A"/>
    <w:rsid w:val="00EE4775"/>
    <w:rsid w:val="00EE4A21"/>
    <w:rsid w:val="00EF267D"/>
    <w:rsid w:val="00EF2E6F"/>
    <w:rsid w:val="00EF50BA"/>
    <w:rsid w:val="00EF5E69"/>
    <w:rsid w:val="00F032F7"/>
    <w:rsid w:val="00F05FF6"/>
    <w:rsid w:val="00F07291"/>
    <w:rsid w:val="00F1183D"/>
    <w:rsid w:val="00F11C6D"/>
    <w:rsid w:val="00F13778"/>
    <w:rsid w:val="00F23837"/>
    <w:rsid w:val="00F24844"/>
    <w:rsid w:val="00F32FFF"/>
    <w:rsid w:val="00F34B03"/>
    <w:rsid w:val="00F431F9"/>
    <w:rsid w:val="00F43E52"/>
    <w:rsid w:val="00F523B4"/>
    <w:rsid w:val="00F6021B"/>
    <w:rsid w:val="00F60E15"/>
    <w:rsid w:val="00F70217"/>
    <w:rsid w:val="00F70EAE"/>
    <w:rsid w:val="00F80455"/>
    <w:rsid w:val="00F81D48"/>
    <w:rsid w:val="00F844C0"/>
    <w:rsid w:val="00F92B63"/>
    <w:rsid w:val="00F9613E"/>
    <w:rsid w:val="00FB4FE2"/>
    <w:rsid w:val="00FC176E"/>
    <w:rsid w:val="00FD2845"/>
    <w:rsid w:val="00FE50AB"/>
    <w:rsid w:val="00FF0101"/>
    <w:rsid w:val="00FF1B60"/>
    <w:rsid w:val="00FF2AAC"/>
    <w:rsid w:val="00FF52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5B40869"/>
  <w15:chartTrackingRefBased/>
  <w15:docId w15:val="{303D9542-F18E-4BE3-94C4-CA6EC482E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lsdException w:name="heading 1" w:uiPriority="9"/>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215DF4"/>
  </w:style>
  <w:style w:type="paragraph" w:styleId="Heading1">
    <w:name w:val="heading 1"/>
    <w:basedOn w:val="Normal"/>
    <w:next w:val="Normal"/>
    <w:link w:val="Heading1Char"/>
    <w:uiPriority w:val="9"/>
    <w:rsid w:val="003A4DAA"/>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semiHidden/>
    <w:unhideWhenUsed/>
    <w:rsid w:val="003A4DAA"/>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A4DAA"/>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A4DAA"/>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3A4DAA"/>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3A4DAA"/>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3A4DAA"/>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3A4DAA"/>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3A4DAA"/>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OBEHeaderinformation">
    <w:name w:val="OBE Header information"/>
    <w:basedOn w:val="Normal"/>
    <w:link w:val="OBEHeaderinformationChar"/>
    <w:qFormat/>
    <w:rsid w:val="007A7DCD"/>
    <w:pPr>
      <w:jc w:val="center"/>
    </w:pPr>
    <w:rPr>
      <w:b/>
      <w:sz w:val="28"/>
    </w:rPr>
  </w:style>
  <w:style w:type="paragraph" w:customStyle="1" w:styleId="OBEBody">
    <w:name w:val="OBE Body"/>
    <w:link w:val="OBEBodyChar"/>
    <w:qFormat/>
    <w:rsid w:val="00BF5B08"/>
    <w:pPr>
      <w:spacing w:after="180" w:line="360" w:lineRule="auto"/>
      <w:jc w:val="both"/>
    </w:pPr>
    <w:rPr>
      <w:sz w:val="24"/>
    </w:rPr>
  </w:style>
  <w:style w:type="character" w:customStyle="1" w:styleId="OBEHeaderinformationChar">
    <w:name w:val="OBE Header information Char"/>
    <w:basedOn w:val="DefaultParagraphFont"/>
    <w:link w:val="OBEHeaderinformation"/>
    <w:rsid w:val="007A7DCD"/>
    <w:rPr>
      <w:b/>
      <w:sz w:val="28"/>
    </w:rPr>
  </w:style>
  <w:style w:type="paragraph" w:customStyle="1" w:styleId="OBESubtitle1sttier">
    <w:name w:val="OBE Subtitle 1st tier"/>
    <w:link w:val="OBESubtitle1sttierChar"/>
    <w:qFormat/>
    <w:rsid w:val="00A7299F"/>
    <w:pPr>
      <w:outlineLvl w:val="0"/>
    </w:pPr>
    <w:rPr>
      <w:rFonts w:asciiTheme="majorHAnsi" w:hAnsiTheme="majorHAnsi" w:cstheme="majorHAnsi"/>
      <w:color w:val="323E4F" w:themeColor="text2" w:themeShade="BF"/>
      <w:sz w:val="36"/>
      <w:szCs w:val="36"/>
    </w:rPr>
  </w:style>
  <w:style w:type="character" w:customStyle="1" w:styleId="OBEBodyChar">
    <w:name w:val="OBE Body Char"/>
    <w:basedOn w:val="OBEHeaderinformationChar"/>
    <w:link w:val="OBEBody"/>
    <w:rsid w:val="00BF5B08"/>
    <w:rPr>
      <w:b w:val="0"/>
      <w:sz w:val="24"/>
    </w:rPr>
  </w:style>
  <w:style w:type="paragraph" w:styleId="Footer">
    <w:name w:val="footer"/>
    <w:basedOn w:val="Normal"/>
    <w:link w:val="FooterChar"/>
    <w:rsid w:val="007A7DCD"/>
    <w:pPr>
      <w:tabs>
        <w:tab w:val="center" w:pos="4513"/>
        <w:tab w:val="right" w:pos="9026"/>
      </w:tabs>
      <w:spacing w:after="0" w:line="240" w:lineRule="auto"/>
    </w:pPr>
  </w:style>
  <w:style w:type="character" w:customStyle="1" w:styleId="FooterChar">
    <w:name w:val="Footer Char"/>
    <w:basedOn w:val="DefaultParagraphFont"/>
    <w:link w:val="Footer"/>
    <w:rsid w:val="007A7DCD"/>
    <w:rPr>
      <w:rFonts w:ascii="Calibri" w:eastAsia="Arial Unicode MS" w:hAnsi="Calibri" w:cs="Arial Unicode MS"/>
      <w:color w:val="00000A"/>
      <w:kern w:val="2"/>
      <w:lang w:eastAsia="en-GB"/>
    </w:rPr>
  </w:style>
  <w:style w:type="paragraph" w:customStyle="1" w:styleId="OBEBibliography">
    <w:name w:val="OBE Bibliography"/>
    <w:basedOn w:val="OBEHeaderinformation"/>
    <w:qFormat/>
    <w:rsid w:val="007A7DCD"/>
    <w:pPr>
      <w:suppressAutoHyphens/>
      <w:spacing w:after="240" w:line="240" w:lineRule="auto"/>
      <w:jc w:val="both"/>
    </w:pPr>
    <w:rPr>
      <w:rFonts w:ascii="Calibri" w:eastAsia="Calibri" w:hAnsi="Calibri" w:cs="Times New Roman"/>
      <w:b w:val="0"/>
      <w:color w:val="00000A"/>
      <w:kern w:val="2"/>
      <w:sz w:val="24"/>
      <w:lang w:val="en-US"/>
    </w:rPr>
  </w:style>
  <w:style w:type="paragraph" w:customStyle="1" w:styleId="OBESubtitle2ndtier">
    <w:name w:val="OBE Subtitle 2nd tier"/>
    <w:link w:val="OBESubtitle2ndtierChar"/>
    <w:qFormat/>
    <w:rsid w:val="00393845"/>
    <w:pPr>
      <w:outlineLvl w:val="1"/>
    </w:pPr>
    <w:rPr>
      <w:rFonts w:asciiTheme="majorHAnsi" w:hAnsiTheme="majorHAnsi" w:cstheme="majorHAnsi"/>
      <w:i/>
      <w:color w:val="000000" w:themeColor="text1"/>
      <w:sz w:val="28"/>
      <w:szCs w:val="36"/>
      <w:u w:val="single"/>
    </w:rPr>
  </w:style>
  <w:style w:type="character" w:customStyle="1" w:styleId="Heading1Char">
    <w:name w:val="Heading 1 Char"/>
    <w:basedOn w:val="DefaultParagraphFont"/>
    <w:link w:val="Heading1"/>
    <w:uiPriority w:val="9"/>
    <w:rsid w:val="003A4DAA"/>
    <w:rPr>
      <w:rFonts w:asciiTheme="majorHAnsi" w:eastAsiaTheme="majorEastAsia" w:hAnsiTheme="majorHAnsi" w:cstheme="majorBidi"/>
      <w:color w:val="1F3864" w:themeColor="accent1" w:themeShade="80"/>
      <w:sz w:val="36"/>
      <w:szCs w:val="36"/>
    </w:rPr>
  </w:style>
  <w:style w:type="character" w:customStyle="1" w:styleId="OBESubtitle1sttierChar">
    <w:name w:val="OBE Subtitle 1st tier Char"/>
    <w:basedOn w:val="DefaultParagraphFont"/>
    <w:link w:val="OBESubtitle1sttier"/>
    <w:rsid w:val="00A7299F"/>
    <w:rPr>
      <w:rFonts w:asciiTheme="majorHAnsi" w:hAnsiTheme="majorHAnsi" w:cstheme="majorHAnsi"/>
      <w:color w:val="323E4F" w:themeColor="text2" w:themeShade="BF"/>
      <w:sz w:val="36"/>
      <w:szCs w:val="36"/>
    </w:rPr>
  </w:style>
  <w:style w:type="character" w:customStyle="1" w:styleId="OBESubtitle2ndtierChar">
    <w:name w:val="OBE Subtitle 2nd tier Char"/>
    <w:basedOn w:val="OBESubtitle1sttierChar"/>
    <w:link w:val="OBESubtitle2ndtier"/>
    <w:rsid w:val="00393845"/>
    <w:rPr>
      <w:rFonts w:asciiTheme="majorHAnsi" w:hAnsiTheme="majorHAnsi" w:cstheme="majorHAnsi"/>
      <w:i/>
      <w:color w:val="000000" w:themeColor="text1"/>
      <w:sz w:val="28"/>
      <w:szCs w:val="36"/>
      <w:u w:val="single"/>
    </w:rPr>
  </w:style>
  <w:style w:type="character" w:customStyle="1" w:styleId="Heading2Char">
    <w:name w:val="Heading 2 Char"/>
    <w:basedOn w:val="DefaultParagraphFont"/>
    <w:link w:val="Heading2"/>
    <w:uiPriority w:val="9"/>
    <w:semiHidden/>
    <w:rsid w:val="003A4DA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A4DAA"/>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A4DAA"/>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3A4DAA"/>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3A4DAA"/>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3A4DAA"/>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3A4DAA"/>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3A4DAA"/>
    <w:rPr>
      <w:rFonts w:asciiTheme="majorHAnsi" w:eastAsiaTheme="majorEastAsia" w:hAnsiTheme="majorHAnsi" w:cstheme="majorBidi"/>
      <w:i/>
      <w:iCs/>
      <w:color w:val="1F3864" w:themeColor="accent1" w:themeShade="80"/>
    </w:rPr>
  </w:style>
  <w:style w:type="paragraph" w:styleId="Caption">
    <w:name w:val="caption"/>
    <w:basedOn w:val="Normal"/>
    <w:next w:val="Normal"/>
    <w:link w:val="CaptionChar"/>
    <w:uiPriority w:val="35"/>
    <w:semiHidden/>
    <w:unhideWhenUsed/>
    <w:qFormat/>
    <w:rsid w:val="003A4DAA"/>
    <w:pPr>
      <w:spacing w:line="240" w:lineRule="auto"/>
    </w:pPr>
    <w:rPr>
      <w:b/>
      <w:bCs/>
      <w:smallCaps/>
      <w:color w:val="44546A" w:themeColor="text2"/>
    </w:rPr>
  </w:style>
  <w:style w:type="paragraph" w:styleId="Title">
    <w:name w:val="Title"/>
    <w:basedOn w:val="Normal"/>
    <w:next w:val="Normal"/>
    <w:link w:val="TitleChar"/>
    <w:uiPriority w:val="10"/>
    <w:rsid w:val="003A4DAA"/>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3A4DAA"/>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rsid w:val="003A4DAA"/>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3A4DAA"/>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rsid w:val="003A4DAA"/>
    <w:rPr>
      <w:b/>
      <w:bCs/>
    </w:rPr>
  </w:style>
  <w:style w:type="character" w:styleId="Emphasis">
    <w:name w:val="Emphasis"/>
    <w:basedOn w:val="DefaultParagraphFont"/>
    <w:uiPriority w:val="20"/>
    <w:rsid w:val="003A4DAA"/>
    <w:rPr>
      <w:i/>
      <w:iCs/>
    </w:rPr>
  </w:style>
  <w:style w:type="paragraph" w:styleId="Header">
    <w:name w:val="header"/>
    <w:basedOn w:val="Normal"/>
    <w:link w:val="HeaderChar"/>
    <w:uiPriority w:val="99"/>
    <w:unhideWhenUsed/>
    <w:rsid w:val="00D3302A"/>
    <w:pPr>
      <w:tabs>
        <w:tab w:val="center" w:pos="4513"/>
        <w:tab w:val="right" w:pos="9026"/>
      </w:tabs>
      <w:spacing w:after="0" w:line="240" w:lineRule="auto"/>
    </w:pPr>
  </w:style>
  <w:style w:type="paragraph" w:styleId="Quote">
    <w:name w:val="Quote"/>
    <w:basedOn w:val="Normal"/>
    <w:next w:val="Normal"/>
    <w:link w:val="QuoteChar"/>
    <w:uiPriority w:val="29"/>
    <w:rsid w:val="003A4DAA"/>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3A4DAA"/>
    <w:rPr>
      <w:color w:val="44546A" w:themeColor="text2"/>
      <w:sz w:val="24"/>
      <w:szCs w:val="24"/>
    </w:rPr>
  </w:style>
  <w:style w:type="paragraph" w:styleId="IntenseQuote">
    <w:name w:val="Intense Quote"/>
    <w:basedOn w:val="Normal"/>
    <w:next w:val="Normal"/>
    <w:link w:val="IntenseQuoteChar"/>
    <w:uiPriority w:val="30"/>
    <w:rsid w:val="003A4DAA"/>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3A4DAA"/>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rsid w:val="003A4DAA"/>
    <w:rPr>
      <w:i/>
      <w:iCs/>
      <w:color w:val="595959" w:themeColor="text1" w:themeTint="A6"/>
    </w:rPr>
  </w:style>
  <w:style w:type="character" w:styleId="IntenseEmphasis">
    <w:name w:val="Intense Emphasis"/>
    <w:basedOn w:val="DefaultParagraphFont"/>
    <w:uiPriority w:val="21"/>
    <w:rsid w:val="003A4DAA"/>
    <w:rPr>
      <w:b/>
      <w:bCs/>
      <w:i/>
      <w:iCs/>
    </w:rPr>
  </w:style>
  <w:style w:type="character" w:styleId="SubtleReference">
    <w:name w:val="Subtle Reference"/>
    <w:basedOn w:val="DefaultParagraphFont"/>
    <w:uiPriority w:val="31"/>
    <w:rsid w:val="003A4DAA"/>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rsid w:val="003A4DAA"/>
    <w:rPr>
      <w:b/>
      <w:bCs/>
      <w:smallCaps/>
      <w:color w:val="44546A" w:themeColor="text2"/>
      <w:u w:val="single"/>
    </w:rPr>
  </w:style>
  <w:style w:type="paragraph" w:customStyle="1" w:styleId="OBEFootnote">
    <w:name w:val="OBE Footnote"/>
    <w:basedOn w:val="FootnoteText"/>
    <w:link w:val="OBEFootnoteChar"/>
    <w:qFormat/>
    <w:rsid w:val="001D59FD"/>
    <w:pPr>
      <w:spacing w:after="120"/>
    </w:pPr>
  </w:style>
  <w:style w:type="paragraph" w:styleId="TOCHeading">
    <w:name w:val="TOC Heading"/>
    <w:basedOn w:val="Heading1"/>
    <w:next w:val="Normal"/>
    <w:uiPriority w:val="39"/>
    <w:unhideWhenUsed/>
    <w:qFormat/>
    <w:rsid w:val="003A4DAA"/>
    <w:pPr>
      <w:outlineLvl w:val="9"/>
    </w:pPr>
  </w:style>
  <w:style w:type="paragraph" w:customStyle="1" w:styleId="OBECOVERTITLE">
    <w:name w:val="OBE COVER TITLE"/>
    <w:basedOn w:val="Title"/>
    <w:next w:val="OBEBody"/>
    <w:link w:val="OBECOVERTITLEChar"/>
    <w:qFormat/>
    <w:rsid w:val="00120197"/>
    <w:pPr>
      <w:jc w:val="center"/>
    </w:pPr>
  </w:style>
  <w:style w:type="character" w:customStyle="1" w:styleId="HeaderChar">
    <w:name w:val="Header Char"/>
    <w:basedOn w:val="DefaultParagraphFont"/>
    <w:link w:val="Header"/>
    <w:uiPriority w:val="99"/>
    <w:rsid w:val="00D3302A"/>
  </w:style>
  <w:style w:type="character" w:customStyle="1" w:styleId="OBECOVERTITLEChar">
    <w:name w:val="OBE COVER TITLE Char"/>
    <w:basedOn w:val="TitleChar"/>
    <w:link w:val="OBECOVERTITLE"/>
    <w:rsid w:val="00120197"/>
    <w:rPr>
      <w:rFonts w:asciiTheme="majorHAnsi" w:eastAsiaTheme="majorEastAsia" w:hAnsiTheme="majorHAnsi" w:cstheme="majorBidi"/>
      <w:caps/>
      <w:color w:val="44546A" w:themeColor="text2"/>
      <w:spacing w:val="-15"/>
      <w:sz w:val="72"/>
      <w:szCs w:val="72"/>
    </w:rPr>
  </w:style>
  <w:style w:type="paragraph" w:styleId="NormalWeb">
    <w:name w:val="Normal (Web)"/>
    <w:basedOn w:val="Normal"/>
    <w:uiPriority w:val="99"/>
    <w:semiHidden/>
    <w:unhideWhenUsed/>
    <w:rsid w:val="00860E8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OBETITLE">
    <w:name w:val="OBE TITLE"/>
    <w:link w:val="OBETITLEChar"/>
    <w:qFormat/>
    <w:rsid w:val="0040231E"/>
    <w:pPr>
      <w:spacing w:after="240" w:line="240" w:lineRule="auto"/>
      <w:jc w:val="center"/>
      <w:outlineLvl w:val="0"/>
    </w:pPr>
    <w:rPr>
      <w:rFonts w:asciiTheme="majorHAnsi" w:eastAsiaTheme="majorEastAsia" w:hAnsiTheme="majorHAnsi" w:cstheme="majorBidi"/>
      <w:caps/>
      <w:color w:val="44546A" w:themeColor="text2"/>
      <w:spacing w:val="-15"/>
      <w:sz w:val="48"/>
      <w:szCs w:val="48"/>
    </w:rPr>
  </w:style>
  <w:style w:type="paragraph" w:styleId="TOC1">
    <w:name w:val="toc 1"/>
    <w:basedOn w:val="Normal"/>
    <w:next w:val="Normal"/>
    <w:autoRedefine/>
    <w:uiPriority w:val="39"/>
    <w:unhideWhenUsed/>
    <w:rsid w:val="00393845"/>
    <w:pPr>
      <w:spacing w:before="120" w:after="0"/>
    </w:pPr>
    <w:rPr>
      <w:rFonts w:cstheme="minorHAnsi"/>
      <w:b/>
      <w:bCs/>
      <w:i/>
      <w:iCs/>
      <w:sz w:val="24"/>
      <w:szCs w:val="24"/>
    </w:rPr>
  </w:style>
  <w:style w:type="character" w:customStyle="1" w:styleId="OBETITLEChar">
    <w:name w:val="OBE TITLE Char"/>
    <w:basedOn w:val="OBECOVERTITLEChar"/>
    <w:link w:val="OBETITLE"/>
    <w:rsid w:val="0040231E"/>
    <w:rPr>
      <w:rFonts w:asciiTheme="majorHAnsi" w:eastAsiaTheme="majorEastAsia" w:hAnsiTheme="majorHAnsi" w:cstheme="majorBidi"/>
      <w:caps/>
      <w:color w:val="44546A" w:themeColor="text2"/>
      <w:spacing w:val="-15"/>
      <w:sz w:val="48"/>
      <w:szCs w:val="48"/>
    </w:rPr>
  </w:style>
  <w:style w:type="paragraph" w:customStyle="1" w:styleId="OBElegendfigures">
    <w:name w:val="OBE legend figures"/>
    <w:basedOn w:val="Caption"/>
    <w:link w:val="OBElegendfiguresChar"/>
    <w:qFormat/>
    <w:rsid w:val="00987E01"/>
    <w:rPr>
      <w:i/>
    </w:rPr>
  </w:style>
  <w:style w:type="paragraph" w:styleId="TOC2">
    <w:name w:val="toc 2"/>
    <w:basedOn w:val="Normal"/>
    <w:next w:val="Normal"/>
    <w:autoRedefine/>
    <w:uiPriority w:val="39"/>
    <w:unhideWhenUsed/>
    <w:rsid w:val="00393845"/>
    <w:pPr>
      <w:spacing w:before="120" w:after="0"/>
      <w:ind w:left="220"/>
    </w:pPr>
    <w:rPr>
      <w:rFonts w:cstheme="minorHAnsi"/>
      <w:b/>
      <w:bCs/>
    </w:rPr>
  </w:style>
  <w:style w:type="paragraph" w:customStyle="1" w:styleId="OBESubtitle3rdtier">
    <w:name w:val="OBE Subtitle 3rd tier"/>
    <w:qFormat/>
    <w:rsid w:val="00393845"/>
    <w:pPr>
      <w:outlineLvl w:val="2"/>
    </w:pPr>
    <w:rPr>
      <w:rFonts w:cstheme="minorHAnsi"/>
      <w:i/>
      <w:sz w:val="24"/>
      <w:szCs w:val="24"/>
      <w:u w:val="single"/>
    </w:rPr>
  </w:style>
  <w:style w:type="paragraph" w:styleId="TOC3">
    <w:name w:val="toc 3"/>
    <w:basedOn w:val="Normal"/>
    <w:next w:val="Normal"/>
    <w:autoRedefine/>
    <w:uiPriority w:val="39"/>
    <w:unhideWhenUsed/>
    <w:rsid w:val="00393845"/>
    <w:pPr>
      <w:spacing w:after="0"/>
      <w:ind w:left="440"/>
    </w:pPr>
    <w:rPr>
      <w:rFonts w:cstheme="minorHAnsi"/>
      <w:sz w:val="20"/>
      <w:szCs w:val="20"/>
    </w:rPr>
  </w:style>
  <w:style w:type="paragraph" w:styleId="FootnoteText">
    <w:name w:val="footnote text"/>
    <w:basedOn w:val="Normal"/>
    <w:link w:val="FootnoteTextChar"/>
    <w:uiPriority w:val="99"/>
    <w:semiHidden/>
    <w:unhideWhenUsed/>
    <w:rsid w:val="00D867E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867E8"/>
    <w:rPr>
      <w:sz w:val="20"/>
      <w:szCs w:val="20"/>
    </w:rPr>
  </w:style>
  <w:style w:type="character" w:styleId="FootnoteReference">
    <w:name w:val="footnote reference"/>
    <w:basedOn w:val="DefaultParagraphFont"/>
    <w:uiPriority w:val="99"/>
    <w:semiHidden/>
    <w:unhideWhenUsed/>
    <w:rsid w:val="00D867E8"/>
    <w:rPr>
      <w:vertAlign w:val="superscript"/>
    </w:rPr>
  </w:style>
  <w:style w:type="character" w:styleId="Hyperlink">
    <w:name w:val="Hyperlink"/>
    <w:basedOn w:val="DefaultParagraphFont"/>
    <w:uiPriority w:val="99"/>
    <w:unhideWhenUsed/>
    <w:rsid w:val="00F23837"/>
    <w:rPr>
      <w:color w:val="0563C1" w:themeColor="hyperlink"/>
      <w:u w:val="single"/>
    </w:rPr>
  </w:style>
  <w:style w:type="paragraph" w:styleId="TableofFigures">
    <w:name w:val="table of figures"/>
    <w:basedOn w:val="Normal"/>
    <w:next w:val="Normal"/>
    <w:uiPriority w:val="99"/>
    <w:unhideWhenUsed/>
    <w:rsid w:val="00F23837"/>
    <w:pPr>
      <w:spacing w:after="0"/>
    </w:pPr>
  </w:style>
  <w:style w:type="paragraph" w:styleId="BalloonText">
    <w:name w:val="Balloon Text"/>
    <w:basedOn w:val="Normal"/>
    <w:link w:val="BalloonTextChar"/>
    <w:uiPriority w:val="99"/>
    <w:semiHidden/>
    <w:unhideWhenUsed/>
    <w:rsid w:val="003B00C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B00C4"/>
    <w:rPr>
      <w:rFonts w:ascii="Segoe UI" w:hAnsi="Segoe UI" w:cs="Segoe UI"/>
      <w:sz w:val="18"/>
      <w:szCs w:val="18"/>
    </w:rPr>
  </w:style>
  <w:style w:type="paragraph" w:customStyle="1" w:styleId="OBElegendtables">
    <w:name w:val="OBE legend tables"/>
    <w:basedOn w:val="OBElegendfigures"/>
    <w:link w:val="OBElegendtablesChar"/>
    <w:qFormat/>
    <w:rsid w:val="005B1732"/>
  </w:style>
  <w:style w:type="character" w:customStyle="1" w:styleId="OBEFootnoteChar">
    <w:name w:val="OBE Footnote Char"/>
    <w:basedOn w:val="FootnoteTextChar"/>
    <w:link w:val="OBEFootnote"/>
    <w:rsid w:val="001D59FD"/>
    <w:rPr>
      <w:sz w:val="20"/>
      <w:szCs w:val="20"/>
    </w:rPr>
  </w:style>
  <w:style w:type="character" w:customStyle="1" w:styleId="CaptionChar">
    <w:name w:val="Caption Char"/>
    <w:basedOn w:val="DefaultParagraphFont"/>
    <w:link w:val="Caption"/>
    <w:uiPriority w:val="35"/>
    <w:semiHidden/>
    <w:rsid w:val="005B1732"/>
    <w:rPr>
      <w:b/>
      <w:bCs/>
      <w:smallCaps/>
      <w:color w:val="44546A" w:themeColor="text2"/>
    </w:rPr>
  </w:style>
  <w:style w:type="character" w:customStyle="1" w:styleId="OBElegendfiguresChar">
    <w:name w:val="OBE legend figures Char"/>
    <w:basedOn w:val="CaptionChar"/>
    <w:link w:val="OBElegendfigures"/>
    <w:rsid w:val="005B1732"/>
    <w:rPr>
      <w:b/>
      <w:bCs/>
      <w:i/>
      <w:smallCaps/>
      <w:color w:val="44546A" w:themeColor="text2"/>
    </w:rPr>
  </w:style>
  <w:style w:type="character" w:customStyle="1" w:styleId="OBElegendtablesChar">
    <w:name w:val="OBE legend tables Char"/>
    <w:basedOn w:val="OBElegendfiguresChar"/>
    <w:link w:val="OBElegendtables"/>
    <w:rsid w:val="005B1732"/>
    <w:rPr>
      <w:b/>
      <w:bCs/>
      <w:i/>
      <w:smallCaps/>
      <w:color w:val="44546A" w:themeColor="text2"/>
    </w:rPr>
  </w:style>
  <w:style w:type="character" w:styleId="UnresolvedMention">
    <w:name w:val="Unresolved Mention"/>
    <w:basedOn w:val="DefaultParagraphFont"/>
    <w:uiPriority w:val="99"/>
    <w:semiHidden/>
    <w:unhideWhenUsed/>
    <w:rsid w:val="0038721C"/>
    <w:rPr>
      <w:color w:val="605E5C"/>
      <w:shd w:val="clear" w:color="auto" w:fill="E1DFDD"/>
    </w:rPr>
  </w:style>
  <w:style w:type="character" w:styleId="FollowedHyperlink">
    <w:name w:val="FollowedHyperlink"/>
    <w:basedOn w:val="DefaultParagraphFont"/>
    <w:uiPriority w:val="99"/>
    <w:semiHidden/>
    <w:unhideWhenUsed/>
    <w:rsid w:val="005430B7"/>
    <w:rPr>
      <w:color w:val="954F72" w:themeColor="followedHyperlink"/>
      <w:u w:val="single"/>
    </w:rPr>
  </w:style>
  <w:style w:type="paragraph" w:styleId="TOC4">
    <w:name w:val="toc 4"/>
    <w:basedOn w:val="Normal"/>
    <w:next w:val="Normal"/>
    <w:autoRedefine/>
    <w:uiPriority w:val="39"/>
    <w:semiHidden/>
    <w:unhideWhenUsed/>
    <w:rsid w:val="00737A26"/>
    <w:pPr>
      <w:spacing w:after="0"/>
      <w:ind w:left="660"/>
    </w:pPr>
    <w:rPr>
      <w:rFonts w:cstheme="minorHAnsi"/>
      <w:sz w:val="20"/>
      <w:szCs w:val="20"/>
    </w:rPr>
  </w:style>
  <w:style w:type="paragraph" w:styleId="TOC5">
    <w:name w:val="toc 5"/>
    <w:basedOn w:val="Normal"/>
    <w:next w:val="Normal"/>
    <w:autoRedefine/>
    <w:uiPriority w:val="39"/>
    <w:semiHidden/>
    <w:unhideWhenUsed/>
    <w:rsid w:val="00737A26"/>
    <w:pPr>
      <w:spacing w:after="0"/>
      <w:ind w:left="880"/>
    </w:pPr>
    <w:rPr>
      <w:rFonts w:cstheme="minorHAnsi"/>
      <w:sz w:val="20"/>
      <w:szCs w:val="20"/>
    </w:rPr>
  </w:style>
  <w:style w:type="paragraph" w:styleId="TOC6">
    <w:name w:val="toc 6"/>
    <w:basedOn w:val="Normal"/>
    <w:next w:val="Normal"/>
    <w:autoRedefine/>
    <w:uiPriority w:val="39"/>
    <w:semiHidden/>
    <w:unhideWhenUsed/>
    <w:rsid w:val="00737A26"/>
    <w:pPr>
      <w:spacing w:after="0"/>
      <w:ind w:left="1100"/>
    </w:pPr>
    <w:rPr>
      <w:rFonts w:cstheme="minorHAnsi"/>
      <w:sz w:val="20"/>
      <w:szCs w:val="20"/>
    </w:rPr>
  </w:style>
  <w:style w:type="paragraph" w:styleId="TOC7">
    <w:name w:val="toc 7"/>
    <w:basedOn w:val="Normal"/>
    <w:next w:val="Normal"/>
    <w:autoRedefine/>
    <w:uiPriority w:val="39"/>
    <w:semiHidden/>
    <w:unhideWhenUsed/>
    <w:rsid w:val="00737A26"/>
    <w:pPr>
      <w:spacing w:after="0"/>
      <w:ind w:left="1320"/>
    </w:pPr>
    <w:rPr>
      <w:rFonts w:cstheme="minorHAnsi"/>
      <w:sz w:val="20"/>
      <w:szCs w:val="20"/>
    </w:rPr>
  </w:style>
  <w:style w:type="paragraph" w:styleId="TOC8">
    <w:name w:val="toc 8"/>
    <w:basedOn w:val="Normal"/>
    <w:next w:val="Normal"/>
    <w:autoRedefine/>
    <w:uiPriority w:val="39"/>
    <w:semiHidden/>
    <w:unhideWhenUsed/>
    <w:rsid w:val="00737A26"/>
    <w:pPr>
      <w:spacing w:after="0"/>
      <w:ind w:left="1540"/>
    </w:pPr>
    <w:rPr>
      <w:rFonts w:cstheme="minorHAnsi"/>
      <w:sz w:val="20"/>
      <w:szCs w:val="20"/>
    </w:rPr>
  </w:style>
  <w:style w:type="paragraph" w:styleId="TOC9">
    <w:name w:val="toc 9"/>
    <w:basedOn w:val="Normal"/>
    <w:next w:val="Normal"/>
    <w:autoRedefine/>
    <w:uiPriority w:val="39"/>
    <w:semiHidden/>
    <w:unhideWhenUsed/>
    <w:rsid w:val="00737A26"/>
    <w:pPr>
      <w:spacing w:after="0"/>
      <w:ind w:left="176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744964">
      <w:bodyDiv w:val="1"/>
      <w:marLeft w:val="0"/>
      <w:marRight w:val="0"/>
      <w:marTop w:val="0"/>
      <w:marBottom w:val="0"/>
      <w:divBdr>
        <w:top w:val="none" w:sz="0" w:space="0" w:color="auto"/>
        <w:left w:val="none" w:sz="0" w:space="0" w:color="auto"/>
        <w:bottom w:val="none" w:sz="0" w:space="0" w:color="auto"/>
        <w:right w:val="none" w:sz="0" w:space="0" w:color="auto"/>
      </w:divBdr>
      <w:divsChild>
        <w:div w:id="712271479">
          <w:marLeft w:val="-720"/>
          <w:marRight w:val="0"/>
          <w:marTop w:val="0"/>
          <w:marBottom w:val="0"/>
          <w:divBdr>
            <w:top w:val="none" w:sz="0" w:space="0" w:color="auto"/>
            <w:left w:val="none" w:sz="0" w:space="0" w:color="auto"/>
            <w:bottom w:val="none" w:sz="0" w:space="0" w:color="auto"/>
            <w:right w:val="none" w:sz="0" w:space="0" w:color="auto"/>
          </w:divBdr>
        </w:div>
      </w:divsChild>
    </w:div>
    <w:div w:id="47457050">
      <w:bodyDiv w:val="1"/>
      <w:marLeft w:val="0"/>
      <w:marRight w:val="0"/>
      <w:marTop w:val="0"/>
      <w:marBottom w:val="0"/>
      <w:divBdr>
        <w:top w:val="none" w:sz="0" w:space="0" w:color="auto"/>
        <w:left w:val="none" w:sz="0" w:space="0" w:color="auto"/>
        <w:bottom w:val="none" w:sz="0" w:space="0" w:color="auto"/>
        <w:right w:val="none" w:sz="0" w:space="0" w:color="auto"/>
      </w:divBdr>
    </w:div>
    <w:div w:id="50540410">
      <w:bodyDiv w:val="1"/>
      <w:marLeft w:val="0"/>
      <w:marRight w:val="0"/>
      <w:marTop w:val="0"/>
      <w:marBottom w:val="0"/>
      <w:divBdr>
        <w:top w:val="none" w:sz="0" w:space="0" w:color="auto"/>
        <w:left w:val="none" w:sz="0" w:space="0" w:color="auto"/>
        <w:bottom w:val="none" w:sz="0" w:space="0" w:color="auto"/>
        <w:right w:val="none" w:sz="0" w:space="0" w:color="auto"/>
      </w:divBdr>
    </w:div>
    <w:div w:id="54356140">
      <w:bodyDiv w:val="1"/>
      <w:marLeft w:val="0"/>
      <w:marRight w:val="0"/>
      <w:marTop w:val="0"/>
      <w:marBottom w:val="0"/>
      <w:divBdr>
        <w:top w:val="none" w:sz="0" w:space="0" w:color="auto"/>
        <w:left w:val="none" w:sz="0" w:space="0" w:color="auto"/>
        <w:bottom w:val="none" w:sz="0" w:space="0" w:color="auto"/>
        <w:right w:val="none" w:sz="0" w:space="0" w:color="auto"/>
      </w:divBdr>
      <w:divsChild>
        <w:div w:id="1914193074">
          <w:marLeft w:val="-720"/>
          <w:marRight w:val="0"/>
          <w:marTop w:val="0"/>
          <w:marBottom w:val="0"/>
          <w:divBdr>
            <w:top w:val="none" w:sz="0" w:space="0" w:color="auto"/>
            <w:left w:val="none" w:sz="0" w:space="0" w:color="auto"/>
            <w:bottom w:val="none" w:sz="0" w:space="0" w:color="auto"/>
            <w:right w:val="none" w:sz="0" w:space="0" w:color="auto"/>
          </w:divBdr>
        </w:div>
      </w:divsChild>
    </w:div>
    <w:div w:id="68508144">
      <w:bodyDiv w:val="1"/>
      <w:marLeft w:val="0"/>
      <w:marRight w:val="0"/>
      <w:marTop w:val="0"/>
      <w:marBottom w:val="0"/>
      <w:divBdr>
        <w:top w:val="none" w:sz="0" w:space="0" w:color="auto"/>
        <w:left w:val="none" w:sz="0" w:space="0" w:color="auto"/>
        <w:bottom w:val="none" w:sz="0" w:space="0" w:color="auto"/>
        <w:right w:val="none" w:sz="0" w:space="0" w:color="auto"/>
      </w:divBdr>
    </w:div>
    <w:div w:id="87436085">
      <w:bodyDiv w:val="1"/>
      <w:marLeft w:val="0"/>
      <w:marRight w:val="0"/>
      <w:marTop w:val="0"/>
      <w:marBottom w:val="0"/>
      <w:divBdr>
        <w:top w:val="none" w:sz="0" w:space="0" w:color="auto"/>
        <w:left w:val="none" w:sz="0" w:space="0" w:color="auto"/>
        <w:bottom w:val="none" w:sz="0" w:space="0" w:color="auto"/>
        <w:right w:val="none" w:sz="0" w:space="0" w:color="auto"/>
      </w:divBdr>
    </w:div>
    <w:div w:id="88234744">
      <w:bodyDiv w:val="1"/>
      <w:marLeft w:val="0"/>
      <w:marRight w:val="0"/>
      <w:marTop w:val="0"/>
      <w:marBottom w:val="0"/>
      <w:divBdr>
        <w:top w:val="none" w:sz="0" w:space="0" w:color="auto"/>
        <w:left w:val="none" w:sz="0" w:space="0" w:color="auto"/>
        <w:bottom w:val="none" w:sz="0" w:space="0" w:color="auto"/>
        <w:right w:val="none" w:sz="0" w:space="0" w:color="auto"/>
      </w:divBdr>
    </w:div>
    <w:div w:id="103964684">
      <w:bodyDiv w:val="1"/>
      <w:marLeft w:val="0"/>
      <w:marRight w:val="0"/>
      <w:marTop w:val="0"/>
      <w:marBottom w:val="0"/>
      <w:divBdr>
        <w:top w:val="none" w:sz="0" w:space="0" w:color="auto"/>
        <w:left w:val="none" w:sz="0" w:space="0" w:color="auto"/>
        <w:bottom w:val="none" w:sz="0" w:space="0" w:color="auto"/>
        <w:right w:val="none" w:sz="0" w:space="0" w:color="auto"/>
      </w:divBdr>
      <w:divsChild>
        <w:div w:id="1317412636">
          <w:marLeft w:val="-720"/>
          <w:marRight w:val="0"/>
          <w:marTop w:val="0"/>
          <w:marBottom w:val="0"/>
          <w:divBdr>
            <w:top w:val="none" w:sz="0" w:space="0" w:color="auto"/>
            <w:left w:val="none" w:sz="0" w:space="0" w:color="auto"/>
            <w:bottom w:val="none" w:sz="0" w:space="0" w:color="auto"/>
            <w:right w:val="none" w:sz="0" w:space="0" w:color="auto"/>
          </w:divBdr>
        </w:div>
      </w:divsChild>
    </w:div>
    <w:div w:id="128860324">
      <w:bodyDiv w:val="1"/>
      <w:marLeft w:val="0"/>
      <w:marRight w:val="0"/>
      <w:marTop w:val="0"/>
      <w:marBottom w:val="0"/>
      <w:divBdr>
        <w:top w:val="none" w:sz="0" w:space="0" w:color="auto"/>
        <w:left w:val="none" w:sz="0" w:space="0" w:color="auto"/>
        <w:bottom w:val="none" w:sz="0" w:space="0" w:color="auto"/>
        <w:right w:val="none" w:sz="0" w:space="0" w:color="auto"/>
      </w:divBdr>
      <w:divsChild>
        <w:div w:id="785776980">
          <w:marLeft w:val="-720"/>
          <w:marRight w:val="0"/>
          <w:marTop w:val="0"/>
          <w:marBottom w:val="0"/>
          <w:divBdr>
            <w:top w:val="none" w:sz="0" w:space="0" w:color="auto"/>
            <w:left w:val="none" w:sz="0" w:space="0" w:color="auto"/>
            <w:bottom w:val="none" w:sz="0" w:space="0" w:color="auto"/>
            <w:right w:val="none" w:sz="0" w:space="0" w:color="auto"/>
          </w:divBdr>
        </w:div>
      </w:divsChild>
    </w:div>
    <w:div w:id="140391668">
      <w:bodyDiv w:val="1"/>
      <w:marLeft w:val="0"/>
      <w:marRight w:val="0"/>
      <w:marTop w:val="0"/>
      <w:marBottom w:val="0"/>
      <w:divBdr>
        <w:top w:val="none" w:sz="0" w:space="0" w:color="auto"/>
        <w:left w:val="none" w:sz="0" w:space="0" w:color="auto"/>
        <w:bottom w:val="none" w:sz="0" w:space="0" w:color="auto"/>
        <w:right w:val="none" w:sz="0" w:space="0" w:color="auto"/>
      </w:divBdr>
    </w:div>
    <w:div w:id="160974631">
      <w:bodyDiv w:val="1"/>
      <w:marLeft w:val="0"/>
      <w:marRight w:val="0"/>
      <w:marTop w:val="0"/>
      <w:marBottom w:val="0"/>
      <w:divBdr>
        <w:top w:val="none" w:sz="0" w:space="0" w:color="auto"/>
        <w:left w:val="none" w:sz="0" w:space="0" w:color="auto"/>
        <w:bottom w:val="none" w:sz="0" w:space="0" w:color="auto"/>
        <w:right w:val="none" w:sz="0" w:space="0" w:color="auto"/>
      </w:divBdr>
    </w:div>
    <w:div w:id="230584274">
      <w:bodyDiv w:val="1"/>
      <w:marLeft w:val="0"/>
      <w:marRight w:val="0"/>
      <w:marTop w:val="0"/>
      <w:marBottom w:val="0"/>
      <w:divBdr>
        <w:top w:val="none" w:sz="0" w:space="0" w:color="auto"/>
        <w:left w:val="none" w:sz="0" w:space="0" w:color="auto"/>
        <w:bottom w:val="none" w:sz="0" w:space="0" w:color="auto"/>
        <w:right w:val="none" w:sz="0" w:space="0" w:color="auto"/>
      </w:divBdr>
      <w:divsChild>
        <w:div w:id="37900551">
          <w:marLeft w:val="-720"/>
          <w:marRight w:val="0"/>
          <w:marTop w:val="0"/>
          <w:marBottom w:val="0"/>
          <w:divBdr>
            <w:top w:val="none" w:sz="0" w:space="0" w:color="auto"/>
            <w:left w:val="none" w:sz="0" w:space="0" w:color="auto"/>
            <w:bottom w:val="none" w:sz="0" w:space="0" w:color="auto"/>
            <w:right w:val="none" w:sz="0" w:space="0" w:color="auto"/>
          </w:divBdr>
        </w:div>
      </w:divsChild>
    </w:div>
    <w:div w:id="245000230">
      <w:bodyDiv w:val="1"/>
      <w:marLeft w:val="0"/>
      <w:marRight w:val="0"/>
      <w:marTop w:val="0"/>
      <w:marBottom w:val="0"/>
      <w:divBdr>
        <w:top w:val="none" w:sz="0" w:space="0" w:color="auto"/>
        <w:left w:val="none" w:sz="0" w:space="0" w:color="auto"/>
        <w:bottom w:val="none" w:sz="0" w:space="0" w:color="auto"/>
        <w:right w:val="none" w:sz="0" w:space="0" w:color="auto"/>
      </w:divBdr>
    </w:div>
    <w:div w:id="247810692">
      <w:bodyDiv w:val="1"/>
      <w:marLeft w:val="0"/>
      <w:marRight w:val="0"/>
      <w:marTop w:val="0"/>
      <w:marBottom w:val="0"/>
      <w:divBdr>
        <w:top w:val="none" w:sz="0" w:space="0" w:color="auto"/>
        <w:left w:val="none" w:sz="0" w:space="0" w:color="auto"/>
        <w:bottom w:val="none" w:sz="0" w:space="0" w:color="auto"/>
        <w:right w:val="none" w:sz="0" w:space="0" w:color="auto"/>
      </w:divBdr>
      <w:divsChild>
        <w:div w:id="1719282878">
          <w:marLeft w:val="-720"/>
          <w:marRight w:val="0"/>
          <w:marTop w:val="0"/>
          <w:marBottom w:val="0"/>
          <w:divBdr>
            <w:top w:val="none" w:sz="0" w:space="0" w:color="auto"/>
            <w:left w:val="none" w:sz="0" w:space="0" w:color="auto"/>
            <w:bottom w:val="none" w:sz="0" w:space="0" w:color="auto"/>
            <w:right w:val="none" w:sz="0" w:space="0" w:color="auto"/>
          </w:divBdr>
        </w:div>
      </w:divsChild>
    </w:div>
    <w:div w:id="268701798">
      <w:bodyDiv w:val="1"/>
      <w:marLeft w:val="0"/>
      <w:marRight w:val="0"/>
      <w:marTop w:val="0"/>
      <w:marBottom w:val="0"/>
      <w:divBdr>
        <w:top w:val="none" w:sz="0" w:space="0" w:color="auto"/>
        <w:left w:val="none" w:sz="0" w:space="0" w:color="auto"/>
        <w:bottom w:val="none" w:sz="0" w:space="0" w:color="auto"/>
        <w:right w:val="none" w:sz="0" w:space="0" w:color="auto"/>
      </w:divBdr>
    </w:div>
    <w:div w:id="277759184">
      <w:bodyDiv w:val="1"/>
      <w:marLeft w:val="0"/>
      <w:marRight w:val="0"/>
      <w:marTop w:val="0"/>
      <w:marBottom w:val="0"/>
      <w:divBdr>
        <w:top w:val="none" w:sz="0" w:space="0" w:color="auto"/>
        <w:left w:val="none" w:sz="0" w:space="0" w:color="auto"/>
        <w:bottom w:val="none" w:sz="0" w:space="0" w:color="auto"/>
        <w:right w:val="none" w:sz="0" w:space="0" w:color="auto"/>
      </w:divBdr>
      <w:divsChild>
        <w:div w:id="1471171359">
          <w:marLeft w:val="-720"/>
          <w:marRight w:val="0"/>
          <w:marTop w:val="0"/>
          <w:marBottom w:val="0"/>
          <w:divBdr>
            <w:top w:val="none" w:sz="0" w:space="0" w:color="auto"/>
            <w:left w:val="none" w:sz="0" w:space="0" w:color="auto"/>
            <w:bottom w:val="none" w:sz="0" w:space="0" w:color="auto"/>
            <w:right w:val="none" w:sz="0" w:space="0" w:color="auto"/>
          </w:divBdr>
        </w:div>
      </w:divsChild>
    </w:div>
    <w:div w:id="295062072">
      <w:bodyDiv w:val="1"/>
      <w:marLeft w:val="0"/>
      <w:marRight w:val="0"/>
      <w:marTop w:val="0"/>
      <w:marBottom w:val="0"/>
      <w:divBdr>
        <w:top w:val="none" w:sz="0" w:space="0" w:color="auto"/>
        <w:left w:val="none" w:sz="0" w:space="0" w:color="auto"/>
        <w:bottom w:val="none" w:sz="0" w:space="0" w:color="auto"/>
        <w:right w:val="none" w:sz="0" w:space="0" w:color="auto"/>
      </w:divBdr>
    </w:div>
    <w:div w:id="330498087">
      <w:bodyDiv w:val="1"/>
      <w:marLeft w:val="0"/>
      <w:marRight w:val="0"/>
      <w:marTop w:val="0"/>
      <w:marBottom w:val="0"/>
      <w:divBdr>
        <w:top w:val="none" w:sz="0" w:space="0" w:color="auto"/>
        <w:left w:val="none" w:sz="0" w:space="0" w:color="auto"/>
        <w:bottom w:val="none" w:sz="0" w:space="0" w:color="auto"/>
        <w:right w:val="none" w:sz="0" w:space="0" w:color="auto"/>
      </w:divBdr>
      <w:divsChild>
        <w:div w:id="886181115">
          <w:marLeft w:val="-720"/>
          <w:marRight w:val="0"/>
          <w:marTop w:val="0"/>
          <w:marBottom w:val="0"/>
          <w:divBdr>
            <w:top w:val="none" w:sz="0" w:space="0" w:color="auto"/>
            <w:left w:val="none" w:sz="0" w:space="0" w:color="auto"/>
            <w:bottom w:val="none" w:sz="0" w:space="0" w:color="auto"/>
            <w:right w:val="none" w:sz="0" w:space="0" w:color="auto"/>
          </w:divBdr>
        </w:div>
      </w:divsChild>
    </w:div>
    <w:div w:id="378212815">
      <w:bodyDiv w:val="1"/>
      <w:marLeft w:val="0"/>
      <w:marRight w:val="0"/>
      <w:marTop w:val="0"/>
      <w:marBottom w:val="0"/>
      <w:divBdr>
        <w:top w:val="none" w:sz="0" w:space="0" w:color="auto"/>
        <w:left w:val="none" w:sz="0" w:space="0" w:color="auto"/>
        <w:bottom w:val="none" w:sz="0" w:space="0" w:color="auto"/>
        <w:right w:val="none" w:sz="0" w:space="0" w:color="auto"/>
      </w:divBdr>
      <w:divsChild>
        <w:div w:id="2037922037">
          <w:marLeft w:val="-720"/>
          <w:marRight w:val="0"/>
          <w:marTop w:val="0"/>
          <w:marBottom w:val="0"/>
          <w:divBdr>
            <w:top w:val="none" w:sz="0" w:space="0" w:color="auto"/>
            <w:left w:val="none" w:sz="0" w:space="0" w:color="auto"/>
            <w:bottom w:val="none" w:sz="0" w:space="0" w:color="auto"/>
            <w:right w:val="none" w:sz="0" w:space="0" w:color="auto"/>
          </w:divBdr>
        </w:div>
      </w:divsChild>
    </w:div>
    <w:div w:id="412971932">
      <w:bodyDiv w:val="1"/>
      <w:marLeft w:val="0"/>
      <w:marRight w:val="0"/>
      <w:marTop w:val="0"/>
      <w:marBottom w:val="0"/>
      <w:divBdr>
        <w:top w:val="none" w:sz="0" w:space="0" w:color="auto"/>
        <w:left w:val="none" w:sz="0" w:space="0" w:color="auto"/>
        <w:bottom w:val="none" w:sz="0" w:space="0" w:color="auto"/>
        <w:right w:val="none" w:sz="0" w:space="0" w:color="auto"/>
      </w:divBdr>
    </w:div>
    <w:div w:id="416706789">
      <w:bodyDiv w:val="1"/>
      <w:marLeft w:val="0"/>
      <w:marRight w:val="0"/>
      <w:marTop w:val="0"/>
      <w:marBottom w:val="0"/>
      <w:divBdr>
        <w:top w:val="none" w:sz="0" w:space="0" w:color="auto"/>
        <w:left w:val="none" w:sz="0" w:space="0" w:color="auto"/>
        <w:bottom w:val="none" w:sz="0" w:space="0" w:color="auto"/>
        <w:right w:val="none" w:sz="0" w:space="0" w:color="auto"/>
      </w:divBdr>
      <w:divsChild>
        <w:div w:id="241377419">
          <w:marLeft w:val="-720"/>
          <w:marRight w:val="0"/>
          <w:marTop w:val="0"/>
          <w:marBottom w:val="0"/>
          <w:divBdr>
            <w:top w:val="none" w:sz="0" w:space="0" w:color="auto"/>
            <w:left w:val="none" w:sz="0" w:space="0" w:color="auto"/>
            <w:bottom w:val="none" w:sz="0" w:space="0" w:color="auto"/>
            <w:right w:val="none" w:sz="0" w:space="0" w:color="auto"/>
          </w:divBdr>
        </w:div>
      </w:divsChild>
    </w:div>
    <w:div w:id="433483182">
      <w:bodyDiv w:val="1"/>
      <w:marLeft w:val="0"/>
      <w:marRight w:val="0"/>
      <w:marTop w:val="0"/>
      <w:marBottom w:val="0"/>
      <w:divBdr>
        <w:top w:val="none" w:sz="0" w:space="0" w:color="auto"/>
        <w:left w:val="none" w:sz="0" w:space="0" w:color="auto"/>
        <w:bottom w:val="none" w:sz="0" w:space="0" w:color="auto"/>
        <w:right w:val="none" w:sz="0" w:space="0" w:color="auto"/>
      </w:divBdr>
    </w:div>
    <w:div w:id="444276695">
      <w:bodyDiv w:val="1"/>
      <w:marLeft w:val="0"/>
      <w:marRight w:val="0"/>
      <w:marTop w:val="0"/>
      <w:marBottom w:val="0"/>
      <w:divBdr>
        <w:top w:val="none" w:sz="0" w:space="0" w:color="auto"/>
        <w:left w:val="none" w:sz="0" w:space="0" w:color="auto"/>
        <w:bottom w:val="none" w:sz="0" w:space="0" w:color="auto"/>
        <w:right w:val="none" w:sz="0" w:space="0" w:color="auto"/>
      </w:divBdr>
    </w:div>
    <w:div w:id="454904910">
      <w:bodyDiv w:val="1"/>
      <w:marLeft w:val="0"/>
      <w:marRight w:val="0"/>
      <w:marTop w:val="0"/>
      <w:marBottom w:val="0"/>
      <w:divBdr>
        <w:top w:val="none" w:sz="0" w:space="0" w:color="auto"/>
        <w:left w:val="none" w:sz="0" w:space="0" w:color="auto"/>
        <w:bottom w:val="none" w:sz="0" w:space="0" w:color="auto"/>
        <w:right w:val="none" w:sz="0" w:space="0" w:color="auto"/>
      </w:divBdr>
    </w:div>
    <w:div w:id="460196461">
      <w:bodyDiv w:val="1"/>
      <w:marLeft w:val="0"/>
      <w:marRight w:val="0"/>
      <w:marTop w:val="0"/>
      <w:marBottom w:val="0"/>
      <w:divBdr>
        <w:top w:val="none" w:sz="0" w:space="0" w:color="auto"/>
        <w:left w:val="none" w:sz="0" w:space="0" w:color="auto"/>
        <w:bottom w:val="none" w:sz="0" w:space="0" w:color="auto"/>
        <w:right w:val="none" w:sz="0" w:space="0" w:color="auto"/>
      </w:divBdr>
    </w:div>
    <w:div w:id="479612356">
      <w:bodyDiv w:val="1"/>
      <w:marLeft w:val="0"/>
      <w:marRight w:val="0"/>
      <w:marTop w:val="0"/>
      <w:marBottom w:val="0"/>
      <w:divBdr>
        <w:top w:val="none" w:sz="0" w:space="0" w:color="auto"/>
        <w:left w:val="none" w:sz="0" w:space="0" w:color="auto"/>
        <w:bottom w:val="none" w:sz="0" w:space="0" w:color="auto"/>
        <w:right w:val="none" w:sz="0" w:space="0" w:color="auto"/>
      </w:divBdr>
      <w:divsChild>
        <w:div w:id="719323740">
          <w:marLeft w:val="-720"/>
          <w:marRight w:val="0"/>
          <w:marTop w:val="0"/>
          <w:marBottom w:val="0"/>
          <w:divBdr>
            <w:top w:val="none" w:sz="0" w:space="0" w:color="auto"/>
            <w:left w:val="none" w:sz="0" w:space="0" w:color="auto"/>
            <w:bottom w:val="none" w:sz="0" w:space="0" w:color="auto"/>
            <w:right w:val="none" w:sz="0" w:space="0" w:color="auto"/>
          </w:divBdr>
        </w:div>
      </w:divsChild>
    </w:div>
    <w:div w:id="486482561">
      <w:bodyDiv w:val="1"/>
      <w:marLeft w:val="0"/>
      <w:marRight w:val="0"/>
      <w:marTop w:val="0"/>
      <w:marBottom w:val="0"/>
      <w:divBdr>
        <w:top w:val="none" w:sz="0" w:space="0" w:color="auto"/>
        <w:left w:val="none" w:sz="0" w:space="0" w:color="auto"/>
        <w:bottom w:val="none" w:sz="0" w:space="0" w:color="auto"/>
        <w:right w:val="none" w:sz="0" w:space="0" w:color="auto"/>
      </w:divBdr>
    </w:div>
    <w:div w:id="491144532">
      <w:bodyDiv w:val="1"/>
      <w:marLeft w:val="0"/>
      <w:marRight w:val="0"/>
      <w:marTop w:val="0"/>
      <w:marBottom w:val="0"/>
      <w:divBdr>
        <w:top w:val="none" w:sz="0" w:space="0" w:color="auto"/>
        <w:left w:val="none" w:sz="0" w:space="0" w:color="auto"/>
        <w:bottom w:val="none" w:sz="0" w:space="0" w:color="auto"/>
        <w:right w:val="none" w:sz="0" w:space="0" w:color="auto"/>
      </w:divBdr>
      <w:divsChild>
        <w:div w:id="1298104260">
          <w:marLeft w:val="-720"/>
          <w:marRight w:val="0"/>
          <w:marTop w:val="0"/>
          <w:marBottom w:val="0"/>
          <w:divBdr>
            <w:top w:val="none" w:sz="0" w:space="0" w:color="auto"/>
            <w:left w:val="none" w:sz="0" w:space="0" w:color="auto"/>
            <w:bottom w:val="none" w:sz="0" w:space="0" w:color="auto"/>
            <w:right w:val="none" w:sz="0" w:space="0" w:color="auto"/>
          </w:divBdr>
        </w:div>
      </w:divsChild>
    </w:div>
    <w:div w:id="500043568">
      <w:bodyDiv w:val="1"/>
      <w:marLeft w:val="0"/>
      <w:marRight w:val="0"/>
      <w:marTop w:val="0"/>
      <w:marBottom w:val="0"/>
      <w:divBdr>
        <w:top w:val="none" w:sz="0" w:space="0" w:color="auto"/>
        <w:left w:val="none" w:sz="0" w:space="0" w:color="auto"/>
        <w:bottom w:val="none" w:sz="0" w:space="0" w:color="auto"/>
        <w:right w:val="none" w:sz="0" w:space="0" w:color="auto"/>
      </w:divBdr>
    </w:div>
    <w:div w:id="512185886">
      <w:bodyDiv w:val="1"/>
      <w:marLeft w:val="0"/>
      <w:marRight w:val="0"/>
      <w:marTop w:val="0"/>
      <w:marBottom w:val="0"/>
      <w:divBdr>
        <w:top w:val="none" w:sz="0" w:space="0" w:color="auto"/>
        <w:left w:val="none" w:sz="0" w:space="0" w:color="auto"/>
        <w:bottom w:val="none" w:sz="0" w:space="0" w:color="auto"/>
        <w:right w:val="none" w:sz="0" w:space="0" w:color="auto"/>
      </w:divBdr>
    </w:div>
    <w:div w:id="578488339">
      <w:bodyDiv w:val="1"/>
      <w:marLeft w:val="0"/>
      <w:marRight w:val="0"/>
      <w:marTop w:val="0"/>
      <w:marBottom w:val="0"/>
      <w:divBdr>
        <w:top w:val="none" w:sz="0" w:space="0" w:color="auto"/>
        <w:left w:val="none" w:sz="0" w:space="0" w:color="auto"/>
        <w:bottom w:val="none" w:sz="0" w:space="0" w:color="auto"/>
        <w:right w:val="none" w:sz="0" w:space="0" w:color="auto"/>
      </w:divBdr>
    </w:div>
    <w:div w:id="588544310">
      <w:bodyDiv w:val="1"/>
      <w:marLeft w:val="0"/>
      <w:marRight w:val="0"/>
      <w:marTop w:val="0"/>
      <w:marBottom w:val="0"/>
      <w:divBdr>
        <w:top w:val="none" w:sz="0" w:space="0" w:color="auto"/>
        <w:left w:val="none" w:sz="0" w:space="0" w:color="auto"/>
        <w:bottom w:val="none" w:sz="0" w:space="0" w:color="auto"/>
        <w:right w:val="none" w:sz="0" w:space="0" w:color="auto"/>
      </w:divBdr>
    </w:div>
    <w:div w:id="623587022">
      <w:bodyDiv w:val="1"/>
      <w:marLeft w:val="0"/>
      <w:marRight w:val="0"/>
      <w:marTop w:val="0"/>
      <w:marBottom w:val="0"/>
      <w:divBdr>
        <w:top w:val="none" w:sz="0" w:space="0" w:color="auto"/>
        <w:left w:val="none" w:sz="0" w:space="0" w:color="auto"/>
        <w:bottom w:val="none" w:sz="0" w:space="0" w:color="auto"/>
        <w:right w:val="none" w:sz="0" w:space="0" w:color="auto"/>
      </w:divBdr>
    </w:div>
    <w:div w:id="657073428">
      <w:bodyDiv w:val="1"/>
      <w:marLeft w:val="0"/>
      <w:marRight w:val="0"/>
      <w:marTop w:val="0"/>
      <w:marBottom w:val="0"/>
      <w:divBdr>
        <w:top w:val="none" w:sz="0" w:space="0" w:color="auto"/>
        <w:left w:val="none" w:sz="0" w:space="0" w:color="auto"/>
        <w:bottom w:val="none" w:sz="0" w:space="0" w:color="auto"/>
        <w:right w:val="none" w:sz="0" w:space="0" w:color="auto"/>
      </w:divBdr>
    </w:div>
    <w:div w:id="669988036">
      <w:bodyDiv w:val="1"/>
      <w:marLeft w:val="0"/>
      <w:marRight w:val="0"/>
      <w:marTop w:val="0"/>
      <w:marBottom w:val="0"/>
      <w:divBdr>
        <w:top w:val="none" w:sz="0" w:space="0" w:color="auto"/>
        <w:left w:val="none" w:sz="0" w:space="0" w:color="auto"/>
        <w:bottom w:val="none" w:sz="0" w:space="0" w:color="auto"/>
        <w:right w:val="none" w:sz="0" w:space="0" w:color="auto"/>
      </w:divBdr>
      <w:divsChild>
        <w:div w:id="1258102060">
          <w:marLeft w:val="-720"/>
          <w:marRight w:val="0"/>
          <w:marTop w:val="0"/>
          <w:marBottom w:val="0"/>
          <w:divBdr>
            <w:top w:val="none" w:sz="0" w:space="0" w:color="auto"/>
            <w:left w:val="none" w:sz="0" w:space="0" w:color="auto"/>
            <w:bottom w:val="none" w:sz="0" w:space="0" w:color="auto"/>
            <w:right w:val="none" w:sz="0" w:space="0" w:color="auto"/>
          </w:divBdr>
        </w:div>
      </w:divsChild>
    </w:div>
    <w:div w:id="670135062">
      <w:bodyDiv w:val="1"/>
      <w:marLeft w:val="0"/>
      <w:marRight w:val="0"/>
      <w:marTop w:val="0"/>
      <w:marBottom w:val="0"/>
      <w:divBdr>
        <w:top w:val="none" w:sz="0" w:space="0" w:color="auto"/>
        <w:left w:val="none" w:sz="0" w:space="0" w:color="auto"/>
        <w:bottom w:val="none" w:sz="0" w:space="0" w:color="auto"/>
        <w:right w:val="none" w:sz="0" w:space="0" w:color="auto"/>
      </w:divBdr>
      <w:divsChild>
        <w:div w:id="1347563364">
          <w:marLeft w:val="-720"/>
          <w:marRight w:val="0"/>
          <w:marTop w:val="0"/>
          <w:marBottom w:val="0"/>
          <w:divBdr>
            <w:top w:val="none" w:sz="0" w:space="0" w:color="auto"/>
            <w:left w:val="none" w:sz="0" w:space="0" w:color="auto"/>
            <w:bottom w:val="none" w:sz="0" w:space="0" w:color="auto"/>
            <w:right w:val="none" w:sz="0" w:space="0" w:color="auto"/>
          </w:divBdr>
        </w:div>
      </w:divsChild>
    </w:div>
    <w:div w:id="673997178">
      <w:bodyDiv w:val="1"/>
      <w:marLeft w:val="0"/>
      <w:marRight w:val="0"/>
      <w:marTop w:val="0"/>
      <w:marBottom w:val="0"/>
      <w:divBdr>
        <w:top w:val="none" w:sz="0" w:space="0" w:color="auto"/>
        <w:left w:val="none" w:sz="0" w:space="0" w:color="auto"/>
        <w:bottom w:val="none" w:sz="0" w:space="0" w:color="auto"/>
        <w:right w:val="none" w:sz="0" w:space="0" w:color="auto"/>
      </w:divBdr>
    </w:div>
    <w:div w:id="720788074">
      <w:bodyDiv w:val="1"/>
      <w:marLeft w:val="0"/>
      <w:marRight w:val="0"/>
      <w:marTop w:val="0"/>
      <w:marBottom w:val="0"/>
      <w:divBdr>
        <w:top w:val="none" w:sz="0" w:space="0" w:color="auto"/>
        <w:left w:val="none" w:sz="0" w:space="0" w:color="auto"/>
        <w:bottom w:val="none" w:sz="0" w:space="0" w:color="auto"/>
        <w:right w:val="none" w:sz="0" w:space="0" w:color="auto"/>
      </w:divBdr>
    </w:div>
    <w:div w:id="723875211">
      <w:bodyDiv w:val="1"/>
      <w:marLeft w:val="0"/>
      <w:marRight w:val="0"/>
      <w:marTop w:val="0"/>
      <w:marBottom w:val="0"/>
      <w:divBdr>
        <w:top w:val="none" w:sz="0" w:space="0" w:color="auto"/>
        <w:left w:val="none" w:sz="0" w:space="0" w:color="auto"/>
        <w:bottom w:val="none" w:sz="0" w:space="0" w:color="auto"/>
        <w:right w:val="none" w:sz="0" w:space="0" w:color="auto"/>
      </w:divBdr>
      <w:divsChild>
        <w:div w:id="1362633394">
          <w:marLeft w:val="-720"/>
          <w:marRight w:val="0"/>
          <w:marTop w:val="0"/>
          <w:marBottom w:val="0"/>
          <w:divBdr>
            <w:top w:val="none" w:sz="0" w:space="0" w:color="auto"/>
            <w:left w:val="none" w:sz="0" w:space="0" w:color="auto"/>
            <w:bottom w:val="none" w:sz="0" w:space="0" w:color="auto"/>
            <w:right w:val="none" w:sz="0" w:space="0" w:color="auto"/>
          </w:divBdr>
        </w:div>
      </w:divsChild>
    </w:div>
    <w:div w:id="751775539">
      <w:bodyDiv w:val="1"/>
      <w:marLeft w:val="0"/>
      <w:marRight w:val="0"/>
      <w:marTop w:val="0"/>
      <w:marBottom w:val="0"/>
      <w:divBdr>
        <w:top w:val="none" w:sz="0" w:space="0" w:color="auto"/>
        <w:left w:val="none" w:sz="0" w:space="0" w:color="auto"/>
        <w:bottom w:val="none" w:sz="0" w:space="0" w:color="auto"/>
        <w:right w:val="none" w:sz="0" w:space="0" w:color="auto"/>
      </w:divBdr>
      <w:divsChild>
        <w:div w:id="217521505">
          <w:marLeft w:val="-720"/>
          <w:marRight w:val="0"/>
          <w:marTop w:val="0"/>
          <w:marBottom w:val="0"/>
          <w:divBdr>
            <w:top w:val="none" w:sz="0" w:space="0" w:color="auto"/>
            <w:left w:val="none" w:sz="0" w:space="0" w:color="auto"/>
            <w:bottom w:val="none" w:sz="0" w:space="0" w:color="auto"/>
            <w:right w:val="none" w:sz="0" w:space="0" w:color="auto"/>
          </w:divBdr>
        </w:div>
      </w:divsChild>
    </w:div>
    <w:div w:id="754790901">
      <w:bodyDiv w:val="1"/>
      <w:marLeft w:val="0"/>
      <w:marRight w:val="0"/>
      <w:marTop w:val="0"/>
      <w:marBottom w:val="0"/>
      <w:divBdr>
        <w:top w:val="none" w:sz="0" w:space="0" w:color="auto"/>
        <w:left w:val="none" w:sz="0" w:space="0" w:color="auto"/>
        <w:bottom w:val="none" w:sz="0" w:space="0" w:color="auto"/>
        <w:right w:val="none" w:sz="0" w:space="0" w:color="auto"/>
      </w:divBdr>
      <w:divsChild>
        <w:div w:id="1890412679">
          <w:marLeft w:val="-720"/>
          <w:marRight w:val="0"/>
          <w:marTop w:val="0"/>
          <w:marBottom w:val="0"/>
          <w:divBdr>
            <w:top w:val="none" w:sz="0" w:space="0" w:color="auto"/>
            <w:left w:val="none" w:sz="0" w:space="0" w:color="auto"/>
            <w:bottom w:val="none" w:sz="0" w:space="0" w:color="auto"/>
            <w:right w:val="none" w:sz="0" w:space="0" w:color="auto"/>
          </w:divBdr>
        </w:div>
      </w:divsChild>
    </w:div>
    <w:div w:id="773091973">
      <w:bodyDiv w:val="1"/>
      <w:marLeft w:val="0"/>
      <w:marRight w:val="0"/>
      <w:marTop w:val="0"/>
      <w:marBottom w:val="0"/>
      <w:divBdr>
        <w:top w:val="none" w:sz="0" w:space="0" w:color="auto"/>
        <w:left w:val="none" w:sz="0" w:space="0" w:color="auto"/>
        <w:bottom w:val="none" w:sz="0" w:space="0" w:color="auto"/>
        <w:right w:val="none" w:sz="0" w:space="0" w:color="auto"/>
      </w:divBdr>
    </w:div>
    <w:div w:id="822507269">
      <w:bodyDiv w:val="1"/>
      <w:marLeft w:val="0"/>
      <w:marRight w:val="0"/>
      <w:marTop w:val="0"/>
      <w:marBottom w:val="0"/>
      <w:divBdr>
        <w:top w:val="none" w:sz="0" w:space="0" w:color="auto"/>
        <w:left w:val="none" w:sz="0" w:space="0" w:color="auto"/>
        <w:bottom w:val="none" w:sz="0" w:space="0" w:color="auto"/>
        <w:right w:val="none" w:sz="0" w:space="0" w:color="auto"/>
      </w:divBdr>
      <w:divsChild>
        <w:div w:id="1208293686">
          <w:marLeft w:val="-720"/>
          <w:marRight w:val="0"/>
          <w:marTop w:val="0"/>
          <w:marBottom w:val="0"/>
          <w:divBdr>
            <w:top w:val="none" w:sz="0" w:space="0" w:color="auto"/>
            <w:left w:val="none" w:sz="0" w:space="0" w:color="auto"/>
            <w:bottom w:val="none" w:sz="0" w:space="0" w:color="auto"/>
            <w:right w:val="none" w:sz="0" w:space="0" w:color="auto"/>
          </w:divBdr>
        </w:div>
      </w:divsChild>
    </w:div>
    <w:div w:id="829447114">
      <w:bodyDiv w:val="1"/>
      <w:marLeft w:val="0"/>
      <w:marRight w:val="0"/>
      <w:marTop w:val="0"/>
      <w:marBottom w:val="0"/>
      <w:divBdr>
        <w:top w:val="none" w:sz="0" w:space="0" w:color="auto"/>
        <w:left w:val="none" w:sz="0" w:space="0" w:color="auto"/>
        <w:bottom w:val="none" w:sz="0" w:space="0" w:color="auto"/>
        <w:right w:val="none" w:sz="0" w:space="0" w:color="auto"/>
      </w:divBdr>
      <w:divsChild>
        <w:div w:id="1394963452">
          <w:marLeft w:val="-720"/>
          <w:marRight w:val="0"/>
          <w:marTop w:val="0"/>
          <w:marBottom w:val="0"/>
          <w:divBdr>
            <w:top w:val="none" w:sz="0" w:space="0" w:color="auto"/>
            <w:left w:val="none" w:sz="0" w:space="0" w:color="auto"/>
            <w:bottom w:val="none" w:sz="0" w:space="0" w:color="auto"/>
            <w:right w:val="none" w:sz="0" w:space="0" w:color="auto"/>
          </w:divBdr>
        </w:div>
      </w:divsChild>
    </w:div>
    <w:div w:id="858667914">
      <w:bodyDiv w:val="1"/>
      <w:marLeft w:val="0"/>
      <w:marRight w:val="0"/>
      <w:marTop w:val="0"/>
      <w:marBottom w:val="0"/>
      <w:divBdr>
        <w:top w:val="none" w:sz="0" w:space="0" w:color="auto"/>
        <w:left w:val="none" w:sz="0" w:space="0" w:color="auto"/>
        <w:bottom w:val="none" w:sz="0" w:space="0" w:color="auto"/>
        <w:right w:val="none" w:sz="0" w:space="0" w:color="auto"/>
      </w:divBdr>
    </w:div>
    <w:div w:id="861896116">
      <w:bodyDiv w:val="1"/>
      <w:marLeft w:val="0"/>
      <w:marRight w:val="0"/>
      <w:marTop w:val="0"/>
      <w:marBottom w:val="0"/>
      <w:divBdr>
        <w:top w:val="none" w:sz="0" w:space="0" w:color="auto"/>
        <w:left w:val="none" w:sz="0" w:space="0" w:color="auto"/>
        <w:bottom w:val="none" w:sz="0" w:space="0" w:color="auto"/>
        <w:right w:val="none" w:sz="0" w:space="0" w:color="auto"/>
      </w:divBdr>
      <w:divsChild>
        <w:div w:id="778452123">
          <w:marLeft w:val="-720"/>
          <w:marRight w:val="0"/>
          <w:marTop w:val="0"/>
          <w:marBottom w:val="0"/>
          <w:divBdr>
            <w:top w:val="none" w:sz="0" w:space="0" w:color="auto"/>
            <w:left w:val="none" w:sz="0" w:space="0" w:color="auto"/>
            <w:bottom w:val="none" w:sz="0" w:space="0" w:color="auto"/>
            <w:right w:val="none" w:sz="0" w:space="0" w:color="auto"/>
          </w:divBdr>
        </w:div>
      </w:divsChild>
    </w:div>
    <w:div w:id="872379111">
      <w:bodyDiv w:val="1"/>
      <w:marLeft w:val="0"/>
      <w:marRight w:val="0"/>
      <w:marTop w:val="0"/>
      <w:marBottom w:val="0"/>
      <w:divBdr>
        <w:top w:val="none" w:sz="0" w:space="0" w:color="auto"/>
        <w:left w:val="none" w:sz="0" w:space="0" w:color="auto"/>
        <w:bottom w:val="none" w:sz="0" w:space="0" w:color="auto"/>
        <w:right w:val="none" w:sz="0" w:space="0" w:color="auto"/>
      </w:divBdr>
      <w:divsChild>
        <w:div w:id="1335691069">
          <w:marLeft w:val="-720"/>
          <w:marRight w:val="0"/>
          <w:marTop w:val="0"/>
          <w:marBottom w:val="0"/>
          <w:divBdr>
            <w:top w:val="none" w:sz="0" w:space="0" w:color="auto"/>
            <w:left w:val="none" w:sz="0" w:space="0" w:color="auto"/>
            <w:bottom w:val="none" w:sz="0" w:space="0" w:color="auto"/>
            <w:right w:val="none" w:sz="0" w:space="0" w:color="auto"/>
          </w:divBdr>
        </w:div>
      </w:divsChild>
    </w:div>
    <w:div w:id="879513160">
      <w:bodyDiv w:val="1"/>
      <w:marLeft w:val="0"/>
      <w:marRight w:val="0"/>
      <w:marTop w:val="0"/>
      <w:marBottom w:val="0"/>
      <w:divBdr>
        <w:top w:val="none" w:sz="0" w:space="0" w:color="auto"/>
        <w:left w:val="none" w:sz="0" w:space="0" w:color="auto"/>
        <w:bottom w:val="none" w:sz="0" w:space="0" w:color="auto"/>
        <w:right w:val="none" w:sz="0" w:space="0" w:color="auto"/>
      </w:divBdr>
    </w:div>
    <w:div w:id="890111849">
      <w:bodyDiv w:val="1"/>
      <w:marLeft w:val="0"/>
      <w:marRight w:val="0"/>
      <w:marTop w:val="0"/>
      <w:marBottom w:val="0"/>
      <w:divBdr>
        <w:top w:val="none" w:sz="0" w:space="0" w:color="auto"/>
        <w:left w:val="none" w:sz="0" w:space="0" w:color="auto"/>
        <w:bottom w:val="none" w:sz="0" w:space="0" w:color="auto"/>
        <w:right w:val="none" w:sz="0" w:space="0" w:color="auto"/>
      </w:divBdr>
      <w:divsChild>
        <w:div w:id="911625129">
          <w:marLeft w:val="-720"/>
          <w:marRight w:val="0"/>
          <w:marTop w:val="0"/>
          <w:marBottom w:val="0"/>
          <w:divBdr>
            <w:top w:val="none" w:sz="0" w:space="0" w:color="auto"/>
            <w:left w:val="none" w:sz="0" w:space="0" w:color="auto"/>
            <w:bottom w:val="none" w:sz="0" w:space="0" w:color="auto"/>
            <w:right w:val="none" w:sz="0" w:space="0" w:color="auto"/>
          </w:divBdr>
        </w:div>
      </w:divsChild>
    </w:div>
    <w:div w:id="899293049">
      <w:bodyDiv w:val="1"/>
      <w:marLeft w:val="0"/>
      <w:marRight w:val="0"/>
      <w:marTop w:val="0"/>
      <w:marBottom w:val="0"/>
      <w:divBdr>
        <w:top w:val="none" w:sz="0" w:space="0" w:color="auto"/>
        <w:left w:val="none" w:sz="0" w:space="0" w:color="auto"/>
        <w:bottom w:val="none" w:sz="0" w:space="0" w:color="auto"/>
        <w:right w:val="none" w:sz="0" w:space="0" w:color="auto"/>
      </w:divBdr>
      <w:divsChild>
        <w:div w:id="834762555">
          <w:marLeft w:val="-720"/>
          <w:marRight w:val="0"/>
          <w:marTop w:val="0"/>
          <w:marBottom w:val="0"/>
          <w:divBdr>
            <w:top w:val="none" w:sz="0" w:space="0" w:color="auto"/>
            <w:left w:val="none" w:sz="0" w:space="0" w:color="auto"/>
            <w:bottom w:val="none" w:sz="0" w:space="0" w:color="auto"/>
            <w:right w:val="none" w:sz="0" w:space="0" w:color="auto"/>
          </w:divBdr>
        </w:div>
      </w:divsChild>
    </w:div>
    <w:div w:id="942373683">
      <w:bodyDiv w:val="1"/>
      <w:marLeft w:val="0"/>
      <w:marRight w:val="0"/>
      <w:marTop w:val="0"/>
      <w:marBottom w:val="0"/>
      <w:divBdr>
        <w:top w:val="none" w:sz="0" w:space="0" w:color="auto"/>
        <w:left w:val="none" w:sz="0" w:space="0" w:color="auto"/>
        <w:bottom w:val="none" w:sz="0" w:space="0" w:color="auto"/>
        <w:right w:val="none" w:sz="0" w:space="0" w:color="auto"/>
      </w:divBdr>
      <w:divsChild>
        <w:div w:id="1996759768">
          <w:marLeft w:val="-720"/>
          <w:marRight w:val="0"/>
          <w:marTop w:val="0"/>
          <w:marBottom w:val="0"/>
          <w:divBdr>
            <w:top w:val="none" w:sz="0" w:space="0" w:color="auto"/>
            <w:left w:val="none" w:sz="0" w:space="0" w:color="auto"/>
            <w:bottom w:val="none" w:sz="0" w:space="0" w:color="auto"/>
            <w:right w:val="none" w:sz="0" w:space="0" w:color="auto"/>
          </w:divBdr>
        </w:div>
      </w:divsChild>
    </w:div>
    <w:div w:id="949314476">
      <w:bodyDiv w:val="1"/>
      <w:marLeft w:val="0"/>
      <w:marRight w:val="0"/>
      <w:marTop w:val="0"/>
      <w:marBottom w:val="0"/>
      <w:divBdr>
        <w:top w:val="none" w:sz="0" w:space="0" w:color="auto"/>
        <w:left w:val="none" w:sz="0" w:space="0" w:color="auto"/>
        <w:bottom w:val="none" w:sz="0" w:space="0" w:color="auto"/>
        <w:right w:val="none" w:sz="0" w:space="0" w:color="auto"/>
      </w:divBdr>
    </w:div>
    <w:div w:id="1003554048">
      <w:bodyDiv w:val="1"/>
      <w:marLeft w:val="0"/>
      <w:marRight w:val="0"/>
      <w:marTop w:val="0"/>
      <w:marBottom w:val="0"/>
      <w:divBdr>
        <w:top w:val="none" w:sz="0" w:space="0" w:color="auto"/>
        <w:left w:val="none" w:sz="0" w:space="0" w:color="auto"/>
        <w:bottom w:val="none" w:sz="0" w:space="0" w:color="auto"/>
        <w:right w:val="none" w:sz="0" w:space="0" w:color="auto"/>
      </w:divBdr>
    </w:div>
    <w:div w:id="1004744208">
      <w:bodyDiv w:val="1"/>
      <w:marLeft w:val="0"/>
      <w:marRight w:val="0"/>
      <w:marTop w:val="0"/>
      <w:marBottom w:val="0"/>
      <w:divBdr>
        <w:top w:val="none" w:sz="0" w:space="0" w:color="auto"/>
        <w:left w:val="none" w:sz="0" w:space="0" w:color="auto"/>
        <w:bottom w:val="none" w:sz="0" w:space="0" w:color="auto"/>
        <w:right w:val="none" w:sz="0" w:space="0" w:color="auto"/>
      </w:divBdr>
      <w:divsChild>
        <w:div w:id="53159270">
          <w:marLeft w:val="-720"/>
          <w:marRight w:val="0"/>
          <w:marTop w:val="0"/>
          <w:marBottom w:val="0"/>
          <w:divBdr>
            <w:top w:val="none" w:sz="0" w:space="0" w:color="auto"/>
            <w:left w:val="none" w:sz="0" w:space="0" w:color="auto"/>
            <w:bottom w:val="none" w:sz="0" w:space="0" w:color="auto"/>
            <w:right w:val="none" w:sz="0" w:space="0" w:color="auto"/>
          </w:divBdr>
        </w:div>
      </w:divsChild>
    </w:div>
    <w:div w:id="1016736538">
      <w:bodyDiv w:val="1"/>
      <w:marLeft w:val="0"/>
      <w:marRight w:val="0"/>
      <w:marTop w:val="0"/>
      <w:marBottom w:val="0"/>
      <w:divBdr>
        <w:top w:val="none" w:sz="0" w:space="0" w:color="auto"/>
        <w:left w:val="none" w:sz="0" w:space="0" w:color="auto"/>
        <w:bottom w:val="none" w:sz="0" w:space="0" w:color="auto"/>
        <w:right w:val="none" w:sz="0" w:space="0" w:color="auto"/>
      </w:divBdr>
    </w:div>
    <w:div w:id="1063916166">
      <w:bodyDiv w:val="1"/>
      <w:marLeft w:val="0"/>
      <w:marRight w:val="0"/>
      <w:marTop w:val="0"/>
      <w:marBottom w:val="0"/>
      <w:divBdr>
        <w:top w:val="none" w:sz="0" w:space="0" w:color="auto"/>
        <w:left w:val="none" w:sz="0" w:space="0" w:color="auto"/>
        <w:bottom w:val="none" w:sz="0" w:space="0" w:color="auto"/>
        <w:right w:val="none" w:sz="0" w:space="0" w:color="auto"/>
      </w:divBdr>
    </w:div>
    <w:div w:id="1149055348">
      <w:bodyDiv w:val="1"/>
      <w:marLeft w:val="0"/>
      <w:marRight w:val="0"/>
      <w:marTop w:val="0"/>
      <w:marBottom w:val="0"/>
      <w:divBdr>
        <w:top w:val="none" w:sz="0" w:space="0" w:color="auto"/>
        <w:left w:val="none" w:sz="0" w:space="0" w:color="auto"/>
        <w:bottom w:val="none" w:sz="0" w:space="0" w:color="auto"/>
        <w:right w:val="none" w:sz="0" w:space="0" w:color="auto"/>
      </w:divBdr>
    </w:div>
    <w:div w:id="1205095541">
      <w:bodyDiv w:val="1"/>
      <w:marLeft w:val="0"/>
      <w:marRight w:val="0"/>
      <w:marTop w:val="0"/>
      <w:marBottom w:val="0"/>
      <w:divBdr>
        <w:top w:val="none" w:sz="0" w:space="0" w:color="auto"/>
        <w:left w:val="none" w:sz="0" w:space="0" w:color="auto"/>
        <w:bottom w:val="none" w:sz="0" w:space="0" w:color="auto"/>
        <w:right w:val="none" w:sz="0" w:space="0" w:color="auto"/>
      </w:divBdr>
      <w:divsChild>
        <w:div w:id="491071783">
          <w:marLeft w:val="-720"/>
          <w:marRight w:val="0"/>
          <w:marTop w:val="0"/>
          <w:marBottom w:val="0"/>
          <w:divBdr>
            <w:top w:val="none" w:sz="0" w:space="0" w:color="auto"/>
            <w:left w:val="none" w:sz="0" w:space="0" w:color="auto"/>
            <w:bottom w:val="none" w:sz="0" w:space="0" w:color="auto"/>
            <w:right w:val="none" w:sz="0" w:space="0" w:color="auto"/>
          </w:divBdr>
        </w:div>
      </w:divsChild>
    </w:div>
    <w:div w:id="1209101787">
      <w:bodyDiv w:val="1"/>
      <w:marLeft w:val="0"/>
      <w:marRight w:val="0"/>
      <w:marTop w:val="0"/>
      <w:marBottom w:val="0"/>
      <w:divBdr>
        <w:top w:val="none" w:sz="0" w:space="0" w:color="auto"/>
        <w:left w:val="none" w:sz="0" w:space="0" w:color="auto"/>
        <w:bottom w:val="none" w:sz="0" w:space="0" w:color="auto"/>
        <w:right w:val="none" w:sz="0" w:space="0" w:color="auto"/>
      </w:divBdr>
    </w:div>
    <w:div w:id="1209798657">
      <w:bodyDiv w:val="1"/>
      <w:marLeft w:val="0"/>
      <w:marRight w:val="0"/>
      <w:marTop w:val="0"/>
      <w:marBottom w:val="0"/>
      <w:divBdr>
        <w:top w:val="none" w:sz="0" w:space="0" w:color="auto"/>
        <w:left w:val="none" w:sz="0" w:space="0" w:color="auto"/>
        <w:bottom w:val="none" w:sz="0" w:space="0" w:color="auto"/>
        <w:right w:val="none" w:sz="0" w:space="0" w:color="auto"/>
      </w:divBdr>
    </w:div>
    <w:div w:id="1232041205">
      <w:bodyDiv w:val="1"/>
      <w:marLeft w:val="0"/>
      <w:marRight w:val="0"/>
      <w:marTop w:val="0"/>
      <w:marBottom w:val="0"/>
      <w:divBdr>
        <w:top w:val="none" w:sz="0" w:space="0" w:color="auto"/>
        <w:left w:val="none" w:sz="0" w:space="0" w:color="auto"/>
        <w:bottom w:val="none" w:sz="0" w:space="0" w:color="auto"/>
        <w:right w:val="none" w:sz="0" w:space="0" w:color="auto"/>
      </w:divBdr>
    </w:div>
    <w:div w:id="1235121285">
      <w:bodyDiv w:val="1"/>
      <w:marLeft w:val="0"/>
      <w:marRight w:val="0"/>
      <w:marTop w:val="0"/>
      <w:marBottom w:val="0"/>
      <w:divBdr>
        <w:top w:val="none" w:sz="0" w:space="0" w:color="auto"/>
        <w:left w:val="none" w:sz="0" w:space="0" w:color="auto"/>
        <w:bottom w:val="none" w:sz="0" w:space="0" w:color="auto"/>
        <w:right w:val="none" w:sz="0" w:space="0" w:color="auto"/>
      </w:divBdr>
      <w:divsChild>
        <w:div w:id="344477076">
          <w:marLeft w:val="-720"/>
          <w:marRight w:val="0"/>
          <w:marTop w:val="0"/>
          <w:marBottom w:val="0"/>
          <w:divBdr>
            <w:top w:val="none" w:sz="0" w:space="0" w:color="auto"/>
            <w:left w:val="none" w:sz="0" w:space="0" w:color="auto"/>
            <w:bottom w:val="none" w:sz="0" w:space="0" w:color="auto"/>
            <w:right w:val="none" w:sz="0" w:space="0" w:color="auto"/>
          </w:divBdr>
        </w:div>
      </w:divsChild>
    </w:div>
    <w:div w:id="1254165731">
      <w:bodyDiv w:val="1"/>
      <w:marLeft w:val="0"/>
      <w:marRight w:val="0"/>
      <w:marTop w:val="0"/>
      <w:marBottom w:val="0"/>
      <w:divBdr>
        <w:top w:val="none" w:sz="0" w:space="0" w:color="auto"/>
        <w:left w:val="none" w:sz="0" w:space="0" w:color="auto"/>
        <w:bottom w:val="none" w:sz="0" w:space="0" w:color="auto"/>
        <w:right w:val="none" w:sz="0" w:space="0" w:color="auto"/>
      </w:divBdr>
    </w:div>
    <w:div w:id="1292400793">
      <w:bodyDiv w:val="1"/>
      <w:marLeft w:val="0"/>
      <w:marRight w:val="0"/>
      <w:marTop w:val="0"/>
      <w:marBottom w:val="0"/>
      <w:divBdr>
        <w:top w:val="none" w:sz="0" w:space="0" w:color="auto"/>
        <w:left w:val="none" w:sz="0" w:space="0" w:color="auto"/>
        <w:bottom w:val="none" w:sz="0" w:space="0" w:color="auto"/>
        <w:right w:val="none" w:sz="0" w:space="0" w:color="auto"/>
      </w:divBdr>
      <w:divsChild>
        <w:div w:id="1799451021">
          <w:marLeft w:val="-720"/>
          <w:marRight w:val="0"/>
          <w:marTop w:val="0"/>
          <w:marBottom w:val="0"/>
          <w:divBdr>
            <w:top w:val="none" w:sz="0" w:space="0" w:color="auto"/>
            <w:left w:val="none" w:sz="0" w:space="0" w:color="auto"/>
            <w:bottom w:val="none" w:sz="0" w:space="0" w:color="auto"/>
            <w:right w:val="none" w:sz="0" w:space="0" w:color="auto"/>
          </w:divBdr>
        </w:div>
      </w:divsChild>
    </w:div>
    <w:div w:id="1347245057">
      <w:bodyDiv w:val="1"/>
      <w:marLeft w:val="0"/>
      <w:marRight w:val="0"/>
      <w:marTop w:val="0"/>
      <w:marBottom w:val="0"/>
      <w:divBdr>
        <w:top w:val="none" w:sz="0" w:space="0" w:color="auto"/>
        <w:left w:val="none" w:sz="0" w:space="0" w:color="auto"/>
        <w:bottom w:val="none" w:sz="0" w:space="0" w:color="auto"/>
        <w:right w:val="none" w:sz="0" w:space="0" w:color="auto"/>
      </w:divBdr>
    </w:div>
    <w:div w:id="1359040628">
      <w:bodyDiv w:val="1"/>
      <w:marLeft w:val="0"/>
      <w:marRight w:val="0"/>
      <w:marTop w:val="0"/>
      <w:marBottom w:val="0"/>
      <w:divBdr>
        <w:top w:val="none" w:sz="0" w:space="0" w:color="auto"/>
        <w:left w:val="none" w:sz="0" w:space="0" w:color="auto"/>
        <w:bottom w:val="none" w:sz="0" w:space="0" w:color="auto"/>
        <w:right w:val="none" w:sz="0" w:space="0" w:color="auto"/>
      </w:divBdr>
      <w:divsChild>
        <w:div w:id="1624841760">
          <w:marLeft w:val="-720"/>
          <w:marRight w:val="0"/>
          <w:marTop w:val="0"/>
          <w:marBottom w:val="0"/>
          <w:divBdr>
            <w:top w:val="none" w:sz="0" w:space="0" w:color="auto"/>
            <w:left w:val="none" w:sz="0" w:space="0" w:color="auto"/>
            <w:bottom w:val="none" w:sz="0" w:space="0" w:color="auto"/>
            <w:right w:val="none" w:sz="0" w:space="0" w:color="auto"/>
          </w:divBdr>
        </w:div>
      </w:divsChild>
    </w:div>
    <w:div w:id="1366294853">
      <w:bodyDiv w:val="1"/>
      <w:marLeft w:val="0"/>
      <w:marRight w:val="0"/>
      <w:marTop w:val="0"/>
      <w:marBottom w:val="0"/>
      <w:divBdr>
        <w:top w:val="none" w:sz="0" w:space="0" w:color="auto"/>
        <w:left w:val="none" w:sz="0" w:space="0" w:color="auto"/>
        <w:bottom w:val="none" w:sz="0" w:space="0" w:color="auto"/>
        <w:right w:val="none" w:sz="0" w:space="0" w:color="auto"/>
      </w:divBdr>
    </w:div>
    <w:div w:id="1379236967">
      <w:bodyDiv w:val="1"/>
      <w:marLeft w:val="0"/>
      <w:marRight w:val="0"/>
      <w:marTop w:val="0"/>
      <w:marBottom w:val="0"/>
      <w:divBdr>
        <w:top w:val="none" w:sz="0" w:space="0" w:color="auto"/>
        <w:left w:val="none" w:sz="0" w:space="0" w:color="auto"/>
        <w:bottom w:val="none" w:sz="0" w:space="0" w:color="auto"/>
        <w:right w:val="none" w:sz="0" w:space="0" w:color="auto"/>
      </w:divBdr>
    </w:div>
    <w:div w:id="1379890130">
      <w:bodyDiv w:val="1"/>
      <w:marLeft w:val="0"/>
      <w:marRight w:val="0"/>
      <w:marTop w:val="0"/>
      <w:marBottom w:val="0"/>
      <w:divBdr>
        <w:top w:val="none" w:sz="0" w:space="0" w:color="auto"/>
        <w:left w:val="none" w:sz="0" w:space="0" w:color="auto"/>
        <w:bottom w:val="none" w:sz="0" w:space="0" w:color="auto"/>
        <w:right w:val="none" w:sz="0" w:space="0" w:color="auto"/>
      </w:divBdr>
    </w:div>
    <w:div w:id="1384258578">
      <w:bodyDiv w:val="1"/>
      <w:marLeft w:val="0"/>
      <w:marRight w:val="0"/>
      <w:marTop w:val="0"/>
      <w:marBottom w:val="0"/>
      <w:divBdr>
        <w:top w:val="none" w:sz="0" w:space="0" w:color="auto"/>
        <w:left w:val="none" w:sz="0" w:space="0" w:color="auto"/>
        <w:bottom w:val="none" w:sz="0" w:space="0" w:color="auto"/>
        <w:right w:val="none" w:sz="0" w:space="0" w:color="auto"/>
      </w:divBdr>
      <w:divsChild>
        <w:div w:id="1124693763">
          <w:marLeft w:val="-720"/>
          <w:marRight w:val="0"/>
          <w:marTop w:val="0"/>
          <w:marBottom w:val="0"/>
          <w:divBdr>
            <w:top w:val="none" w:sz="0" w:space="0" w:color="auto"/>
            <w:left w:val="none" w:sz="0" w:space="0" w:color="auto"/>
            <w:bottom w:val="none" w:sz="0" w:space="0" w:color="auto"/>
            <w:right w:val="none" w:sz="0" w:space="0" w:color="auto"/>
          </w:divBdr>
        </w:div>
      </w:divsChild>
    </w:div>
    <w:div w:id="1395543553">
      <w:bodyDiv w:val="1"/>
      <w:marLeft w:val="0"/>
      <w:marRight w:val="0"/>
      <w:marTop w:val="0"/>
      <w:marBottom w:val="0"/>
      <w:divBdr>
        <w:top w:val="none" w:sz="0" w:space="0" w:color="auto"/>
        <w:left w:val="none" w:sz="0" w:space="0" w:color="auto"/>
        <w:bottom w:val="none" w:sz="0" w:space="0" w:color="auto"/>
        <w:right w:val="none" w:sz="0" w:space="0" w:color="auto"/>
      </w:divBdr>
      <w:divsChild>
        <w:div w:id="1714500704">
          <w:marLeft w:val="-720"/>
          <w:marRight w:val="0"/>
          <w:marTop w:val="0"/>
          <w:marBottom w:val="0"/>
          <w:divBdr>
            <w:top w:val="none" w:sz="0" w:space="0" w:color="auto"/>
            <w:left w:val="none" w:sz="0" w:space="0" w:color="auto"/>
            <w:bottom w:val="none" w:sz="0" w:space="0" w:color="auto"/>
            <w:right w:val="none" w:sz="0" w:space="0" w:color="auto"/>
          </w:divBdr>
        </w:div>
      </w:divsChild>
    </w:div>
    <w:div w:id="1396512111">
      <w:bodyDiv w:val="1"/>
      <w:marLeft w:val="0"/>
      <w:marRight w:val="0"/>
      <w:marTop w:val="0"/>
      <w:marBottom w:val="0"/>
      <w:divBdr>
        <w:top w:val="none" w:sz="0" w:space="0" w:color="auto"/>
        <w:left w:val="none" w:sz="0" w:space="0" w:color="auto"/>
        <w:bottom w:val="none" w:sz="0" w:space="0" w:color="auto"/>
        <w:right w:val="none" w:sz="0" w:space="0" w:color="auto"/>
      </w:divBdr>
      <w:divsChild>
        <w:div w:id="2117097013">
          <w:marLeft w:val="-720"/>
          <w:marRight w:val="0"/>
          <w:marTop w:val="0"/>
          <w:marBottom w:val="0"/>
          <w:divBdr>
            <w:top w:val="none" w:sz="0" w:space="0" w:color="auto"/>
            <w:left w:val="none" w:sz="0" w:space="0" w:color="auto"/>
            <w:bottom w:val="none" w:sz="0" w:space="0" w:color="auto"/>
            <w:right w:val="none" w:sz="0" w:space="0" w:color="auto"/>
          </w:divBdr>
        </w:div>
      </w:divsChild>
    </w:div>
    <w:div w:id="1409187769">
      <w:bodyDiv w:val="1"/>
      <w:marLeft w:val="0"/>
      <w:marRight w:val="0"/>
      <w:marTop w:val="0"/>
      <w:marBottom w:val="0"/>
      <w:divBdr>
        <w:top w:val="none" w:sz="0" w:space="0" w:color="auto"/>
        <w:left w:val="none" w:sz="0" w:space="0" w:color="auto"/>
        <w:bottom w:val="none" w:sz="0" w:space="0" w:color="auto"/>
        <w:right w:val="none" w:sz="0" w:space="0" w:color="auto"/>
      </w:divBdr>
      <w:divsChild>
        <w:div w:id="1187981537">
          <w:marLeft w:val="-720"/>
          <w:marRight w:val="0"/>
          <w:marTop w:val="0"/>
          <w:marBottom w:val="0"/>
          <w:divBdr>
            <w:top w:val="none" w:sz="0" w:space="0" w:color="auto"/>
            <w:left w:val="none" w:sz="0" w:space="0" w:color="auto"/>
            <w:bottom w:val="none" w:sz="0" w:space="0" w:color="auto"/>
            <w:right w:val="none" w:sz="0" w:space="0" w:color="auto"/>
          </w:divBdr>
        </w:div>
      </w:divsChild>
    </w:div>
    <w:div w:id="1422021848">
      <w:bodyDiv w:val="1"/>
      <w:marLeft w:val="0"/>
      <w:marRight w:val="0"/>
      <w:marTop w:val="0"/>
      <w:marBottom w:val="0"/>
      <w:divBdr>
        <w:top w:val="none" w:sz="0" w:space="0" w:color="auto"/>
        <w:left w:val="none" w:sz="0" w:space="0" w:color="auto"/>
        <w:bottom w:val="none" w:sz="0" w:space="0" w:color="auto"/>
        <w:right w:val="none" w:sz="0" w:space="0" w:color="auto"/>
      </w:divBdr>
      <w:divsChild>
        <w:div w:id="1309943249">
          <w:marLeft w:val="-720"/>
          <w:marRight w:val="0"/>
          <w:marTop w:val="0"/>
          <w:marBottom w:val="0"/>
          <w:divBdr>
            <w:top w:val="none" w:sz="0" w:space="0" w:color="auto"/>
            <w:left w:val="none" w:sz="0" w:space="0" w:color="auto"/>
            <w:bottom w:val="none" w:sz="0" w:space="0" w:color="auto"/>
            <w:right w:val="none" w:sz="0" w:space="0" w:color="auto"/>
          </w:divBdr>
        </w:div>
      </w:divsChild>
    </w:div>
    <w:div w:id="1438133272">
      <w:bodyDiv w:val="1"/>
      <w:marLeft w:val="0"/>
      <w:marRight w:val="0"/>
      <w:marTop w:val="0"/>
      <w:marBottom w:val="0"/>
      <w:divBdr>
        <w:top w:val="none" w:sz="0" w:space="0" w:color="auto"/>
        <w:left w:val="none" w:sz="0" w:space="0" w:color="auto"/>
        <w:bottom w:val="none" w:sz="0" w:space="0" w:color="auto"/>
        <w:right w:val="none" w:sz="0" w:space="0" w:color="auto"/>
      </w:divBdr>
      <w:divsChild>
        <w:div w:id="86848498">
          <w:marLeft w:val="-720"/>
          <w:marRight w:val="0"/>
          <w:marTop w:val="0"/>
          <w:marBottom w:val="0"/>
          <w:divBdr>
            <w:top w:val="none" w:sz="0" w:space="0" w:color="auto"/>
            <w:left w:val="none" w:sz="0" w:space="0" w:color="auto"/>
            <w:bottom w:val="none" w:sz="0" w:space="0" w:color="auto"/>
            <w:right w:val="none" w:sz="0" w:space="0" w:color="auto"/>
          </w:divBdr>
        </w:div>
      </w:divsChild>
    </w:div>
    <w:div w:id="1454789095">
      <w:bodyDiv w:val="1"/>
      <w:marLeft w:val="0"/>
      <w:marRight w:val="0"/>
      <w:marTop w:val="0"/>
      <w:marBottom w:val="0"/>
      <w:divBdr>
        <w:top w:val="none" w:sz="0" w:space="0" w:color="auto"/>
        <w:left w:val="none" w:sz="0" w:space="0" w:color="auto"/>
        <w:bottom w:val="none" w:sz="0" w:space="0" w:color="auto"/>
        <w:right w:val="none" w:sz="0" w:space="0" w:color="auto"/>
      </w:divBdr>
    </w:div>
    <w:div w:id="1479028448">
      <w:bodyDiv w:val="1"/>
      <w:marLeft w:val="0"/>
      <w:marRight w:val="0"/>
      <w:marTop w:val="0"/>
      <w:marBottom w:val="0"/>
      <w:divBdr>
        <w:top w:val="none" w:sz="0" w:space="0" w:color="auto"/>
        <w:left w:val="none" w:sz="0" w:space="0" w:color="auto"/>
        <w:bottom w:val="none" w:sz="0" w:space="0" w:color="auto"/>
        <w:right w:val="none" w:sz="0" w:space="0" w:color="auto"/>
      </w:divBdr>
    </w:div>
    <w:div w:id="1480922391">
      <w:bodyDiv w:val="1"/>
      <w:marLeft w:val="0"/>
      <w:marRight w:val="0"/>
      <w:marTop w:val="0"/>
      <w:marBottom w:val="0"/>
      <w:divBdr>
        <w:top w:val="none" w:sz="0" w:space="0" w:color="auto"/>
        <w:left w:val="none" w:sz="0" w:space="0" w:color="auto"/>
        <w:bottom w:val="none" w:sz="0" w:space="0" w:color="auto"/>
        <w:right w:val="none" w:sz="0" w:space="0" w:color="auto"/>
      </w:divBdr>
      <w:divsChild>
        <w:div w:id="1012293471">
          <w:marLeft w:val="-720"/>
          <w:marRight w:val="0"/>
          <w:marTop w:val="0"/>
          <w:marBottom w:val="0"/>
          <w:divBdr>
            <w:top w:val="none" w:sz="0" w:space="0" w:color="auto"/>
            <w:left w:val="none" w:sz="0" w:space="0" w:color="auto"/>
            <w:bottom w:val="none" w:sz="0" w:space="0" w:color="auto"/>
            <w:right w:val="none" w:sz="0" w:space="0" w:color="auto"/>
          </w:divBdr>
        </w:div>
      </w:divsChild>
    </w:div>
    <w:div w:id="1485321106">
      <w:bodyDiv w:val="1"/>
      <w:marLeft w:val="0"/>
      <w:marRight w:val="0"/>
      <w:marTop w:val="0"/>
      <w:marBottom w:val="0"/>
      <w:divBdr>
        <w:top w:val="none" w:sz="0" w:space="0" w:color="auto"/>
        <w:left w:val="none" w:sz="0" w:space="0" w:color="auto"/>
        <w:bottom w:val="none" w:sz="0" w:space="0" w:color="auto"/>
        <w:right w:val="none" w:sz="0" w:space="0" w:color="auto"/>
      </w:divBdr>
    </w:div>
    <w:div w:id="1520125299">
      <w:bodyDiv w:val="1"/>
      <w:marLeft w:val="0"/>
      <w:marRight w:val="0"/>
      <w:marTop w:val="0"/>
      <w:marBottom w:val="0"/>
      <w:divBdr>
        <w:top w:val="none" w:sz="0" w:space="0" w:color="auto"/>
        <w:left w:val="none" w:sz="0" w:space="0" w:color="auto"/>
        <w:bottom w:val="none" w:sz="0" w:space="0" w:color="auto"/>
        <w:right w:val="none" w:sz="0" w:space="0" w:color="auto"/>
      </w:divBdr>
    </w:div>
    <w:div w:id="1566378405">
      <w:bodyDiv w:val="1"/>
      <w:marLeft w:val="0"/>
      <w:marRight w:val="0"/>
      <w:marTop w:val="0"/>
      <w:marBottom w:val="0"/>
      <w:divBdr>
        <w:top w:val="none" w:sz="0" w:space="0" w:color="auto"/>
        <w:left w:val="none" w:sz="0" w:space="0" w:color="auto"/>
        <w:bottom w:val="none" w:sz="0" w:space="0" w:color="auto"/>
        <w:right w:val="none" w:sz="0" w:space="0" w:color="auto"/>
      </w:divBdr>
    </w:div>
    <w:div w:id="1578053230">
      <w:bodyDiv w:val="1"/>
      <w:marLeft w:val="0"/>
      <w:marRight w:val="0"/>
      <w:marTop w:val="0"/>
      <w:marBottom w:val="0"/>
      <w:divBdr>
        <w:top w:val="none" w:sz="0" w:space="0" w:color="auto"/>
        <w:left w:val="none" w:sz="0" w:space="0" w:color="auto"/>
        <w:bottom w:val="none" w:sz="0" w:space="0" w:color="auto"/>
        <w:right w:val="none" w:sz="0" w:space="0" w:color="auto"/>
      </w:divBdr>
    </w:div>
    <w:div w:id="1581939982">
      <w:bodyDiv w:val="1"/>
      <w:marLeft w:val="0"/>
      <w:marRight w:val="0"/>
      <w:marTop w:val="0"/>
      <w:marBottom w:val="0"/>
      <w:divBdr>
        <w:top w:val="none" w:sz="0" w:space="0" w:color="auto"/>
        <w:left w:val="none" w:sz="0" w:space="0" w:color="auto"/>
        <w:bottom w:val="none" w:sz="0" w:space="0" w:color="auto"/>
        <w:right w:val="none" w:sz="0" w:space="0" w:color="auto"/>
      </w:divBdr>
    </w:div>
    <w:div w:id="1585265041">
      <w:bodyDiv w:val="1"/>
      <w:marLeft w:val="0"/>
      <w:marRight w:val="0"/>
      <w:marTop w:val="0"/>
      <w:marBottom w:val="0"/>
      <w:divBdr>
        <w:top w:val="none" w:sz="0" w:space="0" w:color="auto"/>
        <w:left w:val="none" w:sz="0" w:space="0" w:color="auto"/>
        <w:bottom w:val="none" w:sz="0" w:space="0" w:color="auto"/>
        <w:right w:val="none" w:sz="0" w:space="0" w:color="auto"/>
      </w:divBdr>
    </w:div>
    <w:div w:id="1599488577">
      <w:bodyDiv w:val="1"/>
      <w:marLeft w:val="0"/>
      <w:marRight w:val="0"/>
      <w:marTop w:val="0"/>
      <w:marBottom w:val="0"/>
      <w:divBdr>
        <w:top w:val="none" w:sz="0" w:space="0" w:color="auto"/>
        <w:left w:val="none" w:sz="0" w:space="0" w:color="auto"/>
        <w:bottom w:val="none" w:sz="0" w:space="0" w:color="auto"/>
        <w:right w:val="none" w:sz="0" w:space="0" w:color="auto"/>
      </w:divBdr>
    </w:div>
    <w:div w:id="1604148329">
      <w:bodyDiv w:val="1"/>
      <w:marLeft w:val="0"/>
      <w:marRight w:val="0"/>
      <w:marTop w:val="0"/>
      <w:marBottom w:val="0"/>
      <w:divBdr>
        <w:top w:val="none" w:sz="0" w:space="0" w:color="auto"/>
        <w:left w:val="none" w:sz="0" w:space="0" w:color="auto"/>
        <w:bottom w:val="none" w:sz="0" w:space="0" w:color="auto"/>
        <w:right w:val="none" w:sz="0" w:space="0" w:color="auto"/>
      </w:divBdr>
    </w:div>
    <w:div w:id="1672873318">
      <w:bodyDiv w:val="1"/>
      <w:marLeft w:val="0"/>
      <w:marRight w:val="0"/>
      <w:marTop w:val="0"/>
      <w:marBottom w:val="0"/>
      <w:divBdr>
        <w:top w:val="none" w:sz="0" w:space="0" w:color="auto"/>
        <w:left w:val="none" w:sz="0" w:space="0" w:color="auto"/>
        <w:bottom w:val="none" w:sz="0" w:space="0" w:color="auto"/>
        <w:right w:val="none" w:sz="0" w:space="0" w:color="auto"/>
      </w:divBdr>
    </w:div>
    <w:div w:id="1703506508">
      <w:bodyDiv w:val="1"/>
      <w:marLeft w:val="0"/>
      <w:marRight w:val="0"/>
      <w:marTop w:val="0"/>
      <w:marBottom w:val="0"/>
      <w:divBdr>
        <w:top w:val="none" w:sz="0" w:space="0" w:color="auto"/>
        <w:left w:val="none" w:sz="0" w:space="0" w:color="auto"/>
        <w:bottom w:val="none" w:sz="0" w:space="0" w:color="auto"/>
        <w:right w:val="none" w:sz="0" w:space="0" w:color="auto"/>
      </w:divBdr>
      <w:divsChild>
        <w:div w:id="1172525498">
          <w:marLeft w:val="-720"/>
          <w:marRight w:val="0"/>
          <w:marTop w:val="0"/>
          <w:marBottom w:val="0"/>
          <w:divBdr>
            <w:top w:val="none" w:sz="0" w:space="0" w:color="auto"/>
            <w:left w:val="none" w:sz="0" w:space="0" w:color="auto"/>
            <w:bottom w:val="none" w:sz="0" w:space="0" w:color="auto"/>
            <w:right w:val="none" w:sz="0" w:space="0" w:color="auto"/>
          </w:divBdr>
        </w:div>
      </w:divsChild>
    </w:div>
    <w:div w:id="1706058622">
      <w:bodyDiv w:val="1"/>
      <w:marLeft w:val="0"/>
      <w:marRight w:val="0"/>
      <w:marTop w:val="0"/>
      <w:marBottom w:val="0"/>
      <w:divBdr>
        <w:top w:val="none" w:sz="0" w:space="0" w:color="auto"/>
        <w:left w:val="none" w:sz="0" w:space="0" w:color="auto"/>
        <w:bottom w:val="none" w:sz="0" w:space="0" w:color="auto"/>
        <w:right w:val="none" w:sz="0" w:space="0" w:color="auto"/>
      </w:divBdr>
      <w:divsChild>
        <w:div w:id="1796361771">
          <w:marLeft w:val="-720"/>
          <w:marRight w:val="0"/>
          <w:marTop w:val="0"/>
          <w:marBottom w:val="0"/>
          <w:divBdr>
            <w:top w:val="none" w:sz="0" w:space="0" w:color="auto"/>
            <w:left w:val="none" w:sz="0" w:space="0" w:color="auto"/>
            <w:bottom w:val="none" w:sz="0" w:space="0" w:color="auto"/>
            <w:right w:val="none" w:sz="0" w:space="0" w:color="auto"/>
          </w:divBdr>
        </w:div>
      </w:divsChild>
    </w:div>
    <w:div w:id="1726174455">
      <w:bodyDiv w:val="1"/>
      <w:marLeft w:val="0"/>
      <w:marRight w:val="0"/>
      <w:marTop w:val="0"/>
      <w:marBottom w:val="0"/>
      <w:divBdr>
        <w:top w:val="none" w:sz="0" w:space="0" w:color="auto"/>
        <w:left w:val="none" w:sz="0" w:space="0" w:color="auto"/>
        <w:bottom w:val="none" w:sz="0" w:space="0" w:color="auto"/>
        <w:right w:val="none" w:sz="0" w:space="0" w:color="auto"/>
      </w:divBdr>
      <w:divsChild>
        <w:div w:id="1015839618">
          <w:marLeft w:val="-720"/>
          <w:marRight w:val="0"/>
          <w:marTop w:val="0"/>
          <w:marBottom w:val="0"/>
          <w:divBdr>
            <w:top w:val="none" w:sz="0" w:space="0" w:color="auto"/>
            <w:left w:val="none" w:sz="0" w:space="0" w:color="auto"/>
            <w:bottom w:val="none" w:sz="0" w:space="0" w:color="auto"/>
            <w:right w:val="none" w:sz="0" w:space="0" w:color="auto"/>
          </w:divBdr>
        </w:div>
      </w:divsChild>
    </w:div>
    <w:div w:id="1745444852">
      <w:bodyDiv w:val="1"/>
      <w:marLeft w:val="0"/>
      <w:marRight w:val="0"/>
      <w:marTop w:val="0"/>
      <w:marBottom w:val="0"/>
      <w:divBdr>
        <w:top w:val="none" w:sz="0" w:space="0" w:color="auto"/>
        <w:left w:val="none" w:sz="0" w:space="0" w:color="auto"/>
        <w:bottom w:val="none" w:sz="0" w:space="0" w:color="auto"/>
        <w:right w:val="none" w:sz="0" w:space="0" w:color="auto"/>
      </w:divBdr>
    </w:div>
    <w:div w:id="1766733129">
      <w:bodyDiv w:val="1"/>
      <w:marLeft w:val="0"/>
      <w:marRight w:val="0"/>
      <w:marTop w:val="0"/>
      <w:marBottom w:val="0"/>
      <w:divBdr>
        <w:top w:val="none" w:sz="0" w:space="0" w:color="auto"/>
        <w:left w:val="none" w:sz="0" w:space="0" w:color="auto"/>
        <w:bottom w:val="none" w:sz="0" w:space="0" w:color="auto"/>
        <w:right w:val="none" w:sz="0" w:space="0" w:color="auto"/>
      </w:divBdr>
      <w:divsChild>
        <w:div w:id="1761564337">
          <w:marLeft w:val="-720"/>
          <w:marRight w:val="0"/>
          <w:marTop w:val="0"/>
          <w:marBottom w:val="0"/>
          <w:divBdr>
            <w:top w:val="none" w:sz="0" w:space="0" w:color="auto"/>
            <w:left w:val="none" w:sz="0" w:space="0" w:color="auto"/>
            <w:bottom w:val="none" w:sz="0" w:space="0" w:color="auto"/>
            <w:right w:val="none" w:sz="0" w:space="0" w:color="auto"/>
          </w:divBdr>
        </w:div>
      </w:divsChild>
    </w:div>
    <w:div w:id="1781217295">
      <w:bodyDiv w:val="1"/>
      <w:marLeft w:val="0"/>
      <w:marRight w:val="0"/>
      <w:marTop w:val="0"/>
      <w:marBottom w:val="0"/>
      <w:divBdr>
        <w:top w:val="none" w:sz="0" w:space="0" w:color="auto"/>
        <w:left w:val="none" w:sz="0" w:space="0" w:color="auto"/>
        <w:bottom w:val="none" w:sz="0" w:space="0" w:color="auto"/>
        <w:right w:val="none" w:sz="0" w:space="0" w:color="auto"/>
      </w:divBdr>
    </w:div>
    <w:div w:id="1784571501">
      <w:bodyDiv w:val="1"/>
      <w:marLeft w:val="0"/>
      <w:marRight w:val="0"/>
      <w:marTop w:val="0"/>
      <w:marBottom w:val="0"/>
      <w:divBdr>
        <w:top w:val="none" w:sz="0" w:space="0" w:color="auto"/>
        <w:left w:val="none" w:sz="0" w:space="0" w:color="auto"/>
        <w:bottom w:val="none" w:sz="0" w:space="0" w:color="auto"/>
        <w:right w:val="none" w:sz="0" w:space="0" w:color="auto"/>
      </w:divBdr>
    </w:div>
    <w:div w:id="1788502017">
      <w:bodyDiv w:val="1"/>
      <w:marLeft w:val="0"/>
      <w:marRight w:val="0"/>
      <w:marTop w:val="0"/>
      <w:marBottom w:val="0"/>
      <w:divBdr>
        <w:top w:val="none" w:sz="0" w:space="0" w:color="auto"/>
        <w:left w:val="none" w:sz="0" w:space="0" w:color="auto"/>
        <w:bottom w:val="none" w:sz="0" w:space="0" w:color="auto"/>
        <w:right w:val="none" w:sz="0" w:space="0" w:color="auto"/>
      </w:divBdr>
    </w:div>
    <w:div w:id="1789661991">
      <w:bodyDiv w:val="1"/>
      <w:marLeft w:val="0"/>
      <w:marRight w:val="0"/>
      <w:marTop w:val="0"/>
      <w:marBottom w:val="0"/>
      <w:divBdr>
        <w:top w:val="none" w:sz="0" w:space="0" w:color="auto"/>
        <w:left w:val="none" w:sz="0" w:space="0" w:color="auto"/>
        <w:bottom w:val="none" w:sz="0" w:space="0" w:color="auto"/>
        <w:right w:val="none" w:sz="0" w:space="0" w:color="auto"/>
      </w:divBdr>
      <w:divsChild>
        <w:div w:id="582569272">
          <w:marLeft w:val="-720"/>
          <w:marRight w:val="0"/>
          <w:marTop w:val="0"/>
          <w:marBottom w:val="0"/>
          <w:divBdr>
            <w:top w:val="none" w:sz="0" w:space="0" w:color="auto"/>
            <w:left w:val="none" w:sz="0" w:space="0" w:color="auto"/>
            <w:bottom w:val="none" w:sz="0" w:space="0" w:color="auto"/>
            <w:right w:val="none" w:sz="0" w:space="0" w:color="auto"/>
          </w:divBdr>
        </w:div>
      </w:divsChild>
    </w:div>
    <w:div w:id="1790005467">
      <w:bodyDiv w:val="1"/>
      <w:marLeft w:val="0"/>
      <w:marRight w:val="0"/>
      <w:marTop w:val="0"/>
      <w:marBottom w:val="0"/>
      <w:divBdr>
        <w:top w:val="none" w:sz="0" w:space="0" w:color="auto"/>
        <w:left w:val="none" w:sz="0" w:space="0" w:color="auto"/>
        <w:bottom w:val="none" w:sz="0" w:space="0" w:color="auto"/>
        <w:right w:val="none" w:sz="0" w:space="0" w:color="auto"/>
      </w:divBdr>
      <w:divsChild>
        <w:div w:id="1576629205">
          <w:marLeft w:val="-720"/>
          <w:marRight w:val="0"/>
          <w:marTop w:val="0"/>
          <w:marBottom w:val="0"/>
          <w:divBdr>
            <w:top w:val="none" w:sz="0" w:space="0" w:color="auto"/>
            <w:left w:val="none" w:sz="0" w:space="0" w:color="auto"/>
            <w:bottom w:val="none" w:sz="0" w:space="0" w:color="auto"/>
            <w:right w:val="none" w:sz="0" w:space="0" w:color="auto"/>
          </w:divBdr>
        </w:div>
      </w:divsChild>
    </w:div>
    <w:div w:id="1799757875">
      <w:bodyDiv w:val="1"/>
      <w:marLeft w:val="0"/>
      <w:marRight w:val="0"/>
      <w:marTop w:val="0"/>
      <w:marBottom w:val="0"/>
      <w:divBdr>
        <w:top w:val="none" w:sz="0" w:space="0" w:color="auto"/>
        <w:left w:val="none" w:sz="0" w:space="0" w:color="auto"/>
        <w:bottom w:val="none" w:sz="0" w:space="0" w:color="auto"/>
        <w:right w:val="none" w:sz="0" w:space="0" w:color="auto"/>
      </w:divBdr>
      <w:divsChild>
        <w:div w:id="1006982466">
          <w:marLeft w:val="-720"/>
          <w:marRight w:val="0"/>
          <w:marTop w:val="0"/>
          <w:marBottom w:val="0"/>
          <w:divBdr>
            <w:top w:val="none" w:sz="0" w:space="0" w:color="auto"/>
            <w:left w:val="none" w:sz="0" w:space="0" w:color="auto"/>
            <w:bottom w:val="none" w:sz="0" w:space="0" w:color="auto"/>
            <w:right w:val="none" w:sz="0" w:space="0" w:color="auto"/>
          </w:divBdr>
        </w:div>
      </w:divsChild>
    </w:div>
    <w:div w:id="1812359598">
      <w:bodyDiv w:val="1"/>
      <w:marLeft w:val="0"/>
      <w:marRight w:val="0"/>
      <w:marTop w:val="0"/>
      <w:marBottom w:val="0"/>
      <w:divBdr>
        <w:top w:val="none" w:sz="0" w:space="0" w:color="auto"/>
        <w:left w:val="none" w:sz="0" w:space="0" w:color="auto"/>
        <w:bottom w:val="none" w:sz="0" w:space="0" w:color="auto"/>
        <w:right w:val="none" w:sz="0" w:space="0" w:color="auto"/>
      </w:divBdr>
      <w:divsChild>
        <w:div w:id="1086876642">
          <w:marLeft w:val="-720"/>
          <w:marRight w:val="0"/>
          <w:marTop w:val="0"/>
          <w:marBottom w:val="0"/>
          <w:divBdr>
            <w:top w:val="none" w:sz="0" w:space="0" w:color="auto"/>
            <w:left w:val="none" w:sz="0" w:space="0" w:color="auto"/>
            <w:bottom w:val="none" w:sz="0" w:space="0" w:color="auto"/>
            <w:right w:val="none" w:sz="0" w:space="0" w:color="auto"/>
          </w:divBdr>
        </w:div>
      </w:divsChild>
    </w:div>
    <w:div w:id="1816338367">
      <w:bodyDiv w:val="1"/>
      <w:marLeft w:val="0"/>
      <w:marRight w:val="0"/>
      <w:marTop w:val="0"/>
      <w:marBottom w:val="0"/>
      <w:divBdr>
        <w:top w:val="none" w:sz="0" w:space="0" w:color="auto"/>
        <w:left w:val="none" w:sz="0" w:space="0" w:color="auto"/>
        <w:bottom w:val="none" w:sz="0" w:space="0" w:color="auto"/>
        <w:right w:val="none" w:sz="0" w:space="0" w:color="auto"/>
      </w:divBdr>
    </w:div>
    <w:div w:id="1830293096">
      <w:bodyDiv w:val="1"/>
      <w:marLeft w:val="0"/>
      <w:marRight w:val="0"/>
      <w:marTop w:val="0"/>
      <w:marBottom w:val="0"/>
      <w:divBdr>
        <w:top w:val="none" w:sz="0" w:space="0" w:color="auto"/>
        <w:left w:val="none" w:sz="0" w:space="0" w:color="auto"/>
        <w:bottom w:val="none" w:sz="0" w:space="0" w:color="auto"/>
        <w:right w:val="none" w:sz="0" w:space="0" w:color="auto"/>
      </w:divBdr>
      <w:divsChild>
        <w:div w:id="1434976772">
          <w:marLeft w:val="-720"/>
          <w:marRight w:val="0"/>
          <w:marTop w:val="0"/>
          <w:marBottom w:val="0"/>
          <w:divBdr>
            <w:top w:val="none" w:sz="0" w:space="0" w:color="auto"/>
            <w:left w:val="none" w:sz="0" w:space="0" w:color="auto"/>
            <w:bottom w:val="none" w:sz="0" w:space="0" w:color="auto"/>
            <w:right w:val="none" w:sz="0" w:space="0" w:color="auto"/>
          </w:divBdr>
        </w:div>
      </w:divsChild>
    </w:div>
    <w:div w:id="1855413054">
      <w:bodyDiv w:val="1"/>
      <w:marLeft w:val="0"/>
      <w:marRight w:val="0"/>
      <w:marTop w:val="0"/>
      <w:marBottom w:val="0"/>
      <w:divBdr>
        <w:top w:val="none" w:sz="0" w:space="0" w:color="auto"/>
        <w:left w:val="none" w:sz="0" w:space="0" w:color="auto"/>
        <w:bottom w:val="none" w:sz="0" w:space="0" w:color="auto"/>
        <w:right w:val="none" w:sz="0" w:space="0" w:color="auto"/>
      </w:divBdr>
    </w:div>
    <w:div w:id="1858422291">
      <w:bodyDiv w:val="1"/>
      <w:marLeft w:val="0"/>
      <w:marRight w:val="0"/>
      <w:marTop w:val="0"/>
      <w:marBottom w:val="0"/>
      <w:divBdr>
        <w:top w:val="none" w:sz="0" w:space="0" w:color="auto"/>
        <w:left w:val="none" w:sz="0" w:space="0" w:color="auto"/>
        <w:bottom w:val="none" w:sz="0" w:space="0" w:color="auto"/>
        <w:right w:val="none" w:sz="0" w:space="0" w:color="auto"/>
      </w:divBdr>
      <w:divsChild>
        <w:div w:id="1211376902">
          <w:marLeft w:val="-720"/>
          <w:marRight w:val="0"/>
          <w:marTop w:val="0"/>
          <w:marBottom w:val="0"/>
          <w:divBdr>
            <w:top w:val="none" w:sz="0" w:space="0" w:color="auto"/>
            <w:left w:val="none" w:sz="0" w:space="0" w:color="auto"/>
            <w:bottom w:val="none" w:sz="0" w:space="0" w:color="auto"/>
            <w:right w:val="none" w:sz="0" w:space="0" w:color="auto"/>
          </w:divBdr>
        </w:div>
      </w:divsChild>
    </w:div>
    <w:div w:id="1875657525">
      <w:bodyDiv w:val="1"/>
      <w:marLeft w:val="0"/>
      <w:marRight w:val="0"/>
      <w:marTop w:val="0"/>
      <w:marBottom w:val="0"/>
      <w:divBdr>
        <w:top w:val="none" w:sz="0" w:space="0" w:color="auto"/>
        <w:left w:val="none" w:sz="0" w:space="0" w:color="auto"/>
        <w:bottom w:val="none" w:sz="0" w:space="0" w:color="auto"/>
        <w:right w:val="none" w:sz="0" w:space="0" w:color="auto"/>
      </w:divBdr>
    </w:div>
    <w:div w:id="1939866559">
      <w:bodyDiv w:val="1"/>
      <w:marLeft w:val="0"/>
      <w:marRight w:val="0"/>
      <w:marTop w:val="0"/>
      <w:marBottom w:val="0"/>
      <w:divBdr>
        <w:top w:val="none" w:sz="0" w:space="0" w:color="auto"/>
        <w:left w:val="none" w:sz="0" w:space="0" w:color="auto"/>
        <w:bottom w:val="none" w:sz="0" w:space="0" w:color="auto"/>
        <w:right w:val="none" w:sz="0" w:space="0" w:color="auto"/>
      </w:divBdr>
    </w:div>
    <w:div w:id="1944071718">
      <w:bodyDiv w:val="1"/>
      <w:marLeft w:val="0"/>
      <w:marRight w:val="0"/>
      <w:marTop w:val="0"/>
      <w:marBottom w:val="0"/>
      <w:divBdr>
        <w:top w:val="none" w:sz="0" w:space="0" w:color="auto"/>
        <w:left w:val="none" w:sz="0" w:space="0" w:color="auto"/>
        <w:bottom w:val="none" w:sz="0" w:space="0" w:color="auto"/>
        <w:right w:val="none" w:sz="0" w:space="0" w:color="auto"/>
      </w:divBdr>
    </w:div>
    <w:div w:id="1951550873">
      <w:bodyDiv w:val="1"/>
      <w:marLeft w:val="0"/>
      <w:marRight w:val="0"/>
      <w:marTop w:val="0"/>
      <w:marBottom w:val="0"/>
      <w:divBdr>
        <w:top w:val="none" w:sz="0" w:space="0" w:color="auto"/>
        <w:left w:val="none" w:sz="0" w:space="0" w:color="auto"/>
        <w:bottom w:val="none" w:sz="0" w:space="0" w:color="auto"/>
        <w:right w:val="none" w:sz="0" w:space="0" w:color="auto"/>
      </w:divBdr>
    </w:div>
    <w:div w:id="1952861436">
      <w:bodyDiv w:val="1"/>
      <w:marLeft w:val="0"/>
      <w:marRight w:val="0"/>
      <w:marTop w:val="0"/>
      <w:marBottom w:val="0"/>
      <w:divBdr>
        <w:top w:val="none" w:sz="0" w:space="0" w:color="auto"/>
        <w:left w:val="none" w:sz="0" w:space="0" w:color="auto"/>
        <w:bottom w:val="none" w:sz="0" w:space="0" w:color="auto"/>
        <w:right w:val="none" w:sz="0" w:space="0" w:color="auto"/>
      </w:divBdr>
      <w:divsChild>
        <w:div w:id="761947770">
          <w:marLeft w:val="-720"/>
          <w:marRight w:val="0"/>
          <w:marTop w:val="0"/>
          <w:marBottom w:val="0"/>
          <w:divBdr>
            <w:top w:val="none" w:sz="0" w:space="0" w:color="auto"/>
            <w:left w:val="none" w:sz="0" w:space="0" w:color="auto"/>
            <w:bottom w:val="none" w:sz="0" w:space="0" w:color="auto"/>
            <w:right w:val="none" w:sz="0" w:space="0" w:color="auto"/>
          </w:divBdr>
        </w:div>
      </w:divsChild>
    </w:div>
    <w:div w:id="1964727332">
      <w:bodyDiv w:val="1"/>
      <w:marLeft w:val="0"/>
      <w:marRight w:val="0"/>
      <w:marTop w:val="0"/>
      <w:marBottom w:val="0"/>
      <w:divBdr>
        <w:top w:val="none" w:sz="0" w:space="0" w:color="auto"/>
        <w:left w:val="none" w:sz="0" w:space="0" w:color="auto"/>
        <w:bottom w:val="none" w:sz="0" w:space="0" w:color="auto"/>
        <w:right w:val="none" w:sz="0" w:space="0" w:color="auto"/>
      </w:divBdr>
      <w:divsChild>
        <w:div w:id="72169005">
          <w:marLeft w:val="-720"/>
          <w:marRight w:val="0"/>
          <w:marTop w:val="0"/>
          <w:marBottom w:val="0"/>
          <w:divBdr>
            <w:top w:val="none" w:sz="0" w:space="0" w:color="auto"/>
            <w:left w:val="none" w:sz="0" w:space="0" w:color="auto"/>
            <w:bottom w:val="none" w:sz="0" w:space="0" w:color="auto"/>
            <w:right w:val="none" w:sz="0" w:space="0" w:color="auto"/>
          </w:divBdr>
        </w:div>
      </w:divsChild>
    </w:div>
    <w:div w:id="2003506855">
      <w:bodyDiv w:val="1"/>
      <w:marLeft w:val="0"/>
      <w:marRight w:val="0"/>
      <w:marTop w:val="0"/>
      <w:marBottom w:val="0"/>
      <w:divBdr>
        <w:top w:val="none" w:sz="0" w:space="0" w:color="auto"/>
        <w:left w:val="none" w:sz="0" w:space="0" w:color="auto"/>
        <w:bottom w:val="none" w:sz="0" w:space="0" w:color="auto"/>
        <w:right w:val="none" w:sz="0" w:space="0" w:color="auto"/>
      </w:divBdr>
    </w:div>
    <w:div w:id="2020500001">
      <w:bodyDiv w:val="1"/>
      <w:marLeft w:val="0"/>
      <w:marRight w:val="0"/>
      <w:marTop w:val="0"/>
      <w:marBottom w:val="0"/>
      <w:divBdr>
        <w:top w:val="none" w:sz="0" w:space="0" w:color="auto"/>
        <w:left w:val="none" w:sz="0" w:space="0" w:color="auto"/>
        <w:bottom w:val="none" w:sz="0" w:space="0" w:color="auto"/>
        <w:right w:val="none" w:sz="0" w:space="0" w:color="auto"/>
      </w:divBdr>
    </w:div>
    <w:div w:id="2031445214">
      <w:bodyDiv w:val="1"/>
      <w:marLeft w:val="0"/>
      <w:marRight w:val="0"/>
      <w:marTop w:val="0"/>
      <w:marBottom w:val="0"/>
      <w:divBdr>
        <w:top w:val="none" w:sz="0" w:space="0" w:color="auto"/>
        <w:left w:val="none" w:sz="0" w:space="0" w:color="auto"/>
        <w:bottom w:val="none" w:sz="0" w:space="0" w:color="auto"/>
        <w:right w:val="none" w:sz="0" w:space="0" w:color="auto"/>
      </w:divBdr>
    </w:div>
    <w:div w:id="2054576842">
      <w:bodyDiv w:val="1"/>
      <w:marLeft w:val="0"/>
      <w:marRight w:val="0"/>
      <w:marTop w:val="0"/>
      <w:marBottom w:val="0"/>
      <w:divBdr>
        <w:top w:val="none" w:sz="0" w:space="0" w:color="auto"/>
        <w:left w:val="none" w:sz="0" w:space="0" w:color="auto"/>
        <w:bottom w:val="none" w:sz="0" w:space="0" w:color="auto"/>
        <w:right w:val="none" w:sz="0" w:space="0" w:color="auto"/>
      </w:divBdr>
      <w:divsChild>
        <w:div w:id="1758473819">
          <w:marLeft w:val="-720"/>
          <w:marRight w:val="0"/>
          <w:marTop w:val="0"/>
          <w:marBottom w:val="0"/>
          <w:divBdr>
            <w:top w:val="none" w:sz="0" w:space="0" w:color="auto"/>
            <w:left w:val="none" w:sz="0" w:space="0" w:color="auto"/>
            <w:bottom w:val="none" w:sz="0" w:space="0" w:color="auto"/>
            <w:right w:val="none" w:sz="0" w:space="0" w:color="auto"/>
          </w:divBdr>
        </w:div>
      </w:divsChild>
    </w:div>
    <w:div w:id="2066638896">
      <w:bodyDiv w:val="1"/>
      <w:marLeft w:val="0"/>
      <w:marRight w:val="0"/>
      <w:marTop w:val="0"/>
      <w:marBottom w:val="0"/>
      <w:divBdr>
        <w:top w:val="none" w:sz="0" w:space="0" w:color="auto"/>
        <w:left w:val="none" w:sz="0" w:space="0" w:color="auto"/>
        <w:bottom w:val="none" w:sz="0" w:space="0" w:color="auto"/>
        <w:right w:val="none" w:sz="0" w:space="0" w:color="auto"/>
      </w:divBdr>
      <w:divsChild>
        <w:div w:id="377318394">
          <w:marLeft w:val="-720"/>
          <w:marRight w:val="0"/>
          <w:marTop w:val="0"/>
          <w:marBottom w:val="0"/>
          <w:divBdr>
            <w:top w:val="none" w:sz="0" w:space="0" w:color="auto"/>
            <w:left w:val="none" w:sz="0" w:space="0" w:color="auto"/>
            <w:bottom w:val="none" w:sz="0" w:space="0" w:color="auto"/>
            <w:right w:val="none" w:sz="0" w:space="0" w:color="auto"/>
          </w:divBdr>
        </w:div>
      </w:divsChild>
    </w:div>
    <w:div w:id="2106225941">
      <w:bodyDiv w:val="1"/>
      <w:marLeft w:val="0"/>
      <w:marRight w:val="0"/>
      <w:marTop w:val="0"/>
      <w:marBottom w:val="0"/>
      <w:divBdr>
        <w:top w:val="none" w:sz="0" w:space="0" w:color="auto"/>
        <w:left w:val="none" w:sz="0" w:space="0" w:color="auto"/>
        <w:bottom w:val="none" w:sz="0" w:space="0" w:color="auto"/>
        <w:right w:val="none" w:sz="0" w:space="0" w:color="auto"/>
      </w:divBdr>
    </w:div>
    <w:div w:id="2107192280">
      <w:bodyDiv w:val="1"/>
      <w:marLeft w:val="0"/>
      <w:marRight w:val="0"/>
      <w:marTop w:val="0"/>
      <w:marBottom w:val="0"/>
      <w:divBdr>
        <w:top w:val="none" w:sz="0" w:space="0" w:color="auto"/>
        <w:left w:val="none" w:sz="0" w:space="0" w:color="auto"/>
        <w:bottom w:val="none" w:sz="0" w:space="0" w:color="auto"/>
        <w:right w:val="none" w:sz="0" w:space="0" w:color="auto"/>
      </w:divBdr>
    </w:div>
    <w:div w:id="21436183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628830F-68E3-41E0-91BE-63D2BA7F19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104</TotalTime>
  <Pages>41</Pages>
  <Words>11123</Words>
  <Characters>69082</Characters>
  <Application>Microsoft Office Word</Application>
  <DocSecurity>0</DocSecurity>
  <Lines>575</Lines>
  <Paragraphs>160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Jones,Garry swp8308</dc:creator>
  <cp:keywords/>
  <dc:description/>
  <cp:lastModifiedBy>Jones,Garry swp8308</cp:lastModifiedBy>
  <cp:revision>10</cp:revision>
  <dcterms:created xsi:type="dcterms:W3CDTF">2024-08-27T16:48:00Z</dcterms:created>
  <dcterms:modified xsi:type="dcterms:W3CDTF">2025-04-06T21:02:00Z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2024-08-27T16:48:55Z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d7ff422d-7d8b-440c-ba55-29cd48b87f8a</vt:lpwstr>
  </property>
  <property fmtid="{D5CDD505-2E9C-101B-9397-08002B2CF9AE}" pid="8" name="MSIP_Label_66cf8fe5-b7b7-4df7-b38d-1c61ac2f6639_ContentBits">
    <vt:lpwstr>0</vt:lpwstr>
  </property>
</Properties>
</file>