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1CB21C" w14:textId="2168C826" w:rsidR="00671253" w:rsidRDefault="00000000">
      <w:pPr>
        <w:spacing w:before="2000"/>
        <w:jc w:val="center"/>
      </w:pPr>
      <w:r>
        <w:rPr>
          <w:b/>
          <w:bCs/>
          <w:sz w:val="28"/>
          <w:szCs w:val="28"/>
        </w:rPr>
        <w:t>University of Wales Trinity Saint David</w:t>
      </w:r>
    </w:p>
    <w:p w14:paraId="69E9BCC1" w14:textId="77777777" w:rsidR="00671253" w:rsidRDefault="00000000">
      <w:pPr>
        <w:spacing w:before="200"/>
        <w:jc w:val="center"/>
      </w:pPr>
      <w:r>
        <w:t>School of Engineering</w:t>
      </w:r>
    </w:p>
    <w:p w14:paraId="46FB171F" w14:textId="77777777" w:rsidR="00671253" w:rsidRDefault="00000000">
      <w:pPr>
        <w:spacing w:before="600"/>
        <w:jc w:val="center"/>
      </w:pPr>
      <w:r>
        <w:rPr>
          <w:b/>
          <w:bCs/>
          <w:sz w:val="32"/>
          <w:szCs w:val="32"/>
        </w:rPr>
        <w:t>Management Functions in Practice:</w:t>
      </w:r>
    </w:p>
    <w:p w14:paraId="29B2E664" w14:textId="77777777" w:rsidR="00671253" w:rsidRDefault="00000000">
      <w:pPr>
        <w:jc w:val="center"/>
      </w:pPr>
      <w:r>
        <w:rPr>
          <w:b/>
          <w:bCs/>
          <w:sz w:val="32"/>
          <w:szCs w:val="32"/>
        </w:rPr>
        <w:t>Planning, Organising, Leading and Controlling</w:t>
      </w:r>
    </w:p>
    <w:p w14:paraId="4F3D53E8" w14:textId="77777777" w:rsidR="00671253" w:rsidRDefault="00000000">
      <w:pPr>
        <w:jc w:val="center"/>
      </w:pPr>
      <w:r>
        <w:rPr>
          <w:b/>
          <w:bCs/>
          <w:sz w:val="32"/>
          <w:szCs w:val="32"/>
        </w:rPr>
        <w:t>within Amazon RME</w:t>
      </w:r>
    </w:p>
    <w:p w14:paraId="7EC8D35A" w14:textId="77777777" w:rsidR="00671253" w:rsidRDefault="00000000">
      <w:pPr>
        <w:spacing w:before="600"/>
        <w:jc w:val="center"/>
      </w:pPr>
      <w:r>
        <w:t>Craig Davies</w:t>
      </w:r>
    </w:p>
    <w:p w14:paraId="79612F5C" w14:textId="77777777" w:rsidR="00671253" w:rsidRDefault="00000000">
      <w:pPr>
        <w:jc w:val="center"/>
      </w:pPr>
      <w:r>
        <w:t>Student Number: 1550312</w:t>
      </w:r>
    </w:p>
    <w:p w14:paraId="2062CC71" w14:textId="77777777" w:rsidR="00671253" w:rsidRDefault="00000000">
      <w:pPr>
        <w:spacing w:before="200"/>
        <w:jc w:val="center"/>
      </w:pPr>
      <w:r>
        <w:t>Module: Management Principles (ACMA4020)</w:t>
      </w:r>
    </w:p>
    <w:p w14:paraId="0949D3CF" w14:textId="77777777" w:rsidR="00671253" w:rsidRDefault="00000000">
      <w:pPr>
        <w:jc w:val="center"/>
      </w:pPr>
      <w:r>
        <w:t>Programme: BEng (Hons) Engineering Management</w:t>
      </w:r>
    </w:p>
    <w:p w14:paraId="704F6DFC" w14:textId="77777777" w:rsidR="00671253" w:rsidRDefault="00000000">
      <w:pPr>
        <w:jc w:val="center"/>
      </w:pPr>
      <w:r>
        <w:t>July 2026</w:t>
      </w:r>
    </w:p>
    <w:p w14:paraId="323B48D2" w14:textId="77777777" w:rsidR="00671253" w:rsidRDefault="00000000">
      <w:r>
        <w:br w:type="page"/>
      </w:r>
    </w:p>
    <w:p w14:paraId="276565E6" w14:textId="77777777" w:rsidR="00671253" w:rsidRDefault="00000000">
      <w:pPr>
        <w:pStyle w:val="Heading1"/>
        <w:spacing w:before="240"/>
      </w:pPr>
      <w:r>
        <w:rPr>
          <w:b/>
          <w:bCs/>
          <w:sz w:val="28"/>
          <w:szCs w:val="28"/>
        </w:rPr>
        <w:lastRenderedPageBreak/>
        <w:t>1. Introduction</w:t>
      </w:r>
    </w:p>
    <w:p w14:paraId="7802F893" w14:textId="77777777" w:rsidR="00671253" w:rsidRDefault="00000000">
      <w:pPr>
        <w:jc w:val="both"/>
      </w:pPr>
      <w:r>
        <w:t>Amazon's Reliability, Maintenance and Engineering (RME) division maintains all building infrastructure, material handling equipment, and safety systems across over 228 European fulfilment and logistics sites. Within RME, the Environment, Health and Safety (EHS) Big Rock programme coordinates three priority workstreams: deploying digital devices to field technicians, driving safety compliance closure rates, and reducing energy consumption. This essay examines how planning, organising, leading and controlling operate within this programme, drawing entirely on direct operational experience as project manager during 2026. The intent is to show how each function manifests in practice using real examples from a live programme with measurable outcomes and genuine challenges.</w:t>
      </w:r>
    </w:p>
    <w:p w14:paraId="25071F4F" w14:textId="77777777" w:rsidR="00671253" w:rsidRDefault="00000000">
      <w:pPr>
        <w:pStyle w:val="Heading1"/>
        <w:spacing w:before="240"/>
      </w:pPr>
      <w:r>
        <w:rPr>
          <w:b/>
          <w:bCs/>
          <w:sz w:val="28"/>
          <w:szCs w:val="28"/>
        </w:rPr>
        <w:t>2. Planning</w:t>
      </w:r>
    </w:p>
    <w:p w14:paraId="1D48CF93" w14:textId="77777777" w:rsidR="00671253" w:rsidRDefault="00000000">
      <w:pPr>
        <w:pStyle w:val="Heading2"/>
        <w:spacing w:before="240"/>
      </w:pPr>
      <w:r>
        <w:rPr>
          <w:b/>
          <w:bCs/>
          <w:sz w:val="24"/>
          <w:szCs w:val="24"/>
        </w:rPr>
        <w:t>2.1 Three Key Strategic Objectives</w:t>
      </w:r>
    </w:p>
    <w:p w14:paraId="0D5004E2" w14:textId="77777777" w:rsidR="00671253" w:rsidRDefault="00000000">
      <w:pPr>
        <w:jc w:val="both"/>
      </w:pPr>
      <w:r>
        <w:t xml:space="preserve">Three objectives drive RME's long-term direction. First, deploying portable digital devices to 75% of 5,156 EU technicians by end of 2026, providing access to work orders and safety documentation at point of work rather than relying on shared break room laptops. This is not a convenience improvement. Technicians currently lose significant productive time walking to and from fixed workstations to check instructions and update records. Second, achieving a 95% follow-up work order closure rate across all business units, ensuring safety defects identified during audits are </w:t>
      </w:r>
      <w:proofErr w:type="gramStart"/>
      <w:r>
        <w:t>actually resolved</w:t>
      </w:r>
      <w:proofErr w:type="gramEnd"/>
      <w:r>
        <w:t xml:space="preserve"> rather than left open indefinitely. Third, delivering 5,453 MWh of verified energy savings in 2026 with 10% year-on-year increases thereafter. Each has a defined KPI tracked monthly through the Business Review and visible on a </w:t>
      </w:r>
      <w:proofErr w:type="spellStart"/>
      <w:r>
        <w:t>QuickSight</w:t>
      </w:r>
      <w:proofErr w:type="spellEnd"/>
      <w:r>
        <w:t xml:space="preserve"> dashboard accessible to all stakeholders.</w:t>
      </w:r>
    </w:p>
    <w:p w14:paraId="51D81AB5" w14:textId="77777777" w:rsidR="00671253" w:rsidRDefault="00000000">
      <w:pPr>
        <w:pStyle w:val="Heading2"/>
        <w:spacing w:before="240"/>
      </w:pPr>
      <w:r>
        <w:rPr>
          <w:b/>
          <w:bCs/>
          <w:sz w:val="24"/>
          <w:szCs w:val="24"/>
        </w:rPr>
        <w:t>2.2 Strategic and Operational Actions</w:t>
      </w:r>
    </w:p>
    <w:p w14:paraId="6A856BF7" w14:textId="77777777" w:rsidR="00671253" w:rsidRDefault="00000000">
      <w:pPr>
        <w:jc w:val="both"/>
      </w:pPr>
      <w:r>
        <w:t xml:space="preserve">For device deployment, strategic actions included securing a $4.58 million Capital Appropriation Request, establishing CDW as the mandated procurement supplier, and completing OTS qualification for the Dell Rugged 12 Pro. Operationally, this means imaging devices at pilot sites, building deployment trackers per wave, and delivering coordinated training packages to each site. For safety closure, the strategic action was building an automated compliance dashboard within APM. The operational execution involves weekly reviews targeting bottom-performing sites, contractor management workshops delivered in Munich, Barcelona and Rome, and a network action tracker cascaded through directors to L6 </w:t>
      </w:r>
      <w:r>
        <w:lastRenderedPageBreak/>
        <w:t>site leadership. For energy, strategic actions embed temperature setpoint standards into building management across 108 sites, while operational trackers with four-level escalation paths drive site-by-site completion. Each objective has a named owner, a target delivery week, and a mechanism making slippage visible within days.</w:t>
      </w:r>
    </w:p>
    <w:p w14:paraId="1B8BD73F" w14:textId="77777777" w:rsidR="00671253" w:rsidRDefault="00000000">
      <w:pPr>
        <w:pStyle w:val="Heading2"/>
        <w:spacing w:before="240"/>
      </w:pPr>
      <w:r>
        <w:rPr>
          <w:b/>
          <w:bCs/>
          <w:sz w:val="24"/>
          <w:szCs w:val="24"/>
        </w:rPr>
        <w:t>2.3 Planning Approach</w:t>
      </w:r>
    </w:p>
    <w:p w14:paraId="5ECD50AB" w14:textId="77777777" w:rsidR="00671253" w:rsidRDefault="00000000">
      <w:pPr>
        <w:jc w:val="both"/>
      </w:pPr>
      <w:r>
        <w:t xml:space="preserve">The approach is </w:t>
      </w:r>
      <w:proofErr w:type="gramStart"/>
      <w:r>
        <w:t>objective-based</w:t>
      </w:r>
      <w:proofErr w:type="gramEnd"/>
      <w:r>
        <w:t xml:space="preserve">. The RME Sponsor agrees targets with each workstream lead at the start of the year. These are broken into regional sub-targets, assigned to project leaders, and tracked through monthly claims. The energy lead owns 5,453 MWh split by region and reported against verified building management data. Critically, workstream leads negotiate what is realistic based </w:t>
      </w:r>
      <w:proofErr w:type="gramStart"/>
      <w:r>
        <w:t>on site</w:t>
      </w:r>
      <w:proofErr w:type="gramEnd"/>
      <w:r>
        <w:t xml:space="preserve"> readiness, funding timelines and technical dependencies. People tend to own numbers they helped set. The risk I have observed is that when completion stalls in a region, it is often because the local leader inherited a target rather than negotiated it. Ownership comes from participation in setting the goal, not from having it handed down.</w:t>
      </w:r>
    </w:p>
    <w:p w14:paraId="059CA696" w14:textId="77777777" w:rsidR="00671253" w:rsidRDefault="00000000">
      <w:pPr>
        <w:pStyle w:val="Heading1"/>
        <w:spacing w:before="240"/>
      </w:pPr>
      <w:r>
        <w:rPr>
          <w:b/>
          <w:bCs/>
          <w:sz w:val="28"/>
          <w:szCs w:val="28"/>
        </w:rPr>
        <w:t>3. Organising</w:t>
      </w:r>
    </w:p>
    <w:p w14:paraId="65AF82A2" w14:textId="77777777" w:rsidR="00671253" w:rsidRDefault="00000000">
      <w:pPr>
        <w:pStyle w:val="Heading2"/>
        <w:spacing w:before="240"/>
      </w:pPr>
      <w:r>
        <w:rPr>
          <w:b/>
          <w:bCs/>
          <w:sz w:val="24"/>
          <w:szCs w:val="24"/>
        </w:rPr>
        <w:t>3.1 Workforce Design for 24/7 Coverage</w:t>
      </w:r>
    </w:p>
    <w:p w14:paraId="19337F42" w14:textId="77777777" w:rsidR="00671253" w:rsidRDefault="00000000">
      <w:pPr>
        <w:jc w:val="both"/>
      </w:pPr>
      <w:r>
        <w:t xml:space="preserve">If RME were required to run a </w:t>
      </w:r>
      <w:proofErr w:type="gramStart"/>
      <w:r>
        <w:t>centrally-based</w:t>
      </w:r>
      <w:proofErr w:type="gramEnd"/>
      <w:r>
        <w:t xml:space="preserve"> customer care centre providing continuous 24-hour service, twelve staff could cover it. Three shifts of eight hours (06:00 to 14:00, 14:00 to 22:00, 22:00 to 06:00), four per shift, with a rolling pattern giving two consecutive rest days per rotation. Night shift would carry premium payment and rotate on a voluntary basis rather than permanent assignment. This prevents individuals becoming permanently isolated from daytime team activities, meetings and development opportunities.</w:t>
      </w:r>
    </w:p>
    <w:p w14:paraId="67A5CADC" w14:textId="77777777" w:rsidR="00671253" w:rsidRDefault="00000000">
      <w:pPr>
        <w:pStyle w:val="Heading2"/>
        <w:spacing w:before="240"/>
      </w:pPr>
      <w:r>
        <w:rPr>
          <w:b/>
          <w:bCs/>
          <w:sz w:val="24"/>
          <w:szCs w:val="24"/>
        </w:rPr>
        <w:t>3.2 Work Package Model</w:t>
      </w:r>
    </w:p>
    <w:p w14:paraId="5E64497D" w14:textId="77777777" w:rsidR="00671253" w:rsidRDefault="00000000">
      <w:pPr>
        <w:jc w:val="both"/>
      </w:pPr>
      <w:r>
        <w:t>Three flexible arrangements support external commitments. Compressed hours: four ten-hour shifts instead of five eights, providing an extra rest day without reducing coverage. Shared roles: two part-time employees split one position across defined days, accommodating childcare, elder care or study. Flexible start windows: up to one hour variation within the shift band provided handover overlap is maintained. Work is packaged as task bundles rather than rigid job descriptions. Each shift picks up incident monitoring, scheduled callbacks, and proactive outreach. Output balances across the week rather than demanding uniform productivity per hour, which accounts for natural variation in demand.</w:t>
      </w:r>
    </w:p>
    <w:p w14:paraId="48642C02" w14:textId="77777777" w:rsidR="00671253" w:rsidRDefault="00000000">
      <w:pPr>
        <w:pStyle w:val="Heading2"/>
        <w:spacing w:before="240"/>
      </w:pPr>
      <w:r>
        <w:rPr>
          <w:b/>
          <w:bCs/>
          <w:sz w:val="24"/>
          <w:szCs w:val="24"/>
        </w:rPr>
        <w:lastRenderedPageBreak/>
        <w:t>3.3 Implementation Guidelines</w:t>
      </w:r>
    </w:p>
    <w:p w14:paraId="45F91C46" w14:textId="77777777" w:rsidR="00671253" w:rsidRDefault="00000000">
      <w:pPr>
        <w:jc w:val="both"/>
      </w:pPr>
      <w:r>
        <w:t xml:space="preserve">For managers: no individual works more than four consecutive nights, minimum eleven hours between shift end and next start as per the Working Time Regulations 1998, and quarterly reviews to reassess external commitments. For employees: preference changes require four </w:t>
      </w:r>
      <w:proofErr w:type="spellStart"/>
      <w:r>
        <w:t>weeks notice</w:t>
      </w:r>
      <w:proofErr w:type="spellEnd"/>
      <w:r>
        <w:t>, handover briefings are mandatory at shift transitions, and conflicts must be raised formally rather than arranged through informal swaps. A shared digital rota visible to the whole team allows self-service swaps within pre-approved parameters set by the shift manager.</w:t>
      </w:r>
    </w:p>
    <w:p w14:paraId="00BE7137" w14:textId="77777777" w:rsidR="00671253" w:rsidRDefault="00000000">
      <w:pPr>
        <w:pStyle w:val="Heading1"/>
        <w:spacing w:before="240"/>
      </w:pPr>
      <w:r>
        <w:rPr>
          <w:b/>
          <w:bCs/>
          <w:sz w:val="28"/>
          <w:szCs w:val="28"/>
        </w:rPr>
        <w:t>4. Leading</w:t>
      </w:r>
    </w:p>
    <w:p w14:paraId="2509FEE8" w14:textId="77777777" w:rsidR="00671253" w:rsidRDefault="00000000">
      <w:pPr>
        <w:pStyle w:val="Heading2"/>
        <w:spacing w:before="240"/>
      </w:pPr>
      <w:r>
        <w:rPr>
          <w:b/>
          <w:bCs/>
          <w:sz w:val="24"/>
          <w:szCs w:val="24"/>
        </w:rPr>
        <w:t>4.1 Leadership Example</w:t>
      </w:r>
    </w:p>
    <w:p w14:paraId="0B84DF68" w14:textId="77777777" w:rsidR="00671253" w:rsidRDefault="00000000">
      <w:pPr>
        <w:jc w:val="both"/>
      </w:pPr>
      <w:r>
        <w:t>In June 2026, I took over as project manager for the EHS Big Rock programme mid-cycle. Three workstream leads were operating across Spain, Italy and the UK with established methods built over several months. My challenge: build credibility with people who did not know me while pushing for H1 review completion within three weeks. I chose to listen first. For two weeks I attended every call without directing, read all documentation, and asked questions rather than issuing instructions. I wanted to understand how each person operated before attempting to influence their approach.</w:t>
      </w:r>
    </w:p>
    <w:p w14:paraId="037B3E96" w14:textId="77777777" w:rsidR="00671253" w:rsidRDefault="00000000">
      <w:pPr>
        <w:pStyle w:val="Heading2"/>
        <w:spacing w:before="240"/>
      </w:pPr>
      <w:r>
        <w:rPr>
          <w:b/>
          <w:bCs/>
          <w:sz w:val="24"/>
          <w:szCs w:val="24"/>
        </w:rPr>
        <w:t>4.2 Personal Style Evaluation</w:t>
      </w:r>
    </w:p>
    <w:p w14:paraId="2A1CB941" w14:textId="77777777" w:rsidR="00671253" w:rsidRDefault="00000000">
      <w:pPr>
        <w:jc w:val="both"/>
      </w:pPr>
      <w:r>
        <w:t xml:space="preserve">My natural tendency is to facilitate rather than direct. I prefer questions that lead people toward decisions over making decisions for them. This works with experienced professionals who know their domain better than I do. But it carries clear risk. There were moments where I needed to </w:t>
      </w:r>
      <w:proofErr w:type="gramStart"/>
      <w:r>
        <w:t>say</w:t>
      </w:r>
      <w:proofErr w:type="gramEnd"/>
      <w:r>
        <w:t xml:space="preserve"> "this must be rewritten by Friday" rather than "what do you think about revisiting this?" I hesitated. Deadlines slipped by a few days as a result. I suspect this is partly confidence from being new in the role, partly a genuine preference for collaborative working. The reality of programme management is that both styles are needed. A good week might require supportive coaching on Monday and a firm deadline on Thursday. Knowing which to deploy, and deploying it quickly enough, is the skill I have not yet fully developed.</w:t>
      </w:r>
    </w:p>
    <w:p w14:paraId="2AFBA9A6" w14:textId="77777777" w:rsidR="00671253" w:rsidRDefault="00000000">
      <w:pPr>
        <w:pStyle w:val="Heading2"/>
        <w:spacing w:before="240"/>
      </w:pPr>
      <w:r>
        <w:rPr>
          <w:b/>
          <w:bCs/>
          <w:sz w:val="24"/>
          <w:szCs w:val="24"/>
        </w:rPr>
        <w:t>4.3 Development Action Plan</w:t>
      </w:r>
    </w:p>
    <w:p w14:paraId="13A81BE3" w14:textId="77777777" w:rsidR="00671253" w:rsidRDefault="00000000">
      <w:pPr>
        <w:jc w:val="both"/>
      </w:pPr>
      <w:r>
        <w:t xml:space="preserve">Three areas need work. First, a faster internal switch between coaching and directing. Action: pause before each interaction and ask whether this person needs support or a clear instruction with a date attached. Second, stronger individual relationships with leads in different time </w:t>
      </w:r>
      <w:r>
        <w:lastRenderedPageBreak/>
        <w:t>zones. Action: monthly one-to-ones separate from group calls, focused on their blockers rather than programme status. Third, greater comfort with constructive challenge when progress stalls. Action: practise direct feedback in lower-stakes conversations first, naming the specific behaviour and its impact, before applying it to programme-level escalations. All three to be embedded as habits by Q4 2026.</w:t>
      </w:r>
    </w:p>
    <w:p w14:paraId="334295BD" w14:textId="77777777" w:rsidR="00671253" w:rsidRDefault="00000000">
      <w:pPr>
        <w:pStyle w:val="Heading1"/>
        <w:spacing w:before="240"/>
      </w:pPr>
      <w:r>
        <w:rPr>
          <w:b/>
          <w:bCs/>
          <w:sz w:val="28"/>
          <w:szCs w:val="28"/>
        </w:rPr>
        <w:t>5. Controlling</w:t>
      </w:r>
    </w:p>
    <w:p w14:paraId="1C7753AF" w14:textId="77777777" w:rsidR="00671253" w:rsidRDefault="00000000">
      <w:pPr>
        <w:pStyle w:val="Heading2"/>
        <w:spacing w:before="240"/>
      </w:pPr>
      <w:r>
        <w:rPr>
          <w:b/>
          <w:bCs/>
          <w:sz w:val="24"/>
          <w:szCs w:val="24"/>
        </w:rPr>
        <w:t>5.1 Individual Control Measures</w:t>
      </w:r>
    </w:p>
    <w:p w14:paraId="28D21E81" w14:textId="77777777" w:rsidR="00671253" w:rsidRDefault="00000000">
      <w:pPr>
        <w:jc w:val="both"/>
      </w:pPr>
      <w:r>
        <w:t>Individual performance is measured through APM. Each technician has a scheduled workload and their output is tracked: completion rate against plan, whether tasks were on time or overdue, rework frequency, and documentation quality assessed against Policy 30534. A work order marked complete but lacking photo evidence, LOTO confirmation or handover notes is not genuinely complete. Monthly audits check a random sample against the documentation standard. This combination of volume metrics and quality checks means gaming by rushing through tasks without proper documentation is caught and addressed.</w:t>
      </w:r>
    </w:p>
    <w:p w14:paraId="1FE9065B" w14:textId="77777777" w:rsidR="00671253" w:rsidRDefault="00000000">
      <w:pPr>
        <w:pStyle w:val="Heading2"/>
        <w:spacing w:before="240"/>
      </w:pPr>
      <w:r>
        <w:rPr>
          <w:b/>
          <w:bCs/>
          <w:sz w:val="24"/>
          <w:szCs w:val="24"/>
        </w:rPr>
        <w:t>5.2 Unit Performance Indicators</w:t>
      </w:r>
    </w:p>
    <w:p w14:paraId="49A597D4" w14:textId="77777777" w:rsidR="00671253" w:rsidRDefault="00000000">
      <w:pPr>
        <w:jc w:val="both"/>
      </w:pPr>
      <w:r>
        <w:t xml:space="preserve">At programme level, three indicators define success. The FWO closure rate, currently 68 to 89% against a 95% target, measures whether audit defects are resolved in time. Energy savings in MWh per month, verified through building management data validated by CBRE, tracks environmental contribution. Safety incident rates by frequency and severity indicate whether improvements translate into fewer injuries on site. These are reviewed monthly in the Business Review and weekly for bottom-performing sites. The </w:t>
      </w:r>
      <w:proofErr w:type="spellStart"/>
      <w:r>
        <w:t>QuickSight</w:t>
      </w:r>
      <w:proofErr w:type="spellEnd"/>
      <w:r>
        <w:t xml:space="preserve"> dashboard gives real-time access, removing the delay between data capture and management awareness.</w:t>
      </w:r>
    </w:p>
    <w:p w14:paraId="70BE7C23" w14:textId="77777777" w:rsidR="00671253" w:rsidRDefault="00000000">
      <w:pPr>
        <w:pStyle w:val="Heading2"/>
        <w:spacing w:before="240"/>
      </w:pPr>
      <w:r>
        <w:rPr>
          <w:b/>
          <w:bCs/>
          <w:sz w:val="24"/>
          <w:szCs w:val="24"/>
        </w:rPr>
        <w:t>5.3 Justification</w:t>
      </w:r>
    </w:p>
    <w:p w14:paraId="56AD443F" w14:textId="77777777" w:rsidR="00671253" w:rsidRDefault="00000000">
      <w:pPr>
        <w:jc w:val="both"/>
      </w:pPr>
      <w:r>
        <w:t>These measures work because data is captured at source by the people doing the work. A technician completing a task in APM generates dashboard data without additional administrative burden. The system already exists and costs nothing extra. The risk with quantitative targets is that people find ways to hit numbers without delivering intent. Quality audits address this by checking whether documentation standards were met. It is not a perfect system, but the combination of volume targets, quality checks, and visible dashboards creates enough accountability that most people do the right thing most of the time.</w:t>
      </w:r>
    </w:p>
    <w:p w14:paraId="502016B4" w14:textId="77777777" w:rsidR="00671253" w:rsidRDefault="00000000">
      <w:pPr>
        <w:pStyle w:val="Heading1"/>
        <w:spacing w:before="240"/>
      </w:pPr>
      <w:r>
        <w:rPr>
          <w:b/>
          <w:bCs/>
          <w:sz w:val="28"/>
          <w:szCs w:val="28"/>
        </w:rPr>
        <w:lastRenderedPageBreak/>
        <w:t>6. Conclusion</w:t>
      </w:r>
    </w:p>
    <w:p w14:paraId="7A13CDDB" w14:textId="77777777" w:rsidR="00671253" w:rsidRDefault="00000000">
      <w:pPr>
        <w:jc w:val="both"/>
      </w:pPr>
      <w:r>
        <w:t>Planning in this programme works through negotiated objectives where workstream leads help set their own targets, creating genuine ownership. Organising 24/7 operations requires flexible work packages that respect the reality of life outside work while maintaining continuous coverage. Leadership requires knowing when to support and when to direct, and honest reflection reveals I default too heavily toward support when urgency sometimes demands the opposite. Controlling relies on system-generated data that connects daily technician output to programme-level KPIs. None of these functions exist alone. Planning produces targets that controlling measures. Organising builds the structures through which leadership operates. When all four align, complex delivery across 228 sites becomes possible.</w:t>
      </w:r>
    </w:p>
    <w:p w14:paraId="64CD3BEC" w14:textId="77777777" w:rsidR="00671253" w:rsidRDefault="00000000">
      <w:pPr>
        <w:pStyle w:val="Heading1"/>
        <w:spacing w:before="240"/>
      </w:pPr>
      <w:r>
        <w:rPr>
          <w:b/>
          <w:bCs/>
          <w:sz w:val="28"/>
          <w:szCs w:val="28"/>
        </w:rPr>
        <w:t>7. References</w:t>
      </w:r>
    </w:p>
    <w:p w14:paraId="3080C632" w14:textId="77777777" w:rsidR="00671253" w:rsidRDefault="00000000">
      <w:pPr>
        <w:jc w:val="both"/>
      </w:pPr>
      <w:r>
        <w:t>Amazon RME (2026) EHS Pillar Strategic Planning Sheet v14. Internal document.</w:t>
      </w:r>
    </w:p>
    <w:p w14:paraId="5740307F" w14:textId="77777777" w:rsidR="00671253" w:rsidRDefault="00000000">
      <w:pPr>
        <w:jc w:val="both"/>
      </w:pPr>
      <w:r>
        <w:t>Amazon RME (2026) Intl RME Big Rocks H1 Review: EHS Pillar, Version 4.0. Internal document.</w:t>
      </w:r>
    </w:p>
    <w:p w14:paraId="54916B27" w14:textId="77777777" w:rsidR="00671253" w:rsidRDefault="00000000">
      <w:pPr>
        <w:jc w:val="both"/>
      </w:pPr>
      <w:r>
        <w:t>Amazon RME (2026) Monthly Business Review: RME Field MBR January to June 2026. Internal document.</w:t>
      </w:r>
    </w:p>
    <w:p w14:paraId="69C88A09" w14:textId="77777777" w:rsidR="00671253" w:rsidRDefault="00000000">
      <w:pPr>
        <w:jc w:val="both"/>
      </w:pPr>
      <w:r>
        <w:t xml:space="preserve">Amazon RME (2026) WHS Excellence Programme: FWO Closure Rate Dashboard. </w:t>
      </w:r>
      <w:proofErr w:type="spellStart"/>
      <w:r>
        <w:t>QuickSight</w:t>
      </w:r>
      <w:proofErr w:type="spellEnd"/>
      <w:r>
        <w:t xml:space="preserve"> internal reporting.</w:t>
      </w:r>
    </w:p>
    <w:p w14:paraId="4D64776D" w14:textId="77777777" w:rsidR="00671253" w:rsidRDefault="00000000">
      <w:pPr>
        <w:jc w:val="both"/>
      </w:pPr>
      <w:r>
        <w:t>Amazon RME (2026) APM Work Order Management Policy 30534. Internal policy document.</w:t>
      </w:r>
    </w:p>
    <w:p w14:paraId="2246699D" w14:textId="77777777" w:rsidR="00671253" w:rsidRDefault="00000000">
      <w:pPr>
        <w:jc w:val="both"/>
      </w:pPr>
      <w:r>
        <w:t>Amazon RME (2026) Capital Appropriation Request: EHS Digitalization Device Deployment. Approval reference 46058085.</w:t>
      </w:r>
    </w:p>
    <w:p w14:paraId="024E7DC9" w14:textId="77777777" w:rsidR="00671253" w:rsidRDefault="00000000">
      <w:pPr>
        <w:jc w:val="both"/>
      </w:pPr>
      <w:r>
        <w:t>Amazon RME (2026) Dell Pro 12 Rugged Tablet: RME Field Trial Evaluation Report. Internal document.</w:t>
      </w:r>
    </w:p>
    <w:p w14:paraId="183C4204" w14:textId="77777777" w:rsidR="00671253" w:rsidRDefault="00000000">
      <w:pPr>
        <w:jc w:val="both"/>
      </w:pPr>
      <w:r>
        <w:t>Working Time Regulations 1998, SI 1998/1833. London: HMSO.</w:t>
      </w:r>
    </w:p>
    <w:sectPr w:rsidR="00671253" w:rsidSect="004D4C4A">
      <w:headerReference w:type="default" r:id="rId7"/>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71FBB1" w14:textId="77777777" w:rsidR="00BB496C" w:rsidRDefault="00BB496C" w:rsidP="004D4C4A">
      <w:pPr>
        <w:spacing w:after="0" w:line="240" w:lineRule="auto"/>
      </w:pPr>
      <w:r>
        <w:separator/>
      </w:r>
    </w:p>
  </w:endnote>
  <w:endnote w:type="continuationSeparator" w:id="0">
    <w:p w14:paraId="782346A9" w14:textId="77777777" w:rsidR="00BB496C" w:rsidRDefault="00BB496C" w:rsidP="004D4C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59CA90" w14:textId="2A88C007" w:rsidR="004D4C4A" w:rsidRDefault="004D4C4A">
    <w:pPr>
      <w:pStyle w:val="Footer"/>
    </w:pPr>
    <w:r w:rsidRPr="34626765">
      <w:rPr>
        <w:rFonts w:asciiTheme="minorHAnsi" w:eastAsiaTheme="minorEastAsia" w:hAnsiTheme="minorHAnsi" w:cstheme="minorBidi"/>
      </w:rPr>
      <w:t>ACMA4020 Organization Management</w:t>
    </w:r>
    <w:r>
      <w:rPr>
        <w:rFonts w:asciiTheme="minorHAnsi" w:eastAsiaTheme="minorEastAsia" w:hAnsiTheme="minorHAnsi" w:cstheme="minorBidi"/>
      </w:rPr>
      <w:t xml:space="preserve"> - 1550312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7FBE65" w14:textId="77777777" w:rsidR="00BB496C" w:rsidRDefault="00BB496C" w:rsidP="004D4C4A">
      <w:pPr>
        <w:spacing w:after="0" w:line="240" w:lineRule="auto"/>
      </w:pPr>
      <w:r>
        <w:separator/>
      </w:r>
    </w:p>
  </w:footnote>
  <w:footnote w:type="continuationSeparator" w:id="0">
    <w:p w14:paraId="4BE96ED6" w14:textId="77777777" w:rsidR="00BB496C" w:rsidRDefault="00BB496C" w:rsidP="004D4C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B35875" w14:textId="11A909A5" w:rsidR="004D4C4A" w:rsidRDefault="004D4C4A">
    <w:pPr>
      <w:pStyle w:val="Header"/>
    </w:pPr>
    <w:r w:rsidRPr="34626765">
      <w:rPr>
        <w:rFonts w:asciiTheme="minorHAnsi" w:eastAsiaTheme="minorEastAsia" w:hAnsiTheme="minorHAnsi" w:cstheme="minorBidi"/>
      </w:rPr>
      <w:t>ACMA4020 Organization Management</w:t>
    </w:r>
    <w:r>
      <w:rPr>
        <w:rFonts w:asciiTheme="minorHAnsi" w:eastAsiaTheme="minorEastAsia" w:hAnsiTheme="minorHAnsi" w:cstheme="minorBidi"/>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7E290F"/>
    <w:multiLevelType w:val="hybridMultilevel"/>
    <w:tmpl w:val="E4182768"/>
    <w:lvl w:ilvl="0" w:tplc="1D4EA982">
      <w:start w:val="1"/>
      <w:numFmt w:val="bullet"/>
      <w:lvlText w:val="●"/>
      <w:lvlJc w:val="left"/>
      <w:pPr>
        <w:ind w:left="720" w:hanging="360"/>
      </w:pPr>
    </w:lvl>
    <w:lvl w:ilvl="1" w:tplc="586C7E28">
      <w:start w:val="1"/>
      <w:numFmt w:val="bullet"/>
      <w:lvlText w:val="○"/>
      <w:lvlJc w:val="left"/>
      <w:pPr>
        <w:ind w:left="1440" w:hanging="360"/>
      </w:pPr>
    </w:lvl>
    <w:lvl w:ilvl="2" w:tplc="30A6C8DE">
      <w:start w:val="1"/>
      <w:numFmt w:val="bullet"/>
      <w:lvlText w:val="■"/>
      <w:lvlJc w:val="left"/>
      <w:pPr>
        <w:ind w:left="2160" w:hanging="360"/>
      </w:pPr>
    </w:lvl>
    <w:lvl w:ilvl="3" w:tplc="761205A6">
      <w:start w:val="1"/>
      <w:numFmt w:val="bullet"/>
      <w:lvlText w:val="●"/>
      <w:lvlJc w:val="left"/>
      <w:pPr>
        <w:ind w:left="2880" w:hanging="360"/>
      </w:pPr>
    </w:lvl>
    <w:lvl w:ilvl="4" w:tplc="1D86DCD8">
      <w:start w:val="1"/>
      <w:numFmt w:val="bullet"/>
      <w:lvlText w:val="○"/>
      <w:lvlJc w:val="left"/>
      <w:pPr>
        <w:ind w:left="3600" w:hanging="360"/>
      </w:pPr>
    </w:lvl>
    <w:lvl w:ilvl="5" w:tplc="EEFCF13C">
      <w:start w:val="1"/>
      <w:numFmt w:val="bullet"/>
      <w:lvlText w:val="■"/>
      <w:lvlJc w:val="left"/>
      <w:pPr>
        <w:ind w:left="4320" w:hanging="360"/>
      </w:pPr>
    </w:lvl>
    <w:lvl w:ilvl="6" w:tplc="3A2E43DE">
      <w:start w:val="1"/>
      <w:numFmt w:val="bullet"/>
      <w:lvlText w:val="●"/>
      <w:lvlJc w:val="left"/>
      <w:pPr>
        <w:ind w:left="5040" w:hanging="360"/>
      </w:pPr>
    </w:lvl>
    <w:lvl w:ilvl="7" w:tplc="0AC45760">
      <w:start w:val="1"/>
      <w:numFmt w:val="bullet"/>
      <w:lvlText w:val="●"/>
      <w:lvlJc w:val="left"/>
      <w:pPr>
        <w:ind w:left="5760" w:hanging="360"/>
      </w:pPr>
    </w:lvl>
    <w:lvl w:ilvl="8" w:tplc="69E00E34">
      <w:start w:val="1"/>
      <w:numFmt w:val="bullet"/>
      <w:lvlText w:val="●"/>
      <w:lvlJc w:val="left"/>
      <w:pPr>
        <w:ind w:left="6480" w:hanging="360"/>
      </w:pPr>
    </w:lvl>
  </w:abstractNum>
  <w:num w:numId="1" w16cid:durableId="211551523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1253"/>
    <w:rsid w:val="004D4C4A"/>
    <w:rsid w:val="00671253"/>
    <w:rsid w:val="009017A4"/>
    <w:rsid w:val="00BB49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B27EB"/>
  <w15:docId w15:val="{7B678EB9-5E01-4B31-B4E9-F60BF7A8E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after="0"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after="0"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4D4C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4C4A"/>
  </w:style>
  <w:style w:type="paragraph" w:styleId="Footer">
    <w:name w:val="footer"/>
    <w:basedOn w:val="Normal"/>
    <w:link w:val="FooterChar"/>
    <w:uiPriority w:val="99"/>
    <w:unhideWhenUsed/>
    <w:rsid w:val="004D4C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4C4A"/>
  </w:style>
  <w:style w:type="character" w:styleId="LineNumber">
    <w:name w:val="line number"/>
    <w:basedOn w:val="DefaultParagraphFont"/>
    <w:uiPriority w:val="99"/>
    <w:semiHidden/>
    <w:unhideWhenUsed/>
    <w:rsid w:val="004D4C4A"/>
  </w:style>
  <w:style w:type="paragraph" w:styleId="NoSpacing">
    <w:name w:val="No Spacing"/>
    <w:link w:val="NoSpacingChar"/>
    <w:uiPriority w:val="1"/>
    <w:qFormat/>
    <w:rsid w:val="004D4C4A"/>
    <w:pPr>
      <w:spacing w:after="0" w:line="240" w:lineRule="auto"/>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4D4C4A"/>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1"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EE47035-9504-4E07-9AD5-3B9BC30FB0B0}">
  <we:reference id="2f33f607-97c7-4595-bf11-f05b1ebfa89c" version="1.0.1.8" store="EXCatalog" storeType="EXCatalog"/>
  <we:alternateReferences/>
  <we:properties>
    <we:property name="Office.AutoShowTaskpaneWithDocument" value="true"/>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5</TotalTime>
  <Pages>6</Pages>
  <Words>1645</Words>
  <Characters>9755</Characters>
  <Application>Microsoft Office Word</Application>
  <DocSecurity>0</DocSecurity>
  <Lines>157</Lines>
  <Paragraphs>59</Paragraphs>
  <ScaleCrop>false</ScaleCrop>
  <Company/>
  <LinksUpToDate>false</LinksUpToDate>
  <CharactersWithSpaces>11341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Un-named</dc:creator>
  <cp:lastModifiedBy>Davies, Craig</cp:lastModifiedBy>
  <cp:revision>2</cp:revision>
  <dcterms:created xsi:type="dcterms:W3CDTF">2026-07-24T12:13:00Z</dcterms:created>
  <dcterms:modified xsi:type="dcterms:W3CDTF">2026-07-24T12:22:00Z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19e68092-05df-4271-8e3e-b2a4c82ba797_Enabled">
    <vt:lpwstr>true</vt:lpwstr>
  </property>
  <property fmtid="{D5CDD505-2E9C-101B-9397-08002B2CF9AE}" pid="3" name="MSIP_Label_19e68092-05df-4271-8e3e-b2a4c82ba797_SetDate">
    <vt:lpwstr>2026-07-24T12:22:31Z</vt:lpwstr>
  </property>
  <property fmtid="{D5CDD505-2E9C-101B-9397-08002B2CF9AE}" pid="4" name="MSIP_Label_19e68092-05df-4271-8e3e-b2a4c82ba797_Method">
    <vt:lpwstr>Standard</vt:lpwstr>
  </property>
  <property fmtid="{D5CDD505-2E9C-101B-9397-08002B2CF9AE}" pid="5" name="MSIP_Label_19e68092-05df-4271-8e3e-b2a4c82ba797_Name">
    <vt:lpwstr>Amazon Confidential</vt:lpwstr>
  </property>
  <property fmtid="{D5CDD505-2E9C-101B-9397-08002B2CF9AE}" pid="6" name="MSIP_Label_19e68092-05df-4271-8e3e-b2a4c82ba797_SiteId">
    <vt:lpwstr>5280104a-472d-4538-9ccf-1e1d0efe8b1b</vt:lpwstr>
  </property>
  <property fmtid="{D5CDD505-2E9C-101B-9397-08002B2CF9AE}" pid="7" name="MSIP_Label_19e68092-05df-4271-8e3e-b2a4c82ba797_ActionId">
    <vt:lpwstr>76ad6bdb-4041-4a9d-9f8d-bd88de04515a</vt:lpwstr>
  </property>
  <property fmtid="{D5CDD505-2E9C-101B-9397-08002B2CF9AE}" pid="8" name="MSIP_Label_19e68092-05df-4271-8e3e-b2a4c82ba797_ContentBits">
    <vt:lpwstr>0</vt:lpwstr>
  </property>
  <property fmtid="{D5CDD505-2E9C-101B-9397-08002B2CF9AE}" pid="9" name="MSIP_Label_19e68092-05df-4271-8e3e-b2a4c82ba797_Tag">
    <vt:lpwstr>10, 3, 0, 1</vt:lpwstr>
  </property>
</Properties>
</file>