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580" w:rsidRPr="00E7268C" w:rsidRDefault="00E7268C" w:rsidP="00640580">
      <w:r w:rsidRPr="00E7268C">
        <w:rPr>
          <w:b/>
          <w:sz w:val="28"/>
          <w:szCs w:val="28"/>
          <w:u w:val="single"/>
        </w:rPr>
        <w:t>Ratio Calculations</w:t>
      </w:r>
      <w:r>
        <w:tab/>
      </w:r>
      <w:r>
        <w:tab/>
      </w:r>
      <w:r>
        <w:tab/>
      </w:r>
      <w:r>
        <w:tab/>
        <w:t>All asterisk denote figures</w:t>
      </w:r>
    </w:p>
    <w:p w:rsidR="00E7268C" w:rsidRDefault="00E7268C" w:rsidP="00640580">
      <w:pPr>
        <w:rPr>
          <w:b/>
          <w:sz w:val="28"/>
          <w:szCs w:val="28"/>
          <w:u w:val="single"/>
        </w:rPr>
      </w:pPr>
    </w:p>
    <w:p w:rsidR="00E7268C" w:rsidRDefault="00E7268C" w:rsidP="0064058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There are three main types of ratios, Profitability, Liquidity and Gearing.</w:t>
      </w:r>
    </w:p>
    <w:p w:rsidR="00E7268C" w:rsidRDefault="00E7268C" w:rsidP="00640580">
      <w:pPr>
        <w:rPr>
          <w:b/>
          <w:sz w:val="28"/>
          <w:szCs w:val="28"/>
          <w:u w:val="single"/>
        </w:rPr>
      </w:pPr>
    </w:p>
    <w:p w:rsidR="00E7268C" w:rsidRPr="00E7268C" w:rsidRDefault="00E7268C" w:rsidP="00640580">
      <w:pPr>
        <w:rPr>
          <w:b/>
          <w:sz w:val="28"/>
          <w:szCs w:val="28"/>
          <w:u w:val="single"/>
        </w:rPr>
      </w:pPr>
      <w:r w:rsidRPr="00E7268C">
        <w:rPr>
          <w:b/>
          <w:sz w:val="28"/>
          <w:szCs w:val="28"/>
          <w:u w:val="single"/>
        </w:rPr>
        <w:t>Profitability Ratios</w:t>
      </w:r>
    </w:p>
    <w:p w:rsidR="00E7268C" w:rsidRPr="00E7268C" w:rsidRDefault="00E7268C" w:rsidP="00640580">
      <w:pPr>
        <w:rPr>
          <w:b/>
          <w:u w:val="single"/>
        </w:rPr>
      </w:pPr>
    </w:p>
    <w:p w:rsidR="00E7268C" w:rsidRPr="00E7268C" w:rsidRDefault="00E7268C" w:rsidP="00640580">
      <w:pPr>
        <w:rPr>
          <w:b/>
          <w:sz w:val="24"/>
          <w:szCs w:val="24"/>
          <w:u w:val="single"/>
        </w:rPr>
      </w:pPr>
      <w:r w:rsidRPr="00E7268C">
        <w:rPr>
          <w:b/>
          <w:sz w:val="24"/>
          <w:szCs w:val="24"/>
          <w:u w:val="single"/>
        </w:rPr>
        <w:t>Gross Profit Margin</w:t>
      </w:r>
    </w:p>
    <w:p w:rsidR="00E7268C" w:rsidRDefault="00E7268C" w:rsidP="00640580"/>
    <w:p w:rsidR="00E7268C" w:rsidRPr="00E7268C" w:rsidRDefault="00E7268C" w:rsidP="00640580">
      <w:pPr>
        <w:rPr>
          <w:i/>
        </w:rPr>
      </w:pPr>
      <w:r w:rsidRPr="00E7268C">
        <w:rPr>
          <w:i/>
          <w:u w:val="single"/>
        </w:rPr>
        <w:t>Gross Profit</w:t>
      </w:r>
      <w:r w:rsidRPr="00287690">
        <w:rPr>
          <w:i/>
        </w:rPr>
        <w:t xml:space="preserve">  </w:t>
      </w:r>
      <w:r w:rsidRPr="00E7268C">
        <w:rPr>
          <w:i/>
        </w:rPr>
        <w:tab/>
      </w:r>
      <w:r w:rsidRPr="00E7268C">
        <w:rPr>
          <w:i/>
        </w:rPr>
        <w:tab/>
        <w:t xml:space="preserve">x 100 =         </w:t>
      </w:r>
      <w:r w:rsidRPr="00E7268C">
        <w:rPr>
          <w:i/>
        </w:rPr>
        <w:tab/>
        <w:t>** %</w:t>
      </w:r>
    </w:p>
    <w:p w:rsidR="00E7268C" w:rsidRPr="00E7268C" w:rsidRDefault="00E7268C" w:rsidP="00AA5035">
      <w:pPr>
        <w:ind w:left="2160" w:hanging="2120"/>
        <w:rPr>
          <w:color w:val="FF0000"/>
        </w:rPr>
      </w:pPr>
      <w:r w:rsidRPr="00E7268C">
        <w:rPr>
          <w:i/>
        </w:rPr>
        <w:t>Sales</w:t>
      </w:r>
      <w:r>
        <w:tab/>
      </w:r>
      <w:r>
        <w:rPr>
          <w:color w:val="FF0000"/>
        </w:rPr>
        <w:t>Tells us what portion of the sales resulted in profit.  However, increased sales does not necessary mean increased profit.</w:t>
      </w:r>
    </w:p>
    <w:p w:rsidR="00E7268C" w:rsidRPr="00E7268C" w:rsidRDefault="00E7268C" w:rsidP="00640580">
      <w:pPr>
        <w:rPr>
          <w:b/>
          <w:sz w:val="24"/>
          <w:szCs w:val="24"/>
          <w:u w:val="single"/>
        </w:rPr>
      </w:pPr>
      <w:r w:rsidRPr="00E7268C">
        <w:rPr>
          <w:b/>
          <w:sz w:val="24"/>
          <w:szCs w:val="24"/>
          <w:u w:val="single"/>
        </w:rPr>
        <w:t>Net Profit Margin</w:t>
      </w:r>
    </w:p>
    <w:p w:rsidR="00E7268C" w:rsidRPr="00E7268C" w:rsidRDefault="00E7268C" w:rsidP="00640580">
      <w:pPr>
        <w:rPr>
          <w:i/>
        </w:rPr>
      </w:pPr>
      <w:r w:rsidRPr="00E7268C">
        <w:rPr>
          <w:i/>
          <w:u w:val="single"/>
        </w:rPr>
        <w:t>Net Profit</w:t>
      </w:r>
      <w:r w:rsidRPr="00287690">
        <w:rPr>
          <w:i/>
        </w:rPr>
        <w:t xml:space="preserve"> </w:t>
      </w:r>
      <w:r w:rsidRPr="00287690">
        <w:rPr>
          <w:i/>
        </w:rPr>
        <w:tab/>
      </w:r>
      <w:r w:rsidRPr="00287690">
        <w:rPr>
          <w:i/>
        </w:rPr>
        <w:tab/>
      </w:r>
      <w:r w:rsidRPr="00E7268C">
        <w:rPr>
          <w:i/>
        </w:rPr>
        <w:t>x 100</w:t>
      </w:r>
      <w:r>
        <w:rPr>
          <w:i/>
        </w:rPr>
        <w:t xml:space="preserve"> </w:t>
      </w:r>
      <w:r w:rsidRPr="00E7268C">
        <w:rPr>
          <w:i/>
        </w:rPr>
        <w:t>=</w:t>
      </w:r>
      <w:r w:rsidRPr="00E7268C">
        <w:rPr>
          <w:i/>
        </w:rPr>
        <w:tab/>
      </w:r>
      <w:r w:rsidRPr="00E7268C">
        <w:rPr>
          <w:i/>
        </w:rPr>
        <w:tab/>
        <w:t>**%</w:t>
      </w:r>
    </w:p>
    <w:p w:rsidR="00E7268C" w:rsidRPr="00E7268C" w:rsidRDefault="00E7268C" w:rsidP="00640580">
      <w:pPr>
        <w:rPr>
          <w:i/>
        </w:rPr>
      </w:pPr>
      <w:r w:rsidRPr="00E7268C">
        <w:rPr>
          <w:i/>
        </w:rPr>
        <w:t>Sales</w:t>
      </w:r>
    </w:p>
    <w:p w:rsidR="00E7268C" w:rsidRDefault="00E7268C" w:rsidP="00640580">
      <w:pPr>
        <w:rPr>
          <w:color w:val="FF0000"/>
        </w:rPr>
      </w:pPr>
      <w:bookmarkStart w:id="0" w:name="_GoBack"/>
      <w:bookmarkEnd w:id="0"/>
    </w:p>
    <w:p w:rsidR="00E7268C" w:rsidRPr="00E7268C" w:rsidRDefault="00E7268C" w:rsidP="00640580">
      <w:pPr>
        <w:rPr>
          <w:b/>
          <w:sz w:val="24"/>
          <w:szCs w:val="24"/>
          <w:u w:val="single"/>
        </w:rPr>
      </w:pPr>
      <w:r w:rsidRPr="00E7268C">
        <w:rPr>
          <w:b/>
          <w:sz w:val="24"/>
          <w:szCs w:val="24"/>
          <w:u w:val="single"/>
        </w:rPr>
        <w:t>ROCE</w:t>
      </w:r>
    </w:p>
    <w:p w:rsidR="00E7268C" w:rsidRPr="00E7268C" w:rsidRDefault="00E7268C" w:rsidP="00E7268C">
      <w:pPr>
        <w:spacing w:line="240" w:lineRule="auto"/>
        <w:rPr>
          <w:i/>
        </w:rPr>
      </w:pPr>
      <w:r w:rsidRPr="00E7268C">
        <w:rPr>
          <w:i/>
          <w:u w:val="single"/>
        </w:rPr>
        <w:t>Profit Before Interest</w:t>
      </w:r>
      <w:r w:rsidRPr="00287690">
        <w:rPr>
          <w:i/>
        </w:rPr>
        <w:tab/>
      </w:r>
      <w:r w:rsidRPr="00E7268C">
        <w:rPr>
          <w:i/>
        </w:rPr>
        <w:t xml:space="preserve">  x 100% =</w:t>
      </w:r>
      <w:r>
        <w:rPr>
          <w:i/>
        </w:rPr>
        <w:tab/>
        <w:t>**%</w:t>
      </w:r>
    </w:p>
    <w:p w:rsidR="00E7268C" w:rsidRPr="00E7268C" w:rsidRDefault="00E7268C" w:rsidP="00E7268C">
      <w:pPr>
        <w:spacing w:line="240" w:lineRule="auto"/>
        <w:rPr>
          <w:i/>
        </w:rPr>
      </w:pPr>
      <w:r w:rsidRPr="00E7268C">
        <w:rPr>
          <w:i/>
        </w:rPr>
        <w:t>Capital Employed (Total Assets less current liabilities)</w:t>
      </w:r>
    </w:p>
    <w:p w:rsidR="00E7268C" w:rsidRDefault="00E7268C" w:rsidP="00640580">
      <w:pPr>
        <w:rPr>
          <w:color w:val="FF0000"/>
        </w:rPr>
      </w:pPr>
      <w:r w:rsidRPr="00E7268C">
        <w:rPr>
          <w:color w:val="FF0000"/>
        </w:rPr>
        <w:t>Return On Capital Employed – A higher ROCE indicates more efficient use of Capital</w:t>
      </w:r>
    </w:p>
    <w:p w:rsidR="00E7268C" w:rsidRDefault="00E7268C" w:rsidP="00640580">
      <w:pPr>
        <w:rPr>
          <w:color w:val="FF0000"/>
        </w:rPr>
      </w:pPr>
      <w:r>
        <w:rPr>
          <w:color w:val="FF0000"/>
        </w:rPr>
        <w:t>The profit the owner made from putting his Capital into the Business.  A result of 20% or better is acceptable.</w:t>
      </w:r>
    </w:p>
    <w:p w:rsidR="00E7268C" w:rsidRDefault="00E7268C" w:rsidP="00640580">
      <w:r>
        <w:rPr>
          <w:color w:val="FF0000"/>
        </w:rPr>
        <w:t>This ratio is good at comparing companies in the same sector.</w:t>
      </w:r>
    </w:p>
    <w:p w:rsidR="00E7268C" w:rsidRDefault="00E7268C" w:rsidP="00640580"/>
    <w:p w:rsidR="00E7268C" w:rsidRPr="00E7268C" w:rsidRDefault="00E7268C" w:rsidP="00640580">
      <w:pPr>
        <w:rPr>
          <w:b/>
          <w:sz w:val="24"/>
          <w:szCs w:val="24"/>
          <w:u w:val="single"/>
        </w:rPr>
      </w:pPr>
      <w:r w:rsidRPr="00E7268C">
        <w:rPr>
          <w:b/>
          <w:sz w:val="24"/>
          <w:szCs w:val="24"/>
          <w:u w:val="single"/>
        </w:rPr>
        <w:t>Asset Turnover</w:t>
      </w:r>
    </w:p>
    <w:p w:rsidR="00E7268C" w:rsidRPr="00E7268C" w:rsidRDefault="00E7268C" w:rsidP="00E7268C">
      <w:pPr>
        <w:spacing w:line="240" w:lineRule="auto"/>
      </w:pPr>
      <w:r>
        <w:rPr>
          <w:u w:val="single"/>
        </w:rPr>
        <w:t>Sales</w:t>
      </w:r>
      <w:r>
        <w:tab/>
      </w:r>
      <w:r>
        <w:tab/>
      </w:r>
      <w:r>
        <w:tab/>
      </w:r>
      <w:r>
        <w:tab/>
      </w:r>
      <w:r>
        <w:tab/>
        <w:t>x 100 =</w:t>
      </w:r>
      <w:r>
        <w:tab/>
        <w:t>** times</w:t>
      </w:r>
    </w:p>
    <w:p w:rsidR="00E7268C" w:rsidRDefault="00E7268C" w:rsidP="00E7268C">
      <w:pPr>
        <w:spacing w:line="240" w:lineRule="auto"/>
      </w:pPr>
      <w:r>
        <w:t>Total assets less current liabilities</w:t>
      </w:r>
    </w:p>
    <w:p w:rsidR="00E7268C" w:rsidRDefault="00E7268C" w:rsidP="00E7268C">
      <w:pPr>
        <w:spacing w:line="240" w:lineRule="auto"/>
        <w:rPr>
          <w:color w:val="FF0000"/>
        </w:rPr>
      </w:pPr>
      <w:r>
        <w:rPr>
          <w:color w:val="FF0000"/>
        </w:rPr>
        <w:t xml:space="preserve">This is an efficiency ratio which tells how efficiently assets are being utilised.  </w:t>
      </w:r>
    </w:p>
    <w:p w:rsidR="00E7268C" w:rsidRDefault="00E7268C" w:rsidP="00E7268C">
      <w:pPr>
        <w:spacing w:line="240" w:lineRule="auto"/>
        <w:rPr>
          <w:color w:val="FF0000"/>
        </w:rPr>
      </w:pPr>
    </w:p>
    <w:p w:rsidR="00E7268C" w:rsidRDefault="00E7268C" w:rsidP="00E7268C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Liquidity</w:t>
      </w:r>
    </w:p>
    <w:p w:rsidR="00E7268C" w:rsidRDefault="00E7268C" w:rsidP="00E7268C">
      <w:pPr>
        <w:spacing w:line="240" w:lineRule="auto"/>
        <w:rPr>
          <w:sz w:val="28"/>
          <w:szCs w:val="28"/>
        </w:rPr>
      </w:pPr>
    </w:p>
    <w:p w:rsidR="00E7268C" w:rsidRDefault="00E7268C" w:rsidP="00E7268C">
      <w:pPr>
        <w:spacing w:line="240" w:lineRule="auto"/>
        <w:rPr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Current Ratio</w:t>
      </w:r>
    </w:p>
    <w:p w:rsidR="00E7268C" w:rsidRDefault="00E7268C" w:rsidP="00E7268C">
      <w:pPr>
        <w:spacing w:line="24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Current Assets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=</w:t>
      </w:r>
      <w:r>
        <w:rPr>
          <w:sz w:val="24"/>
          <w:szCs w:val="24"/>
        </w:rPr>
        <w:tab/>
        <w:t>**</w:t>
      </w:r>
    </w:p>
    <w:p w:rsidR="00E7268C" w:rsidRDefault="00E7268C" w:rsidP="00E7268C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Current Liabilities</w:t>
      </w:r>
    </w:p>
    <w:p w:rsidR="00E7268C" w:rsidRDefault="00E7268C" w:rsidP="00E7268C">
      <w:pPr>
        <w:spacing w:line="240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How quickly cash can be obtained to settle debts or pay expenses.</w:t>
      </w:r>
    </w:p>
    <w:p w:rsidR="00E7268C" w:rsidRDefault="00E7268C" w:rsidP="00E7268C">
      <w:pPr>
        <w:spacing w:line="240" w:lineRule="auto"/>
        <w:rPr>
          <w:sz w:val="24"/>
          <w:szCs w:val="24"/>
        </w:rPr>
      </w:pPr>
      <w:r>
        <w:rPr>
          <w:color w:val="FF0000"/>
          <w:sz w:val="24"/>
          <w:szCs w:val="24"/>
        </w:rPr>
        <w:t>A result of 1.5 or better is acceptable</w:t>
      </w:r>
    </w:p>
    <w:p w:rsidR="00E7268C" w:rsidRDefault="00E7268C" w:rsidP="00E7268C">
      <w:pPr>
        <w:spacing w:line="240" w:lineRule="auto"/>
        <w:rPr>
          <w:sz w:val="24"/>
          <w:szCs w:val="24"/>
        </w:rPr>
      </w:pPr>
    </w:p>
    <w:p w:rsidR="00E7268C" w:rsidRPr="00E7268C" w:rsidRDefault="00E7268C" w:rsidP="00E7268C">
      <w:pPr>
        <w:spacing w:line="240" w:lineRule="auto"/>
        <w:rPr>
          <w:sz w:val="24"/>
          <w:szCs w:val="24"/>
          <w:u w:val="single"/>
        </w:rPr>
      </w:pPr>
      <w:r w:rsidRPr="00E7268C">
        <w:rPr>
          <w:b/>
          <w:sz w:val="24"/>
          <w:szCs w:val="24"/>
          <w:u w:val="single"/>
        </w:rPr>
        <w:t>Quick Ratio</w:t>
      </w:r>
      <w:r w:rsidRPr="00E7268C">
        <w:rPr>
          <w:sz w:val="24"/>
          <w:szCs w:val="24"/>
        </w:rPr>
        <w:t xml:space="preserve"> (also referred to as acid ratio)</w:t>
      </w:r>
    </w:p>
    <w:p w:rsidR="00E7268C" w:rsidRDefault="00E7268C" w:rsidP="00E7268C">
      <w:pPr>
        <w:spacing w:line="240" w:lineRule="auto"/>
      </w:pPr>
      <w:r>
        <w:rPr>
          <w:u w:val="single"/>
        </w:rPr>
        <w:t>Current Assets – Stock</w:t>
      </w:r>
      <w:r>
        <w:tab/>
        <w:t>=</w:t>
      </w:r>
      <w:r>
        <w:tab/>
        <w:t>**</w:t>
      </w:r>
    </w:p>
    <w:p w:rsidR="00E7268C" w:rsidRDefault="00E7268C" w:rsidP="00E7268C">
      <w:pPr>
        <w:spacing w:line="240" w:lineRule="auto"/>
      </w:pPr>
      <w:r>
        <w:t>Current Liabilities</w:t>
      </w:r>
    </w:p>
    <w:p w:rsidR="00E7268C" w:rsidRDefault="00E7268C" w:rsidP="00E7268C">
      <w:pPr>
        <w:spacing w:line="240" w:lineRule="auto"/>
        <w:rPr>
          <w:color w:val="FF0000"/>
        </w:rPr>
      </w:pPr>
      <w:r>
        <w:rPr>
          <w:color w:val="FF0000"/>
        </w:rPr>
        <w:t>Match those cash or near cash assets with debts which have to be paid within the next 12 months.</w:t>
      </w:r>
    </w:p>
    <w:p w:rsidR="00E7268C" w:rsidRDefault="00E7268C" w:rsidP="00E7268C">
      <w:pPr>
        <w:spacing w:line="240" w:lineRule="auto"/>
      </w:pPr>
      <w:r>
        <w:rPr>
          <w:color w:val="FF0000"/>
        </w:rPr>
        <w:t>A result of 1.1 or better is acceptable</w:t>
      </w:r>
    </w:p>
    <w:p w:rsidR="00E7268C" w:rsidRDefault="00E7268C" w:rsidP="00E7268C">
      <w:pPr>
        <w:spacing w:line="240" w:lineRule="auto"/>
        <w:rPr>
          <w:b/>
          <w:sz w:val="24"/>
          <w:szCs w:val="24"/>
          <w:u w:val="single"/>
        </w:rPr>
      </w:pPr>
    </w:p>
    <w:p w:rsidR="00E7268C" w:rsidRDefault="00E7268C" w:rsidP="00E7268C">
      <w:pPr>
        <w:spacing w:line="240" w:lineRule="auto"/>
        <w:rPr>
          <w:u w:val="single"/>
        </w:rPr>
      </w:pPr>
      <w:r>
        <w:rPr>
          <w:b/>
          <w:sz w:val="24"/>
          <w:szCs w:val="24"/>
          <w:u w:val="single"/>
        </w:rPr>
        <w:t>Stock Turnover</w:t>
      </w:r>
    </w:p>
    <w:p w:rsidR="00E7268C" w:rsidRDefault="00E7268C" w:rsidP="00E7268C">
      <w:pPr>
        <w:spacing w:line="240" w:lineRule="auto"/>
      </w:pPr>
      <w:r>
        <w:rPr>
          <w:u w:val="single"/>
        </w:rPr>
        <w:t>Closing Stock</w:t>
      </w:r>
      <w:r>
        <w:tab/>
        <w:t>x 365 =</w:t>
      </w:r>
      <w:r>
        <w:tab/>
      </w:r>
      <w:r>
        <w:tab/>
        <w:t>** days</w:t>
      </w:r>
    </w:p>
    <w:p w:rsidR="00E7268C" w:rsidRPr="00E7268C" w:rsidRDefault="00E7268C" w:rsidP="00E7268C">
      <w:pPr>
        <w:spacing w:line="240" w:lineRule="auto"/>
      </w:pPr>
      <w:r>
        <w:t>Stock</w:t>
      </w:r>
    </w:p>
    <w:p w:rsidR="00E7268C" w:rsidRDefault="00E7268C" w:rsidP="00E7268C">
      <w:pPr>
        <w:spacing w:line="240" w:lineRule="auto"/>
        <w:rPr>
          <w:color w:val="FF0000"/>
        </w:rPr>
      </w:pPr>
      <w:r>
        <w:rPr>
          <w:color w:val="FF0000"/>
        </w:rPr>
        <w:t>Tells us how much stock has been sold – indicates efficiency</w:t>
      </w:r>
    </w:p>
    <w:p w:rsidR="00E7268C" w:rsidRDefault="00E7268C" w:rsidP="00E7268C">
      <w:pPr>
        <w:spacing w:line="240" w:lineRule="auto"/>
      </w:pPr>
      <w:r>
        <w:rPr>
          <w:color w:val="FF0000"/>
        </w:rPr>
        <w:t>A result of 8 days is ideal</w:t>
      </w:r>
    </w:p>
    <w:p w:rsidR="00E7268C" w:rsidRDefault="00E7268C" w:rsidP="00E7268C">
      <w:pPr>
        <w:spacing w:line="240" w:lineRule="auto"/>
      </w:pPr>
    </w:p>
    <w:p w:rsidR="00E7268C" w:rsidRDefault="00E7268C" w:rsidP="00E7268C">
      <w:pPr>
        <w:spacing w:line="240" w:lineRule="auto"/>
        <w:rPr>
          <w:u w:val="single"/>
        </w:rPr>
      </w:pPr>
      <w:r>
        <w:rPr>
          <w:b/>
          <w:sz w:val="24"/>
          <w:szCs w:val="24"/>
          <w:u w:val="single"/>
        </w:rPr>
        <w:t>Debtor Days</w:t>
      </w:r>
    </w:p>
    <w:p w:rsidR="00E7268C" w:rsidRDefault="00E7268C" w:rsidP="00E7268C">
      <w:pPr>
        <w:spacing w:line="240" w:lineRule="auto"/>
      </w:pPr>
      <w:r>
        <w:rPr>
          <w:u w:val="single"/>
        </w:rPr>
        <w:t>Debtors</w:t>
      </w:r>
      <w:r>
        <w:tab/>
      </w:r>
      <w:r>
        <w:tab/>
        <w:t>x 365 =</w:t>
      </w:r>
      <w:r>
        <w:tab/>
      </w:r>
      <w:r>
        <w:tab/>
        <w:t>** days</w:t>
      </w:r>
    </w:p>
    <w:p w:rsidR="00E7268C" w:rsidRDefault="00E7268C" w:rsidP="00E7268C">
      <w:pPr>
        <w:spacing w:line="240" w:lineRule="auto"/>
      </w:pPr>
      <w:r>
        <w:t>Sales</w:t>
      </w:r>
    </w:p>
    <w:p w:rsidR="00E7268C" w:rsidRDefault="00E7268C" w:rsidP="00E7268C">
      <w:pPr>
        <w:spacing w:line="240" w:lineRule="auto"/>
      </w:pPr>
      <w:r>
        <w:rPr>
          <w:color w:val="FF0000"/>
        </w:rPr>
        <w:t>Indicates the number of days it takes for debtors to pay.  30-36 days is mostly acceptable</w:t>
      </w:r>
    </w:p>
    <w:p w:rsidR="00E7268C" w:rsidRDefault="00E7268C" w:rsidP="00E7268C">
      <w:pPr>
        <w:spacing w:line="240" w:lineRule="auto"/>
      </w:pPr>
    </w:p>
    <w:p w:rsidR="00E7268C" w:rsidRDefault="00E7268C" w:rsidP="00E7268C">
      <w:pPr>
        <w:spacing w:line="240" w:lineRule="auto"/>
        <w:rPr>
          <w:u w:val="single"/>
        </w:rPr>
      </w:pPr>
      <w:r>
        <w:rPr>
          <w:b/>
          <w:sz w:val="24"/>
          <w:szCs w:val="24"/>
          <w:u w:val="single"/>
        </w:rPr>
        <w:t>Creditor Days</w:t>
      </w:r>
    </w:p>
    <w:p w:rsidR="00E7268C" w:rsidRDefault="00E7268C" w:rsidP="00E7268C">
      <w:pPr>
        <w:spacing w:line="240" w:lineRule="auto"/>
      </w:pPr>
      <w:r>
        <w:rPr>
          <w:u w:val="single"/>
        </w:rPr>
        <w:t>Creditors</w:t>
      </w:r>
      <w:r>
        <w:tab/>
        <w:t>x 365 =</w:t>
      </w:r>
      <w:r>
        <w:tab/>
      </w:r>
      <w:r>
        <w:tab/>
        <w:t>** days</w:t>
      </w:r>
    </w:p>
    <w:p w:rsidR="00E7268C" w:rsidRDefault="00E7268C" w:rsidP="00E7268C">
      <w:pPr>
        <w:spacing w:line="240" w:lineRule="auto"/>
      </w:pPr>
      <w:r>
        <w:t>Purchases</w:t>
      </w:r>
    </w:p>
    <w:p w:rsidR="00E7268C" w:rsidRDefault="00E7268C" w:rsidP="00E7268C">
      <w:pPr>
        <w:spacing w:line="240" w:lineRule="auto"/>
      </w:pPr>
      <w:r>
        <w:rPr>
          <w:color w:val="FF0000"/>
        </w:rPr>
        <w:t>Indicates the number of days it takes to pay creditors.  30 days is mostly acceptable</w:t>
      </w:r>
    </w:p>
    <w:p w:rsidR="00E7268C" w:rsidRDefault="00E7268C" w:rsidP="00E7268C">
      <w:p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8"/>
          <w:szCs w:val="28"/>
          <w:u w:val="single"/>
        </w:rPr>
        <w:lastRenderedPageBreak/>
        <w:t>Gearing</w:t>
      </w:r>
    </w:p>
    <w:p w:rsidR="00E7268C" w:rsidRDefault="00E7268C" w:rsidP="00E7268C">
      <w:pPr>
        <w:spacing w:line="240" w:lineRule="auto"/>
        <w:rPr>
          <w:b/>
          <w:sz w:val="24"/>
          <w:szCs w:val="24"/>
          <w:u w:val="single"/>
        </w:rPr>
      </w:pPr>
    </w:p>
    <w:p w:rsidR="00E7268C" w:rsidRDefault="00E7268C" w:rsidP="00E7268C">
      <w:pPr>
        <w:spacing w:line="240" w:lineRule="auto"/>
        <w:rPr>
          <w:u w:val="single"/>
        </w:rPr>
      </w:pPr>
      <w:r>
        <w:rPr>
          <w:b/>
          <w:sz w:val="24"/>
          <w:szCs w:val="24"/>
          <w:u w:val="single"/>
        </w:rPr>
        <w:t>Gearing Ratio</w:t>
      </w:r>
    </w:p>
    <w:p w:rsidR="00E7268C" w:rsidRDefault="00D738D0" w:rsidP="00E7268C">
      <w:pPr>
        <w:spacing w:line="240" w:lineRule="auto"/>
      </w:pPr>
      <w:proofErr w:type="gramStart"/>
      <w:r>
        <w:rPr>
          <w:u w:val="single"/>
        </w:rPr>
        <w:t>loans</w:t>
      </w:r>
      <w:proofErr w:type="gramEnd"/>
      <w:r w:rsidR="00E7268C">
        <w:tab/>
        <w:t>x100% =</w:t>
      </w:r>
      <w:r>
        <w:tab/>
      </w:r>
      <w:r>
        <w:tab/>
      </w:r>
      <w:r w:rsidR="00B726D7">
        <w:tab/>
      </w:r>
      <w:r w:rsidR="00E7268C">
        <w:t>**%</w:t>
      </w:r>
    </w:p>
    <w:p w:rsidR="00E7268C" w:rsidRDefault="00D738D0" w:rsidP="00E7268C">
      <w:pPr>
        <w:spacing w:line="240" w:lineRule="auto"/>
      </w:pPr>
      <w:r>
        <w:t>Total assets less current liabilities</w:t>
      </w:r>
    </w:p>
    <w:p w:rsidR="00E7268C" w:rsidRDefault="00E7268C" w:rsidP="00E7268C">
      <w:pPr>
        <w:spacing w:line="240" w:lineRule="auto"/>
        <w:rPr>
          <w:color w:val="FF0000"/>
        </w:rPr>
      </w:pPr>
      <w:r>
        <w:rPr>
          <w:color w:val="FF0000"/>
        </w:rPr>
        <w:t>The higher the level of gearing, the higher the risks.</w:t>
      </w:r>
    </w:p>
    <w:p w:rsidR="00E7268C" w:rsidRDefault="00E7268C" w:rsidP="00E7268C">
      <w:pPr>
        <w:spacing w:line="240" w:lineRule="auto"/>
        <w:rPr>
          <w:color w:val="FF0000"/>
        </w:rPr>
      </w:pPr>
      <w:r>
        <w:rPr>
          <w:color w:val="FF0000"/>
        </w:rPr>
        <w:t>25% is low gearing</w:t>
      </w:r>
    </w:p>
    <w:p w:rsidR="00E7268C" w:rsidRDefault="00E7268C" w:rsidP="00E7268C">
      <w:pPr>
        <w:spacing w:line="240" w:lineRule="auto"/>
        <w:rPr>
          <w:color w:val="FF0000"/>
        </w:rPr>
      </w:pPr>
      <w:r>
        <w:rPr>
          <w:color w:val="FF0000"/>
        </w:rPr>
        <w:t>50% is high gearing.     Somewhere in the middle of these figures is considered good for a well-established business.</w:t>
      </w:r>
    </w:p>
    <w:p w:rsidR="00E7268C" w:rsidRDefault="00E7268C" w:rsidP="00E7268C">
      <w:pPr>
        <w:spacing w:line="240" w:lineRule="auto"/>
      </w:pPr>
      <w:r>
        <w:rPr>
          <w:color w:val="FF0000"/>
        </w:rPr>
        <w:t>Proportion of finance provided by debt concentrates on long term.</w:t>
      </w:r>
    </w:p>
    <w:p w:rsidR="00E7268C" w:rsidRDefault="00E7268C" w:rsidP="00E7268C">
      <w:pPr>
        <w:spacing w:line="240" w:lineRule="auto"/>
        <w:rPr>
          <w:u w:val="single"/>
        </w:rPr>
      </w:pPr>
      <w:r>
        <w:rPr>
          <w:b/>
          <w:sz w:val="24"/>
          <w:szCs w:val="24"/>
          <w:u w:val="single"/>
        </w:rPr>
        <w:t>Interest Cover</w:t>
      </w:r>
    </w:p>
    <w:p w:rsidR="00E7268C" w:rsidRDefault="00E7268C" w:rsidP="00E7268C">
      <w:pPr>
        <w:spacing w:line="240" w:lineRule="auto"/>
      </w:pPr>
      <w:r>
        <w:rPr>
          <w:u w:val="single"/>
        </w:rPr>
        <w:t>Profit before Interest</w:t>
      </w:r>
      <w:r>
        <w:t xml:space="preserve"> =</w:t>
      </w:r>
      <w:r>
        <w:tab/>
      </w:r>
      <w:r>
        <w:tab/>
      </w:r>
      <w:r>
        <w:tab/>
        <w:t>**</w:t>
      </w:r>
    </w:p>
    <w:p w:rsidR="00E7268C" w:rsidRDefault="00E7268C" w:rsidP="00E7268C">
      <w:pPr>
        <w:spacing w:line="240" w:lineRule="auto"/>
      </w:pPr>
      <w:r>
        <w:t>Interest</w:t>
      </w:r>
    </w:p>
    <w:p w:rsidR="00E7268C" w:rsidRPr="00E7268C" w:rsidRDefault="00E7268C" w:rsidP="00E7268C">
      <w:pPr>
        <w:spacing w:line="240" w:lineRule="auto"/>
      </w:pPr>
    </w:p>
    <w:sectPr w:rsidR="00E7268C" w:rsidRPr="00E726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80"/>
    <w:rsid w:val="00287690"/>
    <w:rsid w:val="004279C0"/>
    <w:rsid w:val="00496D98"/>
    <w:rsid w:val="0056745C"/>
    <w:rsid w:val="00640580"/>
    <w:rsid w:val="00AA5035"/>
    <w:rsid w:val="00B726D7"/>
    <w:rsid w:val="00D738D0"/>
    <w:rsid w:val="00E7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C60E718-0556-417B-BA0B-A109F7580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6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Pitson, Marie</dc:creator>
  <cp:lastModifiedBy>Marie Pitson</cp:lastModifiedBy>
  <cp:revision>2</cp:revision>
  <cp:lastPrinted>2016-04-14T07:06:00Z</cp:lastPrinted>
  <dcterms:created xsi:type="dcterms:W3CDTF">2016-04-29T07:26:00Z</dcterms:created>
  <dcterms:modified xsi:type="dcterms:W3CDTF">2016-04-29T07:26:00Z</dcterms:modified>
</cp:coreProperties>
</file>