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47667E8" w:rsidP="3E7FBAF5" w:rsidRDefault="247667E8" w14:paraId="305868FF" w14:textId="418BAE85">
      <w:pPr>
        <w:widowControl w:val="0"/>
        <w:spacing w:after="0" w:afterAutospacing="off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E7FBAF5" w:rsidR="247667E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ECAD 7003 Video References Part 1</w:t>
      </w:r>
    </w:p>
    <w:p w:rsidR="145A6A75" w:rsidP="15F63AD6" w:rsidRDefault="145A6A75" w14:paraId="3B470D4E" w14:textId="79D69410">
      <w:pPr>
        <w:widowControl w:val="0"/>
        <w:spacing w:after="0" w:afterAutospacing="off" w:line="360" w:lineRule="auto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15F63AD6" w:rsidR="145A6A7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Student ID Number</w:t>
      </w:r>
      <w:r w:rsidRPr="15F63AD6" w:rsidR="145A6A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: </w:t>
      </w:r>
      <w:r w:rsidRPr="15F63AD6" w:rsidR="145A6A7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2204840</w:t>
      </w:r>
    </w:p>
    <w:p w:rsidR="6234A582" w:rsidP="797CABF9" w:rsidRDefault="6234A582" w14:paraId="25EE1538" w14:textId="6450EA65">
      <w:pPr>
        <w:spacing w:after="0" w:afterAutospacing="off" w:line="480" w:lineRule="auto"/>
        <w:jc w:val="center"/>
        <w:rPr>
          <w:rFonts w:ascii="Arial" w:hAnsi="Arial" w:eastAsia="Arial" w:cs="Arial"/>
          <w:sz w:val="24"/>
          <w:szCs w:val="24"/>
        </w:rPr>
      </w:pPr>
      <w:bookmarkStart w:name="_GoBack" w:id="0"/>
      <w:bookmarkEnd w:id="0"/>
      <w:r w:rsidRPr="797CABF9" w:rsidR="6234A582">
        <w:rPr>
          <w:rFonts w:ascii="Arial" w:hAnsi="Arial" w:eastAsia="Arial" w:cs="Arial"/>
          <w:sz w:val="24"/>
          <w:szCs w:val="24"/>
        </w:rPr>
        <w:t xml:space="preserve">References </w:t>
      </w:r>
    </w:p>
    <w:p w:rsidR="6234A582" w:rsidP="797CABF9" w:rsidRDefault="6234A582" w14:paraId="639718B6" w14:textId="44FF4D2B">
      <w:pPr>
        <w:pStyle w:val="Normal"/>
        <w:spacing w:after="0" w:afterAutospacing="off" w:line="480" w:lineRule="auto"/>
        <w:jc w:val="both"/>
        <w:rPr>
          <w:rFonts w:ascii="Arial" w:hAnsi="Arial" w:eastAsia="Arial" w:cs="Arial"/>
          <w:sz w:val="24"/>
          <w:szCs w:val="24"/>
        </w:rPr>
      </w:pPr>
      <w:r w:rsidRPr="797CABF9" w:rsidR="6234A582">
        <w:rPr>
          <w:rFonts w:ascii="Arial" w:hAnsi="Arial" w:eastAsia="Arial" w:cs="Arial"/>
          <w:sz w:val="24"/>
          <w:szCs w:val="24"/>
        </w:rPr>
        <w:t xml:space="preserve">Bekkers, R., and </w:t>
      </w:r>
      <w:r w:rsidRPr="797CABF9" w:rsidR="6234A582">
        <w:rPr>
          <w:rFonts w:ascii="Arial" w:hAnsi="Arial" w:eastAsia="Arial" w:cs="Arial"/>
          <w:sz w:val="24"/>
          <w:szCs w:val="24"/>
        </w:rPr>
        <w:t>Wiepking</w:t>
      </w:r>
      <w:r w:rsidRPr="797CABF9" w:rsidR="6234A582">
        <w:rPr>
          <w:rFonts w:ascii="Arial" w:hAnsi="Arial" w:eastAsia="Arial" w:cs="Arial"/>
          <w:sz w:val="24"/>
          <w:szCs w:val="24"/>
        </w:rPr>
        <w:t xml:space="preserve">, P. (2011). A literature review of empirical studies of philanthropy: Eight mechanisms that drive charitable giving. Nonprofit and Voluntary Sector Quarterly, 40(5), 924–973. </w:t>
      </w:r>
    </w:p>
    <w:p w:rsidR="6234A582" w:rsidP="797CABF9" w:rsidRDefault="6234A582" w14:paraId="04610BCC" w14:textId="717E70DC">
      <w:pPr>
        <w:pStyle w:val="Normal"/>
        <w:spacing w:after="0" w:afterAutospacing="off" w:line="480" w:lineRule="auto"/>
        <w:jc w:val="both"/>
      </w:pPr>
      <w:r w:rsidRPr="797CABF9" w:rsidR="6234A582">
        <w:rPr>
          <w:rFonts w:ascii="Arial" w:hAnsi="Arial" w:eastAsia="Arial" w:cs="Arial"/>
          <w:sz w:val="24"/>
          <w:szCs w:val="24"/>
        </w:rPr>
        <w:t xml:space="preserve">British Educational Research Association (2018) Ethical Guidelines for Educational Research, fourth edition, London. </w:t>
      </w:r>
    </w:p>
    <w:p w:rsidR="6234A582" w:rsidP="797CABF9" w:rsidRDefault="6234A582" w14:paraId="310E18D5" w14:textId="619EB760">
      <w:pPr>
        <w:pStyle w:val="Normal"/>
        <w:spacing w:after="0" w:afterAutospacing="off" w:line="480" w:lineRule="auto"/>
        <w:jc w:val="both"/>
      </w:pPr>
      <w:r w:rsidRPr="797CABF9" w:rsidR="6234A582">
        <w:rPr>
          <w:rFonts w:ascii="Arial" w:hAnsi="Arial" w:eastAsia="Arial" w:cs="Arial"/>
          <w:sz w:val="24"/>
          <w:szCs w:val="24"/>
        </w:rPr>
        <w:t xml:space="preserve">Bronfenbrenner, U. (1979). The ecology of human development: Experiments by nature and design. Harvard University Press. </w:t>
      </w:r>
    </w:p>
    <w:p w:rsidR="6234A582" w:rsidP="797CABF9" w:rsidRDefault="6234A582" w14:paraId="2F66B546" w14:textId="451B087F">
      <w:pPr>
        <w:pStyle w:val="Normal"/>
        <w:spacing w:after="0" w:afterAutospacing="off" w:line="480" w:lineRule="auto"/>
        <w:jc w:val="both"/>
      </w:pPr>
      <w:r w:rsidRPr="797CABF9" w:rsidR="6234A582">
        <w:rPr>
          <w:rFonts w:ascii="Arial" w:hAnsi="Arial" w:eastAsia="Arial" w:cs="Arial"/>
          <w:sz w:val="24"/>
          <w:szCs w:val="24"/>
        </w:rPr>
        <w:t xml:space="preserve">Bringle, R. G. (2018). Service-learning as a high-impact practice for student retention. Journal of College Student Retention: Research, Theory &amp; Practice, 20(1), 5-19. </w:t>
      </w:r>
    </w:p>
    <w:p w:rsidR="6234A582" w:rsidP="797CABF9" w:rsidRDefault="6234A582" w14:paraId="73DF5693" w14:textId="49ABB6F2">
      <w:pPr>
        <w:pStyle w:val="Normal"/>
        <w:spacing w:after="0" w:afterAutospacing="off" w:line="480" w:lineRule="auto"/>
        <w:jc w:val="both"/>
      </w:pPr>
      <w:r w:rsidRPr="797CABF9" w:rsidR="6234A582">
        <w:rPr>
          <w:rFonts w:ascii="Arial" w:hAnsi="Arial" w:eastAsia="Arial" w:cs="Arial"/>
          <w:sz w:val="24"/>
          <w:szCs w:val="24"/>
        </w:rPr>
        <w:t xml:space="preserve">Church, E. B., and Tamara, R. (2018). Social and emotional learning in early childhood classrooms. Young Children, 73(5), 10-16. </w:t>
      </w:r>
    </w:p>
    <w:p w:rsidR="6234A582" w:rsidP="797CABF9" w:rsidRDefault="6234A582" w14:paraId="2ED4B4A3" w14:textId="11C396FC">
      <w:pPr>
        <w:pStyle w:val="Normal"/>
        <w:spacing w:after="0" w:afterAutospacing="off" w:line="480" w:lineRule="auto"/>
        <w:jc w:val="both"/>
      </w:pPr>
      <w:r w:rsidRPr="797CABF9" w:rsidR="6234A582">
        <w:rPr>
          <w:rFonts w:ascii="Arial" w:hAnsi="Arial" w:eastAsia="Arial" w:cs="Arial"/>
          <w:sz w:val="24"/>
          <w:szCs w:val="24"/>
        </w:rPr>
        <w:t xml:space="preserve">Curenton, S. M., and McAlister, S. E. (2021). Parenting and child development in early childhood. In R. M. Lerner &amp; M. E. Lamb (Eds.), Handbook of Child Psychology and Developmental Science: Ecological Settings and Processes (8th ed., Vol. 4, pp. 275-308). John Wiley &amp; Sons. </w:t>
      </w:r>
    </w:p>
    <w:p w:rsidR="6234A582" w:rsidP="797CABF9" w:rsidRDefault="6234A582" w14:paraId="18BB90C5" w14:textId="6CAE7B79">
      <w:pPr>
        <w:pStyle w:val="Normal"/>
        <w:spacing w:after="0" w:afterAutospacing="off" w:line="480" w:lineRule="auto"/>
        <w:jc w:val="both"/>
        <w:rPr>
          <w:rFonts w:ascii="Arial" w:hAnsi="Arial" w:eastAsia="Arial" w:cs="Arial"/>
          <w:sz w:val="24"/>
          <w:szCs w:val="24"/>
        </w:rPr>
      </w:pPr>
      <w:r w:rsidRPr="797CABF9" w:rsidR="6234A582">
        <w:rPr>
          <w:rFonts w:ascii="Arial" w:hAnsi="Arial" w:eastAsia="Arial" w:cs="Arial"/>
          <w:sz w:val="24"/>
          <w:szCs w:val="24"/>
        </w:rPr>
        <w:t>Donaldson, G. (2015) Successful Futures: Independent Review of Curriculum and Assessment Arrangements in Wales</w:t>
      </w:r>
      <w:r w:rsidRPr="797CABF9" w:rsidR="6234A582">
        <w:rPr>
          <w:rFonts w:ascii="Arial" w:hAnsi="Arial" w:eastAsia="Arial" w:cs="Arial"/>
          <w:sz w:val="24"/>
          <w:szCs w:val="24"/>
        </w:rPr>
        <w:t xml:space="preserve">.  </w:t>
      </w:r>
    </w:p>
    <w:p w:rsidR="6234A582" w:rsidP="797CABF9" w:rsidRDefault="6234A582" w14:paraId="20AC55E2" w14:textId="0629BF5A">
      <w:pPr>
        <w:pStyle w:val="Normal"/>
        <w:spacing w:after="0" w:afterAutospacing="off" w:line="480" w:lineRule="auto"/>
        <w:jc w:val="both"/>
      </w:pPr>
      <w:r w:rsidRPr="797CABF9" w:rsidR="6234A582">
        <w:rPr>
          <w:rFonts w:ascii="Arial" w:hAnsi="Arial" w:eastAsia="Arial" w:cs="Arial"/>
          <w:sz w:val="24"/>
          <w:szCs w:val="24"/>
        </w:rPr>
        <w:t xml:space="preserve">Dunn, E. W., Aknin, L. B., and Norton, M. I. (2015). Prosocial spending and happiness: Using money to </w:t>
      </w:r>
      <w:r w:rsidRPr="797CABF9" w:rsidR="6234A582">
        <w:rPr>
          <w:rFonts w:ascii="Arial" w:hAnsi="Arial" w:eastAsia="Arial" w:cs="Arial"/>
          <w:sz w:val="24"/>
          <w:szCs w:val="24"/>
        </w:rPr>
        <w:t>benefit</w:t>
      </w:r>
      <w:r w:rsidRPr="797CABF9" w:rsidR="6234A582">
        <w:rPr>
          <w:rFonts w:ascii="Arial" w:hAnsi="Arial" w:eastAsia="Arial" w:cs="Arial"/>
          <w:sz w:val="24"/>
          <w:szCs w:val="24"/>
        </w:rPr>
        <w:t xml:space="preserve"> others pays off. Current Directions in Psychological Science, 24(5), 316–321</w:t>
      </w:r>
      <w:r w:rsidRPr="797CABF9" w:rsidR="6234A582">
        <w:rPr>
          <w:rFonts w:ascii="Arial" w:hAnsi="Arial" w:eastAsia="Arial" w:cs="Arial"/>
          <w:sz w:val="24"/>
          <w:szCs w:val="24"/>
        </w:rPr>
        <w:t xml:space="preserve">.  </w:t>
      </w:r>
    </w:p>
    <w:p w:rsidR="6234A582" w:rsidP="797CABF9" w:rsidRDefault="6234A582" w14:paraId="5D29E3B9" w14:textId="227B641C">
      <w:pPr>
        <w:pStyle w:val="Normal"/>
        <w:spacing w:after="0" w:afterAutospacing="off" w:line="480" w:lineRule="auto"/>
        <w:jc w:val="both"/>
      </w:pPr>
      <w:r w:rsidRPr="797CABF9" w:rsidR="6234A582">
        <w:rPr>
          <w:rFonts w:ascii="Arial" w:hAnsi="Arial" w:eastAsia="Arial" w:cs="Arial"/>
          <w:sz w:val="24"/>
          <w:szCs w:val="24"/>
        </w:rPr>
        <w:t xml:space="preserve">Education Inspectorate, </w:t>
      </w:r>
      <w:r w:rsidRPr="797CABF9" w:rsidR="6234A582">
        <w:rPr>
          <w:rFonts w:ascii="Arial" w:hAnsi="Arial" w:eastAsia="Arial" w:cs="Arial"/>
          <w:sz w:val="24"/>
          <w:szCs w:val="24"/>
        </w:rPr>
        <w:t>Estyn</w:t>
      </w:r>
      <w:r w:rsidRPr="797CABF9" w:rsidR="6234A582">
        <w:rPr>
          <w:rFonts w:ascii="Arial" w:hAnsi="Arial" w:eastAsia="Arial" w:cs="Arial"/>
          <w:sz w:val="24"/>
          <w:szCs w:val="24"/>
        </w:rPr>
        <w:t xml:space="preserve">. (2017). Guidance for inspection of schools and settings in Wales. </w:t>
      </w:r>
    </w:p>
    <w:p w:rsidR="6234A582" w:rsidP="797CABF9" w:rsidRDefault="6234A582" w14:paraId="76B67B7F" w14:textId="289CA0C4">
      <w:pPr>
        <w:pStyle w:val="Normal"/>
        <w:spacing w:after="0" w:afterAutospacing="off" w:line="480" w:lineRule="auto"/>
        <w:jc w:val="both"/>
      </w:pPr>
      <w:r w:rsidRPr="797CABF9" w:rsidR="6234A582">
        <w:rPr>
          <w:rFonts w:ascii="Arial" w:hAnsi="Arial" w:eastAsia="Arial" w:cs="Arial"/>
          <w:sz w:val="24"/>
          <w:szCs w:val="24"/>
        </w:rPr>
        <w:t xml:space="preserve">Gallagher, V. J., Tan, K. J., and Smith, L. A. (2021). The Role of Community Partnerships in Student Success. Journal of School Health, 91(3), 195-203. </w:t>
      </w:r>
      <w:r w:rsidRPr="797CABF9" w:rsidR="6234A582">
        <w:rPr>
          <w:rFonts w:ascii="Arial" w:hAnsi="Arial" w:eastAsia="Arial" w:cs="Arial"/>
          <w:sz w:val="24"/>
          <w:szCs w:val="24"/>
        </w:rPr>
        <w:t>doi</w:t>
      </w:r>
      <w:r w:rsidRPr="797CABF9" w:rsidR="6234A582">
        <w:rPr>
          <w:rFonts w:ascii="Arial" w:hAnsi="Arial" w:eastAsia="Arial" w:cs="Arial"/>
          <w:sz w:val="24"/>
          <w:szCs w:val="24"/>
        </w:rPr>
        <w:t xml:space="preserve">: 10.1111/josh.12928 </w:t>
      </w:r>
    </w:p>
    <w:p w:rsidR="6234A582" w:rsidP="797CABF9" w:rsidRDefault="6234A582" w14:paraId="2909D801" w14:textId="39016E5E">
      <w:pPr>
        <w:pStyle w:val="Normal"/>
        <w:spacing w:after="0" w:afterAutospacing="off" w:line="480" w:lineRule="auto"/>
        <w:jc w:val="both"/>
      </w:pPr>
      <w:r w:rsidRPr="797CABF9" w:rsidR="6234A582">
        <w:rPr>
          <w:rFonts w:ascii="Arial" w:hAnsi="Arial" w:eastAsia="Arial" w:cs="Arial"/>
          <w:sz w:val="24"/>
          <w:szCs w:val="24"/>
        </w:rPr>
        <w:t xml:space="preserve">Lentini, J. C. A., Brown, K. R., Canfield, C. F., and Hatzis, D. (2021). Using technology to support young children’s social emotional development: A review of the literature. Computers in Human Behavior, 114, 106573. </w:t>
      </w:r>
    </w:p>
    <w:p w:rsidR="6234A582" w:rsidP="797CABF9" w:rsidRDefault="6234A582" w14:paraId="643A0FF1" w14:textId="1BEBE1CA">
      <w:pPr>
        <w:pStyle w:val="Normal"/>
        <w:spacing w:after="0" w:afterAutospacing="off" w:line="480" w:lineRule="auto"/>
        <w:jc w:val="both"/>
      </w:pPr>
      <w:r w:rsidRPr="797CABF9" w:rsidR="6234A582">
        <w:rPr>
          <w:rFonts w:ascii="Arial" w:hAnsi="Arial" w:eastAsia="Arial" w:cs="Arial"/>
          <w:sz w:val="24"/>
          <w:szCs w:val="24"/>
        </w:rPr>
        <w:t xml:space="preserve">Mitra, D. L., and </w:t>
      </w:r>
      <w:r w:rsidRPr="797CABF9" w:rsidR="6234A582">
        <w:rPr>
          <w:rFonts w:ascii="Arial" w:hAnsi="Arial" w:eastAsia="Arial" w:cs="Arial"/>
          <w:sz w:val="24"/>
          <w:szCs w:val="24"/>
        </w:rPr>
        <w:t>DeJarnatt</w:t>
      </w:r>
      <w:r w:rsidRPr="797CABF9" w:rsidR="6234A582">
        <w:rPr>
          <w:rFonts w:ascii="Arial" w:hAnsi="Arial" w:eastAsia="Arial" w:cs="Arial"/>
          <w:sz w:val="24"/>
          <w:szCs w:val="24"/>
        </w:rPr>
        <w:t xml:space="preserve">, S. M. (2020). School climate and culture. In N. C. Clements &amp; S. S. Anagnostopoulos (Eds.), Handbook of Research on Educational Leadership and Management (pp. 135-149). Edward Elgar Publishing. </w:t>
      </w:r>
    </w:p>
    <w:p w:rsidR="6234A582" w:rsidP="797CABF9" w:rsidRDefault="6234A582" w14:paraId="5F27C4B8" w14:textId="10D03494">
      <w:pPr>
        <w:pStyle w:val="Normal"/>
        <w:spacing w:after="0" w:afterAutospacing="off" w:line="480" w:lineRule="auto"/>
        <w:jc w:val="both"/>
      </w:pPr>
      <w:r w:rsidRPr="797CABF9" w:rsidR="6234A582">
        <w:rPr>
          <w:rFonts w:ascii="Arial" w:hAnsi="Arial" w:eastAsia="Arial" w:cs="Arial"/>
          <w:sz w:val="24"/>
          <w:szCs w:val="24"/>
        </w:rPr>
        <w:t>Sergiovanni</w:t>
      </w:r>
      <w:r w:rsidRPr="797CABF9" w:rsidR="6234A582">
        <w:rPr>
          <w:rFonts w:ascii="Arial" w:hAnsi="Arial" w:eastAsia="Arial" w:cs="Arial"/>
          <w:sz w:val="24"/>
          <w:szCs w:val="24"/>
        </w:rPr>
        <w:t xml:space="preserve">, T. J., Jarvis, K. L., &amp; Ackerman, C. A. (2020). A Guide to Collaborative Action. Jossey-Bass. </w:t>
      </w:r>
    </w:p>
    <w:p w:rsidR="6234A582" w:rsidP="797CABF9" w:rsidRDefault="6234A582" w14:paraId="71BF17F3" w14:textId="1927A4CA">
      <w:pPr>
        <w:pStyle w:val="Normal"/>
        <w:spacing w:after="0" w:afterAutospacing="off" w:line="480" w:lineRule="auto"/>
        <w:jc w:val="both"/>
      </w:pPr>
      <w:r w:rsidRPr="797CABF9" w:rsidR="6234A582">
        <w:rPr>
          <w:rFonts w:ascii="Arial" w:hAnsi="Arial" w:eastAsia="Arial" w:cs="Arial"/>
          <w:sz w:val="24"/>
          <w:szCs w:val="24"/>
        </w:rPr>
        <w:t>Welsh Government (2020). Curriculum for Wales: A Curriculum for Life</w:t>
      </w:r>
      <w:r w:rsidRPr="797CABF9" w:rsidR="6234A582">
        <w:rPr>
          <w:rFonts w:ascii="Arial" w:hAnsi="Arial" w:eastAsia="Arial" w:cs="Arial"/>
          <w:sz w:val="24"/>
          <w:szCs w:val="24"/>
        </w:rPr>
        <w:t xml:space="preserve">.  </w:t>
      </w:r>
    </w:p>
    <w:p w:rsidR="6234A582" w:rsidP="797CABF9" w:rsidRDefault="6234A582" w14:paraId="64980B50" w14:textId="2DD7F46A">
      <w:pPr>
        <w:pStyle w:val="Normal"/>
        <w:spacing w:after="0" w:afterAutospacing="off" w:line="480" w:lineRule="auto"/>
        <w:jc w:val="both"/>
      </w:pPr>
      <w:r w:rsidRPr="797CABF9" w:rsidR="6234A582">
        <w:rPr>
          <w:rFonts w:ascii="Arial" w:hAnsi="Arial" w:eastAsia="Arial" w:cs="Arial"/>
          <w:sz w:val="24"/>
          <w:szCs w:val="24"/>
        </w:rPr>
        <w:t xml:space="preserve"> </w:t>
      </w:r>
    </w:p>
    <w:p w:rsidR="797CABF9" w:rsidP="797CABF9" w:rsidRDefault="797CABF9" w14:paraId="46101A41" w14:textId="55EEE21D">
      <w:pPr>
        <w:pStyle w:val="Normal"/>
        <w:spacing w:after="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797CABF9" w:rsidP="797CABF9" w:rsidRDefault="797CABF9" w14:paraId="649D0D57" w14:textId="4632C15D">
      <w:pPr>
        <w:pStyle w:val="Normal"/>
        <w:spacing w:after="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797CABF9" w:rsidP="797CABF9" w:rsidRDefault="797CABF9" w14:paraId="2B3CEFCF" w14:textId="6938BE34">
      <w:pPr>
        <w:pStyle w:val="Normal"/>
        <w:spacing w:after="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797CABF9" w:rsidP="797CABF9" w:rsidRDefault="797CABF9" w14:paraId="4F9EF40A" w14:textId="3AD68C90">
      <w:pPr>
        <w:pStyle w:val="Normal"/>
        <w:spacing w:after="0" w:afterAutospacing="off" w:line="480" w:lineRule="auto"/>
        <w:rPr>
          <w:rFonts w:ascii="Arial" w:hAnsi="Arial" w:eastAsia="Arial" w:cs="Arial"/>
          <w:sz w:val="24"/>
          <w:szCs w:val="24"/>
        </w:rPr>
      </w:pPr>
    </w:p>
    <w:p w:rsidR="797CABF9" w:rsidP="797CABF9" w:rsidRDefault="797CABF9" w14:paraId="7F967B79" w14:textId="15E9382B">
      <w:pPr>
        <w:pStyle w:val="Normal"/>
        <w:spacing w:after="0" w:afterAutospacing="off" w:line="480" w:lineRule="auto"/>
        <w:rPr>
          <w:rFonts w:ascii="Arial" w:hAnsi="Arial" w:eastAsia="Arial" w:cs="Arial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4422a4c4fbaf48ac"/>
      <w:footerReference w:type="default" r:id="R65fc638a08404ab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5F63AD6" w:rsidTr="15F63AD6" w14:paraId="42C458A2">
      <w:trPr>
        <w:trHeight w:val="300"/>
      </w:trPr>
      <w:tc>
        <w:tcPr>
          <w:tcW w:w="3120" w:type="dxa"/>
          <w:tcMar/>
        </w:tcPr>
        <w:p w:rsidR="15F63AD6" w:rsidP="15F63AD6" w:rsidRDefault="15F63AD6" w14:paraId="0531A397" w14:textId="21CDD9C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5F63AD6" w:rsidP="15F63AD6" w:rsidRDefault="15F63AD6" w14:paraId="24E2C760" w14:textId="03BF251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5F63AD6" w:rsidP="15F63AD6" w:rsidRDefault="15F63AD6" w14:paraId="550B5655" w14:textId="0AC1F748">
          <w:pPr>
            <w:pStyle w:val="Header"/>
            <w:bidi w:val="0"/>
            <w:ind w:right="-115"/>
            <w:jc w:val="right"/>
          </w:pPr>
        </w:p>
      </w:tc>
    </w:tr>
  </w:tbl>
  <w:p w:rsidR="15F63AD6" w:rsidP="15F63AD6" w:rsidRDefault="15F63AD6" w14:paraId="70E08318" w14:textId="21A1454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</w:tblGrid>
    <w:tr w:rsidR="15F63AD6" w:rsidTr="15F63AD6" w14:paraId="293B1CF5">
      <w:trPr>
        <w:trHeight w:val="300"/>
      </w:trPr>
      <w:tc>
        <w:tcPr>
          <w:tcW w:w="3120" w:type="dxa"/>
          <w:tcMar/>
        </w:tcPr>
        <w:p w:rsidR="15F63AD6" w:rsidP="15F63AD6" w:rsidRDefault="15F63AD6" w14:paraId="2B491564" w14:textId="6910FCD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5F63AD6" w:rsidP="15F63AD6" w:rsidRDefault="15F63AD6" w14:paraId="7EE7233B" w14:textId="3F91EBE5">
          <w:pPr>
            <w:pStyle w:val="Header"/>
            <w:bidi w:val="0"/>
            <w:jc w:val="center"/>
          </w:pPr>
          <w:r w:rsidR="15F63AD6">
            <w:rPr/>
            <w:t xml:space="preserve">                                             </w:t>
          </w:r>
        </w:p>
      </w:tc>
    </w:tr>
  </w:tbl>
  <w:p w:rsidR="15F63AD6" w:rsidP="15F63AD6" w:rsidRDefault="15F63AD6" w14:paraId="0E2917DE" w14:textId="1F1B0BE6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6CB739"/>
    <w:rsid w:val="0779C68A"/>
    <w:rsid w:val="0D6CB739"/>
    <w:rsid w:val="12BE9A14"/>
    <w:rsid w:val="145A6A75"/>
    <w:rsid w:val="15F63AD6"/>
    <w:rsid w:val="247667E8"/>
    <w:rsid w:val="3E7FBAF5"/>
    <w:rsid w:val="4A39A6B5"/>
    <w:rsid w:val="4C924F75"/>
    <w:rsid w:val="5EFD04C0"/>
    <w:rsid w:val="6098D521"/>
    <w:rsid w:val="6234A582"/>
    <w:rsid w:val="70D7415C"/>
    <w:rsid w:val="797CA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CB739"/>
  <w15:chartTrackingRefBased/>
  <w15:docId w15:val="{8A47A1DC-7C14-430D-A325-19F8CD1314C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4422a4c4fbaf48ac" /><Relationship Type="http://schemas.openxmlformats.org/officeDocument/2006/relationships/footer" Target="footer.xml" Id="R65fc638a08404ab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2023-04-15T14:32:31.0374560Z</dcterms:created>
  <dcterms:modified xsi:type="dcterms:W3CDTF">2023-04-17T08:05:39.6966958Z</dcterms:modified>
  <dc:creator>Cyril Chukwudozie (2204840)</dc:creator>
  <lastModifiedBy>Cyril Chukwudozie (2204840)</lastModifiedBy>
</coreProperties>
</file>