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6DE6A" w14:textId="5A793551" w:rsidR="00AA2C64" w:rsidRDefault="005A4441" w:rsidP="005A4441">
      <w:pPr>
        <w:rPr>
          <w:b/>
          <w:bCs/>
          <w:u w:val="single"/>
        </w:rPr>
      </w:pPr>
      <w:r w:rsidRPr="005A4441">
        <w:rPr>
          <w:b/>
          <w:bCs/>
          <w:noProof/>
          <w:u w:val="single"/>
        </w:rPr>
        <w:drawing>
          <wp:anchor distT="0" distB="0" distL="114300" distR="114300" simplePos="0" relativeHeight="251658240" behindDoc="1" locked="0" layoutInCell="1" allowOverlap="1" wp14:anchorId="2DD36EA3" wp14:editId="6ED5A12F">
            <wp:simplePos x="0" y="0"/>
            <wp:positionH relativeFrom="column">
              <wp:posOffset>4180024</wp:posOffset>
            </wp:positionH>
            <wp:positionV relativeFrom="paragraph">
              <wp:posOffset>0</wp:posOffset>
            </wp:positionV>
            <wp:extent cx="2078990" cy="728980"/>
            <wp:effectExtent l="0" t="0" r="0" b="0"/>
            <wp:wrapTight wrapText="bothSides">
              <wp:wrapPolygon edited="0">
                <wp:start x="0" y="0"/>
                <wp:lineTo x="0" y="20885"/>
                <wp:lineTo x="21376" y="20885"/>
                <wp:lineTo x="21376" y="0"/>
                <wp:lineTo x="0" y="0"/>
              </wp:wrapPolygon>
            </wp:wrapTight>
            <wp:docPr id="1416083551"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83551" name="Picture 1" descr="A black text on a white background&#10;&#10;AI-generated content may be incorrect."/>
                    <pic:cNvPicPr/>
                  </pic:nvPicPr>
                  <pic:blipFill rotWithShape="1">
                    <a:blip r:embed="rId7">
                      <a:extLst>
                        <a:ext uri="{28A0092B-C50C-407E-A947-70E740481C1C}">
                          <a14:useLocalDpi xmlns:a14="http://schemas.microsoft.com/office/drawing/2010/main" val="0"/>
                        </a:ext>
                      </a:extLst>
                    </a:blip>
                    <a:srcRect t="1" b="4491"/>
                    <a:stretch>
                      <a:fillRect/>
                    </a:stretch>
                  </pic:blipFill>
                  <pic:spPr bwMode="auto">
                    <a:xfrm>
                      <a:off x="0" y="0"/>
                      <a:ext cx="2078990" cy="728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C2CAC2" w14:textId="77777777" w:rsidR="005A4441" w:rsidRDefault="005A4441" w:rsidP="00AA2C64">
      <w:pPr>
        <w:rPr>
          <w:b/>
          <w:bCs/>
          <w:u w:val="single"/>
        </w:rPr>
      </w:pPr>
    </w:p>
    <w:p w14:paraId="332922B1" w14:textId="77777777" w:rsidR="005A4441" w:rsidRDefault="005A4441" w:rsidP="00AA2C64">
      <w:pPr>
        <w:rPr>
          <w:b/>
          <w:bCs/>
          <w:u w:val="single"/>
        </w:rPr>
      </w:pPr>
    </w:p>
    <w:p w14:paraId="380E685D" w14:textId="77777777" w:rsidR="005A4441" w:rsidRDefault="005A4441" w:rsidP="00AA2C64">
      <w:pPr>
        <w:rPr>
          <w:b/>
          <w:bCs/>
          <w:u w:val="single"/>
        </w:rPr>
      </w:pPr>
    </w:p>
    <w:p w14:paraId="29E1EEEA" w14:textId="77777777" w:rsidR="005A4441" w:rsidRDefault="005A4441" w:rsidP="00AA2C64">
      <w:pPr>
        <w:rPr>
          <w:b/>
          <w:bCs/>
          <w:u w:val="single"/>
        </w:rPr>
      </w:pPr>
    </w:p>
    <w:p w14:paraId="5DEAE36F" w14:textId="25939521" w:rsidR="005A4441" w:rsidRPr="005A4441" w:rsidRDefault="00AA2C64" w:rsidP="00AA2C64">
      <w:r>
        <w:rPr>
          <w:b/>
          <w:bCs/>
          <w:u w:val="single"/>
        </w:rPr>
        <w:t>Program of Study</w:t>
      </w:r>
      <w:r w:rsidR="00FE4173">
        <w:rPr>
          <w:b/>
          <w:bCs/>
          <w:u w:val="single"/>
        </w:rPr>
        <w:t xml:space="preserve">: </w:t>
      </w:r>
      <w:r w:rsidR="00FE4173" w:rsidRPr="00FE4173">
        <w:t>BA (Hons) Business Managemen</w:t>
      </w:r>
      <w:r w:rsidR="005A4441">
        <w:t>t</w:t>
      </w:r>
    </w:p>
    <w:p w14:paraId="723A165D" w14:textId="4A00667A" w:rsidR="00AA2C64" w:rsidRDefault="00AA2C64" w:rsidP="00AA2C64">
      <w:pPr>
        <w:rPr>
          <w:b/>
          <w:bCs/>
          <w:u w:val="single"/>
        </w:rPr>
      </w:pPr>
      <w:r>
        <w:rPr>
          <w:b/>
          <w:bCs/>
          <w:u w:val="single"/>
        </w:rPr>
        <w:t xml:space="preserve">Module </w:t>
      </w:r>
      <w:r w:rsidR="00743188">
        <w:rPr>
          <w:b/>
          <w:bCs/>
          <w:u w:val="single"/>
        </w:rPr>
        <w:t xml:space="preserve">Name: </w:t>
      </w:r>
      <w:r w:rsidR="00C9145A" w:rsidRPr="00FE4173">
        <w:t>Entrepreneurship</w:t>
      </w:r>
    </w:p>
    <w:p w14:paraId="02079107" w14:textId="07C469B2" w:rsidR="00AA2C64" w:rsidRDefault="00AA2C64" w:rsidP="00AA2C64">
      <w:pPr>
        <w:rPr>
          <w:b/>
          <w:bCs/>
          <w:u w:val="single"/>
        </w:rPr>
      </w:pPr>
      <w:r>
        <w:rPr>
          <w:b/>
          <w:bCs/>
          <w:u w:val="single"/>
        </w:rPr>
        <w:t xml:space="preserve">Module </w:t>
      </w:r>
      <w:r w:rsidR="00C9145A">
        <w:rPr>
          <w:b/>
          <w:bCs/>
          <w:u w:val="single"/>
        </w:rPr>
        <w:t>Code</w:t>
      </w:r>
      <w:r w:rsidR="00C9145A" w:rsidRPr="00FE4173">
        <w:t>: LCBB5013</w:t>
      </w:r>
    </w:p>
    <w:p w14:paraId="2EB30476" w14:textId="6113AB98" w:rsidR="00AA2C64" w:rsidRDefault="00AA2C64" w:rsidP="00AA2C64">
      <w:pPr>
        <w:rPr>
          <w:b/>
          <w:bCs/>
          <w:u w:val="single"/>
        </w:rPr>
      </w:pPr>
      <w:r>
        <w:rPr>
          <w:b/>
          <w:bCs/>
          <w:u w:val="single"/>
        </w:rPr>
        <w:t xml:space="preserve">Assignment </w:t>
      </w:r>
      <w:r w:rsidR="00AA3592">
        <w:rPr>
          <w:b/>
          <w:bCs/>
          <w:u w:val="single"/>
        </w:rPr>
        <w:t>Title:</w:t>
      </w:r>
      <w:r w:rsidR="00AA3592" w:rsidRPr="00FE4173">
        <w:t xml:space="preserve"> Portfolio – 6 Elements</w:t>
      </w:r>
    </w:p>
    <w:p w14:paraId="54E66ADD" w14:textId="754310AF" w:rsidR="00AA2C64" w:rsidRDefault="00AA2C64" w:rsidP="00AA2C64">
      <w:r>
        <w:rPr>
          <w:b/>
          <w:bCs/>
          <w:u w:val="single"/>
        </w:rPr>
        <w:t xml:space="preserve">Lecturer’s </w:t>
      </w:r>
      <w:r w:rsidR="00AA3592">
        <w:rPr>
          <w:b/>
          <w:bCs/>
          <w:u w:val="single"/>
        </w:rPr>
        <w:t>Name:</w:t>
      </w:r>
      <w:r w:rsidR="00445328">
        <w:rPr>
          <w:b/>
          <w:bCs/>
          <w:u w:val="single"/>
        </w:rPr>
        <w:t xml:space="preserve"> </w:t>
      </w:r>
      <w:r w:rsidR="00445328">
        <w:t>Masud Ibrahim</w:t>
      </w:r>
    </w:p>
    <w:p w14:paraId="18049582" w14:textId="6F2C36DF" w:rsidR="00C73848" w:rsidRPr="00064462" w:rsidRDefault="00C73848" w:rsidP="00AA2C64">
      <w:r>
        <w:rPr>
          <w:b/>
          <w:bCs/>
          <w:u w:val="single"/>
        </w:rPr>
        <w:t>Student Name:</w:t>
      </w:r>
      <w:r w:rsidR="00C61FAA">
        <w:rPr>
          <w:b/>
          <w:bCs/>
          <w:u w:val="single"/>
        </w:rPr>
        <w:t xml:space="preserve"> </w:t>
      </w:r>
      <w:r w:rsidR="00064462">
        <w:t>Charmaine Vickers-Silby</w:t>
      </w:r>
    </w:p>
    <w:p w14:paraId="4541887B" w14:textId="5F6A62EF" w:rsidR="00AA2C64" w:rsidRDefault="00C73848" w:rsidP="00AA2C64">
      <w:r>
        <w:rPr>
          <w:b/>
          <w:bCs/>
          <w:u w:val="single"/>
        </w:rPr>
        <w:t>Student Number:</w:t>
      </w:r>
      <w:r w:rsidR="00C61FAA">
        <w:rPr>
          <w:b/>
          <w:bCs/>
          <w:u w:val="single"/>
        </w:rPr>
        <w:t xml:space="preserve"> </w:t>
      </w:r>
      <w:r w:rsidR="00C61FAA">
        <w:t>2321095</w:t>
      </w:r>
    </w:p>
    <w:p w14:paraId="15DE5AF0" w14:textId="77777777" w:rsidR="00064462" w:rsidRDefault="00064462" w:rsidP="00AA2C64"/>
    <w:p w14:paraId="30F6C1D5" w14:textId="77777777" w:rsidR="00064462" w:rsidRPr="00C61FAA" w:rsidRDefault="00064462" w:rsidP="00AA2C64"/>
    <w:p w14:paraId="5579C5CC" w14:textId="77777777" w:rsidR="00AA2C64" w:rsidRDefault="00AA2C64" w:rsidP="005A4441">
      <w:pPr>
        <w:jc w:val="center"/>
        <w:rPr>
          <w:b/>
          <w:bCs/>
          <w:u w:val="single"/>
        </w:rPr>
      </w:pPr>
    </w:p>
    <w:p w14:paraId="5237D554" w14:textId="7E1DBA1C" w:rsidR="00AA2C64" w:rsidRPr="00AA2C64" w:rsidRDefault="00AA2C64" w:rsidP="005A4441">
      <w:pPr>
        <w:spacing w:line="360" w:lineRule="auto"/>
        <w:jc w:val="center"/>
        <w:rPr>
          <w:rFonts w:ascii="Arial" w:hAnsi="Arial" w:cs="Arial"/>
          <w:b/>
          <w:bCs/>
          <w:u w:val="single"/>
        </w:rPr>
      </w:pPr>
      <w:r w:rsidRPr="00AA2C64">
        <w:rPr>
          <w:rFonts w:ascii="Arial" w:hAnsi="Arial" w:cs="Arial"/>
          <w:b/>
          <w:bCs/>
          <w:u w:val="single"/>
        </w:rPr>
        <w:t>Building a Sustainable Functional Beverage Venture: A Business Plan and Critical Analysis of Entrepreneurship in the UK Market</w:t>
      </w:r>
    </w:p>
    <w:p w14:paraId="42FFDD45" w14:textId="77777777" w:rsidR="00AA2C64" w:rsidRPr="00AA2C64" w:rsidRDefault="00AA2C64" w:rsidP="00AA2C64">
      <w:pPr>
        <w:spacing w:line="360" w:lineRule="auto"/>
        <w:rPr>
          <w:rFonts w:ascii="Arial" w:hAnsi="Arial" w:cs="Arial"/>
          <w:b/>
          <w:bCs/>
          <w:u w:val="single"/>
        </w:rPr>
      </w:pPr>
    </w:p>
    <w:p w14:paraId="6CD86D2A" w14:textId="77777777" w:rsidR="00AA2C64" w:rsidRPr="00AA2C64" w:rsidRDefault="00AA2C64" w:rsidP="00AA2C64">
      <w:pPr>
        <w:spacing w:line="360" w:lineRule="auto"/>
        <w:rPr>
          <w:rFonts w:ascii="Arial" w:hAnsi="Arial" w:cs="Arial"/>
          <w:b/>
          <w:bCs/>
          <w:u w:val="single"/>
        </w:rPr>
      </w:pPr>
    </w:p>
    <w:p w14:paraId="45E0E0F0" w14:textId="77777777" w:rsidR="00AA2C64" w:rsidRPr="00AA2C64" w:rsidRDefault="00AA2C64" w:rsidP="00AA2C64">
      <w:pPr>
        <w:spacing w:line="360" w:lineRule="auto"/>
        <w:rPr>
          <w:rFonts w:ascii="Arial" w:hAnsi="Arial" w:cs="Arial"/>
          <w:b/>
          <w:bCs/>
          <w:u w:val="single"/>
        </w:rPr>
      </w:pPr>
    </w:p>
    <w:p w14:paraId="5F223A9E" w14:textId="77777777" w:rsidR="00AA2C64" w:rsidRPr="00AA2C64" w:rsidRDefault="00AA2C64" w:rsidP="00AA2C64">
      <w:pPr>
        <w:spacing w:line="360" w:lineRule="auto"/>
        <w:rPr>
          <w:rFonts w:ascii="Arial" w:hAnsi="Arial" w:cs="Arial"/>
          <w:b/>
          <w:bCs/>
          <w:u w:val="single"/>
        </w:rPr>
      </w:pPr>
    </w:p>
    <w:p w14:paraId="3F2F9AA9" w14:textId="77777777" w:rsidR="00AA2C64" w:rsidRPr="00AA2C64" w:rsidRDefault="00AA2C64" w:rsidP="00AA2C64">
      <w:pPr>
        <w:spacing w:line="360" w:lineRule="auto"/>
        <w:rPr>
          <w:rFonts w:ascii="Arial" w:hAnsi="Arial" w:cs="Arial"/>
          <w:b/>
          <w:bCs/>
          <w:u w:val="single"/>
        </w:rPr>
      </w:pPr>
    </w:p>
    <w:p w14:paraId="204D2861" w14:textId="77777777" w:rsidR="00AA2C64" w:rsidRPr="00AA2C64" w:rsidRDefault="00AA2C64" w:rsidP="00AA2C64">
      <w:pPr>
        <w:spacing w:line="360" w:lineRule="auto"/>
        <w:rPr>
          <w:rFonts w:ascii="Arial" w:hAnsi="Arial" w:cs="Arial"/>
          <w:b/>
          <w:bCs/>
          <w:u w:val="single"/>
        </w:rPr>
      </w:pPr>
    </w:p>
    <w:p w14:paraId="4B12C2B1" w14:textId="77777777" w:rsidR="00AA2C64" w:rsidRPr="00AA2C64" w:rsidRDefault="00AA2C64" w:rsidP="00AA2C64">
      <w:pPr>
        <w:spacing w:line="360" w:lineRule="auto"/>
        <w:rPr>
          <w:rFonts w:ascii="Arial" w:hAnsi="Arial" w:cs="Arial"/>
          <w:b/>
          <w:bCs/>
          <w:u w:val="single"/>
        </w:rPr>
      </w:pPr>
    </w:p>
    <w:p w14:paraId="29C3D5A5" w14:textId="77777777" w:rsidR="00AA2C64" w:rsidRPr="00AA2C64" w:rsidRDefault="00AA2C64" w:rsidP="00AA2C64">
      <w:pPr>
        <w:spacing w:line="360" w:lineRule="auto"/>
        <w:rPr>
          <w:rFonts w:ascii="Arial" w:hAnsi="Arial" w:cs="Arial"/>
          <w:b/>
          <w:bCs/>
          <w:u w:val="single"/>
        </w:rPr>
      </w:pPr>
    </w:p>
    <w:p w14:paraId="58E7F082" w14:textId="77777777" w:rsidR="00AA2C64" w:rsidRPr="00AA2C64" w:rsidRDefault="00AA2C64" w:rsidP="00AA2C64">
      <w:pPr>
        <w:spacing w:line="360" w:lineRule="auto"/>
        <w:rPr>
          <w:rFonts w:ascii="Arial" w:hAnsi="Arial" w:cs="Arial"/>
          <w:b/>
          <w:bCs/>
          <w:u w:val="single"/>
        </w:rPr>
      </w:pPr>
    </w:p>
    <w:p w14:paraId="6507E713" w14:textId="77777777" w:rsidR="00064462" w:rsidRDefault="00064462" w:rsidP="00AA2C64">
      <w:pPr>
        <w:spacing w:line="360" w:lineRule="auto"/>
        <w:rPr>
          <w:rFonts w:ascii="Arial" w:hAnsi="Arial" w:cs="Arial"/>
          <w:b/>
          <w:bCs/>
          <w:u w:val="single"/>
        </w:rPr>
      </w:pPr>
    </w:p>
    <w:p w14:paraId="6F037931" w14:textId="785B6393" w:rsidR="00AA2C64" w:rsidRPr="00AA2C64" w:rsidRDefault="00AA2C64" w:rsidP="00AA2C64">
      <w:pPr>
        <w:spacing w:line="360" w:lineRule="auto"/>
        <w:rPr>
          <w:rFonts w:ascii="Arial" w:hAnsi="Arial" w:cs="Arial"/>
          <w:b/>
          <w:i/>
        </w:rPr>
      </w:pPr>
      <w:r w:rsidRPr="00AA2C64">
        <w:rPr>
          <w:rFonts w:ascii="Arial" w:hAnsi="Arial" w:cs="Arial"/>
          <w:b/>
          <w:i/>
        </w:rPr>
        <w:lastRenderedPageBreak/>
        <w:t xml:space="preserve">Business Idea, Product/services, Objectives &amp; USP </w:t>
      </w:r>
    </w:p>
    <w:p w14:paraId="734D4BCD" w14:textId="4F1A1FD2" w:rsidR="00AA2C64" w:rsidRPr="00AA2C64" w:rsidRDefault="00AA2C64" w:rsidP="00AA2C64">
      <w:pPr>
        <w:spacing w:line="360" w:lineRule="auto"/>
        <w:rPr>
          <w:rFonts w:ascii="Arial" w:hAnsi="Arial" w:cs="Arial"/>
        </w:rPr>
      </w:pPr>
      <w:r w:rsidRPr="00AA2C64">
        <w:rPr>
          <w:rFonts w:ascii="Arial" w:hAnsi="Arial" w:cs="Arial"/>
        </w:rPr>
        <w:t>PurityPressed UK Ltd will be a London</w:t>
      </w:r>
      <w:r w:rsidRPr="00AA2C64">
        <w:rPr>
          <w:rFonts w:ascii="Cambria Math" w:hAnsi="Cambria Math" w:cs="Cambria Math"/>
        </w:rPr>
        <w:t>‐</w:t>
      </w:r>
      <w:r w:rsidRPr="00AA2C64">
        <w:rPr>
          <w:rFonts w:ascii="Arial" w:hAnsi="Arial" w:cs="Arial"/>
        </w:rPr>
        <w:t>based manufacturer and retailer of high quality cold</w:t>
      </w:r>
      <w:r w:rsidRPr="00AA2C64">
        <w:rPr>
          <w:rFonts w:ascii="Cambria Math" w:hAnsi="Cambria Math" w:cs="Cambria Math"/>
        </w:rPr>
        <w:t>‐</w:t>
      </w:r>
      <w:r w:rsidRPr="00AA2C64">
        <w:rPr>
          <w:rFonts w:ascii="Arial" w:hAnsi="Arial" w:cs="Arial"/>
        </w:rPr>
        <w:t>pressed wellness juices, functional shots, and seasonal botanical</w:t>
      </w:r>
      <w:r w:rsidR="00903C6A">
        <w:rPr>
          <w:rFonts w:ascii="Arial" w:hAnsi="Arial" w:cs="Arial"/>
        </w:rPr>
        <w:t xml:space="preserve"> </w:t>
      </w:r>
      <w:r w:rsidRPr="00AA2C64">
        <w:rPr>
          <w:rFonts w:ascii="Arial" w:hAnsi="Arial" w:cs="Arial"/>
        </w:rPr>
        <w:t>blends. PurityPressed UK Ltd will specialise in three product categories: (1) daily wellness juices from fruit and vegetable blends, (2) concentrated functional shots with immunological, digestive or anti</w:t>
      </w:r>
      <w:r w:rsidRPr="00AA2C64">
        <w:rPr>
          <w:rFonts w:ascii="Cambria Math" w:hAnsi="Cambria Math" w:cs="Cambria Math"/>
        </w:rPr>
        <w:t>‐</w:t>
      </w:r>
      <w:r w:rsidRPr="00AA2C64">
        <w:rPr>
          <w:rFonts w:ascii="Arial" w:hAnsi="Arial" w:cs="Arial"/>
        </w:rPr>
        <w:t>inflammatory health properties, and seasonal limited blends prepared from botanicals such as elderflower, nettle and herbs locally sourced. The products will utilise high pressure processing (HPP) instead of thermal pasteurisation to retain flavour, vitamins, and bioactive compounds. The shots and juices will be marketed by subscription directly to customers, in selected health food shops, and through corporate wellbeing schemes and café contracts.</w:t>
      </w:r>
    </w:p>
    <w:p w14:paraId="7761F32D" w14:textId="0607FD54" w:rsidR="00AA2C64" w:rsidRPr="00AA2C64" w:rsidRDefault="00AA2C64" w:rsidP="00AA2C64">
      <w:pPr>
        <w:spacing w:line="360" w:lineRule="auto"/>
        <w:rPr>
          <w:rFonts w:ascii="Arial" w:hAnsi="Arial" w:cs="Arial"/>
        </w:rPr>
      </w:pPr>
      <w:r w:rsidRPr="00AA2C64">
        <w:rPr>
          <w:rFonts w:ascii="Arial" w:hAnsi="Arial" w:cs="Arial"/>
        </w:rPr>
        <w:t xml:space="preserve">Short term (initial 12 months) objectives of PurityPressed UK will include: securing an HPP-facilitated micro facility commissioned in Greater London; having stable UK organic fruit, vegetable, and seasonal botanical suppliers; break-even on variable and fixed expenses by month 11; 700 subscription customers in the London market; and three or more recurring B2B contracts with cafés or corporate wellness providers (IBIS World, 2025). In the long to medium term (3 to 5 years), the strategy is to scale to three micro factories in prime UK metro cities (London, Manchester, Edinburgh), take subscription levels to 5,000+ weekly, achieve revenues yearly that make the company one of the top functional beverages brands in the UK by margin and turnover, develop a franchisee or licensable option for a micro factory, and begin limited export of seasonal botanic blends to EU wellness markets. </w:t>
      </w:r>
      <w:r w:rsidR="00903C6A" w:rsidRPr="00AA2C64">
        <w:rPr>
          <w:rFonts w:ascii="Arial" w:hAnsi="Arial" w:cs="Arial"/>
        </w:rPr>
        <w:t>Also,</w:t>
      </w:r>
      <w:r w:rsidRPr="00AA2C64">
        <w:rPr>
          <w:rFonts w:ascii="Arial" w:hAnsi="Arial" w:cs="Arial"/>
        </w:rPr>
        <w:t xml:space="preserve"> long-term core goals are reducing waste by using surplus or aesthetic produce, closing the loop on by-product usage (i.e. pet food or bakery products from pulp), and becoming carbon-zero packaged by using 100 % recycled or composted bottles (Statista, 2025).</w:t>
      </w:r>
    </w:p>
    <w:p w14:paraId="03BB015C" w14:textId="77777777" w:rsidR="00AA2C64" w:rsidRPr="00AA2C64" w:rsidRDefault="00AA2C64" w:rsidP="00AA2C64">
      <w:pPr>
        <w:spacing w:line="360" w:lineRule="auto"/>
        <w:rPr>
          <w:rFonts w:ascii="Arial" w:hAnsi="Arial" w:cs="Arial"/>
        </w:rPr>
      </w:pPr>
      <w:r w:rsidRPr="00AA2C64">
        <w:rPr>
          <w:rFonts w:ascii="Arial" w:hAnsi="Arial" w:cs="Arial"/>
        </w:rPr>
        <w:t xml:space="preserve">The Unique Selling Proposition (USP) of PurityPressed UK relies on three key differentiators. Second, HPP preservation of nutrients and flavour: recent research (e.g. in aronia berry juice) indicates that HPP (600 MPa, 5 min) enhances microbial safety and shelf life two times greater than after heat treatment, but without polyphenol loss and antioxidant activity (stored for 5 weeks at RT or 24 weeks refrigerated) (Yi et al., 2022). Secondly, good sustainability credentials: organic and </w:t>
      </w:r>
      <w:r w:rsidRPr="00AA2C64">
        <w:rPr>
          <w:rFonts w:ascii="Arial" w:hAnsi="Arial" w:cs="Arial"/>
        </w:rPr>
        <w:lastRenderedPageBreak/>
        <w:t>surplus UK farm-sourced fruit and vegetables; sustainable, eco-friendly packaging; and traceability of ingredients, which upholds the UK consumer trend: 33 % of UK consumers say they would pay an average of 25 % more for sustainably produced products (Consultancy, 2021). Second, the Voice of the Consumer 2024 report by PwC discovers UK consumers ready to pay an average of 9.7 % more for sustainably sourced products even in cost-of-living crisis contexts (PwC, 2024). Third, a hybrid model of distribution that balances subscription for recurrent revenue and customer loyalty with B2B alliances to deliver volume, brand awareness, and access. The model assists in balancing seasonality-driven demand volatility and stock wastage (Alalwan, 2025).</w:t>
      </w:r>
    </w:p>
    <w:p w14:paraId="759150DF" w14:textId="0864C121" w:rsidR="00903C6A" w:rsidRDefault="00AA2C64" w:rsidP="00AA2C64">
      <w:pPr>
        <w:spacing w:line="360" w:lineRule="auto"/>
        <w:rPr>
          <w:rFonts w:ascii="Arial" w:hAnsi="Arial" w:cs="Arial"/>
        </w:rPr>
      </w:pPr>
      <w:r w:rsidRPr="00AA2C64">
        <w:rPr>
          <w:rFonts w:ascii="Arial" w:hAnsi="Arial" w:cs="Arial"/>
        </w:rPr>
        <w:t xml:space="preserve">PurityPressed UK also recognises threats explicitly: high capital cost, tight UK/EU regulatory requirements for health claims, stiff competition from well-established functional drink brands, price pressure due to cost sensitivity on the part of consumers, and logistical issues particularly cold chain maintenance. To address these, the business will limit health claims to peer-reviewed science only; have proper labelling; subject products to regular sensory and </w:t>
      </w:r>
      <w:r w:rsidR="00903C6A" w:rsidRPr="00AA2C64">
        <w:rPr>
          <w:rFonts w:ascii="Arial" w:hAnsi="Arial" w:cs="Arial"/>
        </w:rPr>
        <w:t>shelf-life</w:t>
      </w:r>
      <w:r w:rsidRPr="00AA2C64">
        <w:rPr>
          <w:rFonts w:ascii="Arial" w:hAnsi="Arial" w:cs="Arial"/>
        </w:rPr>
        <w:t xml:space="preserve"> testing; set premium pricing in line with perceived value; and monitor and </w:t>
      </w:r>
      <w:r w:rsidR="00D22BDD" w:rsidRPr="00AA2C64">
        <w:rPr>
          <w:rFonts w:ascii="Arial" w:hAnsi="Arial" w:cs="Arial"/>
        </w:rPr>
        <w:t>adjust</w:t>
      </w:r>
      <w:r w:rsidRPr="00AA2C64">
        <w:rPr>
          <w:rFonts w:ascii="Arial" w:hAnsi="Arial" w:cs="Arial"/>
        </w:rPr>
        <w:t xml:space="preserve"> key metrics (churn rate, average order value, lifetime value) </w:t>
      </w:r>
      <w:r w:rsidR="00D22BDD" w:rsidRPr="00AA2C64">
        <w:rPr>
          <w:rFonts w:ascii="Arial" w:hAnsi="Arial" w:cs="Arial"/>
        </w:rPr>
        <w:t>monthly</w:t>
      </w:r>
      <w:r w:rsidRPr="00AA2C64">
        <w:rPr>
          <w:rFonts w:ascii="Arial" w:hAnsi="Arial" w:cs="Arial"/>
        </w:rPr>
        <w:t xml:space="preserve"> (Alalwan, 2025). Furthermore, according to more recent surveys, functional beverages are among the most rapidly growing market segments in the UK, and the market is estimated to grow with an average of almost 7% standard annual growth rate due to the demand of health-minded drinks by younger buyers (Grand View Research, 2024). This increase, along with the escalating UK consumer preference on immunity and digestive health following the pandemic, increases the potential opportunity of PurityPressed to steal a share in an expanding yet competitive market (Statista, 2025; Euromonitor, 2024). </w:t>
      </w:r>
      <w:r w:rsidR="00D22BDD" w:rsidRPr="00AA2C64">
        <w:rPr>
          <w:rFonts w:ascii="Arial" w:hAnsi="Arial" w:cs="Arial"/>
        </w:rPr>
        <w:t>Overall</w:t>
      </w:r>
      <w:r w:rsidRPr="00AA2C64">
        <w:rPr>
          <w:rFonts w:ascii="Arial" w:hAnsi="Arial" w:cs="Arial"/>
        </w:rPr>
        <w:t>, PurityPressed UK has its unified, premium good assortment, short and medium-term objectives which are measurable and clear, and the USP is HPP preservation, sustainability, dual-channel distribution is the direction to go considering trying to balance the margin, scale, credibility, and environmental sensitivity. Overall, PurityPressed UK has dedicated, high-quality product range; measurable, clear short- and long-term goals; and a USP based on HPP preservation, sustainability, and dual-channel distribution as the way forward to balancing margin, scale, credibility, and environmental sensitivity.</w:t>
      </w:r>
    </w:p>
    <w:p w14:paraId="1C93B794" w14:textId="3856D0B4" w:rsidR="00AA2C64" w:rsidRPr="00AA2C64" w:rsidRDefault="00AA2C64" w:rsidP="00AA2C64">
      <w:pPr>
        <w:spacing w:line="360" w:lineRule="auto"/>
        <w:rPr>
          <w:rFonts w:ascii="Arial" w:hAnsi="Arial" w:cs="Arial"/>
        </w:rPr>
      </w:pPr>
      <w:r w:rsidRPr="00AA2C64">
        <w:rPr>
          <w:rFonts w:ascii="Arial" w:hAnsi="Arial" w:cs="Arial"/>
          <w:b/>
          <w:i/>
        </w:rPr>
        <w:lastRenderedPageBreak/>
        <w:t xml:space="preserve">Business Environment &amp; Competitor Analysis </w:t>
      </w:r>
    </w:p>
    <w:p w14:paraId="69F65DE3" w14:textId="77777777" w:rsidR="00AA2C64" w:rsidRPr="00AA2C64" w:rsidRDefault="00AA2C64" w:rsidP="00AA2C64">
      <w:pPr>
        <w:spacing w:line="360" w:lineRule="auto"/>
        <w:rPr>
          <w:rFonts w:ascii="Arial" w:hAnsi="Arial" w:cs="Arial"/>
        </w:rPr>
      </w:pPr>
      <w:r w:rsidRPr="00AA2C64">
        <w:rPr>
          <w:rFonts w:ascii="Arial" w:hAnsi="Arial" w:cs="Arial"/>
        </w:rPr>
        <w:t>PurityPressed UK is present in a rapidly developing segment of functional-beverage industry in which both the growth rate and the competition intensity coexist. The Five Forces is a parsimonious approach by Porter that can be utilized to evaluate that environment and determine the strategic reactions to be taken. The UK functional-drinks segment is alone projected to produce approximately USD 6.6 billion by 2024 and global expansion projections keep attracting both global rivals and regional more specialized players into the industry (Grand View Research, 2025; IBISWorld, 2025). Such market forces require strategic positioning.</w:t>
      </w:r>
    </w:p>
    <w:p w14:paraId="2B7CC55A" w14:textId="29BA9DCD" w:rsidR="00AA2C64" w:rsidRPr="00AA2C64" w:rsidRDefault="00AA2C64" w:rsidP="00903C6A">
      <w:pPr>
        <w:spacing w:line="360" w:lineRule="auto"/>
        <w:jc w:val="center"/>
        <w:rPr>
          <w:rFonts w:ascii="Arial" w:hAnsi="Arial" w:cs="Arial"/>
        </w:rPr>
      </w:pPr>
      <w:r w:rsidRPr="00AA2C64">
        <w:rPr>
          <w:rFonts w:ascii="Arial" w:hAnsi="Arial" w:cs="Arial"/>
          <w:noProof/>
          <w:lang w:val="en-US"/>
        </w:rPr>
        <w:drawing>
          <wp:inline distT="0" distB="0" distL="0" distR="0" wp14:anchorId="7D47CFFB" wp14:editId="66DC98B5">
            <wp:extent cx="4030980" cy="2492560"/>
            <wp:effectExtent l="0" t="0" r="7620" b="3175"/>
            <wp:docPr id="5353728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8214" cy="2521767"/>
                    </a:xfrm>
                    <a:prstGeom prst="rect">
                      <a:avLst/>
                    </a:prstGeom>
                    <a:noFill/>
                    <a:ln>
                      <a:noFill/>
                    </a:ln>
                  </pic:spPr>
                </pic:pic>
              </a:graphicData>
            </a:graphic>
          </wp:inline>
        </w:drawing>
      </w:r>
    </w:p>
    <w:p w14:paraId="6CABD925" w14:textId="7CD56254" w:rsidR="00AA2C64" w:rsidRPr="00AA2C64" w:rsidRDefault="00AA2C64" w:rsidP="00903C6A">
      <w:pPr>
        <w:spacing w:line="360" w:lineRule="auto"/>
        <w:jc w:val="center"/>
        <w:rPr>
          <w:rFonts w:ascii="Arial" w:hAnsi="Arial" w:cs="Arial"/>
          <w:i/>
          <w:iCs/>
        </w:rPr>
      </w:pPr>
      <w:r w:rsidRPr="00AA2C64">
        <w:rPr>
          <w:rFonts w:ascii="Arial" w:hAnsi="Arial" w:cs="Arial"/>
          <w:i/>
          <w:iCs/>
        </w:rPr>
        <w:t xml:space="preserve">Figure </w:t>
      </w:r>
      <w:r w:rsidRPr="00AA2C64">
        <w:rPr>
          <w:rFonts w:ascii="Arial" w:hAnsi="Arial" w:cs="Arial"/>
          <w:i/>
          <w:iCs/>
        </w:rPr>
        <w:fldChar w:fldCharType="begin"/>
      </w:r>
      <w:r w:rsidRPr="00AA2C64">
        <w:rPr>
          <w:rFonts w:ascii="Arial" w:hAnsi="Arial" w:cs="Arial"/>
          <w:i/>
          <w:iCs/>
        </w:rPr>
        <w:instrText xml:space="preserve"> SEQ Figure \* ARABIC </w:instrText>
      </w:r>
      <w:r w:rsidRPr="00AA2C64">
        <w:rPr>
          <w:rFonts w:ascii="Arial" w:hAnsi="Arial" w:cs="Arial"/>
          <w:i/>
          <w:iCs/>
        </w:rPr>
        <w:fldChar w:fldCharType="separate"/>
      </w:r>
      <w:r w:rsidRPr="00AA2C64">
        <w:rPr>
          <w:rFonts w:ascii="Arial" w:hAnsi="Arial" w:cs="Arial"/>
          <w:i/>
          <w:iCs/>
        </w:rPr>
        <w:t>1</w:t>
      </w:r>
      <w:r w:rsidRPr="00AA2C64">
        <w:rPr>
          <w:rFonts w:ascii="Arial" w:hAnsi="Arial" w:cs="Arial"/>
        </w:rPr>
        <w:fldChar w:fldCharType="end"/>
      </w:r>
      <w:r w:rsidRPr="00AA2C64">
        <w:rPr>
          <w:rFonts w:ascii="Arial" w:hAnsi="Arial" w:cs="Arial"/>
          <w:i/>
          <w:iCs/>
        </w:rPr>
        <w:t>: Porter's Five Forces</w:t>
      </w:r>
    </w:p>
    <w:p w14:paraId="17B65D46" w14:textId="77777777" w:rsidR="00AA2C64" w:rsidRPr="00AA2C64" w:rsidRDefault="00AA2C64" w:rsidP="00AA2C64">
      <w:pPr>
        <w:spacing w:line="360" w:lineRule="auto"/>
        <w:rPr>
          <w:rFonts w:ascii="Arial" w:hAnsi="Arial" w:cs="Arial"/>
          <w:bCs/>
          <w:i/>
        </w:rPr>
      </w:pPr>
      <w:r w:rsidRPr="00AA2C64">
        <w:rPr>
          <w:rFonts w:ascii="Arial" w:hAnsi="Arial" w:cs="Arial"/>
          <w:bCs/>
          <w:i/>
        </w:rPr>
        <w:t>1. Competitive rivalry — High</w:t>
      </w:r>
    </w:p>
    <w:p w14:paraId="4A251195" w14:textId="6B456D08" w:rsidR="00AA2C64" w:rsidRPr="00AA2C64" w:rsidRDefault="00AA2C64" w:rsidP="00AA2C64">
      <w:pPr>
        <w:spacing w:line="360" w:lineRule="auto"/>
        <w:rPr>
          <w:rFonts w:ascii="Arial" w:hAnsi="Arial" w:cs="Arial"/>
        </w:rPr>
      </w:pPr>
      <w:r w:rsidRPr="00AA2C64">
        <w:rPr>
          <w:rFonts w:ascii="Arial" w:hAnsi="Arial" w:cs="Arial"/>
        </w:rPr>
        <w:t xml:space="preserve">Rivalry is intense, </w:t>
      </w:r>
      <w:r w:rsidR="00903C6A" w:rsidRPr="00AA2C64">
        <w:rPr>
          <w:rFonts w:ascii="Arial" w:hAnsi="Arial" w:cs="Arial"/>
        </w:rPr>
        <w:t>competing</w:t>
      </w:r>
      <w:r w:rsidRPr="00AA2C64">
        <w:rPr>
          <w:rFonts w:ascii="Arial" w:hAnsi="Arial" w:cs="Arial"/>
        </w:rPr>
        <w:t xml:space="preserve"> as far as shelf space, digital attention permit and premium consumers are concerned are multinational soft-drink brands, grocery own-brands, and nimble start-ups. Older beverage categories are moving to the more health-conscious lines, and ultimately, digital-native brands are using social platforms to develop instant trends of categories. Price and marketing pressure due to short product life cycles and intensive marketing drive are driving margins down to new entrants who are attempting to scale upward (IBISWorld, 2025; Harapko, 2025). In the case of PurityPressed this would imply differentiation (quality, provenance, evidence-based claims) and working control over the cost of customer acquisition is recommended.</w:t>
      </w:r>
    </w:p>
    <w:p w14:paraId="0B206217" w14:textId="77777777" w:rsidR="00AA2C64" w:rsidRPr="00AA2C64" w:rsidRDefault="00AA2C64" w:rsidP="00AA2C64">
      <w:pPr>
        <w:spacing w:line="360" w:lineRule="auto"/>
        <w:rPr>
          <w:rFonts w:ascii="Arial" w:hAnsi="Arial" w:cs="Arial"/>
          <w:bCs/>
          <w:i/>
        </w:rPr>
      </w:pPr>
      <w:r w:rsidRPr="00AA2C64">
        <w:rPr>
          <w:rFonts w:ascii="Arial" w:hAnsi="Arial" w:cs="Arial"/>
          <w:bCs/>
          <w:i/>
        </w:rPr>
        <w:lastRenderedPageBreak/>
        <w:t xml:space="preserve">2. Threat of new entrants — </w:t>
      </w:r>
      <w:r w:rsidRPr="00AA2C64">
        <w:rPr>
          <w:rFonts w:ascii="Arial" w:hAnsi="Arial" w:cs="Arial"/>
          <w:b/>
          <w:i/>
        </w:rPr>
        <w:t>Moderate to high (segmented)</w:t>
      </w:r>
    </w:p>
    <w:p w14:paraId="745FC17A" w14:textId="154CB9A0" w:rsidR="00AA2C64" w:rsidRPr="00AA2C64" w:rsidRDefault="00AA2C64" w:rsidP="00AA2C64">
      <w:pPr>
        <w:spacing w:line="360" w:lineRule="auto"/>
        <w:rPr>
          <w:rFonts w:ascii="Arial" w:hAnsi="Arial" w:cs="Arial"/>
        </w:rPr>
      </w:pPr>
      <w:r w:rsidRPr="00AA2C64">
        <w:rPr>
          <w:rFonts w:ascii="Arial" w:hAnsi="Arial" w:cs="Arial"/>
        </w:rPr>
        <w:t xml:space="preserve">On a small scale, it is easier to enter, D2C e-commerce combined with </w:t>
      </w:r>
      <w:r w:rsidR="00903C6A" w:rsidRPr="00AA2C64">
        <w:rPr>
          <w:rFonts w:ascii="Arial" w:hAnsi="Arial" w:cs="Arial"/>
        </w:rPr>
        <w:t>micro factories</w:t>
      </w:r>
      <w:r w:rsidRPr="00AA2C64">
        <w:rPr>
          <w:rFonts w:ascii="Arial" w:hAnsi="Arial" w:cs="Arial"/>
        </w:rPr>
        <w:t xml:space="preserve"> and D2C tolling businesses are used to reduce entry barriers in subscription or local wholesale model (Allied Market Research). Capital requirements however increase faster on a national scale. HPPS commercial is expensive and in-house HPP incurs regulatory and </w:t>
      </w:r>
      <w:r w:rsidR="00903C6A" w:rsidRPr="00AA2C64">
        <w:rPr>
          <w:rFonts w:ascii="Arial" w:hAnsi="Arial" w:cs="Arial"/>
        </w:rPr>
        <w:t>cold complexities</w:t>
      </w:r>
      <w:r w:rsidRPr="00AA2C64">
        <w:rPr>
          <w:rFonts w:ascii="Arial" w:hAnsi="Arial" w:cs="Arial"/>
        </w:rPr>
        <w:t>. The supermarket listing or even national distribution is also a capital and relationship-intensive process and thus prevents entry increases as scale of expansion is increased (Allied Market Research; Wi debt et al., 2023). The lower-level strategy (out-sourced HPP + subscriptions) will enable PurityPressed to enjoy the advantages of the lower scales first and subsequently invest in the vertical integration.</w:t>
      </w:r>
    </w:p>
    <w:p w14:paraId="188E5D35" w14:textId="77777777" w:rsidR="00AA2C64" w:rsidRPr="00AA2C64" w:rsidRDefault="00AA2C64" w:rsidP="00AA2C64">
      <w:pPr>
        <w:spacing w:line="360" w:lineRule="auto"/>
        <w:rPr>
          <w:rFonts w:ascii="Arial" w:hAnsi="Arial" w:cs="Arial"/>
          <w:bCs/>
          <w:i/>
        </w:rPr>
      </w:pPr>
      <w:r w:rsidRPr="00AA2C64">
        <w:rPr>
          <w:rFonts w:ascii="Arial" w:hAnsi="Arial" w:cs="Arial"/>
          <w:bCs/>
          <w:i/>
        </w:rPr>
        <w:t xml:space="preserve">3. Supplier power — </w:t>
      </w:r>
      <w:r w:rsidRPr="00AA2C64">
        <w:rPr>
          <w:rFonts w:ascii="Arial" w:hAnsi="Arial" w:cs="Arial"/>
          <w:b/>
          <w:i/>
        </w:rPr>
        <w:t>Strong and volatile</w:t>
      </w:r>
    </w:p>
    <w:p w14:paraId="289A85B5" w14:textId="4D44C7A3" w:rsidR="00AA2C64" w:rsidRPr="00AA2C64" w:rsidRDefault="00AA2C64" w:rsidP="00AA2C64">
      <w:pPr>
        <w:spacing w:line="360" w:lineRule="auto"/>
        <w:rPr>
          <w:rFonts w:ascii="Arial" w:hAnsi="Arial" w:cs="Arial"/>
        </w:rPr>
      </w:pPr>
      <w:r w:rsidRPr="00AA2C64">
        <w:rPr>
          <w:rFonts w:ascii="Arial" w:hAnsi="Arial" w:cs="Arial"/>
        </w:rPr>
        <w:t xml:space="preserve">The suppliers of the fresh produce have a non-negligible leverage. The UK horticulture is vulnerable to seasonal changes, increasing costs of inputs and labour as well as fluctuating yields on an annual basis; annual UK data provided by the DEFRA and NFU policy reports reveal that the sector experiences changes in yearly production, and most policy suggestions and approaches focus on organizing the sector appropriately (Gov.UK, 2025; NFU, 2024). The concentration in the hands of some associate suppliers (fertilisers, logistics) and the purchasing power of the retailers may increase the prices at the farm-gate and cause the shortage of </w:t>
      </w:r>
      <w:r w:rsidR="00903C6A" w:rsidRPr="00AA2C64">
        <w:rPr>
          <w:rFonts w:ascii="Arial" w:hAnsi="Arial" w:cs="Arial"/>
        </w:rPr>
        <w:t>botanicals</w:t>
      </w:r>
      <w:r w:rsidRPr="00AA2C64">
        <w:rPr>
          <w:rFonts w:ascii="Arial" w:hAnsi="Arial" w:cs="Arial"/>
        </w:rPr>
        <w:t>. PurityPressed, therefore, needs to diversify supplier contracting, forward contracting and adopt surplus/imperfect produce in formulations to counter the exposure.</w:t>
      </w:r>
    </w:p>
    <w:p w14:paraId="4B084739" w14:textId="77777777" w:rsidR="00AA2C64" w:rsidRPr="00AA2C64" w:rsidRDefault="00AA2C64" w:rsidP="00AA2C64">
      <w:pPr>
        <w:spacing w:line="360" w:lineRule="auto"/>
        <w:rPr>
          <w:rFonts w:ascii="Arial" w:hAnsi="Arial" w:cs="Arial"/>
          <w:bCs/>
          <w:i/>
        </w:rPr>
      </w:pPr>
      <w:r w:rsidRPr="00AA2C64">
        <w:rPr>
          <w:rFonts w:ascii="Arial" w:hAnsi="Arial" w:cs="Arial"/>
          <w:bCs/>
          <w:i/>
        </w:rPr>
        <w:t xml:space="preserve">4. Buyer power — </w:t>
      </w:r>
      <w:r w:rsidRPr="00AA2C64">
        <w:rPr>
          <w:rFonts w:ascii="Arial" w:hAnsi="Arial" w:cs="Arial"/>
          <w:b/>
          <w:i/>
        </w:rPr>
        <w:t>Channel dependent (moderate–high)</w:t>
      </w:r>
    </w:p>
    <w:p w14:paraId="17A120B7" w14:textId="77777777" w:rsidR="00AA2C64" w:rsidRPr="00AA2C64" w:rsidRDefault="00AA2C64" w:rsidP="00AA2C64">
      <w:pPr>
        <w:spacing w:line="360" w:lineRule="auto"/>
        <w:rPr>
          <w:rFonts w:ascii="Arial" w:hAnsi="Arial" w:cs="Arial"/>
        </w:rPr>
      </w:pPr>
      <w:r w:rsidRPr="00AA2C64">
        <w:rPr>
          <w:rFonts w:ascii="Arial" w:hAnsi="Arial" w:cs="Arial"/>
        </w:rPr>
        <w:t xml:space="preserve">A channel has different buyer bargaining powers. Big box retailers and foodservice groups possess intense bargaining power and could be forced to provide promotion and slot spaces that threatened the suppliers their profitability. On the other hand, direct subscription customers are less likely to have bargaining power on the level but require high transparency, sustainability and quality: Voice of the Consumer by PwC reveals that despite cost pressure, sustainability is a purchasing factor implying much power (PwC, 2024). Thus, D2C subscription model enables PurityPressed to </w:t>
      </w:r>
      <w:r w:rsidRPr="00AA2C64">
        <w:rPr>
          <w:rFonts w:ascii="Arial" w:hAnsi="Arial" w:cs="Arial"/>
        </w:rPr>
        <w:lastRenderedPageBreak/>
        <w:t>maintain the margin and earn loyalty, the B2B transactions should be negotiated to prevent the loss of the margin.</w:t>
      </w:r>
    </w:p>
    <w:p w14:paraId="1B70B924" w14:textId="77777777" w:rsidR="00AA2C64" w:rsidRPr="00AA2C64" w:rsidRDefault="00AA2C64" w:rsidP="00AA2C64">
      <w:pPr>
        <w:spacing w:line="360" w:lineRule="auto"/>
        <w:rPr>
          <w:rFonts w:ascii="Arial" w:hAnsi="Arial" w:cs="Arial"/>
          <w:bCs/>
          <w:i/>
        </w:rPr>
      </w:pPr>
      <w:r w:rsidRPr="00AA2C64">
        <w:rPr>
          <w:rFonts w:ascii="Arial" w:hAnsi="Arial" w:cs="Arial"/>
          <w:bCs/>
          <w:i/>
        </w:rPr>
        <w:t xml:space="preserve">5. Threat of substitutes — </w:t>
      </w:r>
      <w:r w:rsidRPr="00AA2C64">
        <w:rPr>
          <w:rFonts w:ascii="Arial" w:hAnsi="Arial" w:cs="Arial"/>
          <w:b/>
          <w:i/>
        </w:rPr>
        <w:t>High</w:t>
      </w:r>
    </w:p>
    <w:p w14:paraId="4E7B5772" w14:textId="16EFA2C5" w:rsidR="00AA2C64" w:rsidRPr="00AA2C64" w:rsidRDefault="00AA2C64" w:rsidP="00AA2C64">
      <w:pPr>
        <w:spacing w:line="360" w:lineRule="auto"/>
        <w:rPr>
          <w:rFonts w:ascii="Arial" w:hAnsi="Arial" w:cs="Arial"/>
        </w:rPr>
      </w:pPr>
      <w:r w:rsidRPr="00AA2C64">
        <w:rPr>
          <w:rFonts w:ascii="Arial" w:hAnsi="Arial" w:cs="Arial"/>
        </w:rPr>
        <w:t xml:space="preserve">The substitution threat is universal: consumers </w:t>
      </w:r>
      <w:r w:rsidR="00D22BDD" w:rsidRPr="00AA2C64">
        <w:rPr>
          <w:rFonts w:ascii="Arial" w:hAnsi="Arial" w:cs="Arial"/>
        </w:rPr>
        <w:t>can</w:t>
      </w:r>
      <w:r w:rsidRPr="00AA2C64">
        <w:rPr>
          <w:rFonts w:ascii="Arial" w:hAnsi="Arial" w:cs="Arial"/>
        </w:rPr>
        <w:t xml:space="preserve"> turn to smoothies, coffee/tea, energy drinks, fortified water or plain whole fruit and veg. The energy and other functional markets grow steadily providing numerous alternatives to the same amount of money spent (Grand View Research, 2025). The substitution is likely unless PurityPressed can believably justify a premium through verifiably functional capabilities, verifiably sourced and excellent sensory experience. Convenience, price sensitivity and a changing taste afflict the market.</w:t>
      </w:r>
    </w:p>
    <w:p w14:paraId="6CD6812F" w14:textId="77777777" w:rsidR="00AA2C64" w:rsidRDefault="00AA2C64" w:rsidP="00AA2C64">
      <w:pPr>
        <w:spacing w:line="360" w:lineRule="auto"/>
        <w:rPr>
          <w:rFonts w:ascii="Arial" w:hAnsi="Arial" w:cs="Arial"/>
        </w:rPr>
      </w:pPr>
      <w:r w:rsidRPr="00AA2C64">
        <w:rPr>
          <w:rFonts w:ascii="Arial" w:hAnsi="Arial" w:cs="Arial"/>
        </w:rPr>
        <w:t xml:space="preserve">According to an analysis by Porter, PurityPressed would experience a strong rivalry and threat of substitution, supplier and buyer pressure along with partial exit barricade by new-moist entity. To safeguard margins then the business should: (1) give priority to D2C subscription and high-value premium B2B partnerships; (2) outsource HPP (capex as well as operations) initially; (3) diversify and contract with multiple smallholders stabilise supply thus; (4) restrict and substantiate health claims to avoid regulatory and ASA oversight; and (5) invest in brand value as well as proven provenance to reduce switching. To sum up, it can be concluded that the use of Porters five forces has shown the presence of highly competitive and strategically complex environment of the PurityPressed UK in the UK functional beverage industry. These forces indicate that PurityPressed should pursue a differentiation strategy that reflects the focus on subscription-based revenues, the development of supplier diversification, and the marketing of the products, having a clear health and sustainability verification. </w:t>
      </w:r>
    </w:p>
    <w:p w14:paraId="69098C09" w14:textId="77777777" w:rsidR="00903C6A" w:rsidRDefault="00903C6A" w:rsidP="00AA2C64">
      <w:pPr>
        <w:spacing w:line="360" w:lineRule="auto"/>
        <w:rPr>
          <w:rFonts w:ascii="Arial" w:hAnsi="Arial" w:cs="Arial"/>
        </w:rPr>
      </w:pPr>
    </w:p>
    <w:p w14:paraId="0583A161" w14:textId="77777777" w:rsidR="00903C6A" w:rsidRDefault="00903C6A" w:rsidP="00AA2C64">
      <w:pPr>
        <w:spacing w:line="360" w:lineRule="auto"/>
        <w:rPr>
          <w:rFonts w:ascii="Arial" w:hAnsi="Arial" w:cs="Arial"/>
        </w:rPr>
      </w:pPr>
    </w:p>
    <w:p w14:paraId="211168CF" w14:textId="77777777" w:rsidR="00903C6A" w:rsidRDefault="00903C6A" w:rsidP="00AA2C64">
      <w:pPr>
        <w:spacing w:line="360" w:lineRule="auto"/>
        <w:rPr>
          <w:rFonts w:ascii="Arial" w:hAnsi="Arial" w:cs="Arial"/>
        </w:rPr>
      </w:pPr>
    </w:p>
    <w:p w14:paraId="620FE465" w14:textId="77777777" w:rsidR="00903C6A" w:rsidRDefault="00903C6A" w:rsidP="00AA2C64">
      <w:pPr>
        <w:spacing w:line="360" w:lineRule="auto"/>
        <w:rPr>
          <w:rFonts w:ascii="Arial" w:hAnsi="Arial" w:cs="Arial"/>
        </w:rPr>
      </w:pPr>
    </w:p>
    <w:p w14:paraId="732B2FEF" w14:textId="77777777" w:rsidR="00903C6A" w:rsidRDefault="00903C6A" w:rsidP="00AA2C64">
      <w:pPr>
        <w:spacing w:line="360" w:lineRule="auto"/>
        <w:rPr>
          <w:rFonts w:ascii="Arial" w:hAnsi="Arial" w:cs="Arial"/>
        </w:rPr>
      </w:pPr>
    </w:p>
    <w:p w14:paraId="1AEEEC58" w14:textId="77777777" w:rsidR="00903C6A" w:rsidRPr="00AA2C64" w:rsidRDefault="00903C6A" w:rsidP="00AA2C64">
      <w:pPr>
        <w:spacing w:line="360" w:lineRule="auto"/>
        <w:rPr>
          <w:rFonts w:ascii="Arial" w:hAnsi="Arial" w:cs="Arial"/>
        </w:rPr>
      </w:pPr>
    </w:p>
    <w:p w14:paraId="7C26E0EE" w14:textId="5138F489" w:rsidR="00AA2C64" w:rsidRPr="00AA2C64" w:rsidRDefault="00AA2C64" w:rsidP="00AA2C64">
      <w:pPr>
        <w:spacing w:line="360" w:lineRule="auto"/>
        <w:rPr>
          <w:rFonts w:ascii="Arial" w:hAnsi="Arial" w:cs="Arial"/>
          <w:b/>
          <w:i/>
        </w:rPr>
      </w:pPr>
      <w:r w:rsidRPr="00AA2C64">
        <w:rPr>
          <w:rFonts w:ascii="Arial" w:hAnsi="Arial" w:cs="Arial"/>
          <w:b/>
          <w:i/>
        </w:rPr>
        <w:lastRenderedPageBreak/>
        <w:t>4Ps, Market Segmentation &amp; Marketing Strategies</w:t>
      </w:r>
    </w:p>
    <w:p w14:paraId="7A900A36" w14:textId="77777777" w:rsidR="00AA2C64" w:rsidRPr="00AA2C64" w:rsidRDefault="00AA2C64" w:rsidP="00AA2C64">
      <w:pPr>
        <w:spacing w:line="360" w:lineRule="auto"/>
        <w:rPr>
          <w:rFonts w:ascii="Arial" w:hAnsi="Arial" w:cs="Arial"/>
          <w:bCs/>
          <w:i/>
        </w:rPr>
      </w:pPr>
      <w:r w:rsidRPr="00AA2C64">
        <w:rPr>
          <w:rFonts w:ascii="Arial" w:hAnsi="Arial" w:cs="Arial"/>
          <w:bCs/>
          <w:i/>
        </w:rPr>
        <w:t>Market Segmentation</w:t>
      </w:r>
    </w:p>
    <w:p w14:paraId="02E4AE49" w14:textId="77777777" w:rsidR="00AA2C64" w:rsidRPr="00AA2C64" w:rsidRDefault="00AA2C64" w:rsidP="00AA2C64">
      <w:pPr>
        <w:spacing w:line="360" w:lineRule="auto"/>
        <w:rPr>
          <w:rFonts w:ascii="Arial" w:hAnsi="Arial" w:cs="Arial"/>
        </w:rPr>
      </w:pPr>
      <w:r w:rsidRPr="00AA2C64">
        <w:rPr>
          <w:rFonts w:ascii="Arial" w:hAnsi="Arial" w:cs="Arial"/>
        </w:rPr>
        <w:t>In the case of Purity Pressed UK Ltd, the cornerstone of a successful corporate strategy should be accurate understanding of the target market. Market segmentation divides the market into definite parts based on shared features; thus, it becomes easier to create specific strategic initiatives (Yusuf et al., 2022). In the high-end juice industry, health awareness, lifestyle choice, and the level of economic ability are the major factors of consumer demand.</w:t>
      </w:r>
    </w:p>
    <w:p w14:paraId="19FED2F4" w14:textId="5887078D" w:rsidR="00AA2C64" w:rsidRPr="00AA2C64" w:rsidRDefault="00AA2C64" w:rsidP="00AA2C64">
      <w:pPr>
        <w:spacing w:line="360" w:lineRule="auto"/>
        <w:rPr>
          <w:rFonts w:ascii="Arial" w:hAnsi="Arial" w:cs="Arial"/>
        </w:rPr>
      </w:pPr>
      <w:r w:rsidRPr="00AA2C64">
        <w:rPr>
          <w:rFonts w:ascii="Arial" w:hAnsi="Arial" w:cs="Arial"/>
        </w:rPr>
        <w:t xml:space="preserve">The main segments identified are: </w:t>
      </w:r>
    </w:p>
    <w:p w14:paraId="5FEFA977" w14:textId="77777777" w:rsidR="00AA2C64" w:rsidRPr="00AA2C64" w:rsidRDefault="00AA2C64" w:rsidP="00AA2C64">
      <w:pPr>
        <w:spacing w:line="360" w:lineRule="auto"/>
        <w:rPr>
          <w:rFonts w:ascii="Arial" w:hAnsi="Arial" w:cs="Arial"/>
          <w:bCs/>
          <w:i/>
        </w:rPr>
      </w:pPr>
      <w:r w:rsidRPr="00AA2C64">
        <w:rPr>
          <w:rFonts w:ascii="Arial" w:hAnsi="Arial" w:cs="Arial"/>
          <w:bCs/>
          <w:i/>
        </w:rPr>
        <w:t>Health-conscious millennials &amp; Gen Z (urban professionals)</w:t>
      </w:r>
    </w:p>
    <w:p w14:paraId="08452E5F" w14:textId="77777777" w:rsidR="00AA2C64" w:rsidRPr="00AA2C64" w:rsidRDefault="00AA2C64" w:rsidP="00AA2C64">
      <w:pPr>
        <w:spacing w:line="360" w:lineRule="auto"/>
        <w:rPr>
          <w:rFonts w:ascii="Arial" w:hAnsi="Arial" w:cs="Arial"/>
        </w:rPr>
      </w:pPr>
      <w:r w:rsidRPr="00AA2C64">
        <w:rPr>
          <w:rFonts w:ascii="Arial" w:hAnsi="Arial" w:cs="Arial"/>
        </w:rPr>
        <w:t>These consumers are health-conscious millennials and urban professionals of Generation Z, i.e., aged 22 to 35 and are heavily orientated towards health and highly value authenticity (Sadom et al., 2025). The large percentage is found in the metropolitan centres like London, where they have disposable income and consume wellness products. Social media, preference to natural formulations, and propensity to subscribe such direct-to-consumer (D2C) services are the most moderate factors behind their buying choices (Gunz, 2023).</w:t>
      </w:r>
    </w:p>
    <w:p w14:paraId="6110BAD1" w14:textId="77777777" w:rsidR="00AA2C64" w:rsidRPr="00AA2C64" w:rsidRDefault="00AA2C64" w:rsidP="00AA2C64">
      <w:pPr>
        <w:spacing w:line="360" w:lineRule="auto"/>
        <w:rPr>
          <w:rFonts w:ascii="Arial" w:hAnsi="Arial" w:cs="Arial"/>
          <w:bCs/>
          <w:i/>
        </w:rPr>
      </w:pPr>
      <w:r w:rsidRPr="00AA2C64">
        <w:rPr>
          <w:rFonts w:ascii="Arial" w:hAnsi="Arial" w:cs="Arial"/>
          <w:bCs/>
          <w:i/>
        </w:rPr>
        <w:t>Wellness-oriented middle-class families</w:t>
      </w:r>
    </w:p>
    <w:p w14:paraId="5FACA71F" w14:textId="28E51EB4" w:rsidR="00AA2C64" w:rsidRPr="00AA2C64" w:rsidRDefault="00AA2C64" w:rsidP="00AA2C64">
      <w:pPr>
        <w:spacing w:line="360" w:lineRule="auto"/>
        <w:rPr>
          <w:rFonts w:ascii="Arial" w:hAnsi="Arial" w:cs="Arial"/>
        </w:rPr>
      </w:pPr>
      <w:r w:rsidRPr="00AA2C64">
        <w:rPr>
          <w:rFonts w:ascii="Arial" w:hAnsi="Arial" w:cs="Arial"/>
        </w:rPr>
        <w:t>This group of people falls in adults aged between 30-50 and most of them are often parents who want to find healthier alternatives to their lifestyles as well as that of their children. They are more price sensitive than young professionals but have an incentive in the perceived long-term health benefits, which leads to a tendency to shop in health-food stores (Jones et al., 2023).</w:t>
      </w:r>
    </w:p>
    <w:p w14:paraId="7D9439E8" w14:textId="77777777" w:rsidR="00AA2C64" w:rsidRPr="00AA2C64" w:rsidRDefault="00AA2C64" w:rsidP="00AA2C64">
      <w:pPr>
        <w:spacing w:line="360" w:lineRule="auto"/>
        <w:rPr>
          <w:rFonts w:ascii="Arial" w:hAnsi="Arial" w:cs="Arial"/>
          <w:bCs/>
          <w:i/>
        </w:rPr>
      </w:pPr>
      <w:r w:rsidRPr="00AA2C64">
        <w:rPr>
          <w:rFonts w:ascii="Arial" w:hAnsi="Arial" w:cs="Arial"/>
          <w:bCs/>
          <w:i/>
        </w:rPr>
        <w:t>Targeting Strategy</w:t>
      </w:r>
    </w:p>
    <w:p w14:paraId="3A7E7DD4" w14:textId="034F3EA0" w:rsidR="00AA2C64" w:rsidRPr="00AA2C64" w:rsidRDefault="00AA2C64" w:rsidP="00AA2C64">
      <w:pPr>
        <w:spacing w:line="360" w:lineRule="auto"/>
        <w:rPr>
          <w:rFonts w:ascii="Arial" w:hAnsi="Arial" w:cs="Arial"/>
        </w:rPr>
      </w:pPr>
      <w:r w:rsidRPr="00AA2C64">
        <w:rPr>
          <w:rFonts w:ascii="Arial" w:hAnsi="Arial" w:cs="Arial"/>
        </w:rPr>
        <w:t xml:space="preserve">Purity Pressed focuses on London-based professionals between the age of 25 and 39 (millennials and Gen Z) with significant disposable incomes and who are highly interested in the wellness area. The demographic profile is defined by the finest and practical beverages and a high sensitivity to digital subscription models and influencer marketing conceptions. A secondary segment includes wellness-focused families interested in having healthy and convenient products via retail collaboration </w:t>
      </w:r>
      <w:r w:rsidRPr="00AA2C64">
        <w:rPr>
          <w:rFonts w:ascii="Arial" w:hAnsi="Arial" w:cs="Arial"/>
        </w:rPr>
        <w:lastRenderedPageBreak/>
        <w:t xml:space="preserve">and offers. Tertiary segment deals with corporate wellness programmes, where the employers purchase their products in large quantities to finance the staff wellbeing programs. In service of targeting rich London postcodes, geographic targeting is a priority and engagement, loyalty, and scalable revenue growth are facilitated through influencers and workplace sampling, </w:t>
      </w:r>
      <w:r w:rsidR="00903C6A" w:rsidRPr="00AA2C64">
        <w:rPr>
          <w:rFonts w:ascii="Arial" w:hAnsi="Arial" w:cs="Arial"/>
        </w:rPr>
        <w:t>as well as</w:t>
      </w:r>
      <w:r w:rsidRPr="00AA2C64">
        <w:rPr>
          <w:rFonts w:ascii="Arial" w:hAnsi="Arial" w:cs="Arial"/>
        </w:rPr>
        <w:t xml:space="preserve"> custom-built subscriptions.</w:t>
      </w:r>
    </w:p>
    <w:p w14:paraId="21AE144B" w14:textId="77777777" w:rsidR="00AA2C64" w:rsidRPr="00AA2C64" w:rsidRDefault="00AA2C64" w:rsidP="00AA2C64">
      <w:pPr>
        <w:spacing w:line="360" w:lineRule="auto"/>
        <w:rPr>
          <w:rFonts w:ascii="Arial" w:hAnsi="Arial" w:cs="Arial"/>
          <w:i/>
          <w:iCs/>
        </w:rPr>
      </w:pPr>
      <w:r w:rsidRPr="00AA2C64">
        <w:rPr>
          <w:rFonts w:ascii="Arial" w:hAnsi="Arial" w:cs="Arial"/>
          <w:i/>
          <w:iCs/>
        </w:rPr>
        <w:t>Positioning</w:t>
      </w:r>
    </w:p>
    <w:p w14:paraId="2E4D58C4" w14:textId="467B5D1A" w:rsidR="00AA2C64" w:rsidRDefault="00AA2C64" w:rsidP="00AA2C64">
      <w:pPr>
        <w:spacing w:line="360" w:lineRule="auto"/>
        <w:rPr>
          <w:rFonts w:ascii="Arial" w:hAnsi="Arial" w:cs="Arial"/>
        </w:rPr>
      </w:pPr>
      <w:r w:rsidRPr="00AA2C64">
        <w:rPr>
          <w:rFonts w:ascii="Arial" w:hAnsi="Arial" w:cs="Arial"/>
        </w:rPr>
        <w:t xml:space="preserve">Purity Pressed shall be a high-end, healthier, sustainable, and authentic brand. Unlike mass-market juices which focus on being affordable, the positioning focuses on nutrient preservation through high-pressure processing, botanical blends that are grown in season, and </w:t>
      </w:r>
      <w:r w:rsidR="00903C6A" w:rsidRPr="00AA2C64">
        <w:rPr>
          <w:rFonts w:ascii="Arial" w:hAnsi="Arial" w:cs="Arial"/>
        </w:rPr>
        <w:t>environmentally friendly</w:t>
      </w:r>
      <w:r w:rsidRPr="00AA2C64">
        <w:rPr>
          <w:rFonts w:ascii="Arial" w:hAnsi="Arial" w:cs="Arial"/>
        </w:rPr>
        <w:t xml:space="preserve"> operations. This is a strategic direction that is in line with the rising consumer needs of functional consumption and ethical consumption as identified by Gabellini &amp; Scaramuzzi (2022).</w:t>
      </w:r>
    </w:p>
    <w:p w14:paraId="242C8BE1" w14:textId="77777777" w:rsidR="00903C6A" w:rsidRPr="00AA2C64" w:rsidRDefault="00903C6A" w:rsidP="00AA2C64">
      <w:pPr>
        <w:spacing w:line="360" w:lineRule="auto"/>
        <w:rPr>
          <w:rFonts w:ascii="Arial" w:hAnsi="Arial" w:cs="Arial"/>
        </w:rPr>
      </w:pPr>
    </w:p>
    <w:p w14:paraId="685310AC" w14:textId="77777777" w:rsidR="00AA2C64" w:rsidRPr="00AA2C64" w:rsidRDefault="00AA2C64" w:rsidP="00AA2C64">
      <w:pPr>
        <w:spacing w:line="360" w:lineRule="auto"/>
        <w:rPr>
          <w:rFonts w:ascii="Arial" w:hAnsi="Arial" w:cs="Arial"/>
        </w:rPr>
      </w:pPr>
    </w:p>
    <w:p w14:paraId="55B37C89" w14:textId="3E0278D6" w:rsidR="00AA2C64" w:rsidRPr="00AA2C64" w:rsidRDefault="00AA2C64" w:rsidP="00903C6A">
      <w:pPr>
        <w:spacing w:line="360" w:lineRule="auto"/>
        <w:jc w:val="center"/>
        <w:rPr>
          <w:rFonts w:ascii="Arial" w:hAnsi="Arial" w:cs="Arial"/>
        </w:rPr>
      </w:pPr>
      <w:r w:rsidRPr="00AA2C64">
        <w:rPr>
          <w:rFonts w:ascii="Arial" w:hAnsi="Arial" w:cs="Arial"/>
          <w:noProof/>
          <w:lang w:val="en-US"/>
        </w:rPr>
        <w:drawing>
          <wp:inline distT="0" distB="0" distL="0" distR="0" wp14:anchorId="4702D1CF" wp14:editId="0C66AC5D">
            <wp:extent cx="4898490" cy="2849880"/>
            <wp:effectExtent l="0" t="0" r="0" b="7620"/>
            <wp:docPr id="15674874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8481" cy="2861511"/>
                    </a:xfrm>
                    <a:prstGeom prst="rect">
                      <a:avLst/>
                    </a:prstGeom>
                    <a:noFill/>
                    <a:ln>
                      <a:noFill/>
                    </a:ln>
                  </pic:spPr>
                </pic:pic>
              </a:graphicData>
            </a:graphic>
          </wp:inline>
        </w:drawing>
      </w:r>
    </w:p>
    <w:p w14:paraId="61BD7CBE" w14:textId="77777777" w:rsidR="00AA2C64" w:rsidRPr="00AA2C64" w:rsidRDefault="00AA2C64" w:rsidP="00903C6A">
      <w:pPr>
        <w:spacing w:line="360" w:lineRule="auto"/>
        <w:jc w:val="center"/>
        <w:rPr>
          <w:rFonts w:ascii="Arial" w:hAnsi="Arial" w:cs="Arial"/>
          <w:i/>
          <w:iCs/>
        </w:rPr>
      </w:pPr>
      <w:r w:rsidRPr="00AA2C64">
        <w:rPr>
          <w:rFonts w:ascii="Arial" w:hAnsi="Arial" w:cs="Arial"/>
          <w:i/>
          <w:iCs/>
        </w:rPr>
        <w:t xml:space="preserve">Figure </w:t>
      </w:r>
      <w:r w:rsidRPr="00AA2C64">
        <w:rPr>
          <w:rFonts w:ascii="Arial" w:hAnsi="Arial" w:cs="Arial"/>
          <w:i/>
          <w:iCs/>
        </w:rPr>
        <w:fldChar w:fldCharType="begin"/>
      </w:r>
      <w:r w:rsidRPr="00AA2C64">
        <w:rPr>
          <w:rFonts w:ascii="Arial" w:hAnsi="Arial" w:cs="Arial"/>
          <w:i/>
          <w:iCs/>
        </w:rPr>
        <w:instrText xml:space="preserve"> SEQ Figure \* ARABIC </w:instrText>
      </w:r>
      <w:r w:rsidRPr="00AA2C64">
        <w:rPr>
          <w:rFonts w:ascii="Arial" w:hAnsi="Arial" w:cs="Arial"/>
          <w:i/>
          <w:iCs/>
        </w:rPr>
        <w:fldChar w:fldCharType="separate"/>
      </w:r>
      <w:r w:rsidRPr="00AA2C64">
        <w:rPr>
          <w:rFonts w:ascii="Arial" w:hAnsi="Arial" w:cs="Arial"/>
          <w:i/>
          <w:iCs/>
        </w:rPr>
        <w:t>2</w:t>
      </w:r>
      <w:r w:rsidRPr="00AA2C64">
        <w:rPr>
          <w:rFonts w:ascii="Arial" w:hAnsi="Arial" w:cs="Arial"/>
        </w:rPr>
        <w:fldChar w:fldCharType="end"/>
      </w:r>
      <w:r w:rsidRPr="00AA2C64">
        <w:rPr>
          <w:rFonts w:ascii="Arial" w:hAnsi="Arial" w:cs="Arial"/>
          <w:i/>
          <w:iCs/>
        </w:rPr>
        <w:t xml:space="preserve"> </w:t>
      </w:r>
      <w:r w:rsidRPr="00AA2C64">
        <w:rPr>
          <w:rFonts w:ascii="Arial" w:hAnsi="Arial" w:cs="Arial"/>
          <w:b/>
          <w:bCs/>
          <w:i/>
          <w:iCs/>
        </w:rPr>
        <w:t>Marketing Mix (4Ps)</w:t>
      </w:r>
      <w:r w:rsidRPr="00AA2C64">
        <w:rPr>
          <w:rFonts w:ascii="Arial" w:hAnsi="Arial" w:cs="Arial"/>
          <w:i/>
          <w:iCs/>
        </w:rPr>
        <w:t xml:space="preserve"> (Utley Strategies, 2023)</w:t>
      </w:r>
    </w:p>
    <w:p w14:paraId="45D41BE8" w14:textId="77777777" w:rsidR="00903C6A" w:rsidRDefault="00903C6A" w:rsidP="00AA2C64">
      <w:pPr>
        <w:spacing w:line="360" w:lineRule="auto"/>
        <w:rPr>
          <w:rFonts w:ascii="Arial" w:hAnsi="Arial" w:cs="Arial"/>
        </w:rPr>
      </w:pPr>
    </w:p>
    <w:p w14:paraId="1FA5B4C7" w14:textId="77777777" w:rsidR="00903C6A" w:rsidRDefault="00903C6A" w:rsidP="00AA2C64">
      <w:pPr>
        <w:spacing w:line="360" w:lineRule="auto"/>
        <w:rPr>
          <w:rFonts w:ascii="Arial" w:hAnsi="Arial" w:cs="Arial"/>
        </w:rPr>
      </w:pPr>
    </w:p>
    <w:p w14:paraId="6DD5DA1A" w14:textId="77777777" w:rsidR="00830DA0" w:rsidRDefault="00830DA0" w:rsidP="00AA2C64">
      <w:pPr>
        <w:spacing w:line="360" w:lineRule="auto"/>
        <w:rPr>
          <w:rFonts w:ascii="Arial" w:hAnsi="Arial" w:cs="Arial"/>
        </w:rPr>
      </w:pPr>
    </w:p>
    <w:p w14:paraId="446F5646" w14:textId="4F398CA8" w:rsidR="00AA2C64" w:rsidRPr="00AA2C64" w:rsidRDefault="00AA2C64" w:rsidP="00AA2C64">
      <w:pPr>
        <w:spacing w:line="360" w:lineRule="auto"/>
        <w:rPr>
          <w:rFonts w:ascii="Arial" w:hAnsi="Arial" w:cs="Arial"/>
          <w:b/>
          <w:bCs/>
        </w:rPr>
      </w:pPr>
      <w:r w:rsidRPr="00AA2C64">
        <w:rPr>
          <w:rFonts w:ascii="Arial" w:hAnsi="Arial" w:cs="Arial"/>
          <w:b/>
          <w:bCs/>
        </w:rPr>
        <w:lastRenderedPageBreak/>
        <w:t>The Marketing Mix (4Ps)</w:t>
      </w:r>
    </w:p>
    <w:p w14:paraId="7E4D889A" w14:textId="77777777" w:rsidR="00AA2C64" w:rsidRPr="00AA2C64" w:rsidRDefault="00AA2C64" w:rsidP="00AA2C64">
      <w:pPr>
        <w:spacing w:line="360" w:lineRule="auto"/>
        <w:rPr>
          <w:rFonts w:ascii="Arial" w:hAnsi="Arial" w:cs="Arial"/>
        </w:rPr>
      </w:pPr>
      <w:r w:rsidRPr="00AA2C64">
        <w:rPr>
          <w:rFonts w:ascii="Arial" w:hAnsi="Arial" w:cs="Arial"/>
        </w:rPr>
        <w:t>To operationalise segmentation, targeting, and positioning (STP), Purity Pressed will apply the 4Ps of Marketing.</w:t>
      </w:r>
    </w:p>
    <w:tbl>
      <w:tblPr>
        <w:tblStyle w:val="GridTable4-Accent6"/>
        <w:tblW w:w="9493" w:type="dxa"/>
        <w:tblLook w:val="04A0" w:firstRow="1" w:lastRow="0" w:firstColumn="1" w:lastColumn="0" w:noHBand="0" w:noVBand="1"/>
      </w:tblPr>
      <w:tblGrid>
        <w:gridCol w:w="1544"/>
        <w:gridCol w:w="3361"/>
        <w:gridCol w:w="4588"/>
      </w:tblGrid>
      <w:tr w:rsidR="00AA2C64" w:rsidRPr="00AA2C64" w14:paraId="45F50B6E" w14:textId="77777777" w:rsidTr="00E21A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7E7F97"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Marketing Mix Element</w:t>
            </w:r>
          </w:p>
        </w:tc>
        <w:tc>
          <w:tcPr>
            <w:tcW w:w="0" w:type="auto"/>
            <w:hideMark/>
          </w:tcPr>
          <w:p w14:paraId="32F1C99B" w14:textId="77777777" w:rsidR="00AA2C64" w:rsidRPr="00AA2C64" w:rsidRDefault="00AA2C64" w:rsidP="00AA2C6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Application for Purity Pressed UK Ltd</w:t>
            </w:r>
          </w:p>
        </w:tc>
        <w:tc>
          <w:tcPr>
            <w:tcW w:w="4588" w:type="dxa"/>
            <w:hideMark/>
          </w:tcPr>
          <w:p w14:paraId="00CFFBA1" w14:textId="77777777" w:rsidR="00AA2C64" w:rsidRPr="00AA2C64" w:rsidRDefault="00AA2C64" w:rsidP="00AA2C6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Critical Discussion</w:t>
            </w:r>
          </w:p>
        </w:tc>
      </w:tr>
      <w:tr w:rsidR="00AA2C64" w:rsidRPr="00AA2C64" w14:paraId="29017552" w14:textId="77777777" w:rsidTr="00E21A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4C460CA"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Product</w:t>
            </w:r>
          </w:p>
        </w:tc>
        <w:tc>
          <w:tcPr>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CC204EA"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Premium cold-pressed juices, functional wellness shots (immune, digestive, anti-inflammatory), and seasonal botanical blends. Packaged sustainably.</w:t>
            </w:r>
          </w:p>
        </w:tc>
        <w:tc>
          <w:tcPr>
            <w:tcW w:w="4588"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1A43758D"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Differentiation is driven by nutrient-preserving HPP technology, a USP that ensures freshness and health benefits. Functional claims align with consumer trends but must comply with UK labelling laws to avoid misleading health claims.</w:t>
            </w:r>
          </w:p>
        </w:tc>
      </w:tr>
      <w:tr w:rsidR="00AA2C64" w:rsidRPr="00AA2C64" w14:paraId="68E9508C" w14:textId="77777777" w:rsidTr="00E21ABE">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7FE8F20"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Price</w:t>
            </w:r>
          </w:p>
        </w:tc>
        <w:tc>
          <w:tcPr>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BC58B47"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Premium pricing strategy: approx. £4–£6 per juice and £2–£3 per shot. Subscription discounts (e.g., 10% for monthly packages).</w:t>
            </w:r>
          </w:p>
        </w:tc>
        <w:tc>
          <w:tcPr>
            <w:tcW w:w="4588"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47CF5AA"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Premium pricing signals quality but risks excluding price-sensitive families. Subscription discounts increase retention. Benchmarking against rivals like Pressed or Innocent Premium helps maintain competitiveness.</w:t>
            </w:r>
          </w:p>
        </w:tc>
      </w:tr>
      <w:tr w:rsidR="00AA2C64" w:rsidRPr="00AA2C64" w14:paraId="798E80AE" w14:textId="77777777" w:rsidTr="00E21A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9C40A3C"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Place</w:t>
            </w:r>
          </w:p>
        </w:tc>
        <w:tc>
          <w:tcPr>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0C997E8"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Multi-channel: D2C online platform (subscriptions), boutique health food shops, partnerships with cafés, and corporate wellness schemes.</w:t>
            </w:r>
          </w:p>
        </w:tc>
        <w:tc>
          <w:tcPr>
            <w:tcW w:w="4588"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0D57FA3"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D2C increases margins and builds brand loyalty. Retail partnerships expand reach but involve higher costs. Corporate sales offer scalability but require consistent supply reliability.</w:t>
            </w:r>
          </w:p>
        </w:tc>
      </w:tr>
      <w:tr w:rsidR="00AA2C64" w:rsidRPr="00AA2C64" w14:paraId="14C57770" w14:textId="77777777" w:rsidTr="00E21ABE">
        <w:trPr>
          <w:trHeight w:val="699"/>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AEB85B3"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Promotion</w:t>
            </w:r>
          </w:p>
        </w:tc>
        <w:tc>
          <w:tcPr>
            <w:tcW w:w="0" w:type="auto"/>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87512D8"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Digital-first: Instagram and TikTok influencer campaigns, reels highlighting HPP process, email campaigns for subscribers, sampling at gyms/yoga studios, wellness events.</w:t>
            </w:r>
          </w:p>
        </w:tc>
        <w:tc>
          <w:tcPr>
            <w:tcW w:w="4588"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E60DB2E" w14:textId="51F367FD"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 xml:space="preserve">Promotion focuses on brand storytelling and lifestyle association. Heavy reliance on digital risks excluding older demographics, so offline events </w:t>
            </w:r>
            <w:r w:rsidR="00D22BDD" w:rsidRPr="00AA2C64">
              <w:rPr>
                <w:rFonts w:ascii="Arial" w:hAnsi="Arial" w:cs="Arial"/>
                <w:lang w:val="en-US"/>
              </w:rPr>
              <w:t>function as</w:t>
            </w:r>
            <w:r w:rsidRPr="00AA2C64">
              <w:rPr>
                <w:rFonts w:ascii="Arial" w:hAnsi="Arial" w:cs="Arial"/>
                <w:lang w:val="en-US"/>
              </w:rPr>
              <w:t xml:space="preserve"> a counterbalance.</w:t>
            </w:r>
          </w:p>
        </w:tc>
      </w:tr>
    </w:tbl>
    <w:p w14:paraId="7683C3C0" w14:textId="77777777" w:rsidR="00AA2C64" w:rsidRPr="00AA2C64" w:rsidRDefault="00AA2C64" w:rsidP="00AA2C64">
      <w:pPr>
        <w:spacing w:line="360" w:lineRule="auto"/>
        <w:rPr>
          <w:rFonts w:ascii="Arial" w:hAnsi="Arial" w:cs="Arial"/>
        </w:rPr>
      </w:pPr>
    </w:p>
    <w:p w14:paraId="37F98234" w14:textId="77777777" w:rsidR="00AA2C64" w:rsidRPr="00AA2C64" w:rsidRDefault="00AA2C64" w:rsidP="00AA2C64">
      <w:pPr>
        <w:spacing w:line="360" w:lineRule="auto"/>
        <w:rPr>
          <w:rFonts w:ascii="Arial" w:hAnsi="Arial" w:cs="Arial"/>
          <w:bCs/>
          <w:i/>
        </w:rPr>
      </w:pPr>
      <w:r w:rsidRPr="00AA2C64">
        <w:rPr>
          <w:rFonts w:ascii="Arial" w:hAnsi="Arial" w:cs="Arial"/>
          <w:bCs/>
          <w:i/>
        </w:rPr>
        <w:lastRenderedPageBreak/>
        <w:t>Market Segmentation and 4Ps Linkage</w:t>
      </w:r>
    </w:p>
    <w:p w14:paraId="7A04DCA1" w14:textId="5512D673" w:rsidR="00AA2C64" w:rsidRDefault="00AA2C64" w:rsidP="00AA2C64">
      <w:pPr>
        <w:spacing w:line="360" w:lineRule="auto"/>
        <w:rPr>
          <w:rFonts w:ascii="Arial" w:hAnsi="Arial" w:cs="Arial"/>
        </w:rPr>
      </w:pPr>
      <w:r w:rsidRPr="00AA2C64">
        <w:rPr>
          <w:rFonts w:ascii="Arial" w:hAnsi="Arial" w:cs="Arial"/>
        </w:rPr>
        <w:t>The marketing mix of Purity Pressed should be carefully designed to meet the unique demands of individual groups of consumers, hence ensuring relevance and effectiveness. With the example of urban professionals, the adoption of digital conduits, such as Instagram reels and partnering with influencers, is the most effective one, as it targets the technologically savvy and health-</w:t>
      </w:r>
      <w:r w:rsidR="00E21ABE" w:rsidRPr="00AA2C64">
        <w:rPr>
          <w:rFonts w:ascii="Arial" w:hAnsi="Arial" w:cs="Arial"/>
        </w:rPr>
        <w:t>centred</w:t>
      </w:r>
      <w:r w:rsidRPr="00AA2C64">
        <w:rPr>
          <w:rFonts w:ascii="Arial" w:hAnsi="Arial" w:cs="Arial"/>
        </w:rPr>
        <w:t xml:space="preserve"> tendencies of this group (Toktassynova, 2025). Premium subscriptions are another category to which these consumers will especially respond, as it offers convenience and exclusivity at the same time. In contrast, family households require a more price-sensitive approach; product bundles and promotional offers that are distributed through channels of retail, namely, family health packs, are especially effective to accommodate their needs. Companies, in their turn, are more interested in scalability and consistency, which makes bulk subscription plans and customized wellness programmes the most effective tools to support workplace health programmes (Ulrich, 2024). </w:t>
      </w:r>
    </w:p>
    <w:p w14:paraId="4B4E36AE" w14:textId="77777777" w:rsidR="00E21ABE" w:rsidRPr="00AA2C64" w:rsidRDefault="00E21ABE" w:rsidP="00AA2C64">
      <w:pPr>
        <w:spacing w:line="360" w:lineRule="auto"/>
        <w:rPr>
          <w:rFonts w:ascii="Arial" w:hAnsi="Arial" w:cs="Arial"/>
        </w:rPr>
      </w:pPr>
    </w:p>
    <w:p w14:paraId="2791013A" w14:textId="77777777" w:rsidR="00AA2C64" w:rsidRPr="00AA2C64" w:rsidRDefault="00AA2C64" w:rsidP="00AA2C64">
      <w:pPr>
        <w:spacing w:line="360" w:lineRule="auto"/>
        <w:rPr>
          <w:rFonts w:ascii="Arial" w:hAnsi="Arial" w:cs="Arial"/>
          <w:bCs/>
          <w:i/>
        </w:rPr>
      </w:pPr>
      <w:r w:rsidRPr="00AA2C64">
        <w:rPr>
          <w:rFonts w:ascii="Arial" w:hAnsi="Arial" w:cs="Arial"/>
          <w:bCs/>
          <w:i/>
        </w:rPr>
        <w:t>Marketing Strategies</w:t>
      </w:r>
    </w:p>
    <w:p w14:paraId="00E8E7EA" w14:textId="6649453F" w:rsidR="00AA2C64" w:rsidRDefault="00AA2C64" w:rsidP="00AA2C64">
      <w:pPr>
        <w:spacing w:line="360" w:lineRule="auto"/>
        <w:rPr>
          <w:rFonts w:ascii="Arial" w:hAnsi="Arial" w:cs="Arial"/>
        </w:rPr>
      </w:pPr>
      <w:r w:rsidRPr="00AA2C64">
        <w:rPr>
          <w:rFonts w:ascii="Arial" w:hAnsi="Arial" w:cs="Arial"/>
        </w:rPr>
        <w:t xml:space="preserve">The company will adopt a hybrid approach that incorporates both digital and physical programs </w:t>
      </w:r>
      <w:r w:rsidR="00064462" w:rsidRPr="00AA2C64">
        <w:rPr>
          <w:rFonts w:ascii="Arial" w:hAnsi="Arial" w:cs="Arial"/>
        </w:rPr>
        <w:t>to</w:t>
      </w:r>
      <w:r w:rsidRPr="00AA2C64">
        <w:rPr>
          <w:rFonts w:ascii="Arial" w:hAnsi="Arial" w:cs="Arial"/>
        </w:rPr>
        <w:t xml:space="preserve"> create increased visibility, gain consumer confidence and attract a non-homogenous set of market consumers. The presentation of the behind-the-</w:t>
      </w:r>
      <w:r w:rsidR="00064462" w:rsidRPr="00AA2C64">
        <w:rPr>
          <w:rFonts w:ascii="Arial" w:hAnsi="Arial" w:cs="Arial"/>
        </w:rPr>
        <w:t>scenes</w:t>
      </w:r>
      <w:r w:rsidRPr="00AA2C64">
        <w:rPr>
          <w:rFonts w:ascii="Arial" w:hAnsi="Arial" w:cs="Arial"/>
        </w:rPr>
        <w:t xml:space="preserve"> sourcing processes, juicing methods, and client testimonials via short-form videos and narrative stories via the use of social media platforms, such as Instagram and Tik Tok, will be utilized to create a sense of time-sensitivity. Cooperation with niche micro-influencers is expected to produce less fake trust and interaction than traditional celebrity endorsements (Kumar, 2024). Physical activities are meant to enhance experiential branding: product sampling will take place in the fitness </w:t>
      </w:r>
      <w:r w:rsidR="00E21ABE" w:rsidRPr="00AA2C64">
        <w:rPr>
          <w:rFonts w:ascii="Arial" w:hAnsi="Arial" w:cs="Arial"/>
        </w:rPr>
        <w:t>centres</w:t>
      </w:r>
      <w:r w:rsidRPr="00AA2C64">
        <w:rPr>
          <w:rFonts w:ascii="Arial" w:hAnsi="Arial" w:cs="Arial"/>
        </w:rPr>
        <w:t xml:space="preserve"> and yoga studios, wellness-related events will be sponsored, and retail placement will be integrated to the boutique health-food shops as well as to the consumers who are not predisposed in the digital arena. </w:t>
      </w:r>
    </w:p>
    <w:p w14:paraId="2B12D60C" w14:textId="77777777" w:rsidR="00E21ABE" w:rsidRDefault="00E21ABE" w:rsidP="00AA2C64">
      <w:pPr>
        <w:spacing w:line="360" w:lineRule="auto"/>
        <w:rPr>
          <w:rFonts w:ascii="Arial" w:hAnsi="Arial" w:cs="Arial"/>
        </w:rPr>
      </w:pPr>
    </w:p>
    <w:p w14:paraId="68D515D0" w14:textId="77777777" w:rsidR="00E21ABE" w:rsidRDefault="00E21ABE" w:rsidP="00AA2C64">
      <w:pPr>
        <w:spacing w:line="360" w:lineRule="auto"/>
        <w:rPr>
          <w:rFonts w:ascii="Arial" w:hAnsi="Arial" w:cs="Arial"/>
        </w:rPr>
      </w:pPr>
    </w:p>
    <w:p w14:paraId="0215A752" w14:textId="129492EC" w:rsidR="00AA2C64" w:rsidRPr="00AA2C64" w:rsidRDefault="00AA2C64" w:rsidP="00AA2C64">
      <w:pPr>
        <w:spacing w:line="360" w:lineRule="auto"/>
        <w:rPr>
          <w:rFonts w:ascii="Arial" w:hAnsi="Arial" w:cs="Arial"/>
          <w:b/>
          <w:bCs/>
        </w:rPr>
      </w:pPr>
      <w:r w:rsidRPr="00AA2C64">
        <w:rPr>
          <w:rFonts w:ascii="Arial" w:hAnsi="Arial" w:cs="Arial"/>
          <w:b/>
          <w:bCs/>
        </w:rPr>
        <w:lastRenderedPageBreak/>
        <w:t>Critical Evaluation of Strategy</w:t>
      </w:r>
    </w:p>
    <w:p w14:paraId="105A226D" w14:textId="77777777" w:rsidR="00E21ABE" w:rsidRDefault="00AA2C64" w:rsidP="00AA2C64">
      <w:pPr>
        <w:spacing w:line="360" w:lineRule="auto"/>
        <w:rPr>
          <w:rFonts w:ascii="Arial" w:hAnsi="Arial" w:cs="Arial"/>
        </w:rPr>
      </w:pPr>
      <w:r w:rsidRPr="00AA2C64">
        <w:rPr>
          <w:rFonts w:ascii="Arial" w:hAnsi="Arial" w:cs="Arial"/>
        </w:rPr>
        <w:t>The proposed strategy effectively leverages consumer trends: increasing demand for functional beverages, health optimisation, and authenticity. By targeting high-disposable-income urban professionals, Purity Pressed aligns with the segment most willing to pay for premium health products. However, reliance on a premium pricing model could limit mass-market adoption. Families, though a significant health-conscious demographic, may view the products as an occasional treat rather than a staple. Balancing exclusivity with accessibility will be crucial; offering smaller “starter packs” or retail bundle promotions could mitigate this (Wotke &amp; Hähne, 2025). While eco-conscious practices enhance brand appeal, they may increase operational costs. Communicating transparency about costs and values will be key to maintaining customer trust (Dogra &amp; Grover, 2024).</w:t>
      </w:r>
    </w:p>
    <w:p w14:paraId="2677A96D" w14:textId="77777777" w:rsidR="00E21ABE" w:rsidRDefault="00E21ABE" w:rsidP="00AA2C64">
      <w:pPr>
        <w:spacing w:line="360" w:lineRule="auto"/>
        <w:rPr>
          <w:rFonts w:ascii="Arial" w:hAnsi="Arial" w:cs="Arial"/>
          <w:b/>
          <w:i/>
        </w:rPr>
      </w:pPr>
    </w:p>
    <w:p w14:paraId="60F2D6A6" w14:textId="075A18D7" w:rsidR="00AA2C64" w:rsidRPr="00AA2C64" w:rsidRDefault="00AA2C64" w:rsidP="00AA2C64">
      <w:pPr>
        <w:spacing w:line="360" w:lineRule="auto"/>
        <w:rPr>
          <w:rFonts w:ascii="Arial" w:hAnsi="Arial" w:cs="Arial"/>
        </w:rPr>
      </w:pPr>
      <w:r w:rsidRPr="00AA2C64">
        <w:rPr>
          <w:rFonts w:ascii="Arial" w:hAnsi="Arial" w:cs="Arial"/>
          <w:b/>
          <w:i/>
        </w:rPr>
        <w:t>Legal, Management, and Financial Planning</w:t>
      </w:r>
    </w:p>
    <w:p w14:paraId="5F218810" w14:textId="77777777" w:rsidR="00AA2C64" w:rsidRPr="00AA2C64" w:rsidRDefault="00AA2C64" w:rsidP="00AA2C64">
      <w:pPr>
        <w:spacing w:line="360" w:lineRule="auto"/>
        <w:rPr>
          <w:rFonts w:ascii="Arial" w:hAnsi="Arial" w:cs="Arial"/>
          <w:bCs/>
          <w:i/>
        </w:rPr>
      </w:pPr>
      <w:r w:rsidRPr="00AA2C64">
        <w:rPr>
          <w:rFonts w:ascii="Arial" w:hAnsi="Arial" w:cs="Arial"/>
          <w:bCs/>
          <w:i/>
        </w:rPr>
        <w:t>Key Legal Structures in the UK Context</w:t>
      </w:r>
    </w:p>
    <w:p w14:paraId="246DC999" w14:textId="77777777" w:rsidR="00AA2C64" w:rsidRDefault="00AA2C64" w:rsidP="00AA2C64">
      <w:pPr>
        <w:spacing w:line="360" w:lineRule="auto"/>
        <w:rPr>
          <w:rFonts w:ascii="Arial" w:hAnsi="Arial" w:cs="Arial"/>
        </w:rPr>
      </w:pPr>
      <w:r w:rsidRPr="00AA2C64">
        <w:rPr>
          <w:rFonts w:ascii="Arial" w:hAnsi="Arial" w:cs="Arial"/>
        </w:rPr>
        <w:t xml:space="preserve">There are several types of legal structures that an enterprise can use in the United Kingdom, depending on their factors like the scale of the organisation, the aspect of liability, and strategic growth goals. The most basic structure is the sole proprietorship, where only one person is the owner and operational controller, where all the profits are retained and he is unlimited in the statutory obligations or liabilities. A partnership on the other hand implies the joint participation of two or more people who solely own the business, share in the administration of the business and equally share the profits, and the liability provisions of the partnership usually reflect those liabilities of the sole trader unless the partnership is structured as a limited liability partnership (LLP) (Peráček &amp; Kaššaj, 2023). The limited liability company (Ltd) is a separate entity that is not identical to its shareholders and thus gives limited liability to its owners and imposes stricter reporting obligations that are supervised by the Companies House. Franchising is the chance given to the entrepreneurs to utilize the identity of a developed brand with proven business model, operations and branding resources in exchange of set fees and royalty. Companies whose operations mostly rely on digital mediums, commonly known as the online business, often enjoy lower overheads and expanded market access, although huge digital </w:t>
      </w:r>
      <w:r w:rsidRPr="00AA2C64">
        <w:rPr>
          <w:rFonts w:ascii="Arial" w:hAnsi="Arial" w:cs="Arial"/>
        </w:rPr>
        <w:lastRenderedPageBreak/>
        <w:t>systems are required to sustain sustainability (Abdul Ghani et al., 2022). Lastly, the social enterprises have the commitment of reinvesting part of their profits in the society or environmental projects, thus harmonizing the commercial goals with the community-oriented contribution.</w:t>
      </w:r>
    </w:p>
    <w:p w14:paraId="64F36D46" w14:textId="77777777" w:rsidR="00E21ABE" w:rsidRPr="00AA2C64" w:rsidRDefault="00E21ABE" w:rsidP="00AA2C64">
      <w:pPr>
        <w:spacing w:line="360" w:lineRule="auto"/>
        <w:rPr>
          <w:rFonts w:ascii="Arial" w:hAnsi="Arial" w:cs="Arial"/>
        </w:rPr>
      </w:pPr>
    </w:p>
    <w:p w14:paraId="22DBA8C2" w14:textId="77777777" w:rsidR="00AA2C64" w:rsidRPr="00AA2C64" w:rsidRDefault="00AA2C64" w:rsidP="00AA2C64">
      <w:pPr>
        <w:spacing w:line="360" w:lineRule="auto"/>
        <w:rPr>
          <w:rFonts w:ascii="Arial" w:hAnsi="Arial" w:cs="Arial"/>
          <w:bCs/>
          <w:i/>
        </w:rPr>
      </w:pPr>
      <w:r w:rsidRPr="00AA2C64">
        <w:rPr>
          <w:rFonts w:ascii="Arial" w:hAnsi="Arial" w:cs="Arial"/>
          <w:bCs/>
          <w:i/>
        </w:rPr>
        <w:t>Legal Structure of Purity Pressed.</w:t>
      </w:r>
    </w:p>
    <w:p w14:paraId="5FE5DA77" w14:textId="77777777" w:rsidR="00AA2C64" w:rsidRDefault="00AA2C64" w:rsidP="00AA2C64">
      <w:pPr>
        <w:spacing w:line="360" w:lineRule="auto"/>
        <w:rPr>
          <w:rFonts w:ascii="Arial" w:hAnsi="Arial" w:cs="Arial"/>
        </w:rPr>
      </w:pPr>
      <w:r w:rsidRPr="00AA2C64">
        <w:rPr>
          <w:rFonts w:ascii="Arial" w:hAnsi="Arial" w:cs="Arial"/>
        </w:rPr>
        <w:t>It is offered that Purity Pressed should be registered as a limited company (Ltd), private. This business structure provides a limited liability hence protecting person assets of its founders in case of financial hardships faced by the company. Alongside, incorporation offers credibility to the stakeholders (especially wellness partners in corporations and health-oriented retail channels) who are more likely to be interested in interacting with entities having formal legal registration. The small company form also simplifies the access to capital, be it through bank financing or venture capital infusion or government backed startup programs since investors tend to have a bias to regulated organizations where the governance and regulatory adherence are well defined. A comparison with the sole proprietorship model shows that the structure of the Ltd is ready to be scaled, whereas a partnership structure can introduce complications in decision-making procedures and accountability systems. Despite the opportunity to pursue franchising in the future, the first option of the limited company formation provides the best balance between risk management, growth potential, and operational validity.</w:t>
      </w:r>
    </w:p>
    <w:p w14:paraId="6C284155" w14:textId="77777777" w:rsidR="00E21ABE" w:rsidRPr="00AA2C64" w:rsidRDefault="00E21ABE" w:rsidP="00AA2C64">
      <w:pPr>
        <w:spacing w:line="360" w:lineRule="auto"/>
        <w:rPr>
          <w:rFonts w:ascii="Arial" w:hAnsi="Arial" w:cs="Arial"/>
        </w:rPr>
      </w:pPr>
    </w:p>
    <w:p w14:paraId="0FFAE5B8" w14:textId="77777777" w:rsidR="00AA2C64" w:rsidRPr="00AA2C64" w:rsidRDefault="00AA2C64" w:rsidP="00AA2C64">
      <w:pPr>
        <w:spacing w:line="360" w:lineRule="auto"/>
        <w:rPr>
          <w:rFonts w:ascii="Arial" w:hAnsi="Arial" w:cs="Arial"/>
          <w:bCs/>
          <w:i/>
        </w:rPr>
      </w:pPr>
      <w:r w:rsidRPr="00AA2C64">
        <w:rPr>
          <w:rFonts w:ascii="Arial" w:hAnsi="Arial" w:cs="Arial"/>
          <w:bCs/>
          <w:i/>
        </w:rPr>
        <w:t>Organisational Chart and Key Roles</w:t>
      </w:r>
    </w:p>
    <w:p w14:paraId="274B7932" w14:textId="77777777" w:rsidR="00AA2C64" w:rsidRDefault="00AA2C64" w:rsidP="00AA2C64">
      <w:pPr>
        <w:spacing w:line="360" w:lineRule="auto"/>
        <w:rPr>
          <w:rFonts w:ascii="Arial" w:hAnsi="Arial" w:cs="Arial"/>
        </w:rPr>
      </w:pPr>
      <w:r w:rsidRPr="00AA2C64">
        <w:rPr>
          <w:rFonts w:ascii="Arial" w:hAnsi="Arial" w:cs="Arial"/>
        </w:rPr>
        <w:t>At launch, Purity Pressed will adopt a lean but efficient management structure to ensure smooth operations and accountability:</w:t>
      </w:r>
    </w:p>
    <w:p w14:paraId="37B371A0" w14:textId="77777777" w:rsidR="00E21ABE" w:rsidRDefault="00E21ABE" w:rsidP="00AA2C64">
      <w:pPr>
        <w:spacing w:line="360" w:lineRule="auto"/>
        <w:rPr>
          <w:rFonts w:ascii="Arial" w:hAnsi="Arial" w:cs="Arial"/>
        </w:rPr>
      </w:pPr>
    </w:p>
    <w:p w14:paraId="74AB1019" w14:textId="77777777" w:rsidR="00E21ABE" w:rsidRDefault="00E21ABE" w:rsidP="00AA2C64">
      <w:pPr>
        <w:spacing w:line="360" w:lineRule="auto"/>
        <w:rPr>
          <w:rFonts w:ascii="Arial" w:hAnsi="Arial" w:cs="Arial"/>
        </w:rPr>
      </w:pPr>
    </w:p>
    <w:p w14:paraId="3F4550AF" w14:textId="77777777" w:rsidR="00E21ABE" w:rsidRDefault="00E21ABE" w:rsidP="00AA2C64">
      <w:pPr>
        <w:spacing w:line="360" w:lineRule="auto"/>
        <w:rPr>
          <w:rFonts w:ascii="Arial" w:hAnsi="Arial" w:cs="Arial"/>
        </w:rPr>
      </w:pPr>
    </w:p>
    <w:p w14:paraId="4E490EEE" w14:textId="77777777" w:rsidR="00E21ABE" w:rsidRPr="00AA2C64" w:rsidRDefault="00E21ABE" w:rsidP="00AA2C64">
      <w:pPr>
        <w:spacing w:line="360" w:lineRule="auto"/>
        <w:rPr>
          <w:rFonts w:ascii="Arial" w:hAnsi="Arial" w:cs="Arial"/>
        </w:rPr>
      </w:pPr>
    </w:p>
    <w:p w14:paraId="4C3B1D86" w14:textId="0C2593E8" w:rsidR="00AA2C64" w:rsidRPr="00AA2C64" w:rsidRDefault="00AA2C64" w:rsidP="00E21ABE">
      <w:pPr>
        <w:spacing w:line="360" w:lineRule="auto"/>
        <w:jc w:val="center"/>
        <w:rPr>
          <w:rFonts w:ascii="Arial" w:hAnsi="Arial" w:cs="Arial"/>
        </w:rPr>
      </w:pPr>
      <w:r w:rsidRPr="00AA2C64">
        <w:rPr>
          <w:rFonts w:ascii="Arial" w:hAnsi="Arial" w:cs="Arial"/>
        </w:rPr>
        <w:lastRenderedPageBreak/>
        <w:t>Managing Director (Founder)</w:t>
      </w:r>
    </w:p>
    <w:p w14:paraId="7AE7BEDD" w14:textId="51A6AF15" w:rsidR="00AA2C64" w:rsidRPr="00AA2C64" w:rsidRDefault="00AA2C64" w:rsidP="00E21ABE">
      <w:pPr>
        <w:spacing w:line="360" w:lineRule="auto"/>
        <w:jc w:val="center"/>
        <w:rPr>
          <w:rFonts w:ascii="Arial" w:hAnsi="Arial" w:cs="Arial"/>
        </w:rPr>
      </w:pPr>
      <w:r w:rsidRPr="00AA2C64">
        <w:rPr>
          <w:rFonts w:ascii="Arial" w:hAnsi="Arial" w:cs="Arial"/>
        </w:rPr>
        <w:t>┌────────────────────</w:t>
      </w:r>
      <w:r w:rsidRPr="00AA2C64">
        <w:rPr>
          <w:rFonts w:ascii="Arial" w:eastAsia="MS Gothic" w:hAnsi="Arial" w:cs="Arial"/>
        </w:rPr>
        <w:t>┼</w:t>
      </w:r>
      <w:r w:rsidRPr="00AA2C64">
        <w:rPr>
          <w:rFonts w:ascii="Arial" w:hAnsi="Arial" w:cs="Arial"/>
        </w:rPr>
        <w:t>────────────────────┐</w:t>
      </w:r>
    </w:p>
    <w:p w14:paraId="27922C95" w14:textId="7C574060" w:rsidR="00AA2C64" w:rsidRPr="00AA2C64" w:rsidRDefault="00AA2C64" w:rsidP="00E21ABE">
      <w:pPr>
        <w:spacing w:line="360" w:lineRule="auto"/>
        <w:jc w:val="center"/>
        <w:rPr>
          <w:rFonts w:ascii="Arial" w:hAnsi="Arial" w:cs="Arial"/>
        </w:rPr>
      </w:pPr>
      <w:r w:rsidRPr="00AA2C64">
        <w:rPr>
          <w:rFonts w:ascii="Arial" w:hAnsi="Arial" w:cs="Arial"/>
        </w:rPr>
        <w:t xml:space="preserve">│ </w:t>
      </w:r>
      <w:r w:rsidR="00E21ABE">
        <w:rPr>
          <w:rFonts w:ascii="Arial" w:hAnsi="Arial" w:cs="Arial"/>
        </w:rPr>
        <w:t xml:space="preserve">               </w:t>
      </w:r>
      <w:r w:rsidRPr="00AA2C64">
        <w:rPr>
          <w:rFonts w:ascii="Arial" w:hAnsi="Arial" w:cs="Arial"/>
        </w:rPr>
        <w:t xml:space="preserve">                   │                                  │</w:t>
      </w:r>
    </w:p>
    <w:p w14:paraId="2DC51331" w14:textId="21FB7F86" w:rsidR="00AA2C64" w:rsidRPr="00AA2C64" w:rsidRDefault="00AA2C64" w:rsidP="00E21ABE">
      <w:pPr>
        <w:spacing w:line="360" w:lineRule="auto"/>
        <w:jc w:val="center"/>
        <w:rPr>
          <w:rFonts w:ascii="Arial" w:hAnsi="Arial" w:cs="Arial"/>
        </w:rPr>
      </w:pPr>
      <w:r w:rsidRPr="00AA2C64">
        <w:rPr>
          <w:rFonts w:ascii="Arial" w:hAnsi="Arial" w:cs="Arial"/>
        </w:rPr>
        <w:t xml:space="preserve">Operations Manager   </w:t>
      </w:r>
      <w:r w:rsidR="00E21ABE">
        <w:rPr>
          <w:rFonts w:ascii="Arial" w:hAnsi="Arial" w:cs="Arial"/>
        </w:rPr>
        <w:t xml:space="preserve">           </w:t>
      </w:r>
      <w:r w:rsidRPr="00AA2C64">
        <w:rPr>
          <w:rFonts w:ascii="Arial" w:hAnsi="Arial" w:cs="Arial"/>
        </w:rPr>
        <w:t xml:space="preserve">Marketing Manager  </w:t>
      </w:r>
      <w:r w:rsidR="00E21ABE">
        <w:rPr>
          <w:rFonts w:ascii="Arial" w:hAnsi="Arial" w:cs="Arial"/>
        </w:rPr>
        <w:t xml:space="preserve">    </w:t>
      </w:r>
      <w:r w:rsidRPr="00AA2C64">
        <w:rPr>
          <w:rFonts w:ascii="Arial" w:hAnsi="Arial" w:cs="Arial"/>
        </w:rPr>
        <w:t xml:space="preserve">  Finance &amp; Admin Officer</w:t>
      </w:r>
    </w:p>
    <w:p w14:paraId="7C7E0814" w14:textId="7BC1B76C" w:rsidR="00AA2C64" w:rsidRPr="00AA2C64" w:rsidRDefault="00AA2C64" w:rsidP="00E21ABE">
      <w:pPr>
        <w:spacing w:line="360" w:lineRule="auto"/>
        <w:jc w:val="center"/>
        <w:rPr>
          <w:rFonts w:ascii="Arial" w:hAnsi="Arial" w:cs="Arial"/>
        </w:rPr>
      </w:pPr>
      <w:r w:rsidRPr="00AA2C64">
        <w:rPr>
          <w:rFonts w:ascii="Arial" w:hAnsi="Arial" w:cs="Arial"/>
        </w:rPr>
        <w:t xml:space="preserve">│        </w:t>
      </w:r>
      <w:r w:rsidR="00E21ABE">
        <w:rPr>
          <w:rFonts w:ascii="Arial" w:hAnsi="Arial" w:cs="Arial"/>
        </w:rPr>
        <w:t xml:space="preserve">                </w:t>
      </w:r>
      <w:r w:rsidRPr="00AA2C64">
        <w:rPr>
          <w:rFonts w:ascii="Arial" w:hAnsi="Arial" w:cs="Arial"/>
        </w:rPr>
        <w:t xml:space="preserve">           │                                 </w:t>
      </w:r>
      <w:r w:rsidR="00E21ABE">
        <w:rPr>
          <w:rFonts w:ascii="Arial" w:hAnsi="Arial" w:cs="Arial"/>
        </w:rPr>
        <w:t xml:space="preserve"> </w:t>
      </w:r>
      <w:r w:rsidRPr="00AA2C64">
        <w:rPr>
          <w:rFonts w:ascii="Arial" w:hAnsi="Arial" w:cs="Arial"/>
        </w:rPr>
        <w:t>│</w:t>
      </w:r>
    </w:p>
    <w:p w14:paraId="0A08D9D6" w14:textId="7DD2B692" w:rsidR="00AA2C64" w:rsidRPr="00AA2C64" w:rsidRDefault="00AA2C64" w:rsidP="00E21ABE">
      <w:pPr>
        <w:spacing w:line="360" w:lineRule="auto"/>
        <w:jc w:val="center"/>
        <w:rPr>
          <w:rFonts w:ascii="Arial" w:hAnsi="Arial" w:cs="Arial"/>
        </w:rPr>
      </w:pPr>
      <w:r w:rsidRPr="00AA2C64">
        <w:rPr>
          <w:rFonts w:ascii="Arial" w:hAnsi="Arial" w:cs="Arial"/>
        </w:rPr>
        <w:t xml:space="preserve">Production Staff </w:t>
      </w:r>
      <w:r w:rsidR="00E21ABE">
        <w:rPr>
          <w:rFonts w:ascii="Arial" w:hAnsi="Arial" w:cs="Arial"/>
        </w:rPr>
        <w:t>&amp; Logistics</w:t>
      </w:r>
      <w:r w:rsidRPr="00AA2C64">
        <w:rPr>
          <w:rFonts w:ascii="Arial" w:hAnsi="Arial" w:cs="Arial"/>
        </w:rPr>
        <w:t xml:space="preserve">    Digital Marketing </w:t>
      </w:r>
      <w:r w:rsidR="00E21ABE">
        <w:rPr>
          <w:rFonts w:ascii="Arial" w:hAnsi="Arial" w:cs="Arial"/>
        </w:rPr>
        <w:t>Coordinator</w:t>
      </w:r>
      <w:r w:rsidR="00E21ABE" w:rsidRPr="00AA2C64">
        <w:rPr>
          <w:rFonts w:ascii="Arial" w:hAnsi="Arial" w:cs="Arial"/>
        </w:rPr>
        <w:t xml:space="preserve"> </w:t>
      </w:r>
      <w:r w:rsidR="00E21ABE">
        <w:rPr>
          <w:rFonts w:ascii="Arial" w:hAnsi="Arial" w:cs="Arial"/>
        </w:rPr>
        <w:t xml:space="preserve">   </w:t>
      </w:r>
      <w:r w:rsidR="00E21ABE" w:rsidRPr="00AA2C64">
        <w:rPr>
          <w:rFonts w:ascii="Arial" w:hAnsi="Arial" w:cs="Arial"/>
        </w:rPr>
        <w:t>Bookkeeping</w:t>
      </w:r>
      <w:r w:rsidRPr="00AA2C64">
        <w:rPr>
          <w:rFonts w:ascii="Arial" w:hAnsi="Arial" w:cs="Arial"/>
        </w:rPr>
        <w:t>/Payroll</w:t>
      </w:r>
    </w:p>
    <w:p w14:paraId="6E3179DC" w14:textId="77777777" w:rsidR="00AA2C64" w:rsidRPr="00AA2C64" w:rsidRDefault="00AA2C64" w:rsidP="00AA2C64">
      <w:pPr>
        <w:spacing w:line="360" w:lineRule="auto"/>
        <w:rPr>
          <w:rFonts w:ascii="Arial" w:hAnsi="Arial" w:cs="Arial"/>
        </w:rPr>
      </w:pPr>
    </w:p>
    <w:p w14:paraId="7B1CE5EE"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Managing Director</w:t>
      </w:r>
      <w:r w:rsidRPr="00AA2C64">
        <w:rPr>
          <w:rFonts w:ascii="Arial" w:hAnsi="Arial" w:cs="Arial"/>
        </w:rPr>
        <w:t>: Oversees strategy, partnerships, and compliance.</w:t>
      </w:r>
    </w:p>
    <w:p w14:paraId="1EADC2CA"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Operations Manager</w:t>
      </w:r>
      <w:r w:rsidRPr="00AA2C64">
        <w:rPr>
          <w:rFonts w:ascii="Arial" w:hAnsi="Arial" w:cs="Arial"/>
        </w:rPr>
        <w:t>: Responsible for production, supply chain, and quality assurance.</w:t>
      </w:r>
    </w:p>
    <w:p w14:paraId="0B168572"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Marketing Manager</w:t>
      </w:r>
      <w:r w:rsidRPr="00AA2C64">
        <w:rPr>
          <w:rFonts w:ascii="Arial" w:hAnsi="Arial" w:cs="Arial"/>
        </w:rPr>
        <w:t>: Leads branding, campaigns, and influencer partnerships.</w:t>
      </w:r>
    </w:p>
    <w:p w14:paraId="7A0A1385"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Finance &amp; Admin Officer</w:t>
      </w:r>
      <w:r w:rsidRPr="00AA2C64">
        <w:rPr>
          <w:rFonts w:ascii="Arial" w:hAnsi="Arial" w:cs="Arial"/>
        </w:rPr>
        <w:t>: Handles financial reporting, payroll, and regulatory filings.</w:t>
      </w:r>
    </w:p>
    <w:p w14:paraId="6F9BBC7D"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Production &amp; Logistics Staff</w:t>
      </w:r>
      <w:r w:rsidRPr="00AA2C64">
        <w:rPr>
          <w:rFonts w:ascii="Arial" w:hAnsi="Arial" w:cs="Arial"/>
        </w:rPr>
        <w:t>: Ensure daily production, packaging, and delivery.</w:t>
      </w:r>
    </w:p>
    <w:p w14:paraId="449B0C42" w14:textId="77777777" w:rsidR="00AA2C64" w:rsidRPr="00AA2C64" w:rsidRDefault="00AA2C64" w:rsidP="00AA2C64">
      <w:pPr>
        <w:numPr>
          <w:ilvl w:val="0"/>
          <w:numId w:val="1"/>
        </w:numPr>
        <w:spacing w:line="360" w:lineRule="auto"/>
        <w:rPr>
          <w:rFonts w:ascii="Arial" w:hAnsi="Arial" w:cs="Arial"/>
        </w:rPr>
      </w:pPr>
      <w:r w:rsidRPr="00AA2C64">
        <w:rPr>
          <w:rFonts w:ascii="Arial" w:hAnsi="Arial" w:cs="Arial"/>
          <w:b/>
          <w:bCs/>
        </w:rPr>
        <w:t>Digital Marketing Coordinator</w:t>
      </w:r>
      <w:r w:rsidRPr="00AA2C64">
        <w:rPr>
          <w:rFonts w:ascii="Arial" w:hAnsi="Arial" w:cs="Arial"/>
        </w:rPr>
        <w:t>: Supports social media, SEO, and customer engagement.</w:t>
      </w:r>
    </w:p>
    <w:p w14:paraId="0B321BC4" w14:textId="77777777" w:rsidR="00AA2C64" w:rsidRPr="00AA2C64" w:rsidRDefault="00AA2C64" w:rsidP="00AA2C64">
      <w:pPr>
        <w:spacing w:line="360" w:lineRule="auto"/>
        <w:rPr>
          <w:rFonts w:ascii="Arial" w:hAnsi="Arial" w:cs="Arial"/>
        </w:rPr>
      </w:pPr>
      <w:r w:rsidRPr="00AA2C64">
        <w:rPr>
          <w:rFonts w:ascii="Arial" w:hAnsi="Arial" w:cs="Arial"/>
        </w:rPr>
        <w:t>This structure allows clarity in responsibilities while maintaining flexibility as the business grows</w:t>
      </w:r>
    </w:p>
    <w:p w14:paraId="1C5FF53D" w14:textId="77777777" w:rsidR="00AA2C64" w:rsidRPr="00AA2C64" w:rsidRDefault="00AA2C64" w:rsidP="00AA2C64">
      <w:pPr>
        <w:spacing w:line="360" w:lineRule="auto"/>
        <w:rPr>
          <w:rFonts w:ascii="Arial" w:hAnsi="Arial" w:cs="Arial"/>
          <w:bCs/>
          <w:i/>
        </w:rPr>
      </w:pPr>
      <w:r w:rsidRPr="00AA2C64">
        <w:rPr>
          <w:rFonts w:ascii="Arial" w:hAnsi="Arial" w:cs="Arial"/>
          <w:bCs/>
          <w:i/>
        </w:rPr>
        <w:t>Financial Planning and Start-Up Costs</w:t>
      </w:r>
    </w:p>
    <w:p w14:paraId="284FE021" w14:textId="77777777" w:rsidR="00AA2C64" w:rsidRPr="00AA2C64" w:rsidRDefault="00AA2C64" w:rsidP="00AA2C64">
      <w:pPr>
        <w:spacing w:line="360" w:lineRule="auto"/>
        <w:rPr>
          <w:rFonts w:ascii="Arial" w:hAnsi="Arial" w:cs="Arial"/>
        </w:rPr>
      </w:pPr>
      <w:r w:rsidRPr="00AA2C64">
        <w:rPr>
          <w:rFonts w:ascii="Arial" w:hAnsi="Arial" w:cs="Arial"/>
        </w:rPr>
        <w:t>The initial capital requirement is mainly focused on the purchase of the high-pressure processing (HPP) equipment, obtaining raw materials, development of packaging solutions, marketing strategies implementation, and ensuring the adherence to the developed food safety rules. The estimated start-up costs are as shown below:</w:t>
      </w:r>
    </w:p>
    <w:tbl>
      <w:tblPr>
        <w:tblStyle w:val="GridTable4-Accent3"/>
        <w:tblW w:w="10632" w:type="dxa"/>
        <w:tblInd w:w="-714" w:type="dxa"/>
        <w:tblLook w:val="04A0" w:firstRow="1" w:lastRow="0" w:firstColumn="1" w:lastColumn="0" w:noHBand="0" w:noVBand="1"/>
      </w:tblPr>
      <w:tblGrid>
        <w:gridCol w:w="6422"/>
        <w:gridCol w:w="4210"/>
      </w:tblGrid>
      <w:tr w:rsidR="00AA2C64" w:rsidRPr="00AA2C64" w14:paraId="7D24230F" w14:textId="77777777" w:rsidTr="00E21ABE">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6422" w:type="dxa"/>
            <w:hideMark/>
          </w:tcPr>
          <w:p w14:paraId="1B5629F5"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lastRenderedPageBreak/>
              <w:t>Category</w:t>
            </w:r>
          </w:p>
        </w:tc>
        <w:tc>
          <w:tcPr>
            <w:tcW w:w="4210" w:type="dxa"/>
            <w:hideMark/>
          </w:tcPr>
          <w:p w14:paraId="539458EB" w14:textId="77777777" w:rsidR="00AA2C64" w:rsidRPr="00AA2C64" w:rsidRDefault="00AA2C64" w:rsidP="00AA2C6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Estimated Cost (£)</w:t>
            </w:r>
          </w:p>
        </w:tc>
      </w:tr>
      <w:tr w:rsidR="00AA2C64" w:rsidRPr="00AA2C64" w14:paraId="00708F8F" w14:textId="77777777" w:rsidTr="00E21ABE">
        <w:trPr>
          <w:cnfStyle w:val="000000100000" w:firstRow="0" w:lastRow="0" w:firstColumn="0" w:lastColumn="0" w:oddVBand="0" w:evenVBand="0" w:oddHBand="1" w:evenHBand="0" w:firstRowFirstColumn="0" w:firstRowLastColumn="0" w:lastRowFirstColumn="0" w:lastRowLastColumn="0"/>
          <w:trHeight w:val="695"/>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E61E1AB"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HPP Machine (leased/outsourced)</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C1B5AA0"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60,000</w:t>
            </w:r>
          </w:p>
        </w:tc>
      </w:tr>
      <w:tr w:rsidR="00AA2C64" w:rsidRPr="00AA2C64" w14:paraId="65C5F6FE" w14:textId="77777777" w:rsidTr="00E21ABE">
        <w:trPr>
          <w:trHeight w:val="705"/>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94015D8"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Commercial Kitchen &amp; Equipment</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A9308D1"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25,000</w:t>
            </w:r>
          </w:p>
        </w:tc>
      </w:tr>
      <w:tr w:rsidR="00AA2C64" w:rsidRPr="00AA2C64" w14:paraId="1A9070A5" w14:textId="77777777" w:rsidTr="00E21ABE">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6A14988"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Initial Raw Materials &amp; Packaging</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48EEFC0"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10,000</w:t>
            </w:r>
          </w:p>
        </w:tc>
      </w:tr>
      <w:tr w:rsidR="00AA2C64" w:rsidRPr="00AA2C64" w14:paraId="653A4B47" w14:textId="77777777" w:rsidTr="00E21ABE">
        <w:trPr>
          <w:trHeight w:val="710"/>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23E1FE4"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Branding &amp; Marketing Campaigns</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45A3F47"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15,000</w:t>
            </w:r>
          </w:p>
        </w:tc>
      </w:tr>
      <w:tr w:rsidR="00AA2C64" w:rsidRPr="00AA2C64" w14:paraId="7D6064F9" w14:textId="77777777" w:rsidTr="00E21ABE">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0866BD63"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Website &amp; E-commerce Platform</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87C233A"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5,000</w:t>
            </w:r>
          </w:p>
        </w:tc>
      </w:tr>
      <w:tr w:rsidR="00AA2C64" w:rsidRPr="00AA2C64" w14:paraId="431FEBDD" w14:textId="77777777" w:rsidTr="00E21ABE">
        <w:trPr>
          <w:trHeight w:val="702"/>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60E9CCA"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Licensing, Certifications, Legal</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9A1E6CC"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lang w:val="en-US"/>
              </w:rPr>
              <w:t>5,000</w:t>
            </w:r>
          </w:p>
        </w:tc>
      </w:tr>
      <w:tr w:rsidR="00AA2C64" w:rsidRPr="00AA2C64" w14:paraId="1C510F3B" w14:textId="77777777" w:rsidTr="00E21ABE">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AA84943"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Working Capital (first 6 months)</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50F7038" w14:textId="77777777" w:rsidR="00AA2C64" w:rsidRPr="00AA2C64" w:rsidRDefault="00AA2C64" w:rsidP="00AA2C6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A2C64">
              <w:rPr>
                <w:rFonts w:ascii="Arial" w:hAnsi="Arial" w:cs="Arial"/>
                <w:lang w:val="en-US"/>
              </w:rPr>
              <w:t>30,000</w:t>
            </w:r>
          </w:p>
        </w:tc>
      </w:tr>
      <w:tr w:rsidR="00AA2C64" w:rsidRPr="00AA2C64" w14:paraId="5109C416" w14:textId="77777777" w:rsidTr="00E21ABE">
        <w:trPr>
          <w:trHeight w:val="708"/>
        </w:trPr>
        <w:tc>
          <w:tcPr>
            <w:cnfStyle w:val="001000000000" w:firstRow="0" w:lastRow="0" w:firstColumn="1" w:lastColumn="0" w:oddVBand="0" w:evenVBand="0" w:oddHBand="0" w:evenHBand="0" w:firstRowFirstColumn="0" w:firstRowLastColumn="0" w:lastRowFirstColumn="0" w:lastRowLastColumn="0"/>
            <w:tcW w:w="6422"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CC1F9B6" w14:textId="77777777" w:rsidR="00AA2C64" w:rsidRPr="00AA2C64" w:rsidRDefault="00AA2C64" w:rsidP="00AA2C64">
            <w:pPr>
              <w:spacing w:after="160" w:line="360" w:lineRule="auto"/>
              <w:rPr>
                <w:rFonts w:ascii="Arial" w:hAnsi="Arial" w:cs="Arial"/>
                <w:lang w:val="en-US"/>
              </w:rPr>
            </w:pPr>
            <w:r w:rsidRPr="00AA2C64">
              <w:rPr>
                <w:rFonts w:ascii="Arial" w:hAnsi="Arial" w:cs="Arial"/>
                <w:lang w:val="en-US"/>
              </w:rPr>
              <w:t>Total Estimated Requirement</w:t>
            </w:r>
          </w:p>
        </w:tc>
        <w:tc>
          <w:tcPr>
            <w:tcW w:w="4210" w:type="dxa"/>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895AC8E" w14:textId="77777777" w:rsidR="00AA2C64" w:rsidRPr="00AA2C64" w:rsidRDefault="00AA2C64" w:rsidP="00AA2C6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A2C64">
              <w:rPr>
                <w:rFonts w:ascii="Arial" w:hAnsi="Arial" w:cs="Arial"/>
                <w:b/>
                <w:bCs/>
                <w:lang w:val="en-US"/>
              </w:rPr>
              <w:t>150,000</w:t>
            </w:r>
          </w:p>
        </w:tc>
      </w:tr>
    </w:tbl>
    <w:p w14:paraId="7EB46D89" w14:textId="77777777" w:rsidR="00AA2C64" w:rsidRPr="00AA2C64" w:rsidRDefault="00AA2C64" w:rsidP="00AA2C64">
      <w:pPr>
        <w:spacing w:line="360" w:lineRule="auto"/>
        <w:rPr>
          <w:rFonts w:ascii="Arial" w:hAnsi="Arial" w:cs="Arial"/>
        </w:rPr>
      </w:pPr>
    </w:p>
    <w:p w14:paraId="6ADB1009" w14:textId="77777777" w:rsidR="00AA2C64" w:rsidRPr="00AA2C64" w:rsidRDefault="00AA2C64" w:rsidP="00AA2C64">
      <w:pPr>
        <w:spacing w:line="360" w:lineRule="auto"/>
        <w:rPr>
          <w:rFonts w:ascii="Arial" w:hAnsi="Arial" w:cs="Arial"/>
          <w:bCs/>
          <w:i/>
        </w:rPr>
      </w:pPr>
      <w:r w:rsidRPr="00AA2C64">
        <w:rPr>
          <w:rFonts w:ascii="Arial" w:hAnsi="Arial" w:cs="Arial"/>
          <w:bCs/>
          <w:i/>
        </w:rPr>
        <w:t>Funding Sources</w:t>
      </w:r>
    </w:p>
    <w:p w14:paraId="71031F6E" w14:textId="77777777" w:rsidR="00AA2C64" w:rsidRPr="00AA2C64" w:rsidRDefault="00AA2C64" w:rsidP="00AA2C64">
      <w:pPr>
        <w:spacing w:line="360" w:lineRule="auto"/>
        <w:rPr>
          <w:rFonts w:ascii="Arial" w:hAnsi="Arial" w:cs="Arial"/>
        </w:rPr>
      </w:pPr>
      <w:r w:rsidRPr="00AA2C64">
        <w:rPr>
          <w:rFonts w:ascii="Arial" w:hAnsi="Arial" w:cs="Arial"/>
        </w:rPr>
        <w:t>To meet these requirements, Purity Pressed will use a mixed funding approach. A portion can be obtained through contributions by the founders and personal savings, which will show commitment to the stakeholders. Other sources of capital can be obtained with the help of state-sponsored programs like the Start-Up Loans UK that offers low-rate financing and business consultancy. More viable alternatives are provided by the angel financiers and seed-stage venture-capital companies focusing on sustainable food businesses, taking into consideration the health-and-wellness focus of the brand. Alliances with corporate wellness facilitators to be used to reinforce external financing might result in advance purchase arrangements, thus creating stream of revenue that is used to support liquidity. Finally, orders made in advance through the crowdfunding sites, especially Kickstarter, can be explored, which conforms to the tastes of the wellness community to be early adopters and brand promoters.</w:t>
      </w:r>
    </w:p>
    <w:p w14:paraId="1FD9AA09" w14:textId="77777777" w:rsidR="00AA2C64" w:rsidRDefault="00AA2C64" w:rsidP="00AA2C64">
      <w:pPr>
        <w:spacing w:line="360" w:lineRule="auto"/>
        <w:rPr>
          <w:rFonts w:ascii="Arial" w:hAnsi="Arial" w:cs="Arial"/>
        </w:rPr>
      </w:pPr>
    </w:p>
    <w:p w14:paraId="07498AFC" w14:textId="77777777" w:rsidR="00E21ABE" w:rsidRDefault="00E21ABE" w:rsidP="00AA2C64">
      <w:pPr>
        <w:spacing w:line="360" w:lineRule="auto"/>
        <w:rPr>
          <w:rFonts w:ascii="Arial" w:hAnsi="Arial" w:cs="Arial"/>
        </w:rPr>
      </w:pPr>
    </w:p>
    <w:p w14:paraId="0456DF47" w14:textId="77777777" w:rsidR="00E21ABE" w:rsidRPr="00E21ABE" w:rsidRDefault="00E21ABE" w:rsidP="00E21ABE">
      <w:pPr>
        <w:spacing w:line="360" w:lineRule="auto"/>
        <w:rPr>
          <w:rFonts w:ascii="Arial" w:hAnsi="Arial" w:cs="Arial"/>
          <w:b/>
          <w:u w:val="single"/>
        </w:rPr>
      </w:pPr>
      <w:bookmarkStart w:id="0" w:name="_Hlk210159510"/>
      <w:r w:rsidRPr="00E21ABE">
        <w:rPr>
          <w:rFonts w:ascii="Arial" w:hAnsi="Arial" w:cs="Arial"/>
          <w:b/>
          <w:u w:val="single"/>
        </w:rPr>
        <w:lastRenderedPageBreak/>
        <w:t>References</w:t>
      </w:r>
    </w:p>
    <w:bookmarkEnd w:id="0"/>
    <w:p w14:paraId="13C04930"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Abdul Ghani, M. F., Hizam-Hanafiah, M., Mat Isa, R., &amp; Abd Hamid, H. (2022). A Preliminary Study: Exploring Franchising Growth Factors of Franchisor and Franchisee. </w:t>
      </w:r>
      <w:r w:rsidRPr="00E21ABE">
        <w:rPr>
          <w:rFonts w:ascii="Arial" w:hAnsi="Arial" w:cs="Arial"/>
          <w:i/>
          <w:iCs/>
          <w:lang w:val="en-US"/>
        </w:rPr>
        <w:t>Journal of Open Innovation: Technology, Market, and Complexity</w:t>
      </w:r>
      <w:r w:rsidRPr="00E21ABE">
        <w:rPr>
          <w:rFonts w:ascii="Arial" w:hAnsi="Arial" w:cs="Arial"/>
          <w:lang w:val="en-US"/>
        </w:rPr>
        <w:t xml:space="preserve">, </w:t>
      </w:r>
      <w:r w:rsidRPr="00E21ABE">
        <w:rPr>
          <w:rFonts w:ascii="Arial" w:hAnsi="Arial" w:cs="Arial"/>
          <w:i/>
          <w:iCs/>
          <w:lang w:val="en-US"/>
        </w:rPr>
        <w:t>8</w:t>
      </w:r>
      <w:r w:rsidRPr="00E21ABE">
        <w:rPr>
          <w:rFonts w:ascii="Arial" w:hAnsi="Arial" w:cs="Arial"/>
          <w:lang w:val="en-US"/>
        </w:rPr>
        <w:t>(3), 138.</w:t>
      </w:r>
    </w:p>
    <w:p w14:paraId="52C47839" w14:textId="77777777" w:rsidR="00E21ABE" w:rsidRPr="00E21ABE" w:rsidRDefault="00E21ABE" w:rsidP="00E21ABE">
      <w:pPr>
        <w:spacing w:line="360" w:lineRule="auto"/>
        <w:rPr>
          <w:rFonts w:ascii="Arial" w:hAnsi="Arial" w:cs="Arial"/>
        </w:rPr>
      </w:pPr>
      <w:r w:rsidRPr="00E21ABE">
        <w:rPr>
          <w:rFonts w:ascii="Arial" w:hAnsi="Arial" w:cs="Arial"/>
        </w:rPr>
        <w:t>Alalwan, T. A. (2025). Consumer Psychology in Functional Beverages: From Nutritional Awareness to Habit Formation. </w:t>
      </w:r>
      <w:r w:rsidRPr="00E21ABE">
        <w:rPr>
          <w:rFonts w:ascii="Arial" w:hAnsi="Arial" w:cs="Arial"/>
          <w:i/>
          <w:iCs/>
        </w:rPr>
        <w:t>Beverages</w:t>
      </w:r>
      <w:r w:rsidRPr="00E21ABE">
        <w:rPr>
          <w:rFonts w:ascii="Arial" w:hAnsi="Arial" w:cs="Arial"/>
        </w:rPr>
        <w:t>, </w:t>
      </w:r>
      <w:r w:rsidRPr="00E21ABE">
        <w:rPr>
          <w:rFonts w:ascii="Arial" w:hAnsi="Arial" w:cs="Arial"/>
          <w:i/>
          <w:iCs/>
        </w:rPr>
        <w:t>11</w:t>
      </w:r>
      <w:r w:rsidRPr="00E21ABE">
        <w:rPr>
          <w:rFonts w:ascii="Arial" w:hAnsi="Arial" w:cs="Arial"/>
        </w:rPr>
        <w:t>(5), 126.</w:t>
      </w:r>
    </w:p>
    <w:p w14:paraId="56450EFA"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Allied Market Research. (2021) </w:t>
      </w:r>
      <w:r w:rsidRPr="00E21ABE">
        <w:rPr>
          <w:rFonts w:ascii="Arial" w:hAnsi="Arial" w:cs="Arial"/>
          <w:i/>
          <w:lang w:val="en-US"/>
        </w:rPr>
        <w:t>High-Pressure Processing Equipment Market Size, Share, Competitive Landscape and Trend Analysis Report, by Orientation Type (Horizontal and Vertical), Application (Fruits and Vegetables, Seafood and Meat, Juice and Beverages, and Others), Vessel Volume (Less Than 100 L, 100-500 L, and More Than 500 L), and End User (Food and Beverages Industry and Pharma and Cosmetics Industry): Global Opportunity Analysis and Industry Forecast, 2021-2030.</w:t>
      </w:r>
      <w:r w:rsidRPr="00E21ABE">
        <w:rPr>
          <w:rFonts w:ascii="Arial" w:hAnsi="Arial" w:cs="Arial"/>
          <w:lang w:val="en-US"/>
        </w:rPr>
        <w:t xml:space="preserve"> Available at: </w:t>
      </w:r>
      <w:hyperlink r:id="rId10" w:history="1">
        <w:r w:rsidRPr="00E21ABE">
          <w:rPr>
            <w:rStyle w:val="Hyperlink"/>
            <w:rFonts w:ascii="Arial" w:hAnsi="Arial" w:cs="Arial"/>
            <w:lang w:val="en-US"/>
          </w:rPr>
          <w:t>https://www.alliedmarketresearch.com/high-pressure-processing-equipment-market</w:t>
        </w:r>
      </w:hyperlink>
      <w:r w:rsidRPr="00E21ABE">
        <w:rPr>
          <w:rFonts w:ascii="Arial" w:hAnsi="Arial" w:cs="Arial"/>
          <w:lang w:val="en-US"/>
        </w:rPr>
        <w:t xml:space="preserve"> (Accessed on: 25</w:t>
      </w:r>
      <w:r w:rsidRPr="00E21ABE">
        <w:rPr>
          <w:rFonts w:ascii="Arial" w:hAnsi="Arial" w:cs="Arial"/>
          <w:vertAlign w:val="superscript"/>
          <w:lang w:val="en-US"/>
        </w:rPr>
        <w:t>th</w:t>
      </w:r>
      <w:r w:rsidRPr="00E21ABE">
        <w:rPr>
          <w:rFonts w:ascii="Arial" w:hAnsi="Arial" w:cs="Arial"/>
          <w:lang w:val="en-US"/>
        </w:rPr>
        <w:t xml:space="preserve"> September 2025)</w:t>
      </w:r>
    </w:p>
    <w:p w14:paraId="325C78B8" w14:textId="77777777" w:rsidR="00E21ABE" w:rsidRPr="00E21ABE" w:rsidRDefault="00E21ABE" w:rsidP="00E21ABE">
      <w:pPr>
        <w:spacing w:line="360" w:lineRule="auto"/>
        <w:rPr>
          <w:rFonts w:ascii="Arial" w:hAnsi="Arial" w:cs="Arial"/>
        </w:rPr>
      </w:pPr>
      <w:r w:rsidRPr="00E21ABE">
        <w:rPr>
          <w:rFonts w:ascii="Arial" w:hAnsi="Arial" w:cs="Arial"/>
        </w:rPr>
        <w:t xml:space="preserve">Consultancy. (2021) Third of consumers willing to pay more for sustainable products. Available at: </w:t>
      </w:r>
      <w:hyperlink r:id="rId11" w:history="1">
        <w:r w:rsidRPr="00E21ABE">
          <w:rPr>
            <w:rStyle w:val="Hyperlink"/>
            <w:rFonts w:ascii="Arial" w:hAnsi="Arial" w:cs="Arial"/>
          </w:rPr>
          <w:t>https://www.consultancy.uk/news/29424/third-of-consumers-willing-to-pay-more-for-sustainable-products</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208FF3E7"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Dogra, M., &amp; Grover, V. (2024). Green Marketing and Branding. </w:t>
      </w:r>
      <w:r w:rsidRPr="00E21ABE">
        <w:rPr>
          <w:rFonts w:ascii="Arial" w:hAnsi="Arial" w:cs="Arial"/>
          <w:i/>
          <w:iCs/>
          <w:lang w:val="en-US"/>
        </w:rPr>
        <w:t>Advances in Logistics, Operations, and Management Science</w:t>
      </w:r>
      <w:r w:rsidRPr="00E21ABE">
        <w:rPr>
          <w:rFonts w:ascii="Arial" w:hAnsi="Arial" w:cs="Arial"/>
          <w:lang w:val="en-US"/>
        </w:rPr>
        <w:t>, 113–128. https://doi.org/10.4018/979-8-3693-5912-9.ch005</w:t>
      </w:r>
    </w:p>
    <w:p w14:paraId="4D8C9C37"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Euromonitor. (2024) </w:t>
      </w:r>
      <w:r w:rsidRPr="00E21ABE">
        <w:rPr>
          <w:rFonts w:ascii="Arial" w:hAnsi="Arial" w:cs="Arial"/>
          <w:i/>
          <w:lang w:val="en-US"/>
        </w:rPr>
        <w:t>Juice in the United Kingdom.</w:t>
      </w:r>
      <w:r w:rsidRPr="00E21ABE">
        <w:rPr>
          <w:rFonts w:ascii="Arial" w:hAnsi="Arial" w:cs="Arial"/>
          <w:lang w:val="en-US"/>
        </w:rPr>
        <w:t xml:space="preserve"> Available at: </w:t>
      </w:r>
      <w:hyperlink r:id="rId12" w:history="1">
        <w:r w:rsidRPr="00E21ABE">
          <w:rPr>
            <w:rStyle w:val="Hyperlink"/>
            <w:rFonts w:ascii="Arial" w:hAnsi="Arial" w:cs="Arial"/>
            <w:lang w:val="en-US"/>
          </w:rPr>
          <w:t>https://www.euromonitor.com/juice-in-the-united-kingdom/report</w:t>
        </w:r>
      </w:hyperlink>
      <w:r w:rsidRPr="00E21ABE">
        <w:rPr>
          <w:rFonts w:ascii="Arial" w:hAnsi="Arial" w:cs="Arial"/>
          <w:lang w:val="en-US"/>
        </w:rPr>
        <w:t xml:space="preserve"> (Accessed on: 25</w:t>
      </w:r>
      <w:r w:rsidRPr="00E21ABE">
        <w:rPr>
          <w:rFonts w:ascii="Arial" w:hAnsi="Arial" w:cs="Arial"/>
          <w:vertAlign w:val="superscript"/>
          <w:lang w:val="en-US"/>
        </w:rPr>
        <w:t>th</w:t>
      </w:r>
      <w:r w:rsidRPr="00E21ABE">
        <w:rPr>
          <w:rFonts w:ascii="Arial" w:hAnsi="Arial" w:cs="Arial"/>
          <w:lang w:val="en-US"/>
        </w:rPr>
        <w:t xml:space="preserve"> September 2025)</w:t>
      </w:r>
    </w:p>
    <w:p w14:paraId="2651C5C5"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Gabellini, S., &amp; Scaramuzzi, S. (2022). Evolving Consumption Trends, Marketing Strategies, and Governance Settings in Ornamental Horticulture: A Grey Literature Review. </w:t>
      </w:r>
      <w:r w:rsidRPr="00E21ABE">
        <w:rPr>
          <w:rFonts w:ascii="Arial" w:hAnsi="Arial" w:cs="Arial"/>
          <w:i/>
          <w:iCs/>
          <w:lang w:val="en-US"/>
        </w:rPr>
        <w:t>Horticulturae</w:t>
      </w:r>
      <w:r w:rsidRPr="00E21ABE">
        <w:rPr>
          <w:rFonts w:ascii="Arial" w:hAnsi="Arial" w:cs="Arial"/>
          <w:lang w:val="en-US"/>
        </w:rPr>
        <w:t xml:space="preserve">, </w:t>
      </w:r>
      <w:r w:rsidRPr="00E21ABE">
        <w:rPr>
          <w:rFonts w:ascii="Arial" w:hAnsi="Arial" w:cs="Arial"/>
          <w:i/>
          <w:iCs/>
          <w:lang w:val="en-US"/>
        </w:rPr>
        <w:t>8</w:t>
      </w:r>
      <w:r w:rsidRPr="00E21ABE">
        <w:rPr>
          <w:rFonts w:ascii="Arial" w:hAnsi="Arial" w:cs="Arial"/>
          <w:lang w:val="en-US"/>
        </w:rPr>
        <w:t>(3), 234. https://doi.org/10.3390/horticulturae8030234</w:t>
      </w:r>
    </w:p>
    <w:p w14:paraId="2A1CDD9A" w14:textId="77777777" w:rsidR="00E21ABE" w:rsidRPr="00E21ABE" w:rsidRDefault="00E21ABE" w:rsidP="00E21ABE">
      <w:pPr>
        <w:spacing w:line="360" w:lineRule="auto"/>
        <w:rPr>
          <w:rFonts w:ascii="Arial" w:hAnsi="Arial" w:cs="Arial"/>
          <w:bCs/>
        </w:rPr>
      </w:pPr>
      <w:r w:rsidRPr="00E21ABE">
        <w:rPr>
          <w:rFonts w:ascii="Arial" w:hAnsi="Arial" w:cs="Arial"/>
        </w:rPr>
        <w:t xml:space="preserve">Gov.UK. (2025) </w:t>
      </w:r>
      <w:r w:rsidRPr="00E21ABE">
        <w:rPr>
          <w:rFonts w:ascii="Arial" w:hAnsi="Arial" w:cs="Arial"/>
          <w:bCs/>
        </w:rPr>
        <w:t xml:space="preserve">Horticulture statistics 2024. Available at: </w:t>
      </w:r>
      <w:hyperlink r:id="rId13" w:history="1">
        <w:r w:rsidRPr="00E21ABE">
          <w:rPr>
            <w:rStyle w:val="Hyperlink"/>
            <w:rFonts w:ascii="Arial" w:hAnsi="Arial" w:cs="Arial"/>
            <w:bCs/>
          </w:rPr>
          <w:t>https://www.gov.uk/government/statistics/latest-horticulture-statistics/horticulture-statistics-2024</w:t>
        </w:r>
      </w:hyperlink>
      <w:r w:rsidRPr="00E21ABE">
        <w:rPr>
          <w:rFonts w:ascii="Arial" w:hAnsi="Arial" w:cs="Arial"/>
          <w:bCs/>
        </w:rPr>
        <w:t xml:space="preserve"> </w:t>
      </w:r>
      <w:r w:rsidRPr="00E21ABE">
        <w:rPr>
          <w:rFonts w:ascii="Arial" w:hAnsi="Arial" w:cs="Arial"/>
        </w:rPr>
        <w:t>(Accessed on: 22</w:t>
      </w:r>
      <w:r w:rsidRPr="00E21ABE">
        <w:rPr>
          <w:rFonts w:ascii="Arial" w:hAnsi="Arial" w:cs="Arial"/>
          <w:vertAlign w:val="superscript"/>
        </w:rPr>
        <w:t>nd</w:t>
      </w:r>
      <w:r w:rsidRPr="00E21ABE">
        <w:rPr>
          <w:rFonts w:ascii="Arial" w:hAnsi="Arial" w:cs="Arial"/>
        </w:rPr>
        <w:t xml:space="preserve"> September 2025)</w:t>
      </w:r>
    </w:p>
    <w:p w14:paraId="306E17EA" w14:textId="77777777" w:rsidR="00E21ABE" w:rsidRPr="00E21ABE" w:rsidRDefault="00E21ABE" w:rsidP="00E21ABE">
      <w:pPr>
        <w:spacing w:line="360" w:lineRule="auto"/>
        <w:rPr>
          <w:rFonts w:ascii="Arial" w:hAnsi="Arial" w:cs="Arial"/>
        </w:rPr>
      </w:pPr>
      <w:r w:rsidRPr="00E21ABE">
        <w:rPr>
          <w:rFonts w:ascii="Arial" w:hAnsi="Arial" w:cs="Arial"/>
        </w:rPr>
        <w:lastRenderedPageBreak/>
        <w:t xml:space="preserve">Grand View Research. (2025) Functional Drinks Market (2025 - 2030). Available at: </w:t>
      </w:r>
      <w:hyperlink r:id="rId14" w:history="1">
        <w:r w:rsidRPr="00E21ABE">
          <w:rPr>
            <w:rStyle w:val="Hyperlink"/>
            <w:rFonts w:ascii="Arial" w:hAnsi="Arial" w:cs="Arial"/>
          </w:rPr>
          <w:t>https://www.grandviewresearch.com/industry-analysis/functional-drinks-market</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0A9843FA"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Gunz, C. (2023). </w:t>
      </w:r>
      <w:r w:rsidRPr="00E21ABE">
        <w:rPr>
          <w:rFonts w:ascii="Arial" w:hAnsi="Arial" w:cs="Arial"/>
          <w:i/>
          <w:iCs/>
          <w:lang w:val="en-US"/>
        </w:rPr>
        <w:t>Key success factors for Direct-to-Consumer (D2C) Business Models in E-Commerce</w:t>
      </w:r>
      <w:r w:rsidRPr="00E21ABE">
        <w:rPr>
          <w:rFonts w:ascii="Arial" w:hAnsi="Arial" w:cs="Arial"/>
          <w:lang w:val="en-US"/>
        </w:rPr>
        <w:t>. https://opus.fhv.at/files/5085/Master_Thesis_Cedric_Gunz.pdf</w:t>
      </w:r>
    </w:p>
    <w:p w14:paraId="0E748ABE" w14:textId="77777777" w:rsidR="00E21ABE" w:rsidRPr="00E21ABE" w:rsidRDefault="00E21ABE" w:rsidP="00E21ABE">
      <w:pPr>
        <w:spacing w:line="360" w:lineRule="auto"/>
        <w:rPr>
          <w:rFonts w:ascii="Arial" w:hAnsi="Arial" w:cs="Arial"/>
        </w:rPr>
      </w:pPr>
      <w:r w:rsidRPr="00E21ABE">
        <w:rPr>
          <w:rFonts w:ascii="Arial" w:hAnsi="Arial" w:cs="Arial"/>
        </w:rPr>
        <w:t xml:space="preserve">Harapko, S. (2025) Trends in the Beverage Industry: Navigating Change and Innovation. Available at: </w:t>
      </w:r>
      <w:hyperlink r:id="rId15" w:history="1">
        <w:r w:rsidRPr="00E21ABE">
          <w:rPr>
            <w:rStyle w:val="Hyperlink"/>
            <w:rFonts w:ascii="Arial" w:hAnsi="Arial" w:cs="Arial"/>
          </w:rPr>
          <w:t>https://www.ey.com/en_us/insights/consumer-products/beverage-industry-trends-innovation-challenges-and-growth</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27FB41FD" w14:textId="77777777" w:rsidR="00E21ABE" w:rsidRPr="00E21ABE" w:rsidRDefault="00E21ABE" w:rsidP="00E21ABE">
      <w:pPr>
        <w:spacing w:line="360" w:lineRule="auto"/>
        <w:rPr>
          <w:rFonts w:ascii="Arial" w:hAnsi="Arial" w:cs="Arial"/>
        </w:rPr>
      </w:pPr>
      <w:r w:rsidRPr="00E21ABE">
        <w:rPr>
          <w:rFonts w:ascii="Arial" w:hAnsi="Arial" w:cs="Arial"/>
        </w:rPr>
        <w:t xml:space="preserve">IBIS World. (2025). Fruit Drink &amp; Functional Beverage Production in the UK - Market Size (2013–2032). Available at: </w:t>
      </w:r>
      <w:hyperlink r:id="rId16" w:history="1">
        <w:r w:rsidRPr="00E21ABE">
          <w:rPr>
            <w:rStyle w:val="Hyperlink"/>
            <w:rFonts w:ascii="Arial" w:hAnsi="Arial" w:cs="Arial"/>
          </w:rPr>
          <w:t>https://www.ibisworld.com/united-kingdom/market-size/fruit-drink-functional-beverage-production/692</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6D1F4BC4"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Jones, B. L., Orton, A. L., Tindall, S. W., Christensen, J. T., Enosakhare, O., Russell, K. A., Robins, A.-M., Larriviere-McCarl, A., Sandres, J., Cox, B., Thomas, C., &amp; Reynolds, C. (2023). Barriers to Healthy Family Dinners and Preventing Child Obesity: Focus Group Discussions with Parents of 5-to-8-Year-Old Children. </w:t>
      </w:r>
      <w:r w:rsidRPr="00E21ABE">
        <w:rPr>
          <w:rFonts w:ascii="Arial" w:hAnsi="Arial" w:cs="Arial"/>
          <w:i/>
          <w:iCs/>
          <w:lang w:val="en-US"/>
        </w:rPr>
        <w:t>Children</w:t>
      </w:r>
      <w:r w:rsidRPr="00E21ABE">
        <w:rPr>
          <w:rFonts w:ascii="Arial" w:hAnsi="Arial" w:cs="Arial"/>
          <w:lang w:val="en-US"/>
        </w:rPr>
        <w:t xml:space="preserve">, </w:t>
      </w:r>
      <w:r w:rsidRPr="00E21ABE">
        <w:rPr>
          <w:rFonts w:ascii="Arial" w:hAnsi="Arial" w:cs="Arial"/>
          <w:i/>
          <w:iCs/>
          <w:lang w:val="en-US"/>
        </w:rPr>
        <w:t>10</w:t>
      </w:r>
      <w:r w:rsidRPr="00E21ABE">
        <w:rPr>
          <w:rFonts w:ascii="Arial" w:hAnsi="Arial" w:cs="Arial"/>
          <w:lang w:val="en-US"/>
        </w:rPr>
        <w:t>(6), 952–952. https://doi.org/10.3390/children10060952</w:t>
      </w:r>
    </w:p>
    <w:p w14:paraId="64AA9BA2"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Kumar, R. (2024). Analysing the effectiveness of micro-influencer marketing compared to traditional celebrity endorsements. </w:t>
      </w:r>
      <w:r w:rsidRPr="00E21ABE">
        <w:rPr>
          <w:rFonts w:ascii="Arial" w:hAnsi="Arial" w:cs="Arial"/>
          <w:i/>
          <w:iCs/>
          <w:lang w:val="en-US"/>
        </w:rPr>
        <w:t>Analysing the Effectiveness of Micro-Influencer Marketing Compared to Traditional Celebrity Endorsements</w:t>
      </w:r>
      <w:r w:rsidRPr="00E21ABE">
        <w:rPr>
          <w:rFonts w:ascii="Arial" w:hAnsi="Arial" w:cs="Arial"/>
          <w:lang w:val="en-US"/>
        </w:rPr>
        <w:t xml:space="preserve">, </w:t>
      </w:r>
      <w:r w:rsidRPr="00E21ABE">
        <w:rPr>
          <w:rFonts w:ascii="Arial" w:hAnsi="Arial" w:cs="Arial"/>
          <w:i/>
          <w:iCs/>
          <w:lang w:val="en-US"/>
        </w:rPr>
        <w:t>2</w:t>
      </w:r>
      <w:r w:rsidRPr="00E21ABE">
        <w:rPr>
          <w:rFonts w:ascii="Arial" w:hAnsi="Arial" w:cs="Arial"/>
          <w:lang w:val="en-US"/>
        </w:rPr>
        <w:t>(6), 278–294. https://iircj.org/wp-content/uploads/2024/07/29.-Analysing-the-effectiveness-of-micro-influencer-marketing-compared-to-traditional-celebrity-endorsements-1.pdf</w:t>
      </w:r>
    </w:p>
    <w:p w14:paraId="00217264" w14:textId="77777777" w:rsidR="00E21ABE" w:rsidRPr="00E21ABE" w:rsidRDefault="00E21ABE" w:rsidP="00E21ABE">
      <w:pPr>
        <w:spacing w:line="360" w:lineRule="auto"/>
        <w:rPr>
          <w:rFonts w:ascii="Arial" w:hAnsi="Arial" w:cs="Arial"/>
        </w:rPr>
      </w:pPr>
      <w:r w:rsidRPr="00E21ABE">
        <w:rPr>
          <w:rFonts w:ascii="Arial" w:hAnsi="Arial" w:cs="Arial"/>
        </w:rPr>
        <w:t xml:space="preserve">NFU. (2025) UK horticulture growth strategy. Available at: </w:t>
      </w:r>
      <w:hyperlink r:id="rId17" w:history="1">
        <w:r w:rsidRPr="00E21ABE">
          <w:rPr>
            <w:rStyle w:val="Hyperlink"/>
            <w:rFonts w:ascii="Arial" w:hAnsi="Arial" w:cs="Arial"/>
          </w:rPr>
          <w:t>https://www.nfuonline.com/media/vtsk14da/uk-horticulture-growth-strategy-2025.pdf</w:t>
        </w:r>
      </w:hyperlink>
      <w:r w:rsidRPr="00E21ABE">
        <w:rPr>
          <w:rFonts w:ascii="Arial" w:hAnsi="Arial" w:cs="Arial"/>
        </w:rPr>
        <w:t xml:space="preserve"> </w:t>
      </w:r>
    </w:p>
    <w:p w14:paraId="1E2E2652" w14:textId="77777777"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Peráček, T., &amp; Kaššaj, M. (2023). A Critical Analysis of the Rights and Obligations of the Manager of a Limited Liability Company: Managerial Legislative Basis. </w:t>
      </w:r>
      <w:r w:rsidRPr="00E21ABE">
        <w:rPr>
          <w:rFonts w:ascii="Arial" w:hAnsi="Arial" w:cs="Arial"/>
          <w:i/>
          <w:iCs/>
          <w:lang w:val="en-US"/>
        </w:rPr>
        <w:t>Laws</w:t>
      </w:r>
      <w:r w:rsidRPr="00E21ABE">
        <w:rPr>
          <w:rFonts w:ascii="Arial" w:hAnsi="Arial" w:cs="Arial"/>
          <w:lang w:val="en-US"/>
        </w:rPr>
        <w:t xml:space="preserve">, </w:t>
      </w:r>
      <w:r w:rsidRPr="00E21ABE">
        <w:rPr>
          <w:rFonts w:ascii="Arial" w:hAnsi="Arial" w:cs="Arial"/>
          <w:i/>
          <w:iCs/>
          <w:lang w:val="en-US"/>
        </w:rPr>
        <w:t>12</w:t>
      </w:r>
      <w:r w:rsidRPr="00E21ABE">
        <w:rPr>
          <w:rFonts w:ascii="Arial" w:hAnsi="Arial" w:cs="Arial"/>
          <w:lang w:val="en-US"/>
        </w:rPr>
        <w:t>(3), 56–56. https://doi.org/10.3390/laws12030056</w:t>
      </w:r>
    </w:p>
    <w:p w14:paraId="6B80CFE9" w14:textId="77777777" w:rsidR="00E21ABE" w:rsidRPr="00E21ABE" w:rsidRDefault="00E21ABE" w:rsidP="00E21ABE">
      <w:pPr>
        <w:spacing w:line="360" w:lineRule="auto"/>
        <w:rPr>
          <w:rFonts w:ascii="Arial" w:hAnsi="Arial" w:cs="Arial"/>
        </w:rPr>
      </w:pPr>
      <w:r w:rsidRPr="00E21ABE">
        <w:rPr>
          <w:rFonts w:ascii="Arial" w:hAnsi="Arial" w:cs="Arial"/>
        </w:rPr>
        <w:lastRenderedPageBreak/>
        <w:t xml:space="preserve">PwC. (2024). Consumers willing to pay 9.7% sustainability premium, even as cost-of-living and inflationary concerns weigh: PwC 2024 Voice of the Consumer Survey. Available at: </w:t>
      </w:r>
      <w:hyperlink r:id="rId18" w:history="1">
        <w:r w:rsidRPr="00E21ABE">
          <w:rPr>
            <w:rStyle w:val="Hyperlink"/>
            <w:rFonts w:ascii="Arial" w:hAnsi="Arial" w:cs="Arial"/>
          </w:rPr>
          <w:t>https://www.pwc.com/gx/en/news-room/press-releases/2024/pwc-2024-voice-of-consumer-survey.html</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47B507BE" w14:textId="77777777" w:rsidR="00E21ABE" w:rsidRPr="00E21ABE" w:rsidRDefault="00E21ABE" w:rsidP="00E21ABE">
      <w:pPr>
        <w:spacing w:line="360" w:lineRule="auto"/>
        <w:rPr>
          <w:rFonts w:ascii="Arial" w:hAnsi="Arial" w:cs="Arial"/>
          <w:lang w:val="en-US"/>
        </w:rPr>
      </w:pPr>
      <w:r w:rsidRPr="00E21ABE">
        <w:rPr>
          <w:rFonts w:ascii="Arial" w:hAnsi="Arial" w:cs="Arial"/>
          <w:lang w:val="it-IT"/>
        </w:rPr>
        <w:t xml:space="preserve">Sadom, M., Farzana Quoquab, &amp; Mohammad, J. (2025). </w:t>
      </w:r>
      <w:r w:rsidRPr="00E21ABE">
        <w:rPr>
          <w:rFonts w:ascii="Arial" w:hAnsi="Arial" w:cs="Arial"/>
          <w:lang w:val="en-US"/>
        </w:rPr>
        <w:t xml:space="preserve">“Nourish to flourish”: boosting functional food and socially conscious purchase of Gen-Y and Gen-Z consumers. </w:t>
      </w:r>
      <w:r w:rsidRPr="00E21ABE">
        <w:rPr>
          <w:rFonts w:ascii="Arial" w:hAnsi="Arial" w:cs="Arial"/>
          <w:i/>
          <w:iCs/>
          <w:lang w:val="en-US"/>
        </w:rPr>
        <w:t>British Food Journal</w:t>
      </w:r>
      <w:r w:rsidRPr="00E21ABE">
        <w:rPr>
          <w:rFonts w:ascii="Arial" w:hAnsi="Arial" w:cs="Arial"/>
          <w:lang w:val="en-US"/>
        </w:rPr>
        <w:t>. https://doi.org/10.1108/bfj-09-2024-0902</w:t>
      </w:r>
    </w:p>
    <w:p w14:paraId="06F6E5A9" w14:textId="77777777" w:rsidR="00E21ABE" w:rsidRPr="00E21ABE" w:rsidRDefault="00E21ABE" w:rsidP="00E21ABE">
      <w:pPr>
        <w:spacing w:line="360" w:lineRule="auto"/>
        <w:rPr>
          <w:rFonts w:ascii="Arial" w:hAnsi="Arial" w:cs="Arial"/>
        </w:rPr>
      </w:pPr>
      <w:r w:rsidRPr="00E21ABE">
        <w:rPr>
          <w:rFonts w:ascii="Arial" w:hAnsi="Arial" w:cs="Arial"/>
        </w:rPr>
        <w:t xml:space="preserve">Statista. (2025). Juices - United Kingdom. Available at: </w:t>
      </w:r>
      <w:hyperlink r:id="rId19" w:history="1">
        <w:r w:rsidRPr="00E21ABE">
          <w:rPr>
            <w:rStyle w:val="Hyperlink"/>
            <w:rFonts w:ascii="Arial" w:hAnsi="Arial" w:cs="Arial"/>
          </w:rPr>
          <w:t>https://www.statista.com/outlook/cmo/non-alcoholic-drinks/juices/united-kingdom</w:t>
        </w:r>
      </w:hyperlink>
      <w:r w:rsidRPr="00E21ABE">
        <w:rPr>
          <w:rFonts w:ascii="Arial" w:hAnsi="Arial" w:cs="Arial"/>
        </w:rPr>
        <w:t xml:space="preserve"> (Accessed on: 22</w:t>
      </w:r>
      <w:r w:rsidRPr="00E21ABE">
        <w:rPr>
          <w:rFonts w:ascii="Arial" w:hAnsi="Arial" w:cs="Arial"/>
          <w:vertAlign w:val="superscript"/>
        </w:rPr>
        <w:t>nd</w:t>
      </w:r>
      <w:r w:rsidRPr="00E21ABE">
        <w:rPr>
          <w:rFonts w:ascii="Arial" w:hAnsi="Arial" w:cs="Arial"/>
        </w:rPr>
        <w:t xml:space="preserve"> September 2025)</w:t>
      </w:r>
    </w:p>
    <w:p w14:paraId="48D52B82" w14:textId="15B80732" w:rsidR="00E21ABE" w:rsidRPr="00E21ABE" w:rsidRDefault="00E21ABE" w:rsidP="00E21ABE">
      <w:pPr>
        <w:spacing w:line="360" w:lineRule="auto"/>
        <w:rPr>
          <w:rFonts w:ascii="Arial" w:hAnsi="Arial" w:cs="Arial"/>
          <w:lang w:val="en-US"/>
        </w:rPr>
      </w:pPr>
      <w:r w:rsidRPr="00E21ABE">
        <w:rPr>
          <w:rFonts w:ascii="Arial" w:hAnsi="Arial" w:cs="Arial"/>
          <w:lang w:val="en-US"/>
        </w:rPr>
        <w:t xml:space="preserve">Toktassynova, R. (2025). From Reels to Real </w:t>
      </w:r>
      <w:r w:rsidR="006F2FC0" w:rsidRPr="00E21ABE">
        <w:rPr>
          <w:rFonts w:ascii="Arial" w:hAnsi="Arial" w:cs="Arial"/>
          <w:lang w:val="en-US"/>
        </w:rPr>
        <w:t>Change:</w:t>
      </w:r>
      <w:r w:rsidRPr="00E21ABE">
        <w:rPr>
          <w:rFonts w:ascii="Arial" w:hAnsi="Arial" w:cs="Arial"/>
          <w:lang w:val="en-US"/>
        </w:rPr>
        <w:t xml:space="preserve"> Sustainability Messaging through Short-Form Video by Influencers. </w:t>
      </w:r>
      <w:r w:rsidRPr="00E21ABE">
        <w:rPr>
          <w:rFonts w:ascii="Arial" w:hAnsi="Arial" w:cs="Arial"/>
          <w:i/>
          <w:iCs/>
          <w:lang w:val="en-US"/>
        </w:rPr>
        <w:t>Theseus.fi</w:t>
      </w:r>
      <w:r w:rsidRPr="00E21ABE">
        <w:rPr>
          <w:rFonts w:ascii="Arial" w:hAnsi="Arial" w:cs="Arial"/>
          <w:lang w:val="en-US"/>
        </w:rPr>
        <w:t>. http://www.theseus.fi/handle/10024/887629</w:t>
      </w:r>
    </w:p>
    <w:p w14:paraId="34F2ED06" w14:textId="77777777" w:rsidR="00E21ABE" w:rsidRPr="00E21ABE" w:rsidRDefault="00E21ABE" w:rsidP="00E21ABE">
      <w:pPr>
        <w:spacing w:line="360" w:lineRule="auto"/>
        <w:rPr>
          <w:rFonts w:ascii="Arial" w:hAnsi="Arial" w:cs="Arial"/>
          <w:lang w:val="it-IT"/>
        </w:rPr>
      </w:pPr>
      <w:r w:rsidRPr="00E21ABE">
        <w:rPr>
          <w:rFonts w:ascii="Arial" w:hAnsi="Arial" w:cs="Arial"/>
          <w:lang w:val="en-US"/>
        </w:rPr>
        <w:t xml:space="preserve">Ulrich, W., Jan. (2024). </w:t>
      </w:r>
      <w:r w:rsidRPr="00E21ABE">
        <w:rPr>
          <w:rFonts w:ascii="Arial" w:hAnsi="Arial" w:cs="Arial"/>
          <w:i/>
          <w:iCs/>
          <w:lang w:val="en-US"/>
        </w:rPr>
        <w:t>Creating an Evidence Based, Competitive Operational Model and Expansion Strategy for International Health Markets - ProQuest</w:t>
      </w:r>
      <w:r w:rsidRPr="00E21ABE">
        <w:rPr>
          <w:rFonts w:ascii="Arial" w:hAnsi="Arial" w:cs="Arial"/>
          <w:lang w:val="en-US"/>
        </w:rPr>
        <w:t xml:space="preserve">. </w:t>
      </w:r>
      <w:r w:rsidRPr="00E21ABE">
        <w:rPr>
          <w:rFonts w:ascii="Arial" w:hAnsi="Arial" w:cs="Arial"/>
          <w:lang w:val="it-IT"/>
        </w:rPr>
        <w:t>Proquest.com. https://search.proquest.com/openview/47f9e9adf501764112cb987dfed3d2ac/1?pq-origsite=gscholar&amp;cbl=2026366&amp;diss=y</w:t>
      </w:r>
    </w:p>
    <w:p w14:paraId="667BCE01" w14:textId="77777777" w:rsidR="00E21ABE" w:rsidRPr="00E21ABE" w:rsidRDefault="00E21ABE" w:rsidP="00E21ABE">
      <w:pPr>
        <w:spacing w:line="360" w:lineRule="auto"/>
        <w:rPr>
          <w:rFonts w:ascii="Arial" w:hAnsi="Arial" w:cs="Arial"/>
          <w:lang w:val="en-US"/>
        </w:rPr>
      </w:pPr>
      <w:r w:rsidRPr="00E21ABE">
        <w:rPr>
          <w:rFonts w:ascii="Arial" w:hAnsi="Arial" w:cs="Arial"/>
          <w:lang w:val="it-IT"/>
        </w:rPr>
        <w:t xml:space="preserve">Utley Strategies. </w:t>
      </w:r>
      <w:r w:rsidRPr="00E21ABE">
        <w:rPr>
          <w:rFonts w:ascii="Arial" w:hAnsi="Arial" w:cs="Arial"/>
          <w:lang w:val="en-US"/>
        </w:rPr>
        <w:t xml:space="preserve">(2023). </w:t>
      </w:r>
      <w:r w:rsidRPr="00E21ABE">
        <w:rPr>
          <w:rFonts w:ascii="Arial" w:hAnsi="Arial" w:cs="Arial"/>
          <w:i/>
          <w:iCs/>
          <w:lang w:val="en-US"/>
        </w:rPr>
        <w:t>The 4 Ps of Marketing and How to Use Them</w:t>
      </w:r>
      <w:r w:rsidRPr="00E21ABE">
        <w:rPr>
          <w:rFonts w:ascii="Arial" w:hAnsi="Arial" w:cs="Arial"/>
          <w:lang w:val="en-US"/>
        </w:rPr>
        <w:t xml:space="preserve">. Utley Strategies. </w:t>
      </w:r>
      <w:hyperlink r:id="rId20" w:history="1">
        <w:r w:rsidRPr="00E21ABE">
          <w:rPr>
            <w:rStyle w:val="Hyperlink"/>
            <w:rFonts w:ascii="Arial" w:hAnsi="Arial" w:cs="Arial"/>
            <w:lang w:val="en-US"/>
          </w:rPr>
          <w:t>https://www.utleystrategies.com/blog/4-ps-marketing</w:t>
        </w:r>
      </w:hyperlink>
    </w:p>
    <w:p w14:paraId="369AD980" w14:textId="13A1EA3E" w:rsidR="00E21ABE" w:rsidRPr="00E21ABE" w:rsidRDefault="00E21ABE" w:rsidP="00E21ABE">
      <w:pPr>
        <w:spacing w:line="360" w:lineRule="auto"/>
        <w:rPr>
          <w:rFonts w:ascii="Arial" w:hAnsi="Arial" w:cs="Arial"/>
          <w:lang w:val="it-IT"/>
        </w:rPr>
      </w:pPr>
      <w:r w:rsidRPr="00E21ABE">
        <w:rPr>
          <w:rFonts w:ascii="Arial" w:hAnsi="Arial" w:cs="Arial"/>
          <w:lang w:val="en-US"/>
        </w:rPr>
        <w:t xml:space="preserve">Wotke, A., &amp; Hähne, S. (2025). </w:t>
      </w:r>
      <w:r w:rsidRPr="00E21ABE">
        <w:rPr>
          <w:rFonts w:ascii="Arial" w:hAnsi="Arial" w:cs="Arial"/>
          <w:i/>
          <w:iCs/>
          <w:lang w:val="en-US"/>
        </w:rPr>
        <w:t xml:space="preserve">From Fun to Business: The Professionalization of City-Specific Meme </w:t>
      </w:r>
      <w:r w:rsidR="006F2FC0" w:rsidRPr="00E21ABE">
        <w:rPr>
          <w:rFonts w:ascii="Arial" w:hAnsi="Arial" w:cs="Arial"/>
          <w:i/>
          <w:iCs/>
          <w:lang w:val="en-US"/>
        </w:rPr>
        <w:t>Pages:</w:t>
      </w:r>
      <w:r w:rsidRPr="00E21ABE">
        <w:rPr>
          <w:rFonts w:ascii="Arial" w:hAnsi="Arial" w:cs="Arial"/>
          <w:i/>
          <w:iCs/>
          <w:lang w:val="en-US"/>
        </w:rPr>
        <w:t xml:space="preserve"> Exploring the Evolution of Local Meme Communities into Influential Marketing Platforms in Germany</w:t>
      </w:r>
      <w:r w:rsidRPr="00E21ABE">
        <w:rPr>
          <w:rFonts w:ascii="Arial" w:hAnsi="Arial" w:cs="Arial"/>
          <w:lang w:val="en-US"/>
        </w:rPr>
        <w:t xml:space="preserve">. </w:t>
      </w:r>
      <w:r w:rsidRPr="00E21ABE">
        <w:rPr>
          <w:rFonts w:ascii="Arial" w:hAnsi="Arial" w:cs="Arial"/>
          <w:lang w:val="it-IT"/>
        </w:rPr>
        <w:t>DIVA. https://www.diva-portal.org/smash/record.jsf?pid=diva2:1964911</w:t>
      </w:r>
    </w:p>
    <w:p w14:paraId="6D96D4DF" w14:textId="77777777" w:rsidR="00E21ABE" w:rsidRPr="00E21ABE" w:rsidRDefault="00E21ABE" w:rsidP="00E21ABE">
      <w:pPr>
        <w:spacing w:line="360" w:lineRule="auto"/>
        <w:rPr>
          <w:rFonts w:ascii="Arial" w:hAnsi="Arial" w:cs="Arial"/>
        </w:rPr>
      </w:pPr>
      <w:r w:rsidRPr="00E21ABE">
        <w:rPr>
          <w:rFonts w:ascii="Arial" w:hAnsi="Arial" w:cs="Arial"/>
          <w:lang w:val="fi-FI"/>
        </w:rPr>
        <w:t xml:space="preserve">Yi, T., Fang, W., Xie, X., Yuan, B., Lu, M., &amp; Xu, C. (2022). </w:t>
      </w:r>
      <w:r w:rsidRPr="00E21ABE">
        <w:rPr>
          <w:rFonts w:ascii="Arial" w:hAnsi="Arial" w:cs="Arial"/>
        </w:rPr>
        <w:t>High pressure processing (HPP) improved safety and quality of emerging aronia berry juice: a pilot scale shelf-life study. </w:t>
      </w:r>
      <w:r w:rsidRPr="00E21ABE">
        <w:rPr>
          <w:rFonts w:ascii="Arial" w:hAnsi="Arial" w:cs="Arial"/>
          <w:i/>
          <w:iCs/>
        </w:rPr>
        <w:t>Journal of Food Science and Technology</w:t>
      </w:r>
      <w:r w:rsidRPr="00E21ABE">
        <w:rPr>
          <w:rFonts w:ascii="Arial" w:hAnsi="Arial" w:cs="Arial"/>
        </w:rPr>
        <w:t>, </w:t>
      </w:r>
      <w:r w:rsidRPr="00E21ABE">
        <w:rPr>
          <w:rFonts w:ascii="Arial" w:hAnsi="Arial" w:cs="Arial"/>
          <w:i/>
          <w:iCs/>
        </w:rPr>
        <w:t>59</w:t>
      </w:r>
      <w:r w:rsidRPr="00E21ABE">
        <w:rPr>
          <w:rFonts w:ascii="Arial" w:hAnsi="Arial" w:cs="Arial"/>
        </w:rPr>
        <w:t>(2), 755-767.</w:t>
      </w:r>
    </w:p>
    <w:p w14:paraId="3F757D99" w14:textId="1253872E" w:rsidR="00C07F11" w:rsidRPr="00743188" w:rsidRDefault="00E21ABE" w:rsidP="00AA2C64">
      <w:pPr>
        <w:spacing w:line="360" w:lineRule="auto"/>
        <w:rPr>
          <w:rFonts w:ascii="Arial" w:hAnsi="Arial" w:cs="Arial"/>
          <w:lang w:val="it-IT"/>
        </w:rPr>
      </w:pPr>
      <w:r w:rsidRPr="00E21ABE">
        <w:rPr>
          <w:rFonts w:ascii="Arial" w:hAnsi="Arial" w:cs="Arial"/>
        </w:rPr>
        <w:t xml:space="preserve">Yusuf, M., Yanuarrahmat Shah, T., Pusaka, S., &amp; Sunaryanto, K. (2022). </w:t>
      </w:r>
      <w:r w:rsidRPr="00E21ABE">
        <w:rPr>
          <w:rFonts w:ascii="Arial" w:hAnsi="Arial" w:cs="Arial"/>
          <w:i/>
          <w:iCs/>
          <w:lang w:val="en-US"/>
        </w:rPr>
        <w:t>Analysis of Segmenting, Targeting, Positioning and Marketing Mix Strategies on the Yonly Glass Processor and Application GlassBusiness Plan</w:t>
      </w:r>
      <w:r w:rsidRPr="00E21ABE">
        <w:rPr>
          <w:rFonts w:ascii="Arial" w:hAnsi="Arial" w:cs="Arial"/>
          <w:lang w:val="en-US"/>
        </w:rPr>
        <w:t xml:space="preserve">. </w:t>
      </w:r>
      <w:hyperlink r:id="rId21" w:history="1">
        <w:r w:rsidRPr="00E21ABE">
          <w:rPr>
            <w:rStyle w:val="Hyperlink"/>
            <w:rFonts w:ascii="Arial" w:hAnsi="Arial" w:cs="Arial"/>
            <w:lang w:val="it-IT"/>
          </w:rPr>
          <w:t>http://www.aijbm.com/wp-content/uploads/2022/01/J517783.pdf</w:t>
        </w:r>
      </w:hyperlink>
    </w:p>
    <w:sectPr w:rsidR="00C07F11" w:rsidRPr="0074318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ABF5C" w14:textId="77777777" w:rsidR="00801E2F" w:rsidRDefault="00801E2F" w:rsidP="00AA2C64">
      <w:pPr>
        <w:spacing w:after="0" w:line="240" w:lineRule="auto"/>
      </w:pPr>
      <w:r>
        <w:separator/>
      </w:r>
    </w:p>
  </w:endnote>
  <w:endnote w:type="continuationSeparator" w:id="0">
    <w:p w14:paraId="6BF397A8" w14:textId="77777777" w:rsidR="00801E2F" w:rsidRDefault="00801E2F" w:rsidP="00AA2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59207"/>
      <w:docPartObj>
        <w:docPartGallery w:val="Page Numbers (Bottom of Page)"/>
        <w:docPartUnique/>
      </w:docPartObj>
    </w:sdtPr>
    <w:sdtContent>
      <w:p w14:paraId="0F1A7D80" w14:textId="1823A561" w:rsidR="00AA2C64" w:rsidRDefault="00AA2C64">
        <w:pPr>
          <w:pStyle w:val="Footer"/>
          <w:jc w:val="center"/>
        </w:pPr>
        <w:r>
          <w:fldChar w:fldCharType="begin"/>
        </w:r>
        <w:r>
          <w:instrText>PAGE   \* MERGEFORMAT</w:instrText>
        </w:r>
        <w:r>
          <w:fldChar w:fldCharType="separate"/>
        </w:r>
        <w:r>
          <w:t>2</w:t>
        </w:r>
        <w:r>
          <w:fldChar w:fldCharType="end"/>
        </w:r>
      </w:p>
    </w:sdtContent>
  </w:sdt>
  <w:p w14:paraId="5D01262A" w14:textId="77777777" w:rsidR="00AA2C64" w:rsidRDefault="00AA2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FFF1C" w14:textId="77777777" w:rsidR="00801E2F" w:rsidRDefault="00801E2F" w:rsidP="00AA2C64">
      <w:pPr>
        <w:spacing w:after="0" w:line="240" w:lineRule="auto"/>
      </w:pPr>
      <w:r>
        <w:separator/>
      </w:r>
    </w:p>
  </w:footnote>
  <w:footnote w:type="continuationSeparator" w:id="0">
    <w:p w14:paraId="0211D48D" w14:textId="77777777" w:rsidR="00801E2F" w:rsidRDefault="00801E2F" w:rsidP="00AA2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778DE"/>
    <w:multiLevelType w:val="multilevel"/>
    <w:tmpl w:val="5E545B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266303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C64"/>
    <w:rsid w:val="00064462"/>
    <w:rsid w:val="002A1E11"/>
    <w:rsid w:val="00445328"/>
    <w:rsid w:val="005248D2"/>
    <w:rsid w:val="005A4441"/>
    <w:rsid w:val="006F2FC0"/>
    <w:rsid w:val="00715E91"/>
    <w:rsid w:val="00743188"/>
    <w:rsid w:val="00801E2F"/>
    <w:rsid w:val="00830DA0"/>
    <w:rsid w:val="00841597"/>
    <w:rsid w:val="00903C6A"/>
    <w:rsid w:val="00AA2C64"/>
    <w:rsid w:val="00AA3592"/>
    <w:rsid w:val="00C00969"/>
    <w:rsid w:val="00C07F11"/>
    <w:rsid w:val="00C61FAA"/>
    <w:rsid w:val="00C73848"/>
    <w:rsid w:val="00C9145A"/>
    <w:rsid w:val="00D22BDD"/>
    <w:rsid w:val="00E21ABE"/>
    <w:rsid w:val="00FE4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C8DD"/>
  <w15:chartTrackingRefBased/>
  <w15:docId w15:val="{266A46FA-3152-4F74-BB16-3BBE918A5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C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2C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C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C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C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C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C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C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C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2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C64"/>
    <w:rPr>
      <w:rFonts w:eastAsiaTheme="majorEastAsia" w:cstheme="majorBidi"/>
      <w:color w:val="272727" w:themeColor="text1" w:themeTint="D8"/>
    </w:rPr>
  </w:style>
  <w:style w:type="paragraph" w:styleId="Title">
    <w:name w:val="Title"/>
    <w:basedOn w:val="Normal"/>
    <w:next w:val="Normal"/>
    <w:link w:val="TitleChar"/>
    <w:uiPriority w:val="10"/>
    <w:qFormat/>
    <w:rsid w:val="00AA2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C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C64"/>
    <w:pPr>
      <w:spacing w:before="160"/>
      <w:jc w:val="center"/>
    </w:pPr>
    <w:rPr>
      <w:i/>
      <w:iCs/>
      <w:color w:val="404040" w:themeColor="text1" w:themeTint="BF"/>
    </w:rPr>
  </w:style>
  <w:style w:type="character" w:customStyle="1" w:styleId="QuoteChar">
    <w:name w:val="Quote Char"/>
    <w:basedOn w:val="DefaultParagraphFont"/>
    <w:link w:val="Quote"/>
    <w:uiPriority w:val="29"/>
    <w:rsid w:val="00AA2C64"/>
    <w:rPr>
      <w:i/>
      <w:iCs/>
      <w:color w:val="404040" w:themeColor="text1" w:themeTint="BF"/>
    </w:rPr>
  </w:style>
  <w:style w:type="paragraph" w:styleId="ListParagraph">
    <w:name w:val="List Paragraph"/>
    <w:basedOn w:val="Normal"/>
    <w:uiPriority w:val="34"/>
    <w:qFormat/>
    <w:rsid w:val="00AA2C64"/>
    <w:pPr>
      <w:ind w:left="720"/>
      <w:contextualSpacing/>
    </w:pPr>
  </w:style>
  <w:style w:type="character" w:styleId="IntenseEmphasis">
    <w:name w:val="Intense Emphasis"/>
    <w:basedOn w:val="DefaultParagraphFont"/>
    <w:uiPriority w:val="21"/>
    <w:qFormat/>
    <w:rsid w:val="00AA2C64"/>
    <w:rPr>
      <w:i/>
      <w:iCs/>
      <w:color w:val="0F4761" w:themeColor="accent1" w:themeShade="BF"/>
    </w:rPr>
  </w:style>
  <w:style w:type="paragraph" w:styleId="IntenseQuote">
    <w:name w:val="Intense Quote"/>
    <w:basedOn w:val="Normal"/>
    <w:next w:val="Normal"/>
    <w:link w:val="IntenseQuoteChar"/>
    <w:uiPriority w:val="30"/>
    <w:qFormat/>
    <w:rsid w:val="00AA2C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C64"/>
    <w:rPr>
      <w:i/>
      <w:iCs/>
      <w:color w:val="0F4761" w:themeColor="accent1" w:themeShade="BF"/>
    </w:rPr>
  </w:style>
  <w:style w:type="character" w:styleId="IntenseReference">
    <w:name w:val="Intense Reference"/>
    <w:basedOn w:val="DefaultParagraphFont"/>
    <w:uiPriority w:val="32"/>
    <w:qFormat/>
    <w:rsid w:val="00AA2C64"/>
    <w:rPr>
      <w:b/>
      <w:bCs/>
      <w:smallCaps/>
      <w:color w:val="0F4761" w:themeColor="accent1" w:themeShade="BF"/>
      <w:spacing w:val="5"/>
    </w:rPr>
  </w:style>
  <w:style w:type="table" w:styleId="GridTable4-Accent3">
    <w:name w:val="Grid Table 4 Accent 3"/>
    <w:basedOn w:val="TableNormal"/>
    <w:uiPriority w:val="49"/>
    <w:rsid w:val="00AA2C6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AA2C6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AA2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C64"/>
  </w:style>
  <w:style w:type="paragraph" w:styleId="Footer">
    <w:name w:val="footer"/>
    <w:basedOn w:val="Normal"/>
    <w:link w:val="FooterChar"/>
    <w:uiPriority w:val="99"/>
    <w:unhideWhenUsed/>
    <w:rsid w:val="00AA2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C64"/>
  </w:style>
  <w:style w:type="character" w:styleId="Hyperlink">
    <w:name w:val="Hyperlink"/>
    <w:basedOn w:val="DefaultParagraphFont"/>
    <w:uiPriority w:val="99"/>
    <w:unhideWhenUsed/>
    <w:rsid w:val="00E21ABE"/>
    <w:rPr>
      <w:color w:val="467886" w:themeColor="hyperlink"/>
      <w:u w:val="single"/>
    </w:rPr>
  </w:style>
  <w:style w:type="character" w:styleId="UnresolvedMention">
    <w:name w:val="Unresolved Mention"/>
    <w:basedOn w:val="DefaultParagraphFont"/>
    <w:uiPriority w:val="99"/>
    <w:semiHidden/>
    <w:unhideWhenUsed/>
    <w:rsid w:val="00E21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statistics/latest-horticulture-statistics/horticulture-statistics-2024" TargetMode="External"/><Relationship Id="rId18" Type="http://schemas.openxmlformats.org/officeDocument/2006/relationships/hyperlink" Target="https://www.pwc.com/gx/en/news-room/press-releases/2024/pwc-2024-voice-of-consumer-survey.html" TargetMode="External"/><Relationship Id="rId3" Type="http://schemas.openxmlformats.org/officeDocument/2006/relationships/settings" Target="settings.xml"/><Relationship Id="rId21" Type="http://schemas.openxmlformats.org/officeDocument/2006/relationships/hyperlink" Target="http://www.aijbm.com/wp-content/uploads/2022/01/J517783.pdf" TargetMode="External"/><Relationship Id="rId7" Type="http://schemas.openxmlformats.org/officeDocument/2006/relationships/image" Target="media/image1.png"/><Relationship Id="rId12" Type="http://schemas.openxmlformats.org/officeDocument/2006/relationships/hyperlink" Target="https://www.euromonitor.com/juice-in-the-united-kingdom/report" TargetMode="External"/><Relationship Id="rId17" Type="http://schemas.openxmlformats.org/officeDocument/2006/relationships/hyperlink" Target="https://www.nfuonline.com/media/vtsk14da/uk-horticulture-growth-strategy-2025.pdf" TargetMode="External"/><Relationship Id="rId2" Type="http://schemas.openxmlformats.org/officeDocument/2006/relationships/styles" Target="styles.xml"/><Relationship Id="rId16" Type="http://schemas.openxmlformats.org/officeDocument/2006/relationships/hyperlink" Target="https://www.ibisworld.com/united-kingdom/market-size/fruit-drink-functional-beverage-production/692" TargetMode="External"/><Relationship Id="rId20" Type="http://schemas.openxmlformats.org/officeDocument/2006/relationships/hyperlink" Target="https://www.utleystrategies.com/blog/4-ps-marke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sultancy.uk/news/29424/third-of-consumers-willing-to-pay-more-for-sustainable-produc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y.com/en_us/insights/consumer-products/beverage-industry-trends-innovation-challenges-and-growth" TargetMode="External"/><Relationship Id="rId23" Type="http://schemas.openxmlformats.org/officeDocument/2006/relationships/fontTable" Target="fontTable.xml"/><Relationship Id="rId10" Type="http://schemas.openxmlformats.org/officeDocument/2006/relationships/hyperlink" Target="https://www.alliedmarketresearch.com/high-pressure-processing-equipment-market" TargetMode="External"/><Relationship Id="rId19" Type="http://schemas.openxmlformats.org/officeDocument/2006/relationships/hyperlink" Target="https://www.statista.com/outlook/cmo/non-alcoholic-drinks/juices/united-kingd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andviewresearch.com/industry-analysis/functional-drinks-mark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TotalTime>
  <Pages>17</Pages>
  <Words>4774</Words>
  <Characters>27218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Silby</dc:creator>
  <cp:keywords/>
  <dc:description/>
  <cp:lastModifiedBy>Charmaine Silby</cp:lastModifiedBy>
  <cp:revision>14</cp:revision>
  <dcterms:created xsi:type="dcterms:W3CDTF">2025-10-24T16:38:00Z</dcterms:created>
  <dcterms:modified xsi:type="dcterms:W3CDTF">2025-10-24T18:12:00Z</dcterms:modified>
</cp:coreProperties>
</file>