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4AFA3" w14:textId="77777777" w:rsidR="005E1FC9" w:rsidRPr="00294F8F" w:rsidRDefault="005E1FC9" w:rsidP="005E1FC9">
      <w:pPr>
        <w:spacing w:line="360" w:lineRule="auto"/>
        <w:jc w:val="center"/>
        <w:rPr>
          <w:rFonts w:ascii="Arial" w:hAnsi="Arial" w:cs="Arial"/>
          <w:color w:val="000000" w:themeColor="text1"/>
        </w:rPr>
      </w:pPr>
      <w:r w:rsidRPr="00294F8F">
        <w:rPr>
          <w:rFonts w:ascii="Arial" w:hAnsi="Arial" w:cs="Arial"/>
          <w:noProof/>
          <w:color w:val="000000" w:themeColor="text1"/>
          <w:lang w:eastAsia="en-GB"/>
        </w:rPr>
        <w:drawing>
          <wp:anchor distT="0" distB="0" distL="114300" distR="114300" simplePos="0" relativeHeight="251659264" behindDoc="0" locked="0" layoutInCell="1" allowOverlap="1" wp14:anchorId="15F182AF" wp14:editId="6D2F325D">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7CB2E9DC" w14:textId="77777777" w:rsidR="005E1FC9" w:rsidRPr="00294F8F" w:rsidRDefault="005E1FC9" w:rsidP="005E1FC9">
      <w:pPr>
        <w:spacing w:line="360" w:lineRule="auto"/>
        <w:jc w:val="center"/>
        <w:rPr>
          <w:rFonts w:ascii="Arial" w:hAnsi="Arial" w:cs="Arial"/>
          <w:b/>
          <w:bCs/>
          <w:color w:val="000000" w:themeColor="text1"/>
          <w:sz w:val="52"/>
          <w:szCs w:val="52"/>
        </w:rPr>
      </w:pPr>
      <w:r w:rsidRPr="00294F8F">
        <w:rPr>
          <w:rFonts w:ascii="Arial" w:hAnsi="Arial" w:cs="Arial"/>
          <w:b/>
          <w:bCs/>
          <w:color w:val="000000" w:themeColor="text1"/>
          <w:sz w:val="52"/>
          <w:szCs w:val="52"/>
        </w:rPr>
        <w:t>Master of Business Administration</w:t>
      </w:r>
    </w:p>
    <w:p w14:paraId="76C2A178" w14:textId="274DEB6F"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 xml:space="preserve">Student Name: </w:t>
      </w:r>
      <w:r w:rsidR="00C72269" w:rsidRPr="00C72269">
        <w:rPr>
          <w:rFonts w:ascii="Arial" w:hAnsi="Arial" w:cs="Arial"/>
          <w:b/>
          <w:bCs/>
          <w:color w:val="000000" w:themeColor="text1"/>
          <w:sz w:val="28"/>
          <w:szCs w:val="28"/>
        </w:rPr>
        <w:t>Tanvir Ahmed Tipu</w:t>
      </w:r>
    </w:p>
    <w:p w14:paraId="23B95EDF" w14:textId="7D9E5EA2" w:rsidR="005E1FC9" w:rsidRPr="00035838" w:rsidRDefault="005E1FC9" w:rsidP="005E1FC9">
      <w:pPr>
        <w:spacing w:line="360" w:lineRule="auto"/>
        <w:jc w:val="center"/>
        <w:rPr>
          <w:rFonts w:ascii="Arial" w:hAnsi="Arial" w:cs="Arial"/>
          <w:b/>
          <w:bCs/>
          <w:color w:val="000000" w:themeColor="text1"/>
          <w:sz w:val="28"/>
          <w:szCs w:val="28"/>
        </w:rPr>
      </w:pPr>
      <w:r w:rsidRPr="00035838">
        <w:rPr>
          <w:rFonts w:ascii="Arial" w:hAnsi="Arial" w:cs="Arial"/>
          <w:b/>
          <w:bCs/>
          <w:color w:val="000000" w:themeColor="text1"/>
          <w:sz w:val="28"/>
          <w:szCs w:val="28"/>
        </w:rPr>
        <w:t>Student Number:</w:t>
      </w:r>
      <w:r w:rsidR="000C1A5C">
        <w:rPr>
          <w:rFonts w:ascii="Arial" w:hAnsi="Arial" w:cs="Arial"/>
          <w:b/>
          <w:bCs/>
          <w:color w:val="000000" w:themeColor="text1"/>
          <w:sz w:val="28"/>
          <w:szCs w:val="28"/>
        </w:rPr>
        <w:t>2504655</w:t>
      </w:r>
    </w:p>
    <w:p w14:paraId="1979689B" w14:textId="52AE1BFC"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Course Name: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International Business Concepts</w:t>
      </w:r>
    </w:p>
    <w:p w14:paraId="61AEC2BF" w14:textId="661B6AB8" w:rsidR="005E1FC9"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Module code:</w:t>
      </w:r>
      <w:r w:rsidRPr="00035838">
        <w:rPr>
          <w:rFonts w:ascii="Arial" w:hAnsi="Arial" w:cs="Arial"/>
          <w:color w:val="000000" w:themeColor="text1"/>
          <w:sz w:val="28"/>
          <w:szCs w:val="28"/>
        </w:rPr>
        <w:t xml:space="preserve"> </w:t>
      </w:r>
      <w:r w:rsidR="006C6415" w:rsidRPr="00035838">
        <w:rPr>
          <w:rFonts w:ascii="Arial" w:hAnsi="Arial" w:cs="Arial"/>
          <w:color w:val="000000" w:themeColor="text1"/>
          <w:sz w:val="28"/>
          <w:szCs w:val="28"/>
        </w:rPr>
        <w:t>LCMB7034</w:t>
      </w:r>
    </w:p>
    <w:p w14:paraId="527028B6" w14:textId="5EB530C4" w:rsidR="00D025E3" w:rsidRPr="00D025E3" w:rsidRDefault="00D025E3" w:rsidP="005E1FC9">
      <w:pPr>
        <w:spacing w:line="360" w:lineRule="auto"/>
        <w:jc w:val="center"/>
        <w:rPr>
          <w:rFonts w:ascii="Arial" w:hAnsi="Arial" w:cs="Arial"/>
          <w:b/>
          <w:bCs/>
          <w:color w:val="000000" w:themeColor="text1"/>
          <w:sz w:val="28"/>
          <w:szCs w:val="28"/>
        </w:rPr>
      </w:pPr>
      <w:r w:rsidRPr="00D025E3">
        <w:rPr>
          <w:rFonts w:ascii="Arial" w:hAnsi="Arial" w:cs="Arial"/>
          <w:b/>
          <w:bCs/>
          <w:color w:val="000000" w:themeColor="text1"/>
          <w:sz w:val="28"/>
          <w:szCs w:val="28"/>
        </w:rPr>
        <w:t xml:space="preserve">Title: </w:t>
      </w:r>
      <w:r>
        <w:rPr>
          <w:rFonts w:ascii="Arial" w:hAnsi="Arial" w:cs="Arial"/>
          <w:b/>
          <w:bCs/>
          <w:color w:val="000000" w:themeColor="text1"/>
          <w:sz w:val="28"/>
          <w:szCs w:val="28"/>
        </w:rPr>
        <w:t>“</w:t>
      </w:r>
      <w:r w:rsidR="002A2FCC" w:rsidRPr="002A2FCC">
        <w:rPr>
          <w:rFonts w:ascii="Arial" w:hAnsi="Arial" w:cs="Arial"/>
          <w:b/>
          <w:bCs/>
          <w:color w:val="000000" w:themeColor="text1"/>
          <w:sz w:val="28"/>
          <w:szCs w:val="28"/>
        </w:rPr>
        <w:t>An Analysis of Australia's Automobile Industry and the Strategic Position of Tesla Inc. in a Global Context</w:t>
      </w:r>
      <w:r>
        <w:rPr>
          <w:rFonts w:ascii="Arial" w:hAnsi="Arial" w:cs="Arial"/>
          <w:b/>
          <w:bCs/>
          <w:color w:val="000000" w:themeColor="text1"/>
          <w:sz w:val="28"/>
          <w:szCs w:val="28"/>
        </w:rPr>
        <w:t>”</w:t>
      </w:r>
    </w:p>
    <w:p w14:paraId="0871FB52" w14:textId="1D42B83D" w:rsidR="005E1FC9" w:rsidRPr="00035838" w:rsidRDefault="005E1FC9" w:rsidP="005E1FC9">
      <w:pPr>
        <w:spacing w:line="360" w:lineRule="auto"/>
        <w:jc w:val="center"/>
        <w:rPr>
          <w:rFonts w:ascii="Arial" w:hAnsi="Arial" w:cs="Arial"/>
          <w:color w:val="000000" w:themeColor="text1"/>
          <w:sz w:val="28"/>
          <w:szCs w:val="28"/>
        </w:rPr>
      </w:pPr>
      <w:r w:rsidRPr="00035838">
        <w:rPr>
          <w:rFonts w:ascii="Arial" w:hAnsi="Arial" w:cs="Arial"/>
          <w:b/>
          <w:bCs/>
          <w:color w:val="000000" w:themeColor="text1"/>
          <w:sz w:val="28"/>
          <w:szCs w:val="28"/>
        </w:rPr>
        <w:t xml:space="preserve">Lecturer Name: </w:t>
      </w:r>
      <w:r w:rsidR="000C1A5C">
        <w:rPr>
          <w:rFonts w:ascii="Arial" w:hAnsi="Arial" w:cs="Arial"/>
          <w:b/>
          <w:bCs/>
          <w:color w:val="000000" w:themeColor="text1"/>
          <w:sz w:val="28"/>
          <w:szCs w:val="28"/>
        </w:rPr>
        <w:t xml:space="preserve">Gladius </w:t>
      </w:r>
      <w:proofErr w:type="spellStart"/>
      <w:r w:rsidR="000C1A5C">
        <w:rPr>
          <w:rFonts w:ascii="Arial" w:hAnsi="Arial" w:cs="Arial"/>
          <w:b/>
          <w:bCs/>
          <w:color w:val="000000" w:themeColor="text1"/>
          <w:sz w:val="28"/>
          <w:szCs w:val="28"/>
        </w:rPr>
        <w:t>Kulothungan</w:t>
      </w:r>
      <w:proofErr w:type="spellEnd"/>
    </w:p>
    <w:p w14:paraId="17C33BC7" w14:textId="67628553" w:rsidR="005E1FC9" w:rsidRPr="00035838" w:rsidRDefault="005E1FC9" w:rsidP="005E1FC9">
      <w:pPr>
        <w:spacing w:line="360" w:lineRule="auto"/>
        <w:jc w:val="center"/>
        <w:rPr>
          <w:rFonts w:ascii="Arial" w:hAnsi="Arial" w:cs="Arial"/>
          <w:b/>
          <w:bCs/>
          <w:i/>
          <w:iCs/>
          <w:color w:val="000000" w:themeColor="text1"/>
          <w:sz w:val="28"/>
          <w:szCs w:val="28"/>
        </w:rPr>
      </w:pPr>
      <w:r w:rsidRPr="00035838">
        <w:rPr>
          <w:rFonts w:ascii="Arial" w:hAnsi="Arial" w:cs="Arial"/>
          <w:b/>
          <w:bCs/>
          <w:color w:val="000000" w:themeColor="text1"/>
          <w:sz w:val="28"/>
          <w:szCs w:val="28"/>
        </w:rPr>
        <w:t xml:space="preserve">Word count: </w:t>
      </w:r>
      <w:r w:rsidR="004E4B12" w:rsidRPr="00035838">
        <w:rPr>
          <w:rFonts w:ascii="Arial" w:hAnsi="Arial" w:cs="Arial"/>
          <w:b/>
          <w:bCs/>
          <w:color w:val="000000" w:themeColor="text1"/>
          <w:sz w:val="28"/>
          <w:szCs w:val="28"/>
        </w:rPr>
        <w:t>5</w:t>
      </w:r>
      <w:r w:rsidR="000563EC">
        <w:rPr>
          <w:rFonts w:ascii="Arial" w:hAnsi="Arial" w:cs="Arial"/>
          <w:b/>
          <w:bCs/>
          <w:color w:val="000000" w:themeColor="text1"/>
          <w:sz w:val="28"/>
          <w:szCs w:val="28"/>
        </w:rPr>
        <w:t>3</w:t>
      </w:r>
      <w:r w:rsidR="00384A64">
        <w:rPr>
          <w:rFonts w:ascii="Arial" w:hAnsi="Arial" w:cs="Arial"/>
          <w:b/>
          <w:bCs/>
          <w:color w:val="000000" w:themeColor="text1"/>
          <w:sz w:val="28"/>
          <w:szCs w:val="28"/>
        </w:rPr>
        <w:t>1</w:t>
      </w:r>
      <w:r w:rsidR="000C1A5C">
        <w:rPr>
          <w:rFonts w:ascii="Arial" w:hAnsi="Arial" w:cs="Arial"/>
          <w:b/>
          <w:bCs/>
          <w:color w:val="000000" w:themeColor="text1"/>
          <w:sz w:val="28"/>
          <w:szCs w:val="28"/>
        </w:rPr>
        <w:t>8</w:t>
      </w:r>
    </w:p>
    <w:p w14:paraId="37D9039B" w14:textId="6E8C0248" w:rsidR="005E1FC9" w:rsidRPr="00294F8F" w:rsidRDefault="005E1FC9" w:rsidP="005E1FC9">
      <w:pPr>
        <w:spacing w:line="360" w:lineRule="auto"/>
        <w:jc w:val="center"/>
        <w:rPr>
          <w:rFonts w:ascii="Arial" w:hAnsi="Arial" w:cs="Arial"/>
          <w:color w:val="000000" w:themeColor="text1"/>
          <w:sz w:val="32"/>
          <w:szCs w:val="32"/>
        </w:rPr>
      </w:pPr>
      <w:r w:rsidRPr="00035838">
        <w:rPr>
          <w:rFonts w:ascii="Arial" w:hAnsi="Arial" w:cs="Arial"/>
          <w:b/>
          <w:bCs/>
          <w:color w:val="000000" w:themeColor="text1"/>
          <w:sz w:val="28"/>
          <w:szCs w:val="28"/>
        </w:rPr>
        <w:t xml:space="preserve">Submission deadline: </w:t>
      </w:r>
      <w:r w:rsidR="002816E2" w:rsidRPr="002816E2">
        <w:rPr>
          <w:rFonts w:ascii="Arial" w:hAnsi="Arial" w:cs="Arial"/>
          <w:b/>
          <w:bCs/>
          <w:color w:val="000000" w:themeColor="text1"/>
          <w:sz w:val="28"/>
          <w:szCs w:val="28"/>
        </w:rPr>
        <w:t>27</w:t>
      </w:r>
      <w:r w:rsidR="002816E2" w:rsidRPr="002816E2">
        <w:rPr>
          <w:rFonts w:ascii="Arial" w:hAnsi="Arial" w:cs="Arial"/>
          <w:b/>
          <w:bCs/>
          <w:color w:val="000000" w:themeColor="text1"/>
          <w:sz w:val="28"/>
          <w:szCs w:val="28"/>
          <w:vertAlign w:val="superscript"/>
        </w:rPr>
        <w:t>th</w:t>
      </w:r>
      <w:r w:rsidR="002816E2" w:rsidRPr="002816E2">
        <w:rPr>
          <w:rFonts w:ascii="Arial" w:hAnsi="Arial" w:cs="Arial"/>
          <w:b/>
          <w:bCs/>
          <w:color w:val="000000" w:themeColor="text1"/>
          <w:sz w:val="28"/>
          <w:szCs w:val="28"/>
        </w:rPr>
        <w:t xml:space="preserve"> April 2026</w:t>
      </w:r>
      <w:r w:rsidRPr="00035838">
        <w:rPr>
          <w:rFonts w:ascii="Arial" w:hAnsi="Arial" w:cs="Arial"/>
          <w:b/>
          <w:bCs/>
          <w:color w:val="000000" w:themeColor="text1"/>
          <w:sz w:val="28"/>
          <w:szCs w:val="28"/>
        </w:rPr>
        <w:t xml:space="preserve"> </w:t>
      </w:r>
      <w:r w:rsidRPr="00294F8F">
        <w:rPr>
          <w:rFonts w:ascii="Arial" w:hAnsi="Arial" w:cs="Arial"/>
          <w:color w:val="000000" w:themeColor="text1"/>
          <w:sz w:val="32"/>
          <w:szCs w:val="32"/>
        </w:rPr>
        <w:br w:type="page"/>
      </w:r>
    </w:p>
    <w:sdt>
      <w:sdtPr>
        <w:rPr>
          <w:rFonts w:ascii="Arial" w:eastAsiaTheme="minorHAnsi" w:hAnsi="Arial" w:cs="Arial"/>
          <w:b/>
          <w:bCs w:val="0"/>
          <w:color w:val="000000" w:themeColor="text1"/>
          <w:sz w:val="22"/>
          <w:szCs w:val="22"/>
          <w:lang w:eastAsia="en-US"/>
        </w:rPr>
        <w:id w:val="-798766249"/>
        <w:docPartObj>
          <w:docPartGallery w:val="Table of Contents"/>
          <w:docPartUnique/>
        </w:docPartObj>
      </w:sdtPr>
      <w:sdtEndPr>
        <w:rPr>
          <w:b w:val="0"/>
          <w:noProof/>
        </w:rPr>
      </w:sdtEndPr>
      <w:sdtContent>
        <w:p w14:paraId="1B6C21A2" w14:textId="77777777" w:rsidR="005E1FC9" w:rsidRPr="00384A64" w:rsidRDefault="005E1FC9" w:rsidP="005E1FC9">
          <w:pPr>
            <w:pStyle w:val="TOCHeading"/>
            <w:spacing w:line="360" w:lineRule="auto"/>
            <w:jc w:val="center"/>
            <w:rPr>
              <w:rFonts w:ascii="Arial" w:hAnsi="Arial" w:cs="Arial"/>
              <w:b/>
              <w:bCs w:val="0"/>
              <w:color w:val="000000" w:themeColor="text1"/>
              <w:szCs w:val="24"/>
            </w:rPr>
          </w:pPr>
          <w:r w:rsidRPr="00384A64">
            <w:rPr>
              <w:rFonts w:ascii="Arial" w:hAnsi="Arial" w:cs="Arial"/>
              <w:b/>
              <w:bCs w:val="0"/>
              <w:color w:val="000000" w:themeColor="text1"/>
              <w:szCs w:val="24"/>
            </w:rPr>
            <w:t>Table of Contents</w:t>
          </w:r>
        </w:p>
        <w:p w14:paraId="0343528F" w14:textId="708A04F0" w:rsidR="00384A64" w:rsidRPr="00384A64" w:rsidRDefault="005E1FC9">
          <w:pPr>
            <w:pStyle w:val="TOC1"/>
            <w:tabs>
              <w:tab w:val="right" w:leader="dot" w:pos="9016"/>
            </w:tabs>
            <w:rPr>
              <w:rFonts w:ascii="Arial" w:eastAsiaTheme="minorEastAsia" w:hAnsi="Arial" w:cs="Arial"/>
              <w:noProof/>
              <w:kern w:val="2"/>
              <w:sz w:val="24"/>
              <w:szCs w:val="24"/>
              <w:lang w:val="en-US"/>
              <w14:ligatures w14:val="standardContextual"/>
            </w:rPr>
          </w:pPr>
          <w:r w:rsidRPr="00384A64">
            <w:rPr>
              <w:rFonts w:ascii="Arial" w:hAnsi="Arial" w:cs="Arial"/>
              <w:b/>
              <w:bCs/>
              <w:noProof/>
              <w:color w:val="000000" w:themeColor="text1"/>
              <w:sz w:val="24"/>
              <w:szCs w:val="24"/>
            </w:rPr>
            <w:fldChar w:fldCharType="begin"/>
          </w:r>
          <w:r w:rsidRPr="00384A64">
            <w:rPr>
              <w:rFonts w:ascii="Arial" w:hAnsi="Arial" w:cs="Arial"/>
              <w:b/>
              <w:bCs/>
              <w:noProof/>
              <w:color w:val="000000" w:themeColor="text1"/>
              <w:sz w:val="24"/>
              <w:szCs w:val="24"/>
            </w:rPr>
            <w:instrText xml:space="preserve"> TOC \o "1-3" \h \z \u </w:instrText>
          </w:r>
          <w:r w:rsidRPr="00384A64">
            <w:rPr>
              <w:rFonts w:ascii="Arial" w:hAnsi="Arial" w:cs="Arial"/>
              <w:b/>
              <w:bCs/>
              <w:noProof/>
              <w:color w:val="000000" w:themeColor="text1"/>
              <w:sz w:val="24"/>
              <w:szCs w:val="24"/>
            </w:rPr>
            <w:fldChar w:fldCharType="separate"/>
          </w:r>
          <w:hyperlink w:anchor="_Toc227699195" w:history="1">
            <w:r w:rsidR="00384A64" w:rsidRPr="00384A64">
              <w:rPr>
                <w:rStyle w:val="Hyperlink"/>
                <w:rFonts w:ascii="Arial" w:hAnsi="Arial" w:cs="Arial"/>
                <w:noProof/>
                <w:lang w:val="en-US"/>
              </w:rPr>
              <w:t>Section 1</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_Toc227699195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w:t>
            </w:r>
            <w:r w:rsidR="00384A64" w:rsidRPr="00384A64">
              <w:rPr>
                <w:rFonts w:ascii="Arial" w:hAnsi="Arial" w:cs="Arial"/>
                <w:noProof/>
                <w:webHidden/>
              </w:rPr>
              <w:fldChar w:fldCharType="end"/>
            </w:r>
          </w:hyperlink>
        </w:p>
        <w:p w14:paraId="48C2DE63" w14:textId="7E146ABE"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196" w:history="1">
            <w:r w:rsidR="00384A64" w:rsidRPr="00384A64">
              <w:rPr>
                <w:rStyle w:val="Hyperlink"/>
                <w:rFonts w:ascii="Arial" w:hAnsi="Arial" w:cs="Arial"/>
                <w:noProof/>
                <w:lang w:val="en-US"/>
              </w:rPr>
              <w:t>1.0 Introduction</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_Toc227699196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w:t>
            </w:r>
            <w:r w:rsidR="00384A64" w:rsidRPr="00384A64">
              <w:rPr>
                <w:rFonts w:ascii="Arial" w:hAnsi="Arial" w:cs="Arial"/>
                <w:noProof/>
                <w:webHidden/>
              </w:rPr>
              <w:fldChar w:fldCharType="end"/>
            </w:r>
          </w:hyperlink>
        </w:p>
        <w:p w14:paraId="76DA5CC6" w14:textId="48C4620A"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197" w:history="1">
            <w:r w:rsidR="00384A64" w:rsidRPr="00384A64">
              <w:rPr>
                <w:rStyle w:val="Hyperlink"/>
                <w:rFonts w:ascii="Arial" w:hAnsi="Arial" w:cs="Arial"/>
                <w:noProof/>
                <w:lang w:val="en-US"/>
              </w:rPr>
              <w:t>2. Industry and Country Overview: Automobile Industry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_Toc227699197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2</w:t>
            </w:r>
            <w:r w:rsidR="00384A64" w:rsidRPr="00384A64">
              <w:rPr>
                <w:rFonts w:ascii="Arial" w:hAnsi="Arial" w:cs="Arial"/>
                <w:noProof/>
                <w:webHidden/>
              </w:rPr>
              <w:fldChar w:fldCharType="end"/>
            </w:r>
          </w:hyperlink>
        </w:p>
        <w:p w14:paraId="3225FC7C" w14:textId="4D77F63B"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198" w:history="1">
            <w:r w:rsidR="00384A64" w:rsidRPr="00384A64">
              <w:rPr>
                <w:rStyle w:val="Hyperlink"/>
                <w:rFonts w:ascii="Arial" w:hAnsi="Arial" w:cs="Arial"/>
                <w:noProof/>
                <w:lang w:val="en-US"/>
              </w:rPr>
              <w:t xml:space="preserve">2.1 Introduction to the </w:t>
            </w:r>
            <w:r w:rsidR="00384A64" w:rsidRPr="00384A64">
              <w:rPr>
                <w:rStyle w:val="Hyperlink"/>
                <w:rFonts w:ascii="Arial" w:hAnsi="Arial" w:cs="Arial"/>
                <w:noProof/>
              </w:rPr>
              <w:t>Automobile</w:t>
            </w:r>
            <w:r w:rsidR="00384A64" w:rsidRPr="00384A64">
              <w:rPr>
                <w:rStyle w:val="Hyperlink"/>
                <w:rFonts w:ascii="Arial" w:hAnsi="Arial" w:cs="Arial"/>
                <w:noProof/>
                <w:lang w:val="en-US"/>
              </w:rPr>
              <w:t xml:space="preserve"> Industry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_Toc227699198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2</w:t>
            </w:r>
            <w:r w:rsidR="00384A64" w:rsidRPr="00384A64">
              <w:rPr>
                <w:rFonts w:ascii="Arial" w:hAnsi="Arial" w:cs="Arial"/>
                <w:noProof/>
                <w:webHidden/>
              </w:rPr>
              <w:fldChar w:fldCharType="end"/>
            </w:r>
          </w:hyperlink>
        </w:p>
        <w:p w14:paraId="7653F1E4" w14:textId="19FB2BDC"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199" w:history="1">
            <w:r w:rsidR="00384A64" w:rsidRPr="00384A64">
              <w:rPr>
                <w:rStyle w:val="Hyperlink"/>
                <w:rFonts w:ascii="Arial" w:hAnsi="Arial" w:cs="Arial"/>
                <w:noProof/>
                <w:lang w:val="en-US"/>
              </w:rPr>
              <w:t>2.2 Size, Scope, Economic Importance:</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_Toc227699199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3</w:t>
            </w:r>
            <w:r w:rsidR="00384A64" w:rsidRPr="00384A64">
              <w:rPr>
                <w:rFonts w:ascii="Arial" w:hAnsi="Arial" w:cs="Arial"/>
                <w:noProof/>
                <w:webHidden/>
              </w:rPr>
              <w:fldChar w:fldCharType="end"/>
            </w:r>
          </w:hyperlink>
        </w:p>
        <w:p w14:paraId="0D73B7A9" w14:textId="2EFA1AD8"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0" w:history="1">
            <w:r w:rsidR="00384A64" w:rsidRPr="00384A64">
              <w:rPr>
                <w:rStyle w:val="Hyperlink"/>
                <w:rFonts w:ascii="Arial" w:hAnsi="Arial" w:cs="Arial"/>
                <w:noProof/>
                <w:lang w:val="en-US"/>
              </w:rPr>
              <w:t>2.3 Large Companies and Competitive Strategy:</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_Toc227699200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3</w:t>
            </w:r>
            <w:r w:rsidR="00384A64" w:rsidRPr="00384A64">
              <w:rPr>
                <w:rFonts w:ascii="Arial" w:hAnsi="Arial" w:cs="Arial"/>
                <w:noProof/>
                <w:webHidden/>
              </w:rPr>
              <w:fldChar w:fldCharType="end"/>
            </w:r>
          </w:hyperlink>
        </w:p>
        <w:p w14:paraId="2B597D60" w14:textId="1D8074B8"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01" w:history="1">
            <w:r w:rsidR="00384A64" w:rsidRPr="00384A64">
              <w:rPr>
                <w:rStyle w:val="Hyperlink"/>
                <w:rFonts w:ascii="Arial" w:hAnsi="Arial" w:cs="Arial"/>
                <w:noProof/>
                <w:lang w:val="en-US"/>
              </w:rPr>
              <w:t>3.0 Application of Porter's Diamond Model of National Advantage</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_Toc227699201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4</w:t>
            </w:r>
            <w:r w:rsidR="00384A64" w:rsidRPr="00384A64">
              <w:rPr>
                <w:rFonts w:ascii="Arial" w:hAnsi="Arial" w:cs="Arial"/>
                <w:noProof/>
                <w:webHidden/>
              </w:rPr>
              <w:fldChar w:fldCharType="end"/>
            </w:r>
          </w:hyperlink>
        </w:p>
        <w:p w14:paraId="232BA172" w14:textId="01F636ED"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2" w:history="1">
            <w:r w:rsidR="00384A64" w:rsidRPr="00384A64">
              <w:rPr>
                <w:rStyle w:val="Hyperlink"/>
                <w:rFonts w:ascii="Arial" w:hAnsi="Arial" w:cs="Arial"/>
                <w:noProof/>
                <w:lang w:val="en-US"/>
              </w:rPr>
              <w:t>3.1 Factor Conditions</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_Toc227699202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5</w:t>
            </w:r>
            <w:r w:rsidR="00384A64" w:rsidRPr="00384A64">
              <w:rPr>
                <w:rFonts w:ascii="Arial" w:hAnsi="Arial" w:cs="Arial"/>
                <w:noProof/>
                <w:webHidden/>
              </w:rPr>
              <w:fldChar w:fldCharType="end"/>
            </w:r>
          </w:hyperlink>
        </w:p>
        <w:p w14:paraId="5BDD5686" w14:textId="3DDCBBA1"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3" w:history="1">
            <w:r w:rsidR="00384A64" w:rsidRPr="00384A64">
              <w:rPr>
                <w:rStyle w:val="Hyperlink"/>
                <w:rFonts w:ascii="Arial" w:hAnsi="Arial" w:cs="Arial"/>
                <w:noProof/>
                <w:lang w:val="en-US"/>
              </w:rPr>
              <w:t>3.2 Demand Conditions</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_Toc227699203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6</w:t>
            </w:r>
            <w:r w:rsidR="00384A64" w:rsidRPr="00384A64">
              <w:rPr>
                <w:rFonts w:ascii="Arial" w:hAnsi="Arial" w:cs="Arial"/>
                <w:noProof/>
                <w:webHidden/>
              </w:rPr>
              <w:fldChar w:fldCharType="end"/>
            </w:r>
          </w:hyperlink>
        </w:p>
        <w:p w14:paraId="554D30CA" w14:textId="014CF557"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4" w:history="1">
            <w:r w:rsidR="00384A64" w:rsidRPr="00384A64">
              <w:rPr>
                <w:rStyle w:val="Hyperlink"/>
                <w:rFonts w:ascii="Arial" w:hAnsi="Arial" w:cs="Arial"/>
                <w:noProof/>
                <w:lang w:val="en-US"/>
              </w:rPr>
              <w:t>3.3 Supporting and related Industries</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_Toc227699204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6</w:t>
            </w:r>
            <w:r w:rsidR="00384A64" w:rsidRPr="00384A64">
              <w:rPr>
                <w:rFonts w:ascii="Arial" w:hAnsi="Arial" w:cs="Arial"/>
                <w:noProof/>
                <w:webHidden/>
              </w:rPr>
              <w:fldChar w:fldCharType="end"/>
            </w:r>
          </w:hyperlink>
        </w:p>
        <w:p w14:paraId="0D55949F" w14:textId="655DAD77"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5" w:history="1">
            <w:r w:rsidR="00384A64" w:rsidRPr="00384A64">
              <w:rPr>
                <w:rStyle w:val="Hyperlink"/>
                <w:rFonts w:ascii="Arial" w:hAnsi="Arial" w:cs="Arial"/>
                <w:noProof/>
                <w:lang w:val="en-US"/>
              </w:rPr>
              <w:t>3.4 Strategy, structure and rivalry in a firm</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_Toc227699205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7</w:t>
            </w:r>
            <w:r w:rsidR="00384A64" w:rsidRPr="00384A64">
              <w:rPr>
                <w:rFonts w:ascii="Arial" w:hAnsi="Arial" w:cs="Arial"/>
                <w:noProof/>
                <w:webHidden/>
              </w:rPr>
              <w:fldChar w:fldCharType="end"/>
            </w:r>
          </w:hyperlink>
        </w:p>
        <w:p w14:paraId="27334612" w14:textId="599255D9"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6" w:history="1">
            <w:r w:rsidR="00384A64" w:rsidRPr="00384A64">
              <w:rPr>
                <w:rStyle w:val="Hyperlink"/>
                <w:rFonts w:ascii="Arial" w:hAnsi="Arial" w:cs="Arial"/>
                <w:noProof/>
                <w:lang w:val="en-US"/>
              </w:rPr>
              <w:t>3.5 Government and Luck</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_Toc227699206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8</w:t>
            </w:r>
            <w:r w:rsidR="00384A64" w:rsidRPr="00384A64">
              <w:rPr>
                <w:rFonts w:ascii="Arial" w:hAnsi="Arial" w:cs="Arial"/>
                <w:noProof/>
                <w:webHidden/>
              </w:rPr>
              <w:fldChar w:fldCharType="end"/>
            </w:r>
          </w:hyperlink>
        </w:p>
        <w:p w14:paraId="7513DDC1" w14:textId="7DEAFEC6"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07" w:history="1">
            <w:r w:rsidR="00384A64" w:rsidRPr="00384A64">
              <w:rPr>
                <w:rStyle w:val="Hyperlink"/>
                <w:rFonts w:ascii="Arial" w:hAnsi="Arial" w:cs="Arial"/>
                <w:noProof/>
                <w:lang w:val="en-US"/>
              </w:rPr>
              <w:t>4.0 Critical Evaluation of a Foreign MNC: Tesla Inc. in the Australian Automobile Industry</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_Toc227699207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8</w:t>
            </w:r>
            <w:r w:rsidR="00384A64" w:rsidRPr="00384A64">
              <w:rPr>
                <w:rFonts w:ascii="Arial" w:hAnsi="Arial" w:cs="Arial"/>
                <w:noProof/>
                <w:webHidden/>
              </w:rPr>
              <w:fldChar w:fldCharType="end"/>
            </w:r>
          </w:hyperlink>
        </w:p>
        <w:p w14:paraId="162F1E51" w14:textId="2C1C145C"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8" w:history="1">
            <w:r w:rsidR="00384A64" w:rsidRPr="00384A64">
              <w:rPr>
                <w:rStyle w:val="Hyperlink"/>
                <w:rFonts w:ascii="Arial" w:hAnsi="Arial" w:cs="Arial"/>
                <w:noProof/>
                <w:lang w:val="en-US"/>
              </w:rPr>
              <w:t>4.1 Introduction to the Foreign MNC</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_Toc227699208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8</w:t>
            </w:r>
            <w:r w:rsidR="00384A64" w:rsidRPr="00384A64">
              <w:rPr>
                <w:rFonts w:ascii="Arial" w:hAnsi="Arial" w:cs="Arial"/>
                <w:noProof/>
                <w:webHidden/>
              </w:rPr>
              <w:fldChar w:fldCharType="end"/>
            </w:r>
          </w:hyperlink>
        </w:p>
        <w:p w14:paraId="28AABDCD" w14:textId="2D3C4FC0"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09" w:history="1">
            <w:r w:rsidR="00384A64" w:rsidRPr="00384A64">
              <w:rPr>
                <w:rStyle w:val="Hyperlink"/>
                <w:rFonts w:ascii="Arial" w:hAnsi="Arial" w:cs="Arial"/>
                <w:noProof/>
                <w:lang w:val="en-US"/>
              </w:rPr>
              <w:t>4.2 Overview of Tesla's Operations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_Toc227699209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9</w:t>
            </w:r>
            <w:r w:rsidR="00384A64" w:rsidRPr="00384A64">
              <w:rPr>
                <w:rFonts w:ascii="Arial" w:hAnsi="Arial" w:cs="Arial"/>
                <w:noProof/>
                <w:webHidden/>
              </w:rPr>
              <w:fldChar w:fldCharType="end"/>
            </w:r>
          </w:hyperlink>
        </w:p>
        <w:p w14:paraId="39403A0A" w14:textId="2189680A" w:rsidR="00384A64" w:rsidRPr="00384A64" w:rsidRDefault="000C1A5C">
          <w:pPr>
            <w:pStyle w:val="TOC2"/>
            <w:tabs>
              <w:tab w:val="right" w:leader="dot" w:pos="9016"/>
            </w:tabs>
            <w:rPr>
              <w:rFonts w:ascii="Arial" w:eastAsiaTheme="minorEastAsia" w:hAnsi="Arial" w:cs="Arial"/>
              <w:noProof/>
              <w:kern w:val="2"/>
              <w:sz w:val="24"/>
              <w:szCs w:val="24"/>
              <w:lang w:val="en-US"/>
              <w14:ligatures w14:val="standardContextual"/>
            </w:rPr>
          </w:pPr>
          <w:hyperlink w:anchor="_Toc227699210" w:history="1">
            <w:r w:rsidR="00384A64" w:rsidRPr="00384A64">
              <w:rPr>
                <w:rStyle w:val="Hyperlink"/>
                <w:rFonts w:ascii="Arial" w:hAnsi="Arial" w:cs="Arial"/>
                <w:noProof/>
                <w:lang w:val="en-US"/>
              </w:rPr>
              <w:t>4.3 General market attractiveness analysis</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_Toc227699210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15</w:t>
            </w:r>
            <w:r w:rsidR="00384A64" w:rsidRPr="00384A64">
              <w:rPr>
                <w:rFonts w:ascii="Arial" w:hAnsi="Arial" w:cs="Arial"/>
                <w:noProof/>
                <w:webHidden/>
              </w:rPr>
              <w:fldChar w:fldCharType="end"/>
            </w:r>
          </w:hyperlink>
        </w:p>
        <w:p w14:paraId="6FFF5FEE" w14:textId="6CA0CE5F"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11" w:history="1">
            <w:r w:rsidR="00384A64" w:rsidRPr="00384A64">
              <w:rPr>
                <w:rStyle w:val="Hyperlink"/>
                <w:rFonts w:ascii="Arial" w:hAnsi="Arial" w:cs="Arial"/>
                <w:noProof/>
                <w:lang w:val="en-US"/>
              </w:rPr>
              <w:t>5.0 Conclusion</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_Toc227699211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16</w:t>
            </w:r>
            <w:r w:rsidR="00384A64" w:rsidRPr="00384A64">
              <w:rPr>
                <w:rFonts w:ascii="Arial" w:hAnsi="Arial" w:cs="Arial"/>
                <w:noProof/>
                <w:webHidden/>
              </w:rPr>
              <w:fldChar w:fldCharType="end"/>
            </w:r>
          </w:hyperlink>
        </w:p>
        <w:p w14:paraId="3310268C" w14:textId="318C5C67"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12" w:history="1">
            <w:r w:rsidR="00384A64" w:rsidRPr="00384A64">
              <w:rPr>
                <w:rStyle w:val="Hyperlink"/>
                <w:rFonts w:ascii="Arial" w:hAnsi="Arial" w:cs="Arial"/>
                <w:noProof/>
                <w:lang w:val="en-US"/>
              </w:rPr>
              <w:t>Section 2</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_Toc227699212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17</w:t>
            </w:r>
            <w:r w:rsidR="00384A64" w:rsidRPr="00384A64">
              <w:rPr>
                <w:rFonts w:ascii="Arial" w:hAnsi="Arial" w:cs="Arial"/>
                <w:noProof/>
                <w:webHidden/>
              </w:rPr>
              <w:fldChar w:fldCharType="end"/>
            </w:r>
          </w:hyperlink>
        </w:p>
        <w:p w14:paraId="0DA390B8" w14:textId="51EBFB4E"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13" w:history="1">
            <w:r w:rsidR="00384A64" w:rsidRPr="00384A64">
              <w:rPr>
                <w:rStyle w:val="Hyperlink"/>
                <w:rFonts w:ascii="Arial" w:hAnsi="Arial" w:cs="Arial"/>
                <w:noProof/>
                <w:lang w:val="en-US"/>
              </w:rPr>
              <w:t>Reflective Account Using Gibbs Reflective Cycle:</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_Toc227699213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17</w:t>
            </w:r>
            <w:r w:rsidR="00384A64" w:rsidRPr="00384A64">
              <w:rPr>
                <w:rFonts w:ascii="Arial" w:hAnsi="Arial" w:cs="Arial"/>
                <w:noProof/>
                <w:webHidden/>
              </w:rPr>
              <w:fldChar w:fldCharType="end"/>
            </w:r>
          </w:hyperlink>
        </w:p>
        <w:p w14:paraId="56F39DBC" w14:textId="6641CE54" w:rsidR="00384A64" w:rsidRPr="00384A64" w:rsidRDefault="000C1A5C">
          <w:pPr>
            <w:pStyle w:val="TOC1"/>
            <w:tabs>
              <w:tab w:val="right" w:leader="dot" w:pos="9016"/>
            </w:tabs>
            <w:rPr>
              <w:rFonts w:ascii="Arial" w:eastAsiaTheme="minorEastAsia" w:hAnsi="Arial" w:cs="Arial"/>
              <w:noProof/>
              <w:kern w:val="2"/>
              <w:sz w:val="24"/>
              <w:szCs w:val="24"/>
              <w:lang w:val="en-US"/>
              <w14:ligatures w14:val="standardContextual"/>
            </w:rPr>
          </w:pPr>
          <w:hyperlink w:anchor="_Toc227699214" w:history="1">
            <w:r w:rsidR="00384A64" w:rsidRPr="00384A64">
              <w:rPr>
                <w:rStyle w:val="Hyperlink"/>
                <w:rFonts w:ascii="Arial" w:hAnsi="Arial" w:cs="Arial"/>
                <w:noProof/>
              </w:rPr>
              <w:t>Reference</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_Toc227699214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22</w:t>
            </w:r>
            <w:r w:rsidR="00384A64" w:rsidRPr="00384A64">
              <w:rPr>
                <w:rFonts w:ascii="Arial" w:hAnsi="Arial" w:cs="Arial"/>
                <w:noProof/>
                <w:webHidden/>
              </w:rPr>
              <w:fldChar w:fldCharType="end"/>
            </w:r>
          </w:hyperlink>
        </w:p>
        <w:p w14:paraId="1C4C1410" w14:textId="5AF72CA8" w:rsidR="005E1FC9" w:rsidRPr="00384A64" w:rsidRDefault="005E1FC9" w:rsidP="005E1FC9">
          <w:pPr>
            <w:spacing w:line="360" w:lineRule="auto"/>
            <w:rPr>
              <w:rFonts w:ascii="Arial" w:hAnsi="Arial" w:cs="Arial"/>
              <w:color w:val="000000" w:themeColor="text1"/>
            </w:rPr>
          </w:pPr>
          <w:r w:rsidRPr="00384A64">
            <w:rPr>
              <w:rFonts w:ascii="Arial" w:hAnsi="Arial" w:cs="Arial"/>
              <w:b/>
              <w:bCs/>
              <w:noProof/>
              <w:color w:val="000000" w:themeColor="text1"/>
              <w:sz w:val="24"/>
              <w:szCs w:val="24"/>
            </w:rPr>
            <w:fldChar w:fldCharType="end"/>
          </w:r>
        </w:p>
      </w:sdtContent>
    </w:sdt>
    <w:p w14:paraId="2DAA678E" w14:textId="77777777" w:rsidR="005E1FC9" w:rsidRPr="00384A64" w:rsidRDefault="005E1FC9" w:rsidP="005E1FC9">
      <w:pPr>
        <w:pStyle w:val="TableofFigures"/>
        <w:tabs>
          <w:tab w:val="right" w:leader="dot" w:pos="9016"/>
        </w:tabs>
        <w:rPr>
          <w:rFonts w:ascii="Arial" w:hAnsi="Arial" w:cs="Arial"/>
          <w:color w:val="000000" w:themeColor="text1"/>
          <w:sz w:val="24"/>
          <w:szCs w:val="24"/>
        </w:rPr>
      </w:pPr>
    </w:p>
    <w:p w14:paraId="075C1900" w14:textId="77777777" w:rsidR="005E1FC9" w:rsidRPr="00384A64" w:rsidRDefault="005E1FC9" w:rsidP="005E1FC9">
      <w:pPr>
        <w:pStyle w:val="TableofFigures"/>
        <w:tabs>
          <w:tab w:val="right" w:leader="dot" w:pos="9016"/>
        </w:tabs>
        <w:rPr>
          <w:rFonts w:ascii="Arial" w:hAnsi="Arial" w:cs="Arial"/>
          <w:color w:val="000000" w:themeColor="text1"/>
          <w:sz w:val="24"/>
          <w:szCs w:val="24"/>
        </w:rPr>
      </w:pPr>
    </w:p>
    <w:p w14:paraId="7337C9F9" w14:textId="77777777" w:rsidR="005E1FC9" w:rsidRPr="00384A64" w:rsidRDefault="005E1FC9" w:rsidP="005E1FC9">
      <w:pPr>
        <w:pStyle w:val="TableofFigures"/>
        <w:tabs>
          <w:tab w:val="right" w:leader="dot" w:pos="9016"/>
        </w:tabs>
        <w:jc w:val="center"/>
        <w:rPr>
          <w:rFonts w:ascii="Arial" w:hAnsi="Arial" w:cs="Arial"/>
          <w:b/>
          <w:bCs/>
          <w:color w:val="000000" w:themeColor="text1"/>
          <w:sz w:val="24"/>
          <w:szCs w:val="24"/>
        </w:rPr>
      </w:pPr>
      <w:r w:rsidRPr="00384A64">
        <w:rPr>
          <w:rFonts w:ascii="Arial" w:hAnsi="Arial" w:cs="Arial"/>
          <w:b/>
          <w:bCs/>
          <w:color w:val="000000" w:themeColor="text1"/>
          <w:sz w:val="24"/>
          <w:szCs w:val="24"/>
        </w:rPr>
        <w:t xml:space="preserve">Contents of Table </w:t>
      </w:r>
    </w:p>
    <w:p w14:paraId="24084A51" w14:textId="446D2FF7" w:rsidR="00384A64" w:rsidRPr="00384A64" w:rsidRDefault="005E1FC9">
      <w:pPr>
        <w:pStyle w:val="TableofFigures"/>
        <w:tabs>
          <w:tab w:val="right" w:leader="dot" w:pos="9016"/>
        </w:tabs>
        <w:rPr>
          <w:rFonts w:ascii="Arial" w:eastAsiaTheme="minorEastAsia" w:hAnsi="Arial" w:cs="Arial"/>
          <w:noProof/>
          <w:kern w:val="2"/>
          <w:sz w:val="24"/>
          <w:szCs w:val="24"/>
          <w:lang w:val="en-US"/>
          <w14:ligatures w14:val="standardContextual"/>
        </w:rPr>
      </w:pPr>
      <w:r w:rsidRPr="00384A64">
        <w:rPr>
          <w:rFonts w:ascii="Arial" w:hAnsi="Arial" w:cs="Arial"/>
          <w:color w:val="000000" w:themeColor="text1"/>
          <w:sz w:val="24"/>
          <w:szCs w:val="24"/>
        </w:rPr>
        <w:fldChar w:fldCharType="begin"/>
      </w:r>
      <w:r w:rsidRPr="00384A64">
        <w:rPr>
          <w:rFonts w:ascii="Arial" w:hAnsi="Arial" w:cs="Arial"/>
          <w:color w:val="000000" w:themeColor="text1"/>
          <w:sz w:val="24"/>
          <w:szCs w:val="24"/>
        </w:rPr>
        <w:instrText xml:space="preserve"> TOC \h \z \c "Table" </w:instrText>
      </w:r>
      <w:r w:rsidRPr="00384A64">
        <w:rPr>
          <w:rFonts w:ascii="Arial" w:hAnsi="Arial" w:cs="Arial"/>
          <w:color w:val="000000" w:themeColor="text1"/>
          <w:sz w:val="24"/>
          <w:szCs w:val="24"/>
        </w:rPr>
        <w:fldChar w:fldCharType="separate"/>
      </w:r>
      <w:hyperlink w:anchor="_Toc227699215" w:history="1">
        <w:r w:rsidR="00384A64" w:rsidRPr="00384A64">
          <w:rPr>
            <w:rStyle w:val="Hyperlink"/>
            <w:rFonts w:ascii="Arial" w:hAnsi="Arial" w:cs="Arial"/>
            <w:noProof/>
          </w:rPr>
          <w:t>Table 1: Competitive Positioning of Key Automotive Firms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_Toc227699215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4</w:t>
        </w:r>
        <w:r w:rsidR="00384A64" w:rsidRPr="00384A64">
          <w:rPr>
            <w:rFonts w:ascii="Arial" w:hAnsi="Arial" w:cs="Arial"/>
            <w:noProof/>
            <w:webHidden/>
          </w:rPr>
          <w:fldChar w:fldCharType="end"/>
        </w:r>
      </w:hyperlink>
    </w:p>
    <w:p w14:paraId="6D17DBD1" w14:textId="4ADC72CE" w:rsidR="00384A64" w:rsidRPr="00384A64" w:rsidRDefault="000C1A5C">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699216" w:history="1">
        <w:r w:rsidR="00384A64" w:rsidRPr="00384A64">
          <w:rPr>
            <w:rStyle w:val="Hyperlink"/>
            <w:rFonts w:ascii="Arial" w:hAnsi="Arial" w:cs="Arial"/>
            <w:noProof/>
          </w:rPr>
          <w:t>Table 2: Key Economic Indicators Affecting Tesla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_Toc227699216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11</w:t>
        </w:r>
        <w:r w:rsidR="00384A64" w:rsidRPr="00384A64">
          <w:rPr>
            <w:rFonts w:ascii="Arial" w:hAnsi="Arial" w:cs="Arial"/>
            <w:noProof/>
            <w:webHidden/>
          </w:rPr>
          <w:fldChar w:fldCharType="end"/>
        </w:r>
      </w:hyperlink>
    </w:p>
    <w:p w14:paraId="4758CB53" w14:textId="0B4D8765" w:rsidR="00384A64" w:rsidRPr="00384A64" w:rsidRDefault="000C1A5C">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699217" w:history="1">
        <w:r w:rsidR="00384A64" w:rsidRPr="00384A64">
          <w:rPr>
            <w:rStyle w:val="Hyperlink"/>
            <w:rFonts w:ascii="Arial" w:hAnsi="Arial" w:cs="Arial"/>
            <w:noProof/>
          </w:rPr>
          <w:t>Table 3: Cultural Influences on Tesla's Success</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_Toc227699217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13</w:t>
        </w:r>
        <w:r w:rsidR="00384A64" w:rsidRPr="00384A64">
          <w:rPr>
            <w:rFonts w:ascii="Arial" w:hAnsi="Arial" w:cs="Arial"/>
            <w:noProof/>
            <w:webHidden/>
          </w:rPr>
          <w:fldChar w:fldCharType="end"/>
        </w:r>
      </w:hyperlink>
    </w:p>
    <w:p w14:paraId="347D064C" w14:textId="6D7509A9" w:rsidR="00384A64" w:rsidRPr="00384A64" w:rsidRDefault="000C1A5C">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699218" w:history="1">
        <w:r w:rsidR="00384A64" w:rsidRPr="00384A64">
          <w:rPr>
            <w:rStyle w:val="Hyperlink"/>
            <w:rFonts w:ascii="Arial" w:hAnsi="Arial" w:cs="Arial"/>
            <w:noProof/>
          </w:rPr>
          <w:t>Table 4: Market Attractiveness Summary</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_Toc227699218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15</w:t>
        </w:r>
        <w:r w:rsidR="00384A64" w:rsidRPr="00384A64">
          <w:rPr>
            <w:rFonts w:ascii="Arial" w:hAnsi="Arial" w:cs="Arial"/>
            <w:noProof/>
            <w:webHidden/>
          </w:rPr>
          <w:fldChar w:fldCharType="end"/>
        </w:r>
      </w:hyperlink>
    </w:p>
    <w:p w14:paraId="3FE5B776" w14:textId="3B674E9A" w:rsidR="005E1FC9" w:rsidRPr="00384A64" w:rsidRDefault="005E1FC9" w:rsidP="005E1FC9">
      <w:pPr>
        <w:spacing w:line="360" w:lineRule="auto"/>
        <w:jc w:val="both"/>
        <w:rPr>
          <w:rFonts w:ascii="Arial" w:hAnsi="Arial" w:cs="Arial"/>
          <w:color w:val="000000" w:themeColor="text1"/>
          <w:sz w:val="24"/>
          <w:szCs w:val="24"/>
        </w:rPr>
      </w:pPr>
      <w:r w:rsidRPr="00384A64">
        <w:rPr>
          <w:rFonts w:ascii="Arial" w:hAnsi="Arial" w:cs="Arial"/>
          <w:color w:val="000000" w:themeColor="text1"/>
          <w:sz w:val="24"/>
          <w:szCs w:val="24"/>
        </w:rPr>
        <w:fldChar w:fldCharType="end"/>
      </w:r>
    </w:p>
    <w:p w14:paraId="1246B896" w14:textId="33ADE055" w:rsidR="00AB2424" w:rsidRPr="00384A64" w:rsidRDefault="00AB2424" w:rsidP="00AB2424">
      <w:pPr>
        <w:spacing w:line="360" w:lineRule="auto"/>
        <w:jc w:val="center"/>
        <w:rPr>
          <w:rFonts w:ascii="Arial" w:hAnsi="Arial" w:cs="Arial"/>
          <w:b/>
          <w:bCs/>
          <w:color w:val="000000" w:themeColor="text1"/>
          <w:sz w:val="24"/>
          <w:szCs w:val="24"/>
        </w:rPr>
      </w:pPr>
      <w:r w:rsidRPr="00384A64">
        <w:rPr>
          <w:rFonts w:ascii="Arial" w:hAnsi="Arial" w:cs="Arial"/>
          <w:b/>
          <w:bCs/>
          <w:color w:val="000000" w:themeColor="text1"/>
          <w:sz w:val="24"/>
          <w:szCs w:val="24"/>
        </w:rPr>
        <w:t>Contents of Figures</w:t>
      </w:r>
    </w:p>
    <w:p w14:paraId="438B1A52" w14:textId="23656C1A" w:rsidR="00384A64" w:rsidRPr="00384A64" w:rsidRDefault="00AB2424">
      <w:pPr>
        <w:pStyle w:val="TableofFigures"/>
        <w:tabs>
          <w:tab w:val="right" w:leader="dot" w:pos="9016"/>
        </w:tabs>
        <w:rPr>
          <w:rFonts w:ascii="Arial" w:eastAsiaTheme="minorEastAsia" w:hAnsi="Arial" w:cs="Arial"/>
          <w:noProof/>
          <w:kern w:val="2"/>
          <w:sz w:val="24"/>
          <w:szCs w:val="24"/>
          <w:lang w:val="en-US"/>
          <w14:ligatures w14:val="standardContextual"/>
        </w:rPr>
      </w:pPr>
      <w:r w:rsidRPr="00384A64">
        <w:rPr>
          <w:rFonts w:ascii="Arial" w:hAnsi="Arial" w:cs="Arial"/>
          <w:color w:val="000000" w:themeColor="text1"/>
          <w:sz w:val="24"/>
          <w:szCs w:val="24"/>
        </w:rPr>
        <w:fldChar w:fldCharType="begin"/>
      </w:r>
      <w:r w:rsidRPr="00384A64">
        <w:rPr>
          <w:rFonts w:ascii="Arial" w:hAnsi="Arial" w:cs="Arial"/>
          <w:color w:val="000000" w:themeColor="text1"/>
          <w:sz w:val="24"/>
          <w:szCs w:val="24"/>
        </w:rPr>
        <w:instrText xml:space="preserve"> TOC \h \z \c "Figure" </w:instrText>
      </w:r>
      <w:r w:rsidRPr="00384A64">
        <w:rPr>
          <w:rFonts w:ascii="Arial" w:hAnsi="Arial" w:cs="Arial"/>
          <w:color w:val="000000" w:themeColor="text1"/>
          <w:sz w:val="24"/>
          <w:szCs w:val="24"/>
        </w:rPr>
        <w:fldChar w:fldCharType="separate"/>
      </w:r>
      <w:hyperlink w:anchor="_Toc227699219" w:history="1">
        <w:r w:rsidR="00384A64" w:rsidRPr="00384A64">
          <w:rPr>
            <w:rStyle w:val="Hyperlink"/>
            <w:rFonts w:ascii="Arial" w:hAnsi="Arial" w:cs="Arial"/>
            <w:noProof/>
          </w:rPr>
          <w:t>Figure 1: Motor Vehicle Workers in Australia</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_Toc227699219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2</w:t>
        </w:r>
        <w:r w:rsidR="00384A64" w:rsidRPr="00384A64">
          <w:rPr>
            <w:rFonts w:ascii="Arial" w:hAnsi="Arial" w:cs="Arial"/>
            <w:noProof/>
            <w:webHidden/>
          </w:rPr>
          <w:fldChar w:fldCharType="end"/>
        </w:r>
      </w:hyperlink>
    </w:p>
    <w:p w14:paraId="4A7D8F7C" w14:textId="293E8FB7" w:rsidR="00384A64" w:rsidRPr="00384A64" w:rsidRDefault="000C1A5C">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699220" w:history="1">
        <w:r w:rsidR="00384A64" w:rsidRPr="00384A64">
          <w:rPr>
            <w:rStyle w:val="Hyperlink"/>
            <w:rFonts w:ascii="Arial" w:hAnsi="Arial" w:cs="Arial"/>
            <w:noProof/>
          </w:rPr>
          <w:t>Figure 2: Porter's Diamond Model</w:t>
        </w:r>
        <w:r w:rsidR="00384A64" w:rsidRPr="00384A64">
          <w:rPr>
            <w:rFonts w:ascii="Arial" w:hAnsi="Arial" w:cs="Arial"/>
            <w:noProof/>
            <w:webHidden/>
          </w:rPr>
          <w:tab/>
        </w:r>
        <w:r w:rsidR="00384A64" w:rsidRPr="00384A64">
          <w:rPr>
            <w:rFonts w:ascii="Arial" w:hAnsi="Arial" w:cs="Arial"/>
            <w:noProof/>
            <w:webHidden/>
          </w:rPr>
          <w:fldChar w:fldCharType="begin"/>
        </w:r>
        <w:r w:rsidR="00384A64" w:rsidRPr="00384A64">
          <w:rPr>
            <w:rFonts w:ascii="Arial" w:hAnsi="Arial" w:cs="Arial"/>
            <w:noProof/>
            <w:webHidden/>
          </w:rPr>
          <w:instrText xml:space="preserve"> PAGEREF _Toc227699220 \h </w:instrText>
        </w:r>
        <w:r w:rsidR="00384A64" w:rsidRPr="00384A64">
          <w:rPr>
            <w:rFonts w:ascii="Arial" w:hAnsi="Arial" w:cs="Arial"/>
            <w:noProof/>
            <w:webHidden/>
          </w:rPr>
        </w:r>
        <w:r w:rsidR="00384A64" w:rsidRPr="00384A64">
          <w:rPr>
            <w:rFonts w:ascii="Arial" w:hAnsi="Arial" w:cs="Arial"/>
            <w:noProof/>
            <w:webHidden/>
          </w:rPr>
          <w:fldChar w:fldCharType="separate"/>
        </w:r>
        <w:r w:rsidR="00384A64" w:rsidRPr="00384A64">
          <w:rPr>
            <w:rFonts w:ascii="Arial" w:hAnsi="Arial" w:cs="Arial"/>
            <w:noProof/>
            <w:webHidden/>
          </w:rPr>
          <w:t>5</w:t>
        </w:r>
        <w:r w:rsidR="00384A64" w:rsidRPr="00384A64">
          <w:rPr>
            <w:rFonts w:ascii="Arial" w:hAnsi="Arial" w:cs="Arial"/>
            <w:noProof/>
            <w:webHidden/>
          </w:rPr>
          <w:fldChar w:fldCharType="end"/>
        </w:r>
      </w:hyperlink>
    </w:p>
    <w:p w14:paraId="5038528D" w14:textId="4DF6693A" w:rsidR="00AB2424" w:rsidRPr="00384A64" w:rsidRDefault="00AB2424" w:rsidP="005E1FC9">
      <w:pPr>
        <w:spacing w:line="360" w:lineRule="auto"/>
        <w:jc w:val="both"/>
        <w:rPr>
          <w:rFonts w:ascii="Arial" w:hAnsi="Arial" w:cs="Arial"/>
          <w:color w:val="000000" w:themeColor="text1"/>
          <w:sz w:val="24"/>
          <w:szCs w:val="24"/>
        </w:rPr>
      </w:pPr>
      <w:r w:rsidRPr="00384A64">
        <w:rPr>
          <w:rFonts w:ascii="Arial" w:hAnsi="Arial" w:cs="Arial"/>
          <w:color w:val="000000" w:themeColor="text1"/>
          <w:sz w:val="24"/>
          <w:szCs w:val="24"/>
        </w:rPr>
        <w:fldChar w:fldCharType="end"/>
      </w:r>
    </w:p>
    <w:p w14:paraId="39674DB0" w14:textId="2DE7413F" w:rsidR="005E1FC9" w:rsidRPr="00294F8F" w:rsidRDefault="005E1FC9" w:rsidP="005E1FC9">
      <w:pPr>
        <w:spacing w:line="360" w:lineRule="auto"/>
        <w:jc w:val="both"/>
        <w:rPr>
          <w:rFonts w:ascii="Arial" w:hAnsi="Arial" w:cs="Arial"/>
          <w:color w:val="000000" w:themeColor="text1"/>
          <w:sz w:val="24"/>
          <w:szCs w:val="24"/>
        </w:rPr>
        <w:sectPr w:rsidR="005E1FC9" w:rsidRPr="00294F8F" w:rsidSect="005E1FC9">
          <w:pgSz w:w="11906" w:h="16838"/>
          <w:pgMar w:top="1440" w:right="1440" w:bottom="1440" w:left="1440" w:header="720" w:footer="720" w:gutter="0"/>
          <w:pgNumType w:start="0"/>
          <w:cols w:space="720"/>
          <w:titlePg/>
          <w:docGrid w:linePitch="299"/>
        </w:sectPr>
      </w:pPr>
    </w:p>
    <w:p w14:paraId="4B1C3D6A" w14:textId="77777777" w:rsidR="005E1FC9" w:rsidRPr="00F75A88" w:rsidRDefault="005E1FC9" w:rsidP="005E1FC9">
      <w:pPr>
        <w:pStyle w:val="Heading1"/>
        <w:jc w:val="center"/>
        <w:rPr>
          <w:u w:val="single"/>
          <w:lang w:val="en-US"/>
        </w:rPr>
      </w:pPr>
      <w:bookmarkStart w:id="0" w:name="_Toc227699195"/>
      <w:r w:rsidRPr="00F75A88">
        <w:rPr>
          <w:u w:val="single"/>
          <w:lang w:val="en-US"/>
        </w:rPr>
        <w:lastRenderedPageBreak/>
        <w:t>Section 1</w:t>
      </w:r>
      <w:bookmarkEnd w:id="0"/>
    </w:p>
    <w:p w14:paraId="13FDEDF1" w14:textId="7E8A9F91" w:rsidR="00992F28" w:rsidRDefault="00992F28" w:rsidP="005E1FC9">
      <w:pPr>
        <w:pStyle w:val="Heading1"/>
        <w:rPr>
          <w:lang w:val="en-US"/>
        </w:rPr>
      </w:pPr>
      <w:bookmarkStart w:id="1" w:name="_Toc227699196"/>
      <w:r>
        <w:rPr>
          <w:lang w:val="en-US"/>
        </w:rPr>
        <w:t>1.0</w:t>
      </w:r>
      <w:r w:rsidR="009153A3">
        <w:rPr>
          <w:lang w:val="en-US"/>
        </w:rPr>
        <w:t xml:space="preserve"> </w:t>
      </w:r>
      <w:r>
        <w:rPr>
          <w:lang w:val="en-US"/>
        </w:rPr>
        <w:t>Introduction</w:t>
      </w:r>
      <w:bookmarkEnd w:id="1"/>
    </w:p>
    <w:p w14:paraId="42E9E27E" w14:textId="3E516778" w:rsidR="00EF02D7" w:rsidRPr="00EF02D7" w:rsidRDefault="00517771" w:rsidP="00EF02D7">
      <w:pPr>
        <w:spacing w:line="360" w:lineRule="auto"/>
        <w:jc w:val="both"/>
        <w:rPr>
          <w:rFonts w:ascii="Arial" w:hAnsi="Arial" w:cs="Arial"/>
          <w:sz w:val="24"/>
          <w:szCs w:val="24"/>
          <w:lang w:val="en-US"/>
        </w:rPr>
      </w:pPr>
      <w:r w:rsidRPr="00517771">
        <w:rPr>
          <w:rFonts w:ascii="Arial" w:hAnsi="Arial" w:cs="Arial"/>
          <w:sz w:val="24"/>
          <w:szCs w:val="24"/>
          <w:lang w:val="en-US"/>
        </w:rPr>
        <w:t xml:space="preserve">The Australian automobile industry is a dynamic and changing environment with </w:t>
      </w:r>
      <w:proofErr w:type="spellStart"/>
      <w:r w:rsidRPr="00517771">
        <w:rPr>
          <w:rFonts w:ascii="Arial" w:hAnsi="Arial" w:cs="Arial"/>
          <w:sz w:val="24"/>
          <w:szCs w:val="24"/>
          <w:lang w:val="en-US"/>
        </w:rPr>
        <w:t>globalisation</w:t>
      </w:r>
      <w:proofErr w:type="spellEnd"/>
      <w:r w:rsidRPr="00517771">
        <w:rPr>
          <w:rFonts w:ascii="Arial" w:hAnsi="Arial" w:cs="Arial"/>
          <w:sz w:val="24"/>
          <w:szCs w:val="24"/>
          <w:lang w:val="en-US"/>
        </w:rPr>
        <w:t xml:space="preserve">, technological change, and consumer preferences changing. This report is a critical analysis of the industry in the Australian context, where it is observed that the industry has shifted away to more of an import-based industry where it is more of a service industry. It also compares the global competitiveness of this industry based on Porter's Diamond Model and the strategic location of Tesla Inc. as a top multinational </w:t>
      </w:r>
      <w:proofErr w:type="spellStart"/>
      <w:proofErr w:type="gramStart"/>
      <w:r w:rsidRPr="00517771">
        <w:rPr>
          <w:rFonts w:ascii="Arial" w:hAnsi="Arial" w:cs="Arial"/>
          <w:sz w:val="24"/>
          <w:szCs w:val="24"/>
          <w:lang w:val="en-US"/>
        </w:rPr>
        <w:t>organisation.By</w:t>
      </w:r>
      <w:proofErr w:type="spellEnd"/>
      <w:proofErr w:type="gramEnd"/>
      <w:r w:rsidR="000C1A5C">
        <w:rPr>
          <w:rFonts w:ascii="Arial" w:hAnsi="Arial" w:cs="Arial"/>
          <w:sz w:val="24"/>
          <w:szCs w:val="24"/>
          <w:lang w:val="en-US"/>
        </w:rPr>
        <w:t xml:space="preserve"> </w:t>
      </w:r>
      <w:r w:rsidRPr="00517771">
        <w:rPr>
          <w:rFonts w:ascii="Arial" w:hAnsi="Arial" w:cs="Arial"/>
          <w:sz w:val="24"/>
          <w:szCs w:val="24"/>
          <w:lang w:val="en-US"/>
        </w:rPr>
        <w:t xml:space="preserve">evaluating political, economic, </w:t>
      </w:r>
      <w:proofErr w:type="spellStart"/>
      <w:r w:rsidRPr="00517771">
        <w:rPr>
          <w:rFonts w:ascii="Arial" w:hAnsi="Arial" w:cs="Arial"/>
          <w:sz w:val="24"/>
          <w:szCs w:val="24"/>
          <w:lang w:val="en-US"/>
        </w:rPr>
        <w:t>legal</w:t>
      </w:r>
      <w:r w:rsidR="000C1A5C">
        <w:rPr>
          <w:rFonts w:ascii="Arial" w:hAnsi="Arial" w:cs="Arial"/>
          <w:sz w:val="24"/>
          <w:szCs w:val="24"/>
          <w:lang w:val="en-US"/>
        </w:rPr>
        <w:t>,</w:t>
      </w:r>
      <w:r w:rsidRPr="00517771">
        <w:rPr>
          <w:rFonts w:ascii="Arial" w:hAnsi="Arial" w:cs="Arial"/>
          <w:sz w:val="24"/>
          <w:szCs w:val="24"/>
          <w:lang w:val="en-US"/>
        </w:rPr>
        <w:t>cultural</w:t>
      </w:r>
      <w:r w:rsidR="000C1A5C">
        <w:rPr>
          <w:rFonts w:ascii="Arial" w:hAnsi="Arial" w:cs="Arial"/>
          <w:sz w:val="24"/>
          <w:szCs w:val="24"/>
          <w:lang w:val="en-US"/>
        </w:rPr>
        <w:t>,technological</w:t>
      </w:r>
      <w:proofErr w:type="spellEnd"/>
      <w:r w:rsidR="000C1A5C">
        <w:rPr>
          <w:rFonts w:ascii="Arial" w:hAnsi="Arial" w:cs="Arial"/>
          <w:sz w:val="24"/>
          <w:szCs w:val="24"/>
          <w:lang w:val="en-US"/>
        </w:rPr>
        <w:t xml:space="preserve"> and environmental </w:t>
      </w:r>
      <w:r w:rsidRPr="00517771">
        <w:rPr>
          <w:rFonts w:ascii="Arial" w:hAnsi="Arial" w:cs="Arial"/>
          <w:sz w:val="24"/>
          <w:szCs w:val="24"/>
          <w:lang w:val="en-US"/>
        </w:rPr>
        <w:t>aspects, the report gives an all-round picture of market appeal, major challenges and future prospects in the fast-changing automotive industry in Australia</w:t>
      </w:r>
      <w:r w:rsidR="00EF02D7" w:rsidRPr="00EF02D7">
        <w:rPr>
          <w:rFonts w:ascii="Arial" w:hAnsi="Arial" w:cs="Arial"/>
          <w:sz w:val="24"/>
          <w:szCs w:val="24"/>
          <w:lang w:val="en-US"/>
        </w:rPr>
        <w:t>.</w:t>
      </w:r>
    </w:p>
    <w:p w14:paraId="2E9D65A7" w14:textId="77777777" w:rsidR="00EF02D7" w:rsidRDefault="00EF02D7">
      <w:pPr>
        <w:spacing w:after="160" w:line="278" w:lineRule="auto"/>
        <w:rPr>
          <w:rFonts w:ascii="Arial" w:eastAsiaTheme="majorEastAsia" w:hAnsi="Arial" w:cstheme="majorBidi"/>
          <w:b/>
          <w:color w:val="000000" w:themeColor="text1"/>
          <w:sz w:val="32"/>
          <w:szCs w:val="40"/>
          <w:lang w:val="en-US"/>
        </w:rPr>
      </w:pPr>
      <w:r>
        <w:rPr>
          <w:lang w:val="en-US"/>
        </w:rPr>
        <w:br w:type="page"/>
      </w:r>
    </w:p>
    <w:p w14:paraId="36D700E5" w14:textId="2004595B" w:rsidR="008702D1" w:rsidRPr="008702D1" w:rsidRDefault="008702D1" w:rsidP="008702D1">
      <w:pPr>
        <w:pStyle w:val="Heading1"/>
        <w:rPr>
          <w:lang w:val="en-US"/>
        </w:rPr>
      </w:pPr>
      <w:bookmarkStart w:id="2" w:name="_Toc227699197"/>
      <w:r w:rsidRPr="008702D1">
        <w:rPr>
          <w:lang w:val="en-US"/>
        </w:rPr>
        <w:lastRenderedPageBreak/>
        <w:t xml:space="preserve">2. </w:t>
      </w:r>
      <w:r w:rsidR="00671C07" w:rsidRPr="00671C07">
        <w:rPr>
          <w:lang w:val="en-US"/>
        </w:rPr>
        <w:t>Industry and Country Overview: Automobile Industry in Australia</w:t>
      </w:r>
      <w:bookmarkEnd w:id="2"/>
    </w:p>
    <w:p w14:paraId="714A33DF" w14:textId="642FA3B0" w:rsidR="008702D1" w:rsidRPr="008702D1" w:rsidRDefault="008702D1" w:rsidP="00671C07">
      <w:pPr>
        <w:pStyle w:val="Heading2"/>
        <w:rPr>
          <w:lang w:val="en-US"/>
        </w:rPr>
      </w:pPr>
      <w:bookmarkStart w:id="3" w:name="_Toc227699198"/>
      <w:r w:rsidRPr="008702D1">
        <w:rPr>
          <w:lang w:val="en-US"/>
        </w:rPr>
        <w:t xml:space="preserve">2.1 </w:t>
      </w:r>
      <w:r w:rsidR="00671C07" w:rsidRPr="00671C07">
        <w:rPr>
          <w:lang w:val="en-US"/>
        </w:rPr>
        <w:t xml:space="preserve">Introduction to the </w:t>
      </w:r>
      <w:r w:rsidR="00671C07" w:rsidRPr="00671C07">
        <w:t>Automobile</w:t>
      </w:r>
      <w:r w:rsidR="00671C07" w:rsidRPr="00671C07">
        <w:rPr>
          <w:lang w:val="en-US"/>
        </w:rPr>
        <w:t xml:space="preserve"> Industry in Australia</w:t>
      </w:r>
      <w:bookmarkEnd w:id="3"/>
      <w:r w:rsidRPr="008702D1">
        <w:rPr>
          <w:lang w:val="en-US"/>
        </w:rPr>
        <w:t xml:space="preserve"> </w:t>
      </w:r>
    </w:p>
    <w:p w14:paraId="1DBEB345" w14:textId="77777777" w:rsid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The automobile industry in Australia has experienced a tremendous structural change in the last decade as it has changed to an industry that mainly depends on imports and is service-orientated. In the past, Australia used to have a high vehicle manufacturing industry that was dominated by companies like Ford Motor Company, General Motors (via Holden) and Toyota Motor Corporation. But, in 2016-2017, all large auto manufacturing facilities were shut down, as the cost of production was high and the economies of scale were low and there was global competition (Productivity Commission, 2021).</w:t>
      </w:r>
    </w:p>
    <w:p w14:paraId="39160327" w14:textId="77777777" w:rsidR="002F34BD" w:rsidRDefault="00525617" w:rsidP="002F34BD">
      <w:pPr>
        <w:keepNext/>
        <w:spacing w:after="240" w:line="360" w:lineRule="auto"/>
        <w:jc w:val="center"/>
      </w:pPr>
      <w:r>
        <w:rPr>
          <w:rFonts w:ascii="Arial" w:hAnsi="Arial" w:cs="Arial"/>
          <w:noProof/>
          <w:color w:val="000000" w:themeColor="text1"/>
          <w:sz w:val="24"/>
          <w:szCs w:val="24"/>
          <w:lang w:val="en-US"/>
        </w:rPr>
        <w:drawing>
          <wp:inline distT="0" distB="0" distL="0" distR="0" wp14:anchorId="305F12D0" wp14:editId="7EAF3B9B">
            <wp:extent cx="2886075" cy="1581150"/>
            <wp:effectExtent l="0" t="0" r="9525" b="0"/>
            <wp:docPr id="2075557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1581150"/>
                    </a:xfrm>
                    <a:prstGeom prst="rect">
                      <a:avLst/>
                    </a:prstGeom>
                    <a:noFill/>
                  </pic:spPr>
                </pic:pic>
              </a:graphicData>
            </a:graphic>
          </wp:inline>
        </w:drawing>
      </w:r>
    </w:p>
    <w:p w14:paraId="204A9A9F" w14:textId="778ABA47" w:rsidR="00525617" w:rsidRDefault="002F34BD" w:rsidP="002F34BD">
      <w:pPr>
        <w:pStyle w:val="Caption"/>
        <w:jc w:val="center"/>
      </w:pPr>
      <w:bookmarkStart w:id="4" w:name="_Toc227699219"/>
      <w:r>
        <w:t xml:space="preserve">Figure </w:t>
      </w:r>
      <w:r>
        <w:fldChar w:fldCharType="begin"/>
      </w:r>
      <w:r>
        <w:instrText xml:space="preserve"> SEQ Figure \* ARABIC </w:instrText>
      </w:r>
      <w:r>
        <w:fldChar w:fldCharType="separate"/>
      </w:r>
      <w:r>
        <w:rPr>
          <w:noProof/>
        </w:rPr>
        <w:t>1</w:t>
      </w:r>
      <w:r>
        <w:fldChar w:fldCharType="end"/>
      </w:r>
      <w:r>
        <w:t xml:space="preserve">: </w:t>
      </w:r>
      <w:r w:rsidRPr="00656774">
        <w:t>Motor Vehicle Workers in Australia</w:t>
      </w:r>
      <w:bookmarkEnd w:id="4"/>
    </w:p>
    <w:p w14:paraId="5A433706" w14:textId="44F4FF5C" w:rsidR="00525617" w:rsidRDefault="00525617" w:rsidP="00525617">
      <w:pPr>
        <w:spacing w:after="240" w:line="360" w:lineRule="auto"/>
        <w:jc w:val="center"/>
        <w:rPr>
          <w:rFonts w:ascii="Arial" w:hAnsi="Arial" w:cs="Arial"/>
          <w:color w:val="000000" w:themeColor="text1"/>
          <w:sz w:val="24"/>
          <w:szCs w:val="24"/>
          <w:lang w:val="en-US"/>
        </w:rPr>
      </w:pPr>
      <w:r w:rsidRPr="00525617">
        <w:rPr>
          <w:rFonts w:ascii="Arial" w:hAnsi="Arial" w:cs="Arial"/>
          <w:b/>
          <w:bCs/>
          <w:color w:val="000000" w:themeColor="text1"/>
          <w:sz w:val="24"/>
          <w:szCs w:val="24"/>
          <w:lang w:val="en-US"/>
        </w:rPr>
        <w:t xml:space="preserve">Source: </w:t>
      </w:r>
      <w:hyperlink r:id="rId10" w:history="1">
        <w:r w:rsidRPr="00525617">
          <w:rPr>
            <w:rStyle w:val="Hyperlink"/>
            <w:rFonts w:ascii="Arial" w:hAnsi="Arial" w:cs="Arial"/>
            <w:sz w:val="24"/>
            <w:szCs w:val="24"/>
            <w:lang w:val="en-US"/>
          </w:rPr>
          <w:t>hiringlab.org</w:t>
        </w:r>
      </w:hyperlink>
    </w:p>
    <w:p w14:paraId="37F02D1E" w14:textId="13205400"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The automotive industry in Australia is currently typified by the importation, distribution, retail and after-sales services of vehicles such as maintenance, parts and financing. Competition in the market is very stiff, and the market is dominated by the international brands like Toyota Motor Corporation, Mazda Motor Corporation and Hyundai Motor Company. Moreover, the shift to electric vehicles (EVs) and environmentally friendly mobility is changing the industry, and the government policies contribute to the goals of minimum carbon emissions (Department of Infrastructure, 2023).</w:t>
      </w:r>
    </w:p>
    <w:p w14:paraId="13FFA394"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Although local car manufacturing is on a downward trend, the Australian automobile industry is crucial in mobility facilitation, trade and employment in the logistics, sales and servicing industries.</w:t>
      </w:r>
    </w:p>
    <w:p w14:paraId="513329C6" w14:textId="77777777" w:rsidR="00671C07" w:rsidRPr="00671C07" w:rsidRDefault="00671C07" w:rsidP="00671C07">
      <w:pPr>
        <w:pStyle w:val="Heading2"/>
        <w:rPr>
          <w:lang w:val="en-US"/>
        </w:rPr>
      </w:pPr>
      <w:bookmarkStart w:id="5" w:name="_Toc227699199"/>
      <w:r w:rsidRPr="00671C07">
        <w:rPr>
          <w:lang w:val="en-US"/>
        </w:rPr>
        <w:lastRenderedPageBreak/>
        <w:t>2.2 Size, Scope, Economic Importance:</w:t>
      </w:r>
      <w:bookmarkEnd w:id="5"/>
    </w:p>
    <w:p w14:paraId="03C3659E" w14:textId="77777777" w:rsidR="005169C9" w:rsidRPr="005169C9" w:rsidRDefault="005169C9" w:rsidP="005169C9">
      <w:pPr>
        <w:spacing w:after="240" w:line="360" w:lineRule="auto"/>
        <w:jc w:val="both"/>
        <w:rPr>
          <w:rFonts w:ascii="Arial" w:hAnsi="Arial" w:cs="Arial"/>
          <w:color w:val="000000" w:themeColor="text1"/>
          <w:sz w:val="24"/>
          <w:szCs w:val="24"/>
          <w:lang w:val="en-US"/>
        </w:rPr>
      </w:pPr>
      <w:r w:rsidRPr="005169C9">
        <w:rPr>
          <w:rFonts w:ascii="Arial" w:hAnsi="Arial" w:cs="Arial"/>
          <w:color w:val="000000" w:themeColor="text1"/>
          <w:sz w:val="24"/>
          <w:szCs w:val="24"/>
          <w:lang w:val="en-US"/>
        </w:rPr>
        <w:t>Although no local manufacturing is done, the Australian auto sector remains vital. Consumer demand for passenger and commercial vehicles was robust in Australia, as Statista (2024) reported AUD 75 billion in automotive market revenues. Car imports, wholesale, retail, leasing, insurance, and aftermarket services make up the business.</w:t>
      </w:r>
    </w:p>
    <w:p w14:paraId="7A1E07FB" w14:textId="77777777" w:rsidR="005169C9" w:rsidRPr="005169C9" w:rsidRDefault="005169C9" w:rsidP="005169C9">
      <w:pPr>
        <w:spacing w:after="240" w:line="360" w:lineRule="auto"/>
        <w:jc w:val="both"/>
        <w:rPr>
          <w:rFonts w:ascii="Arial" w:hAnsi="Arial" w:cs="Arial"/>
          <w:color w:val="000000" w:themeColor="text1"/>
          <w:sz w:val="24"/>
          <w:szCs w:val="24"/>
          <w:lang w:val="en-US"/>
        </w:rPr>
      </w:pPr>
      <w:r w:rsidRPr="005169C9">
        <w:rPr>
          <w:rFonts w:ascii="Arial" w:hAnsi="Arial" w:cs="Arial"/>
          <w:color w:val="000000" w:themeColor="text1"/>
          <w:sz w:val="24"/>
          <w:szCs w:val="24"/>
          <w:lang w:val="en-US"/>
        </w:rPr>
        <w:t>Dealerships, repair services, logistics, and components production employ about 380,000 people (Australian Automotive Dealer Association, 2023). Its impact to livelihoods and regional economic growth is significant. Since road transit cannot serve Australia's geographically dispersed population, the automobile sector is vital to personal and corporate mobility.</w:t>
      </w:r>
    </w:p>
    <w:p w14:paraId="6D25211E" w14:textId="77777777" w:rsidR="005169C9" w:rsidRPr="005169C9" w:rsidRDefault="005169C9" w:rsidP="005169C9">
      <w:pPr>
        <w:spacing w:after="240" w:line="360" w:lineRule="auto"/>
        <w:jc w:val="both"/>
        <w:rPr>
          <w:rFonts w:ascii="Arial" w:hAnsi="Arial" w:cs="Arial"/>
          <w:color w:val="000000" w:themeColor="text1"/>
          <w:sz w:val="24"/>
          <w:szCs w:val="24"/>
          <w:lang w:val="en-US"/>
        </w:rPr>
      </w:pPr>
      <w:r w:rsidRPr="005169C9">
        <w:rPr>
          <w:rFonts w:ascii="Arial" w:hAnsi="Arial" w:cs="Arial"/>
          <w:color w:val="000000" w:themeColor="text1"/>
          <w:sz w:val="24"/>
          <w:szCs w:val="24"/>
          <w:lang w:val="en-US"/>
        </w:rPr>
        <w:t>Import tariffs, GST, and car registration fees can also add to government revenue. EVs and hybrids are also creating new investment opportunities and competition. According to the International Energy Agency (2024), EVs are growing more popular in Australia as the public becomes more environmentally conscious and governments push their use.</w:t>
      </w:r>
    </w:p>
    <w:p w14:paraId="7F90E7A8" w14:textId="44745C55" w:rsidR="00671C07" w:rsidRPr="00671C07" w:rsidRDefault="005169C9" w:rsidP="005169C9">
      <w:pPr>
        <w:spacing w:after="240" w:line="360" w:lineRule="auto"/>
        <w:jc w:val="both"/>
        <w:rPr>
          <w:rFonts w:ascii="Arial" w:hAnsi="Arial" w:cs="Arial"/>
          <w:color w:val="000000" w:themeColor="text1"/>
          <w:sz w:val="24"/>
          <w:szCs w:val="24"/>
          <w:lang w:val="en-US"/>
        </w:rPr>
      </w:pPr>
      <w:r w:rsidRPr="005169C9">
        <w:rPr>
          <w:rFonts w:ascii="Arial" w:hAnsi="Arial" w:cs="Arial"/>
          <w:color w:val="000000" w:themeColor="text1"/>
          <w:sz w:val="24"/>
          <w:szCs w:val="24"/>
          <w:lang w:val="en-US"/>
        </w:rPr>
        <w:t>In conclusion, the industry remains vital to the economy and has beneficial linkages with transport, infrastructure, and energy.</w:t>
      </w:r>
    </w:p>
    <w:p w14:paraId="75141682" w14:textId="77777777" w:rsidR="00671C07" w:rsidRPr="00671C07" w:rsidRDefault="00671C07" w:rsidP="00671C07">
      <w:pPr>
        <w:pStyle w:val="Heading2"/>
        <w:rPr>
          <w:lang w:val="en-US"/>
        </w:rPr>
      </w:pPr>
      <w:bookmarkStart w:id="6" w:name="_Toc227699200"/>
      <w:r w:rsidRPr="00671C07">
        <w:rPr>
          <w:lang w:val="en-US"/>
        </w:rPr>
        <w:t>2.3 Large Companies and Competitive Strategy:</w:t>
      </w:r>
      <w:bookmarkEnd w:id="6"/>
    </w:p>
    <w:p w14:paraId="77DD9BF7" w14:textId="77777777" w:rsidR="00204E0F" w:rsidRPr="00204E0F" w:rsidRDefault="00204E0F" w:rsidP="00204E0F">
      <w:pPr>
        <w:spacing w:after="240" w:line="360" w:lineRule="auto"/>
        <w:jc w:val="both"/>
        <w:rPr>
          <w:rFonts w:ascii="Arial" w:hAnsi="Arial" w:cs="Arial"/>
          <w:color w:val="000000" w:themeColor="text1"/>
          <w:sz w:val="24"/>
          <w:szCs w:val="24"/>
          <w:lang w:val="en-US"/>
        </w:rPr>
      </w:pPr>
      <w:r w:rsidRPr="00204E0F">
        <w:rPr>
          <w:rFonts w:ascii="Arial" w:hAnsi="Arial" w:cs="Arial"/>
          <w:color w:val="000000" w:themeColor="text1"/>
          <w:sz w:val="24"/>
          <w:szCs w:val="24"/>
          <w:lang w:val="en-US"/>
        </w:rPr>
        <w:t>Due to the lack of indigenous car manufacture, global firms dominate the Australian auto sector. Toyota, Mazda, Hyundai, Tesla, and Ford are the main participants. These firms serve economical, mid-range, luxury, and electric automobiles.</w:t>
      </w:r>
    </w:p>
    <w:p w14:paraId="0BB54DFE" w14:textId="77777777" w:rsidR="00204E0F" w:rsidRPr="00204E0F" w:rsidRDefault="00204E0F" w:rsidP="00204E0F">
      <w:pPr>
        <w:spacing w:after="240" w:line="360" w:lineRule="auto"/>
        <w:jc w:val="both"/>
        <w:rPr>
          <w:rFonts w:ascii="Arial" w:hAnsi="Arial" w:cs="Arial"/>
          <w:color w:val="000000" w:themeColor="text1"/>
          <w:sz w:val="24"/>
          <w:szCs w:val="24"/>
          <w:lang w:val="en-US"/>
        </w:rPr>
      </w:pPr>
      <w:r w:rsidRPr="00204E0F">
        <w:rPr>
          <w:rFonts w:ascii="Arial" w:hAnsi="Arial" w:cs="Arial"/>
          <w:color w:val="000000" w:themeColor="text1"/>
          <w:sz w:val="24"/>
          <w:szCs w:val="24"/>
          <w:lang w:val="en-US"/>
        </w:rPr>
        <w:t>Toyota Motor Corporation leads the Australian market due to its brand image, dependability, and dealership network. Australia is adopting low-emission automobiles as part of its hybrid technology goal (Toyota Annual Report, 2024). Mazda Motor Corporation targets mid-range consumers who appreciate value and performance with design innovation and fuel economy.</w:t>
      </w:r>
    </w:p>
    <w:p w14:paraId="457DB51B" w14:textId="77777777" w:rsidR="00204E0F" w:rsidRPr="00204E0F" w:rsidRDefault="00204E0F" w:rsidP="00204E0F">
      <w:pPr>
        <w:spacing w:after="240" w:line="360" w:lineRule="auto"/>
        <w:jc w:val="both"/>
        <w:rPr>
          <w:rFonts w:ascii="Arial" w:hAnsi="Arial" w:cs="Arial"/>
          <w:color w:val="000000" w:themeColor="text1"/>
          <w:sz w:val="24"/>
          <w:szCs w:val="24"/>
          <w:lang w:val="en-US"/>
        </w:rPr>
      </w:pPr>
      <w:r w:rsidRPr="00204E0F">
        <w:rPr>
          <w:rFonts w:ascii="Arial" w:hAnsi="Arial" w:cs="Arial"/>
          <w:color w:val="000000" w:themeColor="text1"/>
          <w:sz w:val="24"/>
          <w:szCs w:val="24"/>
          <w:lang w:val="en-US"/>
        </w:rPr>
        <w:t>HMC markets itself as a value brand with advanced technologies at low prices. Its EV and hydrogen car investments show its futuristic nature (Hyundai Annual Report, 2023). Tesla Inc. dominates the EV industry with its technological edge, direct-to-</w:t>
      </w:r>
      <w:r w:rsidRPr="00204E0F">
        <w:rPr>
          <w:rFonts w:ascii="Arial" w:hAnsi="Arial" w:cs="Arial"/>
          <w:color w:val="000000" w:themeColor="text1"/>
          <w:sz w:val="24"/>
          <w:szCs w:val="24"/>
          <w:lang w:val="en-US"/>
        </w:rPr>
        <w:lastRenderedPageBreak/>
        <w:t>consumer sales approach, and great brand awareness of the unique idea (Tesla Annual Report, 2024).</w:t>
      </w:r>
    </w:p>
    <w:p w14:paraId="66CF4C3C" w14:textId="0299B09E" w:rsidR="00671C07" w:rsidRPr="00671C07" w:rsidRDefault="00204E0F" w:rsidP="00204E0F">
      <w:pPr>
        <w:spacing w:after="240" w:line="360" w:lineRule="auto"/>
        <w:jc w:val="both"/>
        <w:rPr>
          <w:rFonts w:ascii="Arial" w:hAnsi="Arial" w:cs="Arial"/>
          <w:color w:val="000000" w:themeColor="text1"/>
          <w:sz w:val="24"/>
          <w:szCs w:val="24"/>
          <w:lang w:val="en-US"/>
        </w:rPr>
      </w:pPr>
      <w:r w:rsidRPr="00204E0F">
        <w:rPr>
          <w:rFonts w:ascii="Arial" w:hAnsi="Arial" w:cs="Arial"/>
          <w:color w:val="000000" w:themeColor="text1"/>
          <w:sz w:val="24"/>
          <w:szCs w:val="24"/>
          <w:lang w:val="en-US"/>
        </w:rPr>
        <w:t>Ford Motor Company is participating in the commercial and utility car industry with models like the Ranger, which is popular in Australia (Ford Annual Report, 2023).</w:t>
      </w:r>
    </w:p>
    <w:tbl>
      <w:tblPr>
        <w:tblStyle w:val="TableGrid"/>
        <w:tblW w:w="0" w:type="auto"/>
        <w:tblLook w:val="04A0" w:firstRow="1" w:lastRow="0" w:firstColumn="1" w:lastColumn="0" w:noHBand="0" w:noVBand="1"/>
      </w:tblPr>
      <w:tblGrid>
        <w:gridCol w:w="1310"/>
        <w:gridCol w:w="2109"/>
        <w:gridCol w:w="2729"/>
        <w:gridCol w:w="2868"/>
      </w:tblGrid>
      <w:tr w:rsidR="00671C07" w:rsidRPr="00671C07" w14:paraId="463C158A" w14:textId="77777777" w:rsidTr="00671C07">
        <w:tc>
          <w:tcPr>
            <w:tcW w:w="0" w:type="auto"/>
            <w:hideMark/>
          </w:tcPr>
          <w:p w14:paraId="704ACF2D" w14:textId="77777777" w:rsidR="00671C07" w:rsidRPr="00671C07" w:rsidRDefault="00671C07" w:rsidP="00671C07">
            <w:pPr>
              <w:spacing w:after="240" w:line="360" w:lineRule="auto"/>
              <w:jc w:val="both"/>
              <w:rPr>
                <w:rFonts w:ascii="Arial" w:hAnsi="Arial" w:cs="Arial"/>
                <w:b/>
                <w:bCs/>
                <w:color w:val="000000" w:themeColor="text1"/>
                <w:sz w:val="24"/>
                <w:szCs w:val="24"/>
                <w:lang w:val="en-US"/>
              </w:rPr>
            </w:pPr>
            <w:r w:rsidRPr="00671C07">
              <w:rPr>
                <w:rFonts w:ascii="Arial" w:hAnsi="Arial" w:cs="Arial"/>
                <w:b/>
                <w:bCs/>
                <w:color w:val="000000" w:themeColor="text1"/>
                <w:sz w:val="24"/>
                <w:szCs w:val="24"/>
                <w:lang w:val="en-US"/>
              </w:rPr>
              <w:t>Company</w:t>
            </w:r>
          </w:p>
        </w:tc>
        <w:tc>
          <w:tcPr>
            <w:tcW w:w="0" w:type="auto"/>
            <w:hideMark/>
          </w:tcPr>
          <w:p w14:paraId="00FADBAD" w14:textId="77777777" w:rsidR="00671C07" w:rsidRPr="00671C07" w:rsidRDefault="00671C07" w:rsidP="00671C07">
            <w:pPr>
              <w:spacing w:after="240" w:line="360" w:lineRule="auto"/>
              <w:jc w:val="both"/>
              <w:rPr>
                <w:rFonts w:ascii="Arial" w:hAnsi="Arial" w:cs="Arial"/>
                <w:b/>
                <w:bCs/>
                <w:color w:val="000000" w:themeColor="text1"/>
                <w:sz w:val="24"/>
                <w:szCs w:val="24"/>
                <w:lang w:val="en-US"/>
              </w:rPr>
            </w:pPr>
            <w:r w:rsidRPr="00671C07">
              <w:rPr>
                <w:rFonts w:ascii="Arial" w:hAnsi="Arial" w:cs="Arial"/>
                <w:b/>
                <w:bCs/>
                <w:color w:val="000000" w:themeColor="text1"/>
                <w:sz w:val="24"/>
                <w:szCs w:val="24"/>
                <w:lang w:val="en-US"/>
              </w:rPr>
              <w:t>Market Segment</w:t>
            </w:r>
          </w:p>
        </w:tc>
        <w:tc>
          <w:tcPr>
            <w:tcW w:w="0" w:type="auto"/>
            <w:hideMark/>
          </w:tcPr>
          <w:p w14:paraId="32CA25BC" w14:textId="77777777" w:rsidR="00671C07" w:rsidRPr="00671C07" w:rsidRDefault="00671C07" w:rsidP="00671C07">
            <w:pPr>
              <w:spacing w:after="240" w:line="360" w:lineRule="auto"/>
              <w:jc w:val="both"/>
              <w:rPr>
                <w:rFonts w:ascii="Arial" w:hAnsi="Arial" w:cs="Arial"/>
                <w:b/>
                <w:bCs/>
                <w:color w:val="000000" w:themeColor="text1"/>
                <w:sz w:val="24"/>
                <w:szCs w:val="24"/>
                <w:lang w:val="en-US"/>
              </w:rPr>
            </w:pPr>
            <w:r w:rsidRPr="00671C07">
              <w:rPr>
                <w:rFonts w:ascii="Arial" w:hAnsi="Arial" w:cs="Arial"/>
                <w:b/>
                <w:bCs/>
                <w:color w:val="000000" w:themeColor="text1"/>
                <w:sz w:val="24"/>
                <w:szCs w:val="24"/>
                <w:lang w:val="en-US"/>
              </w:rPr>
              <w:t>Key Strategy</w:t>
            </w:r>
          </w:p>
        </w:tc>
        <w:tc>
          <w:tcPr>
            <w:tcW w:w="0" w:type="auto"/>
            <w:hideMark/>
          </w:tcPr>
          <w:p w14:paraId="10166562" w14:textId="77777777" w:rsidR="00671C07" w:rsidRPr="00671C07" w:rsidRDefault="00671C07" w:rsidP="00671C07">
            <w:pPr>
              <w:spacing w:after="240" w:line="360" w:lineRule="auto"/>
              <w:jc w:val="both"/>
              <w:rPr>
                <w:rFonts w:ascii="Arial" w:hAnsi="Arial" w:cs="Arial"/>
                <w:b/>
                <w:bCs/>
                <w:color w:val="000000" w:themeColor="text1"/>
                <w:sz w:val="24"/>
                <w:szCs w:val="24"/>
                <w:lang w:val="en-US"/>
              </w:rPr>
            </w:pPr>
            <w:r w:rsidRPr="00671C07">
              <w:rPr>
                <w:rFonts w:ascii="Arial" w:hAnsi="Arial" w:cs="Arial"/>
                <w:b/>
                <w:bCs/>
                <w:color w:val="000000" w:themeColor="text1"/>
                <w:sz w:val="24"/>
                <w:szCs w:val="24"/>
                <w:lang w:val="en-US"/>
              </w:rPr>
              <w:t>Competitive Advantage</w:t>
            </w:r>
          </w:p>
        </w:tc>
      </w:tr>
      <w:tr w:rsidR="00671C07" w:rsidRPr="00671C07" w14:paraId="7D752C17" w14:textId="77777777" w:rsidTr="00671C07">
        <w:tc>
          <w:tcPr>
            <w:tcW w:w="0" w:type="auto"/>
            <w:hideMark/>
          </w:tcPr>
          <w:p w14:paraId="0A13226B"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Toyota</w:t>
            </w:r>
          </w:p>
        </w:tc>
        <w:tc>
          <w:tcPr>
            <w:tcW w:w="0" w:type="auto"/>
            <w:hideMark/>
          </w:tcPr>
          <w:p w14:paraId="1B1C2569"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Mass &amp; Hybrid</w:t>
            </w:r>
          </w:p>
        </w:tc>
        <w:tc>
          <w:tcPr>
            <w:tcW w:w="0" w:type="auto"/>
            <w:hideMark/>
          </w:tcPr>
          <w:p w14:paraId="21D3EC03"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Reliability, hybrid leadership</w:t>
            </w:r>
          </w:p>
        </w:tc>
        <w:tc>
          <w:tcPr>
            <w:tcW w:w="0" w:type="auto"/>
            <w:hideMark/>
          </w:tcPr>
          <w:p w14:paraId="5A11F1C6"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Strong brand, wide network</w:t>
            </w:r>
          </w:p>
        </w:tc>
      </w:tr>
      <w:tr w:rsidR="00671C07" w:rsidRPr="00671C07" w14:paraId="5A7157C2" w14:textId="77777777" w:rsidTr="00671C07">
        <w:tc>
          <w:tcPr>
            <w:tcW w:w="0" w:type="auto"/>
            <w:hideMark/>
          </w:tcPr>
          <w:p w14:paraId="13297587"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Mazda</w:t>
            </w:r>
          </w:p>
        </w:tc>
        <w:tc>
          <w:tcPr>
            <w:tcW w:w="0" w:type="auto"/>
            <w:hideMark/>
          </w:tcPr>
          <w:p w14:paraId="388E8998"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Mid-range</w:t>
            </w:r>
          </w:p>
        </w:tc>
        <w:tc>
          <w:tcPr>
            <w:tcW w:w="0" w:type="auto"/>
            <w:hideMark/>
          </w:tcPr>
          <w:p w14:paraId="4F4165FB"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Design &amp; efficiency</w:t>
            </w:r>
          </w:p>
        </w:tc>
        <w:tc>
          <w:tcPr>
            <w:tcW w:w="0" w:type="auto"/>
            <w:hideMark/>
          </w:tcPr>
          <w:p w14:paraId="1AF23F41"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Value and performance</w:t>
            </w:r>
          </w:p>
        </w:tc>
      </w:tr>
      <w:tr w:rsidR="00671C07" w:rsidRPr="00671C07" w14:paraId="2C3C80B7" w14:textId="77777777" w:rsidTr="00671C07">
        <w:tc>
          <w:tcPr>
            <w:tcW w:w="0" w:type="auto"/>
            <w:hideMark/>
          </w:tcPr>
          <w:p w14:paraId="4940A1B1"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Hyundai</w:t>
            </w:r>
          </w:p>
        </w:tc>
        <w:tc>
          <w:tcPr>
            <w:tcW w:w="0" w:type="auto"/>
            <w:hideMark/>
          </w:tcPr>
          <w:p w14:paraId="4F87D293"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Budget to mid-range</w:t>
            </w:r>
          </w:p>
        </w:tc>
        <w:tc>
          <w:tcPr>
            <w:tcW w:w="0" w:type="auto"/>
            <w:hideMark/>
          </w:tcPr>
          <w:p w14:paraId="28A631FD"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Innovation at lower cost</w:t>
            </w:r>
          </w:p>
        </w:tc>
        <w:tc>
          <w:tcPr>
            <w:tcW w:w="0" w:type="auto"/>
            <w:hideMark/>
          </w:tcPr>
          <w:p w14:paraId="0AD86F8F"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Price competitiveness</w:t>
            </w:r>
          </w:p>
        </w:tc>
      </w:tr>
      <w:tr w:rsidR="00671C07" w:rsidRPr="00671C07" w14:paraId="676CA692" w14:textId="77777777" w:rsidTr="00671C07">
        <w:tc>
          <w:tcPr>
            <w:tcW w:w="0" w:type="auto"/>
            <w:hideMark/>
          </w:tcPr>
          <w:p w14:paraId="2822B610"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Tesla</w:t>
            </w:r>
          </w:p>
        </w:tc>
        <w:tc>
          <w:tcPr>
            <w:tcW w:w="0" w:type="auto"/>
            <w:hideMark/>
          </w:tcPr>
          <w:p w14:paraId="56AF4586"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Premium EV</w:t>
            </w:r>
          </w:p>
        </w:tc>
        <w:tc>
          <w:tcPr>
            <w:tcW w:w="0" w:type="auto"/>
            <w:hideMark/>
          </w:tcPr>
          <w:p w14:paraId="1D0B0AFC"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Technological leadership</w:t>
            </w:r>
          </w:p>
        </w:tc>
        <w:tc>
          <w:tcPr>
            <w:tcW w:w="0" w:type="auto"/>
            <w:hideMark/>
          </w:tcPr>
          <w:p w14:paraId="4BB12F33"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Brand and innovation</w:t>
            </w:r>
          </w:p>
        </w:tc>
      </w:tr>
      <w:tr w:rsidR="00671C07" w:rsidRPr="00671C07" w14:paraId="0C8F878E" w14:textId="77777777" w:rsidTr="00671C07">
        <w:tc>
          <w:tcPr>
            <w:tcW w:w="0" w:type="auto"/>
            <w:hideMark/>
          </w:tcPr>
          <w:p w14:paraId="4E3F1038"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Ford</w:t>
            </w:r>
          </w:p>
        </w:tc>
        <w:tc>
          <w:tcPr>
            <w:tcW w:w="0" w:type="auto"/>
            <w:hideMark/>
          </w:tcPr>
          <w:p w14:paraId="645E24BC"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Commercial &amp; utility</w:t>
            </w:r>
          </w:p>
        </w:tc>
        <w:tc>
          <w:tcPr>
            <w:tcW w:w="0" w:type="auto"/>
            <w:hideMark/>
          </w:tcPr>
          <w:p w14:paraId="0AB42BD3"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 xml:space="preserve">Focus on </w:t>
            </w:r>
            <w:proofErr w:type="spellStart"/>
            <w:r w:rsidRPr="00671C07">
              <w:rPr>
                <w:rFonts w:ascii="Arial" w:hAnsi="Arial" w:cs="Arial"/>
                <w:color w:val="000000" w:themeColor="text1"/>
                <w:sz w:val="24"/>
                <w:szCs w:val="24"/>
                <w:lang w:val="en-US"/>
              </w:rPr>
              <w:t>utes</w:t>
            </w:r>
            <w:proofErr w:type="spellEnd"/>
            <w:r w:rsidRPr="00671C07">
              <w:rPr>
                <w:rFonts w:ascii="Arial" w:hAnsi="Arial" w:cs="Arial"/>
                <w:color w:val="000000" w:themeColor="text1"/>
                <w:sz w:val="24"/>
                <w:szCs w:val="24"/>
                <w:lang w:val="en-US"/>
              </w:rPr>
              <w:t xml:space="preserve"> and trucks</w:t>
            </w:r>
          </w:p>
        </w:tc>
        <w:tc>
          <w:tcPr>
            <w:tcW w:w="0" w:type="auto"/>
            <w:hideMark/>
          </w:tcPr>
          <w:p w14:paraId="3D01E3DE" w14:textId="77777777" w:rsidR="00671C07" w:rsidRPr="00671C07" w:rsidRDefault="00671C07" w:rsidP="002F34BD">
            <w:pPr>
              <w:keepNext/>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Strong product specialization</w:t>
            </w:r>
          </w:p>
        </w:tc>
      </w:tr>
    </w:tbl>
    <w:p w14:paraId="040F2621" w14:textId="13421F49" w:rsidR="002F34BD" w:rsidRDefault="002F34BD">
      <w:pPr>
        <w:pStyle w:val="Caption"/>
      </w:pPr>
      <w:bookmarkStart w:id="7" w:name="_Toc227699215"/>
      <w:r>
        <w:t xml:space="preserve">Table </w:t>
      </w:r>
      <w:r>
        <w:fldChar w:fldCharType="begin"/>
      </w:r>
      <w:r>
        <w:instrText xml:space="preserve"> SEQ Table \* ARABIC </w:instrText>
      </w:r>
      <w:r>
        <w:fldChar w:fldCharType="separate"/>
      </w:r>
      <w:r w:rsidR="002A2FCC">
        <w:rPr>
          <w:noProof/>
        </w:rPr>
        <w:t>1</w:t>
      </w:r>
      <w:r>
        <w:fldChar w:fldCharType="end"/>
      </w:r>
      <w:r>
        <w:t xml:space="preserve">: </w:t>
      </w:r>
      <w:r w:rsidRPr="00EE188A">
        <w:t>Competitive Positioning of Key Automotive Firms in Australia</w:t>
      </w:r>
      <w:bookmarkEnd w:id="7"/>
    </w:p>
    <w:p w14:paraId="5C7333FA"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Regarding performance, Toyota has always had the highest car sales volume, and Tesla has been enjoying fast-growing EV sales (Statista, 2024). Pricing, technology, environmental laws and changing consumer tastes are seen to influence the competitive dynamics.</w:t>
      </w:r>
    </w:p>
    <w:p w14:paraId="4A9DE885" w14:textId="77777777" w:rsidR="00671C07" w:rsidRPr="00671C07" w:rsidRDefault="00671C07" w:rsidP="00671C07">
      <w:pPr>
        <w:spacing w:after="240" w:line="360" w:lineRule="auto"/>
        <w:jc w:val="both"/>
        <w:rPr>
          <w:rFonts w:ascii="Arial" w:hAnsi="Arial" w:cs="Arial"/>
          <w:color w:val="000000" w:themeColor="text1"/>
          <w:sz w:val="24"/>
          <w:szCs w:val="24"/>
          <w:lang w:val="en-US"/>
        </w:rPr>
      </w:pPr>
      <w:r w:rsidRPr="00671C07">
        <w:rPr>
          <w:rFonts w:ascii="Arial" w:hAnsi="Arial" w:cs="Arial"/>
          <w:color w:val="000000" w:themeColor="text1"/>
          <w:sz w:val="24"/>
          <w:szCs w:val="24"/>
          <w:lang w:val="en-US"/>
        </w:rPr>
        <w:t xml:space="preserve">In general, the sector is </w:t>
      </w:r>
      <w:proofErr w:type="spellStart"/>
      <w:r w:rsidRPr="00671C07">
        <w:rPr>
          <w:rFonts w:ascii="Arial" w:hAnsi="Arial" w:cs="Arial"/>
          <w:color w:val="000000" w:themeColor="text1"/>
          <w:sz w:val="24"/>
          <w:szCs w:val="24"/>
          <w:lang w:val="en-US"/>
        </w:rPr>
        <w:t>characterised</w:t>
      </w:r>
      <w:proofErr w:type="spellEnd"/>
      <w:r w:rsidRPr="00671C07">
        <w:rPr>
          <w:rFonts w:ascii="Arial" w:hAnsi="Arial" w:cs="Arial"/>
          <w:color w:val="000000" w:themeColor="text1"/>
          <w:sz w:val="24"/>
          <w:szCs w:val="24"/>
          <w:lang w:val="en-US"/>
        </w:rPr>
        <w:t xml:space="preserve"> by a high level of competition and differentiation in their strategies, as companies can be orientated on the innovations, cost leadership, or niche </w:t>
      </w:r>
      <w:proofErr w:type="spellStart"/>
      <w:r w:rsidRPr="00671C07">
        <w:rPr>
          <w:rFonts w:ascii="Arial" w:hAnsi="Arial" w:cs="Arial"/>
          <w:color w:val="000000" w:themeColor="text1"/>
          <w:sz w:val="24"/>
          <w:szCs w:val="24"/>
          <w:lang w:val="en-US"/>
        </w:rPr>
        <w:t>specialisation</w:t>
      </w:r>
      <w:proofErr w:type="spellEnd"/>
      <w:r w:rsidRPr="00671C07">
        <w:rPr>
          <w:rFonts w:ascii="Arial" w:hAnsi="Arial" w:cs="Arial"/>
          <w:color w:val="000000" w:themeColor="text1"/>
          <w:sz w:val="24"/>
          <w:szCs w:val="24"/>
          <w:lang w:val="en-US"/>
        </w:rPr>
        <w:t>.</w:t>
      </w:r>
    </w:p>
    <w:p w14:paraId="271CA229" w14:textId="0D7A2349" w:rsidR="005E1FC9" w:rsidRPr="00B41431" w:rsidRDefault="007007BD" w:rsidP="005E1FC9">
      <w:pPr>
        <w:pStyle w:val="Heading1"/>
        <w:rPr>
          <w:lang w:val="en-US"/>
        </w:rPr>
      </w:pPr>
      <w:bookmarkStart w:id="8" w:name="_Toc227699201"/>
      <w:r w:rsidRPr="007007BD">
        <w:rPr>
          <w:lang w:val="en-US"/>
        </w:rPr>
        <w:t xml:space="preserve">3.0 </w:t>
      </w:r>
      <w:r w:rsidR="00A7721B" w:rsidRPr="00A7721B">
        <w:rPr>
          <w:lang w:val="en-US"/>
        </w:rPr>
        <w:t>Application of Porter's Diamond Model of National Advantage</w:t>
      </w:r>
      <w:bookmarkEnd w:id="8"/>
    </w:p>
    <w:p w14:paraId="4E7B68FE"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 xml:space="preserve">The Porter's Diamond Model is a product of Michael Porter which explains why some industries become internationally competitive in terms of four determinants: factor conditions, demand conditions, related and supporting industries, and firm strategy, </w:t>
      </w:r>
      <w:r w:rsidRPr="001E21CA">
        <w:rPr>
          <w:rFonts w:ascii="Arial" w:hAnsi="Arial" w:cs="Arial"/>
          <w:color w:val="000000" w:themeColor="text1"/>
          <w:sz w:val="24"/>
          <w:szCs w:val="24"/>
          <w:lang w:val="en-US"/>
        </w:rPr>
        <w:lastRenderedPageBreak/>
        <w:t>structure and rivalry. The model is popular in research in academics and industry, such as in the Harvard Business Review, that assesses national competitive advantage.</w:t>
      </w:r>
    </w:p>
    <w:p w14:paraId="6F77AD04"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The automobile industry is a special case in Australia: local demand and service are high, but global manufacturing is not competitive because of structural factors.</w:t>
      </w:r>
    </w:p>
    <w:p w14:paraId="471AD140" w14:textId="77777777" w:rsidR="00A30E8F" w:rsidRDefault="00A30E8F" w:rsidP="00A30E8F">
      <w:pPr>
        <w:keepNext/>
        <w:spacing w:after="160" w:line="360" w:lineRule="auto"/>
        <w:jc w:val="center"/>
      </w:pPr>
      <w:r>
        <w:rPr>
          <w:noProof/>
        </w:rPr>
        <w:drawing>
          <wp:inline distT="0" distB="0" distL="0" distR="0" wp14:anchorId="52C21E0C" wp14:editId="59FD3EB5">
            <wp:extent cx="4737132" cy="2934335"/>
            <wp:effectExtent l="0" t="0" r="6350" b="0"/>
            <wp:docPr id="578746621" name="Picture 2" descr="Porter's Diamond Mode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Diamond Model structu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40180" cy="2936223"/>
                    </a:xfrm>
                    <a:prstGeom prst="rect">
                      <a:avLst/>
                    </a:prstGeom>
                    <a:noFill/>
                    <a:ln>
                      <a:noFill/>
                    </a:ln>
                  </pic:spPr>
                </pic:pic>
              </a:graphicData>
            </a:graphic>
          </wp:inline>
        </w:drawing>
      </w:r>
    </w:p>
    <w:p w14:paraId="6DEFBA34" w14:textId="117AE367" w:rsidR="00A30E8F" w:rsidRDefault="00A30E8F" w:rsidP="00A30E8F">
      <w:pPr>
        <w:pStyle w:val="Caption"/>
        <w:jc w:val="center"/>
      </w:pPr>
      <w:bookmarkStart w:id="9" w:name="_Toc227699220"/>
      <w:r>
        <w:t xml:space="preserve">Figure </w:t>
      </w:r>
      <w:r>
        <w:fldChar w:fldCharType="begin"/>
      </w:r>
      <w:r>
        <w:instrText xml:space="preserve"> SEQ Figure \* ARABIC </w:instrText>
      </w:r>
      <w:r>
        <w:fldChar w:fldCharType="separate"/>
      </w:r>
      <w:r w:rsidR="002F34BD">
        <w:rPr>
          <w:noProof/>
        </w:rPr>
        <w:t>2</w:t>
      </w:r>
      <w:r>
        <w:fldChar w:fldCharType="end"/>
      </w:r>
      <w:r>
        <w:t>: Porter's Diamond Model</w:t>
      </w:r>
      <w:bookmarkEnd w:id="9"/>
    </w:p>
    <w:p w14:paraId="23CDFE24" w14:textId="0E2D4A26" w:rsidR="00A30E8F" w:rsidRPr="00A7721B" w:rsidRDefault="00A30E8F" w:rsidP="00A30E8F">
      <w:pPr>
        <w:jc w:val="center"/>
        <w:rPr>
          <w:rFonts w:ascii="Arial" w:hAnsi="Arial" w:cs="Arial"/>
          <w:sz w:val="24"/>
          <w:szCs w:val="24"/>
          <w:lang w:val="en-US"/>
        </w:rPr>
      </w:pPr>
      <w:r w:rsidRPr="00A30E8F">
        <w:rPr>
          <w:rFonts w:ascii="Arial" w:hAnsi="Arial" w:cs="Arial"/>
          <w:b/>
          <w:bCs/>
          <w:sz w:val="24"/>
          <w:szCs w:val="24"/>
          <w:lang w:val="en-US"/>
        </w:rPr>
        <w:t xml:space="preserve">Source: </w:t>
      </w:r>
      <w:hyperlink r:id="rId12" w:history="1">
        <w:r w:rsidRPr="00A30E8F">
          <w:rPr>
            <w:rStyle w:val="Hyperlink"/>
            <w:rFonts w:ascii="Arial" w:hAnsi="Arial" w:cs="Arial"/>
            <w:sz w:val="24"/>
            <w:szCs w:val="24"/>
            <w:lang w:val="en-US"/>
          </w:rPr>
          <w:t>slidemodel.com</w:t>
        </w:r>
      </w:hyperlink>
    </w:p>
    <w:p w14:paraId="39AB410D" w14:textId="77777777" w:rsidR="00A7721B" w:rsidRPr="00A7721B" w:rsidRDefault="00A7721B" w:rsidP="00A7721B">
      <w:pPr>
        <w:pStyle w:val="Heading2"/>
        <w:rPr>
          <w:lang w:val="en-US"/>
        </w:rPr>
      </w:pPr>
      <w:bookmarkStart w:id="10" w:name="_Toc227699202"/>
      <w:r w:rsidRPr="00A7721B">
        <w:rPr>
          <w:lang w:val="en-US"/>
        </w:rPr>
        <w:t>3.1 Factor Conditions</w:t>
      </w:r>
      <w:bookmarkEnd w:id="10"/>
    </w:p>
    <w:p w14:paraId="7994BD3B" w14:textId="77777777" w:rsidR="00951A1B" w:rsidRPr="00951A1B" w:rsidRDefault="00951A1B" w:rsidP="00951A1B">
      <w:pPr>
        <w:spacing w:after="160" w:line="360" w:lineRule="auto"/>
        <w:jc w:val="both"/>
        <w:rPr>
          <w:rFonts w:ascii="Arial" w:hAnsi="Arial" w:cs="Arial"/>
          <w:color w:val="000000" w:themeColor="text1"/>
          <w:sz w:val="24"/>
          <w:szCs w:val="24"/>
          <w:lang w:val="en-US"/>
        </w:rPr>
      </w:pPr>
      <w:r w:rsidRPr="00951A1B">
        <w:rPr>
          <w:rFonts w:ascii="Arial" w:hAnsi="Arial" w:cs="Arial"/>
          <w:color w:val="000000" w:themeColor="text1"/>
          <w:sz w:val="24"/>
          <w:szCs w:val="24"/>
          <w:lang w:val="en-US"/>
        </w:rPr>
        <w:t xml:space="preserve">Country factor circumstances include </w:t>
      </w:r>
      <w:proofErr w:type="spellStart"/>
      <w:r w:rsidRPr="00951A1B">
        <w:rPr>
          <w:rFonts w:ascii="Arial" w:hAnsi="Arial" w:cs="Arial"/>
          <w:color w:val="000000" w:themeColor="text1"/>
          <w:sz w:val="24"/>
          <w:szCs w:val="24"/>
          <w:lang w:val="en-US"/>
        </w:rPr>
        <w:t>labour</w:t>
      </w:r>
      <w:proofErr w:type="spellEnd"/>
      <w:r w:rsidRPr="00951A1B">
        <w:rPr>
          <w:rFonts w:ascii="Arial" w:hAnsi="Arial" w:cs="Arial"/>
          <w:color w:val="000000" w:themeColor="text1"/>
          <w:sz w:val="24"/>
          <w:szCs w:val="24"/>
          <w:lang w:val="en-US"/>
        </w:rPr>
        <w:t xml:space="preserve">, infrastructure, capital, and technology. Australia's competent workforce, strong regulatory authorities, and advanced transport and communication networks are developed factor circumstances. High </w:t>
      </w:r>
      <w:proofErr w:type="spellStart"/>
      <w:r w:rsidRPr="00951A1B">
        <w:rPr>
          <w:rFonts w:ascii="Arial" w:hAnsi="Arial" w:cs="Arial"/>
          <w:color w:val="000000" w:themeColor="text1"/>
          <w:sz w:val="24"/>
          <w:szCs w:val="24"/>
          <w:lang w:val="en-US"/>
        </w:rPr>
        <w:t>labour</w:t>
      </w:r>
      <w:proofErr w:type="spellEnd"/>
      <w:r w:rsidRPr="00951A1B">
        <w:rPr>
          <w:rFonts w:ascii="Arial" w:hAnsi="Arial" w:cs="Arial"/>
          <w:color w:val="000000" w:themeColor="text1"/>
          <w:sz w:val="24"/>
          <w:szCs w:val="24"/>
          <w:lang w:val="en-US"/>
        </w:rPr>
        <w:t xml:space="preserve"> costs and low economies of scale offset such gains, reducing worldwide competitiveness in the car sector (Productivity Commission, 2021).</w:t>
      </w:r>
    </w:p>
    <w:p w14:paraId="5A2C7146" w14:textId="77777777" w:rsidR="00951A1B" w:rsidRPr="00951A1B" w:rsidRDefault="00951A1B" w:rsidP="00951A1B">
      <w:pPr>
        <w:spacing w:after="160" w:line="360" w:lineRule="auto"/>
        <w:jc w:val="both"/>
        <w:rPr>
          <w:rFonts w:ascii="Arial" w:hAnsi="Arial" w:cs="Arial"/>
          <w:color w:val="000000" w:themeColor="text1"/>
          <w:sz w:val="24"/>
          <w:szCs w:val="24"/>
          <w:lang w:val="en-US"/>
        </w:rPr>
      </w:pPr>
      <w:r w:rsidRPr="00951A1B">
        <w:rPr>
          <w:rFonts w:ascii="Arial" w:hAnsi="Arial" w:cs="Arial"/>
          <w:color w:val="000000" w:themeColor="text1"/>
          <w:sz w:val="24"/>
          <w:szCs w:val="24"/>
          <w:lang w:val="en-US"/>
        </w:rPr>
        <w:t>Toyota and Ford Motor Company closed local factories due to higher production costs than in Thailand and China (Productivity Commission, 2021). Due to its remoteness, logistics and export are more expensive, making Australia less desirable as a manufacturing site (</w:t>
      </w:r>
      <w:proofErr w:type="spellStart"/>
      <w:r w:rsidRPr="00951A1B">
        <w:rPr>
          <w:rFonts w:ascii="Arial" w:hAnsi="Arial" w:cs="Arial"/>
          <w:color w:val="000000" w:themeColor="text1"/>
          <w:sz w:val="24"/>
          <w:szCs w:val="24"/>
          <w:lang w:val="en-US"/>
        </w:rPr>
        <w:t>Hivelr</w:t>
      </w:r>
      <w:proofErr w:type="spellEnd"/>
      <w:r w:rsidRPr="00951A1B">
        <w:rPr>
          <w:rFonts w:ascii="Arial" w:hAnsi="Arial" w:cs="Arial"/>
          <w:color w:val="000000" w:themeColor="text1"/>
          <w:sz w:val="24"/>
          <w:szCs w:val="24"/>
          <w:lang w:val="en-US"/>
        </w:rPr>
        <w:t>, 2024).</w:t>
      </w:r>
    </w:p>
    <w:p w14:paraId="7602798C" w14:textId="77777777" w:rsidR="00951A1B" w:rsidRPr="00951A1B" w:rsidRDefault="00951A1B" w:rsidP="00951A1B">
      <w:pPr>
        <w:spacing w:after="160" w:line="360" w:lineRule="auto"/>
        <w:jc w:val="both"/>
        <w:rPr>
          <w:rFonts w:ascii="Arial" w:hAnsi="Arial" w:cs="Arial"/>
          <w:color w:val="000000" w:themeColor="text1"/>
          <w:sz w:val="24"/>
          <w:szCs w:val="24"/>
          <w:lang w:val="en-US"/>
        </w:rPr>
      </w:pPr>
      <w:r w:rsidRPr="00951A1B">
        <w:rPr>
          <w:rFonts w:ascii="Arial" w:hAnsi="Arial" w:cs="Arial"/>
          <w:color w:val="000000" w:themeColor="text1"/>
          <w:sz w:val="24"/>
          <w:szCs w:val="24"/>
          <w:lang w:val="en-US"/>
        </w:rPr>
        <w:t>Australia is still well-regarded in automobile design, engineering, and R&amp;D. MNC technical and testing facilities use local expertise (Toyota, 2024). Good roads and distribution networks assist car imports and after-sales services.</w:t>
      </w:r>
    </w:p>
    <w:p w14:paraId="6800BD6C" w14:textId="1274737B" w:rsidR="001E21CA" w:rsidRPr="001E21CA" w:rsidRDefault="00951A1B" w:rsidP="00951A1B">
      <w:pPr>
        <w:spacing w:after="160" w:line="360" w:lineRule="auto"/>
        <w:jc w:val="both"/>
        <w:rPr>
          <w:rFonts w:ascii="Arial" w:hAnsi="Arial" w:cs="Arial"/>
          <w:color w:val="000000" w:themeColor="text1"/>
          <w:sz w:val="24"/>
          <w:szCs w:val="24"/>
          <w:lang w:val="en-US"/>
        </w:rPr>
      </w:pPr>
      <w:r w:rsidRPr="00951A1B">
        <w:rPr>
          <w:rFonts w:ascii="Arial" w:hAnsi="Arial" w:cs="Arial"/>
          <w:color w:val="000000" w:themeColor="text1"/>
          <w:sz w:val="24"/>
          <w:szCs w:val="24"/>
          <w:lang w:val="en-US"/>
        </w:rPr>
        <w:lastRenderedPageBreak/>
        <w:t>Australian advanced factor conditions are strong, but the cost structure and size limitation make it uncompetitive in car manufacture.</w:t>
      </w:r>
    </w:p>
    <w:p w14:paraId="7F6FC94C" w14:textId="69E728F0" w:rsidR="001E21CA" w:rsidRPr="001E21CA" w:rsidRDefault="001E21CA" w:rsidP="001E21CA">
      <w:pPr>
        <w:pStyle w:val="Heading2"/>
        <w:rPr>
          <w:lang w:val="en-US"/>
        </w:rPr>
      </w:pPr>
      <w:bookmarkStart w:id="11" w:name="_Toc227699203"/>
      <w:r>
        <w:rPr>
          <w:lang w:val="en-US"/>
        </w:rPr>
        <w:t>3.2</w:t>
      </w:r>
      <w:r w:rsidRPr="001E21CA">
        <w:rPr>
          <w:lang w:val="en-US"/>
        </w:rPr>
        <w:t xml:space="preserve"> Demand Conditions</w:t>
      </w:r>
      <w:bookmarkEnd w:id="11"/>
    </w:p>
    <w:p w14:paraId="5677A153" w14:textId="77777777" w:rsidR="004C4C3B" w:rsidRPr="004C4C3B" w:rsidRDefault="004C4C3B" w:rsidP="004C4C3B">
      <w:pPr>
        <w:spacing w:after="160" w:line="360" w:lineRule="auto"/>
        <w:jc w:val="both"/>
        <w:rPr>
          <w:rFonts w:ascii="Arial" w:hAnsi="Arial" w:cs="Arial"/>
          <w:color w:val="000000" w:themeColor="text1"/>
          <w:sz w:val="24"/>
          <w:szCs w:val="24"/>
          <w:lang w:val="en-US"/>
        </w:rPr>
      </w:pPr>
      <w:r w:rsidRPr="004C4C3B">
        <w:rPr>
          <w:rFonts w:ascii="Arial" w:hAnsi="Arial" w:cs="Arial"/>
          <w:color w:val="000000" w:themeColor="text1"/>
          <w:sz w:val="24"/>
          <w:szCs w:val="24"/>
          <w:lang w:val="en-US"/>
        </w:rPr>
        <w:t>Demand conditions are domestic consumer sophistication and nature. Australian vehicle demand is robust and dynamic, which boosts competitiveness, especially in market-driven innovation.</w:t>
      </w:r>
    </w:p>
    <w:p w14:paraId="4674CE2F" w14:textId="77777777" w:rsidR="004C4C3B" w:rsidRPr="004C4C3B" w:rsidRDefault="004C4C3B" w:rsidP="004C4C3B">
      <w:pPr>
        <w:spacing w:after="160" w:line="360" w:lineRule="auto"/>
        <w:jc w:val="both"/>
        <w:rPr>
          <w:rFonts w:ascii="Arial" w:hAnsi="Arial" w:cs="Arial"/>
          <w:color w:val="000000" w:themeColor="text1"/>
          <w:sz w:val="24"/>
          <w:szCs w:val="24"/>
          <w:lang w:val="en-US"/>
        </w:rPr>
      </w:pPr>
      <w:r w:rsidRPr="004C4C3B">
        <w:rPr>
          <w:rFonts w:ascii="Arial" w:hAnsi="Arial" w:cs="Arial"/>
          <w:color w:val="000000" w:themeColor="text1"/>
          <w:sz w:val="24"/>
          <w:szCs w:val="24"/>
          <w:lang w:val="en-US"/>
        </w:rPr>
        <w:t>National consumer demand was strong last year, with over 1.2 million new car sales (2023) (Statista, 2024). Australian customers are quality-conscious and value fuel efficiency, safety, and technology. For instance, 72% of purchasers consider fuel economy (</w:t>
      </w:r>
      <w:proofErr w:type="spellStart"/>
      <w:r w:rsidRPr="004C4C3B">
        <w:rPr>
          <w:rFonts w:ascii="Arial" w:hAnsi="Arial" w:cs="Arial"/>
          <w:color w:val="000000" w:themeColor="text1"/>
          <w:sz w:val="24"/>
          <w:szCs w:val="24"/>
          <w:lang w:val="en-US"/>
        </w:rPr>
        <w:t>WifiTalents</w:t>
      </w:r>
      <w:proofErr w:type="spellEnd"/>
      <w:r w:rsidRPr="004C4C3B">
        <w:rPr>
          <w:rFonts w:ascii="Arial" w:hAnsi="Arial" w:cs="Arial"/>
          <w:color w:val="000000" w:themeColor="text1"/>
          <w:sz w:val="24"/>
          <w:szCs w:val="24"/>
          <w:lang w:val="en-US"/>
        </w:rPr>
        <w:t>, 2026). Tesla Inc. and Hyundai Motor Company have introduced electric or hybrid cars in accordance with the market (Tesla, 2024; Hyundai, 2023).</w:t>
      </w:r>
    </w:p>
    <w:p w14:paraId="0A16C389" w14:textId="77777777" w:rsidR="004C4C3B" w:rsidRPr="004C4C3B" w:rsidRDefault="004C4C3B" w:rsidP="004C4C3B">
      <w:pPr>
        <w:spacing w:after="160" w:line="360" w:lineRule="auto"/>
        <w:jc w:val="both"/>
        <w:rPr>
          <w:rFonts w:ascii="Arial" w:hAnsi="Arial" w:cs="Arial"/>
          <w:color w:val="000000" w:themeColor="text1"/>
          <w:sz w:val="24"/>
          <w:szCs w:val="24"/>
          <w:lang w:val="en-US"/>
        </w:rPr>
      </w:pPr>
      <w:r w:rsidRPr="004C4C3B">
        <w:rPr>
          <w:rFonts w:ascii="Arial" w:hAnsi="Arial" w:cs="Arial"/>
          <w:color w:val="000000" w:themeColor="text1"/>
          <w:sz w:val="24"/>
          <w:szCs w:val="24"/>
          <w:lang w:val="en-US"/>
        </w:rPr>
        <w:t>SUVs and light commercial vehicles account for over 55% of vehicle sales (Statista, 2024). This tendency has caused worldwide corporations to change their products, notably utility ones for Australia.</w:t>
      </w:r>
    </w:p>
    <w:p w14:paraId="265805CF" w14:textId="77777777" w:rsidR="004C4C3B" w:rsidRPr="004C4C3B" w:rsidRDefault="004C4C3B" w:rsidP="004C4C3B">
      <w:pPr>
        <w:spacing w:after="160" w:line="360" w:lineRule="auto"/>
        <w:jc w:val="both"/>
        <w:rPr>
          <w:rFonts w:ascii="Arial" w:hAnsi="Arial" w:cs="Arial"/>
          <w:color w:val="000000" w:themeColor="text1"/>
          <w:sz w:val="24"/>
          <w:szCs w:val="24"/>
          <w:lang w:val="en-US"/>
        </w:rPr>
      </w:pPr>
      <w:r w:rsidRPr="004C4C3B">
        <w:rPr>
          <w:rFonts w:ascii="Arial" w:hAnsi="Arial" w:cs="Arial"/>
          <w:color w:val="000000" w:themeColor="text1"/>
          <w:sz w:val="24"/>
          <w:szCs w:val="24"/>
          <w:lang w:val="en-US"/>
        </w:rPr>
        <w:t>However, Australia's low population limits market size compared to other nations like the US and China. This reduces economies of scale and production incentives (Productivity Commission, 2021).</w:t>
      </w:r>
    </w:p>
    <w:p w14:paraId="548F337B" w14:textId="19E3A208" w:rsidR="001E21CA" w:rsidRPr="001E21CA" w:rsidRDefault="004C4C3B" w:rsidP="004C4C3B">
      <w:pPr>
        <w:spacing w:after="160" w:line="360" w:lineRule="auto"/>
        <w:jc w:val="both"/>
        <w:rPr>
          <w:rFonts w:ascii="Arial" w:hAnsi="Arial" w:cs="Arial"/>
          <w:color w:val="000000" w:themeColor="text1"/>
          <w:sz w:val="24"/>
          <w:szCs w:val="24"/>
          <w:lang w:val="en-US"/>
        </w:rPr>
      </w:pPr>
      <w:r w:rsidRPr="004C4C3B">
        <w:rPr>
          <w:rFonts w:ascii="Arial" w:hAnsi="Arial" w:cs="Arial"/>
          <w:color w:val="000000" w:themeColor="text1"/>
          <w:sz w:val="24"/>
          <w:szCs w:val="24"/>
          <w:lang w:val="en-US"/>
        </w:rPr>
        <w:t>Thus, demand is advanced and innovation-driven, but the market is small, limiting global industrial competitiveness.</w:t>
      </w:r>
    </w:p>
    <w:p w14:paraId="14B6DC30" w14:textId="4E23B66E" w:rsidR="001E21CA" w:rsidRPr="001E21CA" w:rsidRDefault="001E21CA" w:rsidP="001E21CA">
      <w:pPr>
        <w:pStyle w:val="Heading2"/>
        <w:rPr>
          <w:lang w:val="en-US"/>
        </w:rPr>
      </w:pPr>
      <w:bookmarkStart w:id="12" w:name="_Toc227699204"/>
      <w:r w:rsidRPr="001E21CA">
        <w:rPr>
          <w:lang w:val="en-US"/>
        </w:rPr>
        <w:t>3.</w:t>
      </w:r>
      <w:r>
        <w:rPr>
          <w:lang w:val="en-US"/>
        </w:rPr>
        <w:t>3</w:t>
      </w:r>
      <w:r w:rsidRPr="001E21CA">
        <w:rPr>
          <w:lang w:val="en-US"/>
        </w:rPr>
        <w:t xml:space="preserve"> Supporting and related Industries</w:t>
      </w:r>
      <w:bookmarkEnd w:id="12"/>
    </w:p>
    <w:p w14:paraId="4629E37F"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Strong related and supporting industries are also critical in the competitiveness. The automotive ecosystem in Australia also encompasses the logistics, supply of fuel, financial service and a highly developed aftermarket.</w:t>
      </w:r>
    </w:p>
    <w:p w14:paraId="5009529B"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 xml:space="preserve">In 2022, the automotive aftermarket sector earned a revenue of about AUD 11.1 billion, which underscores its significance in vehicle maintenance and supplying parts (MarketLine, 2023). Moreover, there is a presence of more than 25,000 automotive businesses in Australia, such as dealerships, repair </w:t>
      </w:r>
      <w:proofErr w:type="spellStart"/>
      <w:r w:rsidRPr="001E21CA">
        <w:rPr>
          <w:rFonts w:ascii="Arial" w:hAnsi="Arial" w:cs="Arial"/>
          <w:color w:val="000000" w:themeColor="text1"/>
          <w:sz w:val="24"/>
          <w:szCs w:val="24"/>
          <w:lang w:val="en-US"/>
        </w:rPr>
        <w:t>centres</w:t>
      </w:r>
      <w:proofErr w:type="spellEnd"/>
      <w:r w:rsidRPr="001E21CA">
        <w:rPr>
          <w:rFonts w:ascii="Arial" w:hAnsi="Arial" w:cs="Arial"/>
          <w:color w:val="000000" w:themeColor="text1"/>
          <w:sz w:val="24"/>
          <w:szCs w:val="24"/>
          <w:lang w:val="en-US"/>
        </w:rPr>
        <w:t>, and parts distributors, which contribute to the efficiency of operations and service delivery (</w:t>
      </w:r>
      <w:proofErr w:type="spellStart"/>
      <w:r w:rsidRPr="001E21CA">
        <w:rPr>
          <w:rFonts w:ascii="Arial" w:hAnsi="Arial" w:cs="Arial"/>
          <w:color w:val="000000" w:themeColor="text1"/>
          <w:sz w:val="24"/>
          <w:szCs w:val="24"/>
          <w:lang w:val="en-US"/>
        </w:rPr>
        <w:t>WifiTalents</w:t>
      </w:r>
      <w:proofErr w:type="spellEnd"/>
      <w:r w:rsidRPr="001E21CA">
        <w:rPr>
          <w:rFonts w:ascii="Arial" w:hAnsi="Arial" w:cs="Arial"/>
          <w:color w:val="000000" w:themeColor="text1"/>
          <w:sz w:val="24"/>
          <w:szCs w:val="24"/>
          <w:lang w:val="en-US"/>
        </w:rPr>
        <w:t>, 2026).</w:t>
      </w:r>
    </w:p>
    <w:p w14:paraId="10B2EB7D"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lastRenderedPageBreak/>
        <w:t>The insurance companies and financial institutions have a major role to play since they provide vehicle financing, leasing, and insurance services thus enabling consumers to have access to the automobiles. Moreover, the electric car ecosystem with its charging stations and the inclusion of renewable sources is also empowering the industry support systems (</w:t>
      </w:r>
      <w:proofErr w:type="spellStart"/>
      <w:r w:rsidRPr="001E21CA">
        <w:rPr>
          <w:rFonts w:ascii="Arial" w:hAnsi="Arial" w:cs="Arial"/>
          <w:color w:val="000000" w:themeColor="text1"/>
          <w:sz w:val="24"/>
          <w:szCs w:val="24"/>
          <w:lang w:val="en-US"/>
        </w:rPr>
        <w:t>Hivelr</w:t>
      </w:r>
      <w:proofErr w:type="spellEnd"/>
      <w:r w:rsidRPr="001E21CA">
        <w:rPr>
          <w:rFonts w:ascii="Arial" w:hAnsi="Arial" w:cs="Arial"/>
          <w:color w:val="000000" w:themeColor="text1"/>
          <w:sz w:val="24"/>
          <w:szCs w:val="24"/>
          <w:lang w:val="en-US"/>
        </w:rPr>
        <w:t>, 2024).</w:t>
      </w:r>
    </w:p>
    <w:p w14:paraId="3B00D275"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Nevertheless, there is the lack of a powerful domestic manufacturing supply chain which restrains backward linkages. The majority of cars and parts are imported, which decreases the value-generation within the country and undermines the integration of industries (Productivity Commission, 2021).</w:t>
      </w:r>
    </w:p>
    <w:p w14:paraId="2996A740"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Thus, the services and distribution of the supporting industries are strong; however, the absence of manufacturing-related industries decreases the overall global competitiveness of Australia in the automobile industry.</w:t>
      </w:r>
    </w:p>
    <w:p w14:paraId="139B0670" w14:textId="29FE860E" w:rsidR="001E21CA" w:rsidRPr="001E21CA" w:rsidRDefault="001E21CA" w:rsidP="001E21CA">
      <w:pPr>
        <w:pStyle w:val="Heading2"/>
        <w:rPr>
          <w:lang w:val="en-US"/>
        </w:rPr>
      </w:pPr>
      <w:bookmarkStart w:id="13" w:name="_Toc227699205"/>
      <w:r>
        <w:rPr>
          <w:lang w:val="en-US"/>
        </w:rPr>
        <w:t>3.</w:t>
      </w:r>
      <w:r w:rsidRPr="001E21CA">
        <w:rPr>
          <w:lang w:val="en-US"/>
        </w:rPr>
        <w:t>4 Strategy, structure and rivalry in a firm</w:t>
      </w:r>
      <w:bookmarkEnd w:id="13"/>
    </w:p>
    <w:p w14:paraId="3D52B567"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Firm strategy, structure and rivalry are the way companies are structured and the competition in the local market. The automobile industry in Australia is very competitive with a number of multinational companies taking dominance in this industry, including Toyota Motor Corporation, Mazda Motor Corporation, Hyundai Motor Company and Tesla Inc.</w:t>
      </w:r>
    </w:p>
    <w:p w14:paraId="29060B88"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The competition is very stiff, and companies are trying to be differentiated by the use of pricing, technological advancement, branding and product differentiation. To illustrate, Toyota is reliable and hybrid leadership-</w:t>
      </w:r>
      <w:proofErr w:type="spellStart"/>
      <w:r w:rsidRPr="001E21CA">
        <w:rPr>
          <w:rFonts w:ascii="Arial" w:hAnsi="Arial" w:cs="Arial"/>
          <w:color w:val="000000" w:themeColor="text1"/>
          <w:sz w:val="24"/>
          <w:szCs w:val="24"/>
          <w:lang w:val="en-US"/>
        </w:rPr>
        <w:t>centred</w:t>
      </w:r>
      <w:proofErr w:type="spellEnd"/>
      <w:r w:rsidRPr="001E21CA">
        <w:rPr>
          <w:rFonts w:ascii="Arial" w:hAnsi="Arial" w:cs="Arial"/>
          <w:color w:val="000000" w:themeColor="text1"/>
          <w:sz w:val="24"/>
          <w:szCs w:val="24"/>
          <w:lang w:val="en-US"/>
        </w:rPr>
        <w:t xml:space="preserve"> (Toyota, 2024), whereas Tesla is innovation- and electric mobility-driven (Tesla, 2024). This kind of competition leads to efficiency and never-ending product enhancement.</w:t>
      </w:r>
    </w:p>
    <w:p w14:paraId="67F53573" w14:textId="5076F4BF"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Nevertheless, the competitive system is more of an import-based system and therefore strategic decisions are made on a global basis as opposed to in Australia. As a result, it is not as influential in the world automotive strategies.</w:t>
      </w:r>
    </w:p>
    <w:p w14:paraId="45105CD6"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In addition, the departure of local manufacturing companies like Holden (a subsidiary of General Motors) has decreased local manufacturing competition, undermining manufacturing innovation (Productivity Commission, 2021).</w:t>
      </w:r>
    </w:p>
    <w:p w14:paraId="1FC65257"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lastRenderedPageBreak/>
        <w:t xml:space="preserve">In general, despite the existence of high competition in the sales and distribution sector, the lack of production in Australia </w:t>
      </w:r>
      <w:proofErr w:type="spellStart"/>
      <w:r w:rsidRPr="001E21CA">
        <w:rPr>
          <w:rFonts w:ascii="Arial" w:hAnsi="Arial" w:cs="Arial"/>
          <w:color w:val="000000" w:themeColor="text1"/>
          <w:sz w:val="24"/>
          <w:szCs w:val="24"/>
          <w:lang w:val="en-US"/>
        </w:rPr>
        <w:t>minimises</w:t>
      </w:r>
      <w:proofErr w:type="spellEnd"/>
      <w:r w:rsidRPr="001E21CA">
        <w:rPr>
          <w:rFonts w:ascii="Arial" w:hAnsi="Arial" w:cs="Arial"/>
          <w:color w:val="000000" w:themeColor="text1"/>
          <w:sz w:val="24"/>
          <w:szCs w:val="24"/>
          <w:lang w:val="en-US"/>
        </w:rPr>
        <w:t xml:space="preserve"> the strategic position of the global automotive industry.</w:t>
      </w:r>
    </w:p>
    <w:p w14:paraId="165189DB" w14:textId="08030FBB" w:rsidR="001E21CA" w:rsidRPr="001E21CA" w:rsidRDefault="00402F79" w:rsidP="00402F79">
      <w:pPr>
        <w:pStyle w:val="Heading2"/>
        <w:rPr>
          <w:lang w:val="en-US"/>
        </w:rPr>
      </w:pPr>
      <w:bookmarkStart w:id="14" w:name="_Toc227699206"/>
      <w:r>
        <w:rPr>
          <w:lang w:val="en-US"/>
        </w:rPr>
        <w:t>3.</w:t>
      </w:r>
      <w:r w:rsidR="001E21CA" w:rsidRPr="001E21CA">
        <w:rPr>
          <w:lang w:val="en-US"/>
        </w:rPr>
        <w:t>5 Government and Luck</w:t>
      </w:r>
      <w:bookmarkEnd w:id="14"/>
    </w:p>
    <w:p w14:paraId="51225D84"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 xml:space="preserve">Policy formulated by the government is also important in industry competitiveness in Australia. The government has unveiled programs that </w:t>
      </w:r>
      <w:proofErr w:type="spellStart"/>
      <w:r w:rsidRPr="001E21CA">
        <w:rPr>
          <w:rFonts w:ascii="Arial" w:hAnsi="Arial" w:cs="Arial"/>
          <w:color w:val="000000" w:themeColor="text1"/>
          <w:sz w:val="24"/>
          <w:szCs w:val="24"/>
          <w:lang w:val="en-US"/>
        </w:rPr>
        <w:t>favour</w:t>
      </w:r>
      <w:proofErr w:type="spellEnd"/>
      <w:r w:rsidRPr="001E21CA">
        <w:rPr>
          <w:rFonts w:ascii="Arial" w:hAnsi="Arial" w:cs="Arial"/>
          <w:color w:val="000000" w:themeColor="text1"/>
          <w:sz w:val="24"/>
          <w:szCs w:val="24"/>
          <w:lang w:val="en-US"/>
        </w:rPr>
        <w:t xml:space="preserve"> electric cars, emissions mitigation, and development of infrastructure (</w:t>
      </w:r>
      <w:proofErr w:type="spellStart"/>
      <w:r w:rsidRPr="001E21CA">
        <w:rPr>
          <w:rFonts w:ascii="Arial" w:hAnsi="Arial" w:cs="Arial"/>
          <w:color w:val="000000" w:themeColor="text1"/>
          <w:sz w:val="24"/>
          <w:szCs w:val="24"/>
          <w:lang w:val="en-US"/>
        </w:rPr>
        <w:t>Hivelr</w:t>
      </w:r>
      <w:proofErr w:type="spellEnd"/>
      <w:r w:rsidRPr="001E21CA">
        <w:rPr>
          <w:rFonts w:ascii="Arial" w:hAnsi="Arial" w:cs="Arial"/>
          <w:color w:val="000000" w:themeColor="text1"/>
          <w:sz w:val="24"/>
          <w:szCs w:val="24"/>
          <w:lang w:val="en-US"/>
        </w:rPr>
        <w:t>, 2024). Previous tariff and subsidy cuts helped to withdraw the domestic manufacturers, however (Productivity Commission, 2021).</w:t>
      </w:r>
    </w:p>
    <w:p w14:paraId="2E6A6B51"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 xml:space="preserve">The industry has also been greatly affected by external factors (chance) like </w:t>
      </w:r>
      <w:proofErr w:type="spellStart"/>
      <w:r w:rsidRPr="001E21CA">
        <w:rPr>
          <w:rFonts w:ascii="Arial" w:hAnsi="Arial" w:cs="Arial"/>
          <w:color w:val="000000" w:themeColor="text1"/>
          <w:sz w:val="24"/>
          <w:szCs w:val="24"/>
          <w:lang w:val="en-US"/>
        </w:rPr>
        <w:t>globalisation</w:t>
      </w:r>
      <w:proofErr w:type="spellEnd"/>
      <w:r w:rsidRPr="001E21CA">
        <w:rPr>
          <w:rFonts w:ascii="Arial" w:hAnsi="Arial" w:cs="Arial"/>
          <w:color w:val="000000" w:themeColor="text1"/>
          <w:sz w:val="24"/>
          <w:szCs w:val="24"/>
          <w:lang w:val="en-US"/>
        </w:rPr>
        <w:t>, technological development and changing supply chains. The emergence of low-cost manufacturing regions in Asia has decreased the competitive edge of Australia in the production of vehicles and this has strengthened its shift towards an import-based vehicle market.</w:t>
      </w:r>
    </w:p>
    <w:p w14:paraId="009C2A80" w14:textId="77777777" w:rsidR="001E21CA" w:rsidRPr="001E21CA" w:rsidRDefault="001E21CA" w:rsidP="001E21CA">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 xml:space="preserve">Applying the Diamond Model suggested by Porter, it can be observed that Australia has a high level of demand and highly developed supporting industries and low levels of factor conditions for manufacturing. The automobile sector continues to be competitive in the world in terms of distribution, retail and adoption of innovations, as opposed to production. Some of the major challenges include high </w:t>
      </w:r>
      <w:proofErr w:type="spellStart"/>
      <w:r w:rsidRPr="001E21CA">
        <w:rPr>
          <w:rFonts w:ascii="Arial" w:hAnsi="Arial" w:cs="Arial"/>
          <w:color w:val="000000" w:themeColor="text1"/>
          <w:sz w:val="24"/>
          <w:szCs w:val="24"/>
          <w:lang w:val="en-US"/>
        </w:rPr>
        <w:t>labour</w:t>
      </w:r>
      <w:proofErr w:type="spellEnd"/>
      <w:r w:rsidRPr="001E21CA">
        <w:rPr>
          <w:rFonts w:ascii="Arial" w:hAnsi="Arial" w:cs="Arial"/>
          <w:color w:val="000000" w:themeColor="text1"/>
          <w:sz w:val="24"/>
          <w:szCs w:val="24"/>
          <w:lang w:val="en-US"/>
        </w:rPr>
        <w:t xml:space="preserve"> costs, small economies of scale and import dependency (Productivity Commission, 2021).</w:t>
      </w:r>
    </w:p>
    <w:p w14:paraId="2061DD2B" w14:textId="3B381BD2" w:rsidR="00C562E1" w:rsidRPr="00C562E1" w:rsidRDefault="001E21CA" w:rsidP="00C562E1">
      <w:pPr>
        <w:spacing w:after="160" w:line="360" w:lineRule="auto"/>
        <w:jc w:val="both"/>
        <w:rPr>
          <w:rFonts w:ascii="Arial" w:hAnsi="Arial" w:cs="Arial"/>
          <w:color w:val="000000" w:themeColor="text1"/>
          <w:sz w:val="24"/>
          <w:szCs w:val="24"/>
          <w:lang w:val="en-US"/>
        </w:rPr>
      </w:pPr>
      <w:r w:rsidRPr="001E21CA">
        <w:rPr>
          <w:rFonts w:ascii="Arial" w:hAnsi="Arial" w:cs="Arial"/>
          <w:color w:val="000000" w:themeColor="text1"/>
          <w:sz w:val="24"/>
          <w:szCs w:val="24"/>
          <w:lang w:val="en-US"/>
        </w:rPr>
        <w:t>The key areas to invest in to increase competitiveness in Australia include advanced manufacturing technology, electric vehicle facilities, and innovation-driven capacities. Enhancing integration of the supporting industry with the production may help the country to re-brand itself in the global automotive value chain.</w:t>
      </w:r>
    </w:p>
    <w:p w14:paraId="6B37298A" w14:textId="16AAE325" w:rsidR="0012016C" w:rsidRPr="0012016C" w:rsidRDefault="0012016C" w:rsidP="0012016C">
      <w:pPr>
        <w:pStyle w:val="Heading1"/>
        <w:rPr>
          <w:rFonts w:cs="Arial"/>
          <w:sz w:val="24"/>
          <w:szCs w:val="24"/>
          <w:lang w:val="en-US"/>
        </w:rPr>
      </w:pPr>
      <w:bookmarkStart w:id="15" w:name="_Toc227699207"/>
      <w:r w:rsidRPr="0012016C">
        <w:rPr>
          <w:lang w:val="en-US"/>
        </w:rPr>
        <w:t xml:space="preserve">4.0 </w:t>
      </w:r>
      <w:r w:rsidR="00402F79" w:rsidRPr="00402F79">
        <w:rPr>
          <w:lang w:val="en-US"/>
        </w:rPr>
        <w:t>Critical Evaluation of a Foreign MNC: Tesla Inc. in the Australian Automobile Industry</w:t>
      </w:r>
      <w:bookmarkEnd w:id="15"/>
    </w:p>
    <w:p w14:paraId="7CE8D8A7" w14:textId="77777777" w:rsidR="00EF02D7" w:rsidRPr="00EF02D7" w:rsidRDefault="00EF02D7" w:rsidP="00EF02D7">
      <w:pPr>
        <w:pStyle w:val="Heading2"/>
        <w:rPr>
          <w:lang w:val="en-US"/>
        </w:rPr>
      </w:pPr>
      <w:bookmarkStart w:id="16" w:name="_Toc227699208"/>
      <w:r w:rsidRPr="00EF02D7">
        <w:rPr>
          <w:lang w:val="en-US"/>
        </w:rPr>
        <w:t>4.1 Introduction to the Foreign MNC</w:t>
      </w:r>
      <w:bookmarkEnd w:id="16"/>
    </w:p>
    <w:p w14:paraId="45DD6D39"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 xml:space="preserve">One of the key multinational corporations that currently work within the Australian automobile sector is Tesla Inc., which is one of the world leaders in electric vehicles (EVs) and clean energy technologies. Tesla has developed a good presence in Australia, importing the vehicles, direct retail, and charging stations. The company has </w:t>
      </w:r>
      <w:r w:rsidRPr="008C25E8">
        <w:rPr>
          <w:rFonts w:ascii="Arial" w:hAnsi="Arial" w:cs="Arial"/>
          <w:color w:val="000000" w:themeColor="text1"/>
          <w:sz w:val="24"/>
          <w:szCs w:val="24"/>
          <w:lang w:val="en-US"/>
        </w:rPr>
        <w:lastRenderedPageBreak/>
        <w:t>led the EV market, with a large share of the total EV sales, but it has lately lost out on its market share with rising competition (EV Central, 2025; Statista, 2024).</w:t>
      </w:r>
    </w:p>
    <w:p w14:paraId="5AB3FF6B"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section is a critical assessment of the factors which contributed to the success of Tesla in Australia through the lens of the PESTLE-based framework (political, economic, legal, and cultural factors) and market attractiveness analysis.</w:t>
      </w:r>
    </w:p>
    <w:p w14:paraId="465A924C" w14:textId="5941A6D1" w:rsidR="008C25E8" w:rsidRPr="008C25E8" w:rsidRDefault="008C25E8" w:rsidP="008C25E8">
      <w:pPr>
        <w:pStyle w:val="Heading2"/>
        <w:rPr>
          <w:lang w:val="en-US"/>
        </w:rPr>
      </w:pPr>
      <w:bookmarkStart w:id="17" w:name="_Toc227699209"/>
      <w:r>
        <w:rPr>
          <w:lang w:val="en-US"/>
        </w:rPr>
        <w:t xml:space="preserve">4.2 </w:t>
      </w:r>
      <w:r w:rsidRPr="008C25E8">
        <w:rPr>
          <w:lang w:val="en-US"/>
        </w:rPr>
        <w:t>Overview of Tesla's Operations in Australia</w:t>
      </w:r>
      <w:bookmarkEnd w:id="17"/>
    </w:p>
    <w:p w14:paraId="1BAB5311"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In Australia, Tesla Inc. sells its products mainly in the direct-to-consumer format, bypassing the dealerships (Tesla, 2024). The important products it offers are the Model 3 and Model Y, which are backed by an ever-expanding network of Superchargers (Tesla, 2024).</w:t>
      </w:r>
    </w:p>
    <w:p w14:paraId="169E6468" w14:textId="24B77496"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strategic location of Australia is also crucial to Tesla because of its supply chain of critical minerals; more than 80</w:t>
      </w:r>
      <w:r>
        <w:rPr>
          <w:rFonts w:ascii="Arial" w:hAnsi="Arial" w:cs="Arial"/>
          <w:color w:val="000000" w:themeColor="text1"/>
          <w:sz w:val="24"/>
          <w:szCs w:val="24"/>
          <w:lang w:val="en-US"/>
        </w:rPr>
        <w:t>%</w:t>
      </w:r>
      <w:r w:rsidRPr="008C25E8">
        <w:rPr>
          <w:rFonts w:ascii="Arial" w:hAnsi="Arial" w:cs="Arial"/>
          <w:color w:val="000000" w:themeColor="text1"/>
          <w:sz w:val="24"/>
          <w:szCs w:val="24"/>
          <w:lang w:val="en-US"/>
        </w:rPr>
        <w:t xml:space="preserve"> of Tesla's lithium and approximately half of its nickel is mined in Australia (Australian Treasury, 2024). This enhances the vertical integration strategy and sustainability objectives of Tesla (Tesla, 2024).</w:t>
      </w:r>
    </w:p>
    <w:p w14:paraId="557EAA38"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Nevertheless, Tesla sales in Australia dropped about 17% in 2024 due to stiff competition and market conditions, which were impacting its performance (</w:t>
      </w:r>
      <w:proofErr w:type="spellStart"/>
      <w:r w:rsidRPr="008C25E8">
        <w:rPr>
          <w:rFonts w:ascii="Arial" w:hAnsi="Arial" w:cs="Arial"/>
          <w:color w:val="000000" w:themeColor="text1"/>
          <w:sz w:val="24"/>
          <w:szCs w:val="24"/>
          <w:lang w:val="en-US"/>
        </w:rPr>
        <w:t>CarExpert</w:t>
      </w:r>
      <w:proofErr w:type="spellEnd"/>
      <w:r w:rsidRPr="008C25E8">
        <w:rPr>
          <w:rFonts w:ascii="Arial" w:hAnsi="Arial" w:cs="Arial"/>
          <w:color w:val="000000" w:themeColor="text1"/>
          <w:sz w:val="24"/>
          <w:szCs w:val="24"/>
          <w:lang w:val="en-US"/>
        </w:rPr>
        <w:t>, 2025; The Driven, 2025).</w:t>
      </w:r>
    </w:p>
    <w:p w14:paraId="77550846" w14:textId="6D117942"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1. Political Factors</w:t>
      </w:r>
    </w:p>
    <w:p w14:paraId="142B4EC8"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political reasons play a crucial role in determining the performance of Tesla in Australia, especially concerning the environmental policies and regulations in the industry.</w:t>
      </w:r>
    </w:p>
    <w:p w14:paraId="5C7A111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Australian government has implemented policies that would encourage the use of EVs, such as tax incentives and emissions reduction targets and investing in charging infrastructure. An example is the fringe benefits tax (FBT) exemption of EVs, which has stimulated its use by corporations and demand (</w:t>
      </w:r>
      <w:proofErr w:type="spellStart"/>
      <w:r w:rsidRPr="008C25E8">
        <w:rPr>
          <w:rFonts w:ascii="Arial" w:hAnsi="Arial" w:cs="Arial"/>
          <w:color w:val="000000" w:themeColor="text1"/>
          <w:sz w:val="24"/>
          <w:szCs w:val="24"/>
          <w:lang w:val="en-US"/>
        </w:rPr>
        <w:t>Zecar</w:t>
      </w:r>
      <w:proofErr w:type="spellEnd"/>
      <w:r w:rsidRPr="008C25E8">
        <w:rPr>
          <w:rFonts w:ascii="Arial" w:hAnsi="Arial" w:cs="Arial"/>
          <w:color w:val="000000" w:themeColor="text1"/>
          <w:sz w:val="24"/>
          <w:szCs w:val="24"/>
          <w:lang w:val="en-US"/>
        </w:rPr>
        <w:t xml:space="preserve">, 2024). All these policy actions provide a </w:t>
      </w:r>
      <w:proofErr w:type="spellStart"/>
      <w:r w:rsidRPr="008C25E8">
        <w:rPr>
          <w:rFonts w:ascii="Arial" w:hAnsi="Arial" w:cs="Arial"/>
          <w:color w:val="000000" w:themeColor="text1"/>
          <w:sz w:val="24"/>
          <w:szCs w:val="24"/>
          <w:lang w:val="en-US"/>
        </w:rPr>
        <w:t>favourable</w:t>
      </w:r>
      <w:proofErr w:type="spellEnd"/>
      <w:r w:rsidRPr="008C25E8">
        <w:rPr>
          <w:rFonts w:ascii="Arial" w:hAnsi="Arial" w:cs="Arial"/>
          <w:color w:val="000000" w:themeColor="text1"/>
          <w:sz w:val="24"/>
          <w:szCs w:val="24"/>
          <w:lang w:val="en-US"/>
        </w:rPr>
        <w:t xml:space="preserve"> institutional climate for the growth of Tesla (Productivity Commission, 2021).</w:t>
      </w:r>
    </w:p>
    <w:p w14:paraId="51EF8A28"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 xml:space="preserve">Nonetheless, the inconsistency of policies is still an issue. Australia has been rather slow to institute extensive EV requirements and countrywide subsidies, compared to other areas like the European Union and China, which restricts the rate of adoption </w:t>
      </w:r>
      <w:r w:rsidRPr="008C25E8">
        <w:rPr>
          <w:rFonts w:ascii="Arial" w:hAnsi="Arial" w:cs="Arial"/>
          <w:color w:val="000000" w:themeColor="text1"/>
          <w:sz w:val="24"/>
          <w:szCs w:val="24"/>
          <w:lang w:val="en-US"/>
        </w:rPr>
        <w:lastRenderedPageBreak/>
        <w:t xml:space="preserve">(The Guardian, 2024). Furthermore, Tesla has been confronting industry </w:t>
      </w:r>
      <w:proofErr w:type="spellStart"/>
      <w:r w:rsidRPr="008C25E8">
        <w:rPr>
          <w:rFonts w:ascii="Arial" w:hAnsi="Arial" w:cs="Arial"/>
          <w:color w:val="000000" w:themeColor="text1"/>
          <w:sz w:val="24"/>
          <w:szCs w:val="24"/>
          <w:lang w:val="en-US"/>
        </w:rPr>
        <w:t>organisations</w:t>
      </w:r>
      <w:proofErr w:type="spellEnd"/>
      <w:r w:rsidRPr="008C25E8">
        <w:rPr>
          <w:rFonts w:ascii="Arial" w:hAnsi="Arial" w:cs="Arial"/>
          <w:color w:val="000000" w:themeColor="text1"/>
          <w:sz w:val="24"/>
          <w:szCs w:val="24"/>
          <w:lang w:val="en-US"/>
        </w:rPr>
        <w:t xml:space="preserve"> like the Federal Chamber of Automotive Industries over the level of emissions, which shows the tensions in regulating (Reuters, 2024).</w:t>
      </w:r>
    </w:p>
    <w:p w14:paraId="6D940DB3"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other important political factor is that Australia is strategic in the development of domestic battery and mineral processing facilities. Tesla has urged the government to enhance incentives to promote downstream processing of lithium and nickel that would be used to increase supply chain resiliency (Australian Treasury, 2024).</w:t>
      </w:r>
    </w:p>
    <w:p w14:paraId="63DE7ED1"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Another factor influencing the competitiveness of Tesla is geopolitical. The trade relations between Australia and China, which is the country of the majority of EV manufacturers, have brought the competition to the next level with Chinese manufacturers like BYD providing more affordable options (EV Central, 2025).</w:t>
      </w:r>
    </w:p>
    <w:p w14:paraId="69B3FC41"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bookmarkStart w:id="18" w:name="_GoBack"/>
      <w:bookmarkEnd w:id="18"/>
    </w:p>
    <w:p w14:paraId="38E12BC5" w14:textId="77777777" w:rsidR="008C25E8" w:rsidRPr="008C25E8" w:rsidRDefault="008C25E8" w:rsidP="008C25E8">
      <w:pPr>
        <w:pStyle w:val="ListParagraph"/>
        <w:numPr>
          <w:ilvl w:val="0"/>
          <w:numId w:val="36"/>
        </w:numPr>
        <w:spacing w:after="160" w:line="360" w:lineRule="auto"/>
        <w:jc w:val="both"/>
        <w:rPr>
          <w:rFonts w:ascii="Arial" w:hAnsi="Arial" w:cs="Arial"/>
          <w:color w:val="000000" w:themeColor="text1"/>
          <w:sz w:val="24"/>
          <w:szCs w:val="24"/>
          <w:lang w:val="en-US"/>
        </w:rPr>
      </w:pPr>
      <w:r w:rsidRPr="008C25E8">
        <w:rPr>
          <w:rFonts w:ascii="Arial" w:hAnsi="Arial" w:cs="Arial"/>
          <w:b/>
          <w:bCs/>
          <w:color w:val="000000" w:themeColor="text1"/>
          <w:sz w:val="24"/>
          <w:szCs w:val="24"/>
          <w:lang w:val="en-US"/>
        </w:rPr>
        <w:t>Positive:</w:t>
      </w:r>
      <w:r w:rsidRPr="008C25E8">
        <w:rPr>
          <w:rFonts w:ascii="Arial" w:hAnsi="Arial" w:cs="Arial"/>
          <w:color w:val="000000" w:themeColor="text1"/>
          <w:sz w:val="24"/>
          <w:szCs w:val="24"/>
          <w:lang w:val="en-US"/>
        </w:rPr>
        <w:t xml:space="preserve"> Good policy support of EVs and availability of critical minerals (Australian Treasury, 2024)</w:t>
      </w:r>
    </w:p>
    <w:p w14:paraId="3158FC75" w14:textId="77777777" w:rsidR="008C25E8" w:rsidRPr="008C25E8" w:rsidRDefault="008C25E8" w:rsidP="008C25E8">
      <w:pPr>
        <w:pStyle w:val="ListParagraph"/>
        <w:numPr>
          <w:ilvl w:val="0"/>
          <w:numId w:val="36"/>
        </w:numPr>
        <w:spacing w:after="160" w:line="360" w:lineRule="auto"/>
        <w:jc w:val="both"/>
        <w:rPr>
          <w:rFonts w:ascii="Arial" w:hAnsi="Arial" w:cs="Arial"/>
          <w:color w:val="000000" w:themeColor="text1"/>
          <w:sz w:val="24"/>
          <w:szCs w:val="24"/>
          <w:lang w:val="en-US"/>
        </w:rPr>
      </w:pPr>
      <w:r w:rsidRPr="008C25E8">
        <w:rPr>
          <w:rFonts w:ascii="Arial" w:hAnsi="Arial" w:cs="Arial"/>
          <w:b/>
          <w:bCs/>
          <w:color w:val="000000" w:themeColor="text1"/>
          <w:sz w:val="24"/>
          <w:szCs w:val="24"/>
          <w:lang w:val="en-US"/>
        </w:rPr>
        <w:t>Negative:</w:t>
      </w:r>
      <w:r w:rsidRPr="008C25E8">
        <w:rPr>
          <w:rFonts w:ascii="Arial" w:hAnsi="Arial" w:cs="Arial"/>
          <w:color w:val="000000" w:themeColor="text1"/>
          <w:sz w:val="24"/>
          <w:szCs w:val="24"/>
          <w:lang w:val="en-US"/>
        </w:rPr>
        <w:t xml:space="preserve"> Inconsistency in the policy and increasing geopolitical rivalry (The Guardian, 2024; EV Central, 2025)</w:t>
      </w:r>
    </w:p>
    <w:p w14:paraId="3DD9F0D1"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On the whole, the political environment is fairly positive and should be more stable in terms of policies to support the further development of Tesla.</w:t>
      </w:r>
    </w:p>
    <w:p w14:paraId="6CF8535F" w14:textId="7806E441"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2. Economic Factors</w:t>
      </w:r>
    </w:p>
    <w:p w14:paraId="0DA34E5D"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economic situation will be critical in defining whether Tesla will succeed in Australia, especially with such a price-sensitive market for the EV.</w:t>
      </w:r>
    </w:p>
    <w:p w14:paraId="4D01FA29"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Australia is a high-income economy with high purchasing power, which means that it is a promising market for premium EVs (Statista, 2024). Nevertheless, the high inflation rates and the increase in the interest rates have decreased the discretionary spending, especially on high-value products like cars (The Economist, 2023).</w:t>
      </w:r>
    </w:p>
    <w:p w14:paraId="5FE6CF75"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To counter this, Tesla has resorted to using strong pricing tactics where it has cut prices on some of its models by up to AUD 9,500 as the company tries to drive sales (</w:t>
      </w:r>
      <w:proofErr w:type="spellStart"/>
      <w:r w:rsidRPr="008C25E8">
        <w:rPr>
          <w:rFonts w:ascii="Arial" w:hAnsi="Arial" w:cs="Arial"/>
          <w:color w:val="000000" w:themeColor="text1"/>
          <w:sz w:val="24"/>
          <w:szCs w:val="24"/>
          <w:lang w:val="en-US"/>
        </w:rPr>
        <w:t>AutoWorld</w:t>
      </w:r>
      <w:proofErr w:type="spellEnd"/>
      <w:r w:rsidRPr="008C25E8">
        <w:rPr>
          <w:rFonts w:ascii="Arial" w:hAnsi="Arial" w:cs="Arial"/>
          <w:color w:val="000000" w:themeColor="text1"/>
          <w:sz w:val="24"/>
          <w:szCs w:val="24"/>
          <w:lang w:val="en-US"/>
        </w:rPr>
        <w:t xml:space="preserve"> Journal, 2025). Although this makes it more affordable, it squeezes the profitability and can undermine the luxury branding of Tesla that it enjoys (Tesla, 2024).</w:t>
      </w:r>
    </w:p>
    <w:p w14:paraId="34B1B02B" w14:textId="3FA5A83F"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lastRenderedPageBreak/>
        <w:t>Also, the EV market gets more and more competitive. In 2024, Tesla had around 42</w:t>
      </w:r>
      <w:r>
        <w:rPr>
          <w:rFonts w:ascii="Arial" w:hAnsi="Arial" w:cs="Arial"/>
          <w:color w:val="000000" w:themeColor="text1"/>
          <w:sz w:val="24"/>
          <w:szCs w:val="24"/>
          <w:lang w:val="en-US"/>
        </w:rPr>
        <w:t>%</w:t>
      </w:r>
      <w:r w:rsidRPr="008C25E8">
        <w:rPr>
          <w:rFonts w:ascii="Arial" w:hAnsi="Arial" w:cs="Arial"/>
          <w:color w:val="000000" w:themeColor="text1"/>
          <w:sz w:val="24"/>
          <w:szCs w:val="24"/>
          <w:lang w:val="en-US"/>
        </w:rPr>
        <w:t xml:space="preserve"> of EV sales but was losing its market share as the low-cost competitors entered the market, especially Chinese car brands (EV Central, 2025).</w:t>
      </w:r>
    </w:p>
    <w:p w14:paraId="1FC03458"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general EV market is still growing, selling over 91,000 EVs in 2024, but the growth rates have decreased, which means that the market is starting to mature (The Driven, 2025).</w:t>
      </w:r>
    </w:p>
    <w:tbl>
      <w:tblPr>
        <w:tblStyle w:val="TableGrid"/>
        <w:tblW w:w="8961" w:type="dxa"/>
        <w:tblLook w:val="04A0" w:firstRow="1" w:lastRow="0" w:firstColumn="1" w:lastColumn="0" w:noHBand="0" w:noVBand="1"/>
      </w:tblPr>
      <w:tblGrid>
        <w:gridCol w:w="3763"/>
        <w:gridCol w:w="3566"/>
        <w:gridCol w:w="1632"/>
      </w:tblGrid>
      <w:tr w:rsidR="008C25E8" w:rsidRPr="008C25E8" w14:paraId="4DB9E594" w14:textId="77777777" w:rsidTr="008C25E8">
        <w:trPr>
          <w:trHeight w:val="548"/>
        </w:trPr>
        <w:tc>
          <w:tcPr>
            <w:tcW w:w="0" w:type="auto"/>
            <w:hideMark/>
          </w:tcPr>
          <w:p w14:paraId="4E8D601F"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Factor</w:t>
            </w:r>
          </w:p>
        </w:tc>
        <w:tc>
          <w:tcPr>
            <w:tcW w:w="0" w:type="auto"/>
            <w:hideMark/>
          </w:tcPr>
          <w:p w14:paraId="20AD7009"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Impact on Tesla</w:t>
            </w:r>
          </w:p>
        </w:tc>
        <w:tc>
          <w:tcPr>
            <w:tcW w:w="0" w:type="auto"/>
            <w:hideMark/>
          </w:tcPr>
          <w:p w14:paraId="38AFDCE4"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p>
        </w:tc>
      </w:tr>
      <w:tr w:rsidR="008C25E8" w:rsidRPr="008C25E8" w14:paraId="02DCF491" w14:textId="77777777" w:rsidTr="008C25E8">
        <w:trPr>
          <w:trHeight w:val="558"/>
        </w:trPr>
        <w:tc>
          <w:tcPr>
            <w:tcW w:w="0" w:type="auto"/>
            <w:hideMark/>
          </w:tcPr>
          <w:p w14:paraId="6FA934E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High income levels</w:t>
            </w:r>
          </w:p>
        </w:tc>
        <w:tc>
          <w:tcPr>
            <w:tcW w:w="0" w:type="auto"/>
            <w:hideMark/>
          </w:tcPr>
          <w:p w14:paraId="49608A51"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Supports EV affordability</w:t>
            </w:r>
          </w:p>
        </w:tc>
        <w:tc>
          <w:tcPr>
            <w:tcW w:w="0" w:type="auto"/>
            <w:hideMark/>
          </w:tcPr>
          <w:p w14:paraId="17A72902"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Positive</w:t>
            </w:r>
          </w:p>
        </w:tc>
      </w:tr>
      <w:tr w:rsidR="008C25E8" w:rsidRPr="008C25E8" w14:paraId="49A5290A" w14:textId="77777777" w:rsidTr="008C25E8">
        <w:trPr>
          <w:trHeight w:val="548"/>
        </w:trPr>
        <w:tc>
          <w:tcPr>
            <w:tcW w:w="0" w:type="auto"/>
            <w:hideMark/>
          </w:tcPr>
          <w:p w14:paraId="719F130C"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Inflation &amp; interest rates</w:t>
            </w:r>
          </w:p>
        </w:tc>
        <w:tc>
          <w:tcPr>
            <w:tcW w:w="0" w:type="auto"/>
            <w:hideMark/>
          </w:tcPr>
          <w:p w14:paraId="7EAAB249"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Reduces purchasing power</w:t>
            </w:r>
          </w:p>
        </w:tc>
        <w:tc>
          <w:tcPr>
            <w:tcW w:w="0" w:type="auto"/>
            <w:hideMark/>
          </w:tcPr>
          <w:p w14:paraId="7586A642"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Negative</w:t>
            </w:r>
          </w:p>
        </w:tc>
      </w:tr>
      <w:tr w:rsidR="008C25E8" w:rsidRPr="008C25E8" w14:paraId="3EC87570" w14:textId="77777777" w:rsidTr="008C25E8">
        <w:trPr>
          <w:trHeight w:val="558"/>
        </w:trPr>
        <w:tc>
          <w:tcPr>
            <w:tcW w:w="0" w:type="auto"/>
            <w:hideMark/>
          </w:tcPr>
          <w:p w14:paraId="6024303C"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Price competition</w:t>
            </w:r>
          </w:p>
        </w:tc>
        <w:tc>
          <w:tcPr>
            <w:tcW w:w="0" w:type="auto"/>
            <w:hideMark/>
          </w:tcPr>
          <w:p w14:paraId="675B5233"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Forces price reductions</w:t>
            </w:r>
          </w:p>
        </w:tc>
        <w:tc>
          <w:tcPr>
            <w:tcW w:w="0" w:type="auto"/>
            <w:hideMark/>
          </w:tcPr>
          <w:p w14:paraId="356D57A7"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Negative</w:t>
            </w:r>
          </w:p>
        </w:tc>
      </w:tr>
      <w:tr w:rsidR="008C25E8" w:rsidRPr="008C25E8" w14:paraId="540E4D04" w14:textId="77777777" w:rsidTr="008C25E8">
        <w:trPr>
          <w:trHeight w:val="548"/>
        </w:trPr>
        <w:tc>
          <w:tcPr>
            <w:tcW w:w="0" w:type="auto"/>
            <w:hideMark/>
          </w:tcPr>
          <w:p w14:paraId="2B4E2660"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EV market growth</w:t>
            </w:r>
          </w:p>
        </w:tc>
        <w:tc>
          <w:tcPr>
            <w:tcW w:w="0" w:type="auto"/>
            <w:hideMark/>
          </w:tcPr>
          <w:p w14:paraId="7022FECC"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Expands opportunities</w:t>
            </w:r>
          </w:p>
        </w:tc>
        <w:tc>
          <w:tcPr>
            <w:tcW w:w="0" w:type="auto"/>
            <w:hideMark/>
          </w:tcPr>
          <w:p w14:paraId="0995D4B8"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Positive</w:t>
            </w:r>
          </w:p>
        </w:tc>
      </w:tr>
      <w:tr w:rsidR="008C25E8" w:rsidRPr="008C25E8" w14:paraId="11C442EE" w14:textId="77777777" w:rsidTr="008C25E8">
        <w:trPr>
          <w:trHeight w:val="548"/>
        </w:trPr>
        <w:tc>
          <w:tcPr>
            <w:tcW w:w="0" w:type="auto"/>
            <w:hideMark/>
          </w:tcPr>
          <w:p w14:paraId="43AD78C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Entry of low-cost competitors</w:t>
            </w:r>
          </w:p>
        </w:tc>
        <w:tc>
          <w:tcPr>
            <w:tcW w:w="0" w:type="auto"/>
            <w:hideMark/>
          </w:tcPr>
          <w:p w14:paraId="71005551"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Reduces market share</w:t>
            </w:r>
          </w:p>
        </w:tc>
        <w:tc>
          <w:tcPr>
            <w:tcW w:w="0" w:type="auto"/>
            <w:hideMark/>
          </w:tcPr>
          <w:p w14:paraId="34D60681" w14:textId="77777777" w:rsidR="008C25E8" w:rsidRPr="008C25E8" w:rsidRDefault="008C25E8" w:rsidP="002A2FCC">
            <w:pPr>
              <w:keepNext/>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Negative</w:t>
            </w:r>
          </w:p>
        </w:tc>
      </w:tr>
    </w:tbl>
    <w:p w14:paraId="707ED0B4" w14:textId="63216252" w:rsidR="00EF02D7" w:rsidRPr="00EF02D7" w:rsidRDefault="002A2FCC" w:rsidP="002A2FCC">
      <w:pPr>
        <w:pStyle w:val="Caption"/>
        <w:rPr>
          <w:rFonts w:ascii="Arial" w:hAnsi="Arial" w:cs="Arial"/>
          <w:color w:val="000000" w:themeColor="text1"/>
          <w:sz w:val="24"/>
          <w:szCs w:val="24"/>
          <w:lang w:val="en-US"/>
        </w:rPr>
      </w:pPr>
      <w:bookmarkStart w:id="19" w:name="_Toc227699216"/>
      <w:r>
        <w:t xml:space="preserve">Table </w:t>
      </w:r>
      <w:r>
        <w:fldChar w:fldCharType="begin"/>
      </w:r>
      <w:r>
        <w:instrText xml:space="preserve"> SEQ Table \* ARABIC </w:instrText>
      </w:r>
      <w:r>
        <w:fldChar w:fldCharType="separate"/>
      </w:r>
      <w:r>
        <w:rPr>
          <w:noProof/>
        </w:rPr>
        <w:t>2</w:t>
      </w:r>
      <w:r>
        <w:fldChar w:fldCharType="end"/>
      </w:r>
      <w:r>
        <w:t xml:space="preserve">: </w:t>
      </w:r>
      <w:r w:rsidRPr="00230A85">
        <w:t>Key Economic Indicators Affecting Tesla in Australia</w:t>
      </w:r>
      <w:bookmarkEnd w:id="19"/>
    </w:p>
    <w:p w14:paraId="6F08AC0E"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p>
    <w:p w14:paraId="3ABD88C7"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Tesla enjoys the advantages of good economic fundamentals in Australia but finds itself in the midst of rising competition and price elasticity. The ability to be profitable and increase market share is an essential challenge (Tesla, 2024; EV Central, 2025).</w:t>
      </w:r>
    </w:p>
    <w:p w14:paraId="1434FF28" w14:textId="63123CC3"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3. Legal Factors</w:t>
      </w:r>
    </w:p>
    <w:p w14:paraId="502D523C"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Legal issues are critical in influencing the operations of Tesla in Australia, especially in matters like safety standards, emissions laws, and consumer protection laws.</w:t>
      </w:r>
    </w:p>
    <w:p w14:paraId="75B8A42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Australia also has a high standard of vehicle safety and compliance that Tesla has to comply with in order to be efficient (Productivity Commission, 2021). Also, new emissions and fuel efficiency regulations are being implemented, which will prefer EV manufacturers (Reuters, 2024).</w:t>
      </w:r>
    </w:p>
    <w:p w14:paraId="477F777D"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Nonetheless, regulation is more and more demanding. It has been reported that there are differences between the official and actual EV performance, such as battery range, that have drawn the attention of the regulators and could potentially impact consumer confidence (The Australian, 2024).</w:t>
      </w:r>
    </w:p>
    <w:p w14:paraId="0017DD24"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lastRenderedPageBreak/>
        <w:t>The direct-to-consumer model used by Tesla, though effective, is susceptible to the legal framework which, across different jurisdictions around the world, differs. Compared to the United States, Australia is not that restrictive, so Tesla will be able to keep its sales strategy (Tesla, 2024).</w:t>
      </w:r>
    </w:p>
    <w:p w14:paraId="2E8B62A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Furthermore, environmental reporting and sustainability compliance regulations are also getting stricter, adding to the costs of operations of automakers (Productivity Commission, 2021).</w:t>
      </w:r>
    </w:p>
    <w:p w14:paraId="34557452"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p>
    <w:p w14:paraId="4D5C3D5D" w14:textId="77777777" w:rsidR="008C25E8" w:rsidRPr="008C25E8" w:rsidRDefault="008C25E8" w:rsidP="008C25E8">
      <w:pPr>
        <w:pStyle w:val="ListParagraph"/>
        <w:numPr>
          <w:ilvl w:val="0"/>
          <w:numId w:val="37"/>
        </w:numPr>
        <w:spacing w:after="160" w:line="360" w:lineRule="auto"/>
        <w:jc w:val="both"/>
        <w:rPr>
          <w:rFonts w:ascii="Arial" w:hAnsi="Arial" w:cs="Arial"/>
          <w:color w:val="000000" w:themeColor="text1"/>
          <w:sz w:val="24"/>
          <w:szCs w:val="24"/>
          <w:lang w:val="en-US"/>
        </w:rPr>
      </w:pPr>
      <w:r w:rsidRPr="008C25E8">
        <w:rPr>
          <w:rFonts w:ascii="Arial" w:hAnsi="Arial" w:cs="Arial"/>
          <w:b/>
          <w:bCs/>
          <w:color w:val="000000" w:themeColor="text1"/>
          <w:sz w:val="24"/>
          <w:szCs w:val="24"/>
          <w:lang w:val="en-US"/>
        </w:rPr>
        <w:t>Positive:</w:t>
      </w:r>
      <w:r w:rsidRPr="008C25E8">
        <w:rPr>
          <w:rFonts w:ascii="Arial" w:hAnsi="Arial" w:cs="Arial"/>
          <w:color w:val="000000" w:themeColor="text1"/>
          <w:sz w:val="24"/>
          <w:szCs w:val="24"/>
          <w:lang w:val="en-US"/>
        </w:rPr>
        <w:t xml:space="preserve"> EV-friendly policies and emissions policies (Reuters, 2024)</w:t>
      </w:r>
    </w:p>
    <w:p w14:paraId="66AAEEE0" w14:textId="77777777" w:rsidR="008C25E8" w:rsidRPr="008C25E8" w:rsidRDefault="008C25E8" w:rsidP="008C25E8">
      <w:pPr>
        <w:pStyle w:val="ListParagraph"/>
        <w:numPr>
          <w:ilvl w:val="0"/>
          <w:numId w:val="37"/>
        </w:numPr>
        <w:spacing w:after="160" w:line="360" w:lineRule="auto"/>
        <w:jc w:val="both"/>
        <w:rPr>
          <w:rFonts w:ascii="Arial" w:hAnsi="Arial" w:cs="Arial"/>
          <w:color w:val="000000" w:themeColor="text1"/>
          <w:sz w:val="24"/>
          <w:szCs w:val="24"/>
          <w:lang w:val="en-US"/>
        </w:rPr>
      </w:pPr>
      <w:r w:rsidRPr="008C25E8">
        <w:rPr>
          <w:rFonts w:ascii="Arial" w:hAnsi="Arial" w:cs="Arial"/>
          <w:b/>
          <w:bCs/>
          <w:color w:val="000000" w:themeColor="text1"/>
          <w:sz w:val="24"/>
          <w:szCs w:val="24"/>
          <w:lang w:val="en-US"/>
        </w:rPr>
        <w:t>Negative:</w:t>
      </w:r>
      <w:r w:rsidRPr="008C25E8">
        <w:rPr>
          <w:rFonts w:ascii="Arial" w:hAnsi="Arial" w:cs="Arial"/>
          <w:color w:val="000000" w:themeColor="text1"/>
          <w:sz w:val="24"/>
          <w:szCs w:val="24"/>
          <w:lang w:val="en-US"/>
        </w:rPr>
        <w:t xml:space="preserve"> More regulatory and compliance expenses (The Australian, 2024)</w:t>
      </w:r>
    </w:p>
    <w:p w14:paraId="469AFC43"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 xml:space="preserve">In general, the legal climate is </w:t>
      </w:r>
      <w:proofErr w:type="spellStart"/>
      <w:r w:rsidRPr="008C25E8">
        <w:rPr>
          <w:rFonts w:ascii="Arial" w:hAnsi="Arial" w:cs="Arial"/>
          <w:color w:val="000000" w:themeColor="text1"/>
          <w:sz w:val="24"/>
          <w:szCs w:val="24"/>
          <w:lang w:val="en-US"/>
        </w:rPr>
        <w:t>favourable</w:t>
      </w:r>
      <w:proofErr w:type="spellEnd"/>
      <w:r w:rsidRPr="008C25E8">
        <w:rPr>
          <w:rFonts w:ascii="Arial" w:hAnsi="Arial" w:cs="Arial"/>
          <w:color w:val="000000" w:themeColor="text1"/>
          <w:sz w:val="24"/>
          <w:szCs w:val="24"/>
          <w:lang w:val="en-US"/>
        </w:rPr>
        <w:t xml:space="preserve"> but is getting more complicated, which will demand strong adherence and disclosure on the part of Tesla.</w:t>
      </w:r>
    </w:p>
    <w:p w14:paraId="42CC7DF7" w14:textId="47F53215"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 xml:space="preserve">4. Cultural Factors </w:t>
      </w:r>
    </w:p>
    <w:p w14:paraId="3A094E96"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 xml:space="preserve">The cultural aspects play a crucial role in consumer </w:t>
      </w:r>
      <w:proofErr w:type="spellStart"/>
      <w:r w:rsidRPr="008C25E8">
        <w:rPr>
          <w:rFonts w:ascii="Arial" w:hAnsi="Arial" w:cs="Arial"/>
          <w:color w:val="000000" w:themeColor="text1"/>
          <w:sz w:val="24"/>
          <w:szCs w:val="24"/>
          <w:lang w:val="en-US"/>
        </w:rPr>
        <w:t>behaviour</w:t>
      </w:r>
      <w:proofErr w:type="spellEnd"/>
      <w:r w:rsidRPr="008C25E8">
        <w:rPr>
          <w:rFonts w:ascii="Arial" w:hAnsi="Arial" w:cs="Arial"/>
          <w:color w:val="000000" w:themeColor="text1"/>
          <w:sz w:val="24"/>
          <w:szCs w:val="24"/>
          <w:lang w:val="en-US"/>
        </w:rPr>
        <w:t xml:space="preserve"> and EV adoption in Australia.</w:t>
      </w:r>
    </w:p>
    <w:p w14:paraId="1218B2E0"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The Australian population is becoming environmentally conscious, and this augurs well with EV demand (The Guardian, 2024). An increasing trend towards awareness of environmental change and sustainability is consistent with Tesla as an environmentally friendly innovator (Tesla, 2024).</w:t>
      </w:r>
    </w:p>
    <w:p w14:paraId="589301CE"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Nevertheless, there are still cultural barriers. The range of EVs, the availability of charging stations, and the ability to use them over long distances are issues that worry many consumers. Range anxiety has been identified as one of the significant obstacles to EV adoption among Australians (The Australian, 2024). This is very pertinent, especially considering the fact that Australia is a geographically large country and is dependent on long-distance travel.</w:t>
      </w:r>
    </w:p>
    <w:p w14:paraId="1AB93226"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Perception of the brand is also a very important factor. There is a close connection between Tesla and innovation and high tech, which adds to its popularity. Nevertheless, the relationship between leadership and brand communication and social views on leadership has sometimes affected the mood of consumers (The Guardian, 2024).</w:t>
      </w:r>
    </w:p>
    <w:p w14:paraId="4DC5AE60"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lastRenderedPageBreak/>
        <w:t>Moreover, Australian customers like SUVs and utility vehicles (</w:t>
      </w:r>
      <w:proofErr w:type="spellStart"/>
      <w:r w:rsidRPr="008C25E8">
        <w:rPr>
          <w:rFonts w:ascii="Arial" w:hAnsi="Arial" w:cs="Arial"/>
          <w:color w:val="000000" w:themeColor="text1"/>
          <w:sz w:val="24"/>
          <w:szCs w:val="24"/>
          <w:lang w:val="en-US"/>
        </w:rPr>
        <w:t>utes</w:t>
      </w:r>
      <w:proofErr w:type="spellEnd"/>
      <w:r w:rsidRPr="008C25E8">
        <w:rPr>
          <w:rFonts w:ascii="Arial" w:hAnsi="Arial" w:cs="Arial"/>
          <w:color w:val="000000" w:themeColor="text1"/>
          <w:sz w:val="24"/>
          <w:szCs w:val="24"/>
          <w:lang w:val="en-US"/>
        </w:rPr>
        <w:t>) that have also impacted the success of Tesla products, especially the Model Y (Statista, 2024).</w:t>
      </w:r>
    </w:p>
    <w:tbl>
      <w:tblPr>
        <w:tblStyle w:val="TableGrid"/>
        <w:tblW w:w="8918" w:type="dxa"/>
        <w:tblLook w:val="04A0" w:firstRow="1" w:lastRow="0" w:firstColumn="1" w:lastColumn="0" w:noHBand="0" w:noVBand="1"/>
      </w:tblPr>
      <w:tblGrid>
        <w:gridCol w:w="3648"/>
        <w:gridCol w:w="3518"/>
        <w:gridCol w:w="1752"/>
      </w:tblGrid>
      <w:tr w:rsidR="008C25E8" w:rsidRPr="008C25E8" w14:paraId="1D11A389" w14:textId="77777777" w:rsidTr="008C25E8">
        <w:trPr>
          <w:trHeight w:val="597"/>
        </w:trPr>
        <w:tc>
          <w:tcPr>
            <w:tcW w:w="0" w:type="auto"/>
            <w:hideMark/>
          </w:tcPr>
          <w:p w14:paraId="69FDAF2A"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Cultural Factor</w:t>
            </w:r>
          </w:p>
        </w:tc>
        <w:tc>
          <w:tcPr>
            <w:tcW w:w="0" w:type="auto"/>
            <w:hideMark/>
          </w:tcPr>
          <w:p w14:paraId="4435D0C0"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Impact</w:t>
            </w:r>
          </w:p>
        </w:tc>
        <w:tc>
          <w:tcPr>
            <w:tcW w:w="0" w:type="auto"/>
            <w:hideMark/>
          </w:tcPr>
          <w:p w14:paraId="5F961E34"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p>
        </w:tc>
      </w:tr>
      <w:tr w:rsidR="008C25E8" w:rsidRPr="008C25E8" w14:paraId="394E4581" w14:textId="77777777" w:rsidTr="008C25E8">
        <w:trPr>
          <w:trHeight w:val="607"/>
        </w:trPr>
        <w:tc>
          <w:tcPr>
            <w:tcW w:w="0" w:type="auto"/>
            <w:hideMark/>
          </w:tcPr>
          <w:p w14:paraId="48BB6ECC"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Environmental awareness</w:t>
            </w:r>
          </w:p>
        </w:tc>
        <w:tc>
          <w:tcPr>
            <w:tcW w:w="0" w:type="auto"/>
            <w:hideMark/>
          </w:tcPr>
          <w:p w14:paraId="59967282"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Encourages EV adoption</w:t>
            </w:r>
          </w:p>
        </w:tc>
        <w:tc>
          <w:tcPr>
            <w:tcW w:w="0" w:type="auto"/>
            <w:hideMark/>
          </w:tcPr>
          <w:p w14:paraId="7BB3BC5D"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Positive</w:t>
            </w:r>
          </w:p>
        </w:tc>
      </w:tr>
      <w:tr w:rsidR="008C25E8" w:rsidRPr="008C25E8" w14:paraId="69D98B97" w14:textId="77777777" w:rsidTr="008C25E8">
        <w:trPr>
          <w:trHeight w:val="597"/>
        </w:trPr>
        <w:tc>
          <w:tcPr>
            <w:tcW w:w="0" w:type="auto"/>
            <w:hideMark/>
          </w:tcPr>
          <w:p w14:paraId="0ACD3A50"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Range anxiety</w:t>
            </w:r>
          </w:p>
        </w:tc>
        <w:tc>
          <w:tcPr>
            <w:tcW w:w="0" w:type="auto"/>
            <w:hideMark/>
          </w:tcPr>
          <w:p w14:paraId="7E42B75F"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Limits adoption</w:t>
            </w:r>
          </w:p>
        </w:tc>
        <w:tc>
          <w:tcPr>
            <w:tcW w:w="0" w:type="auto"/>
            <w:hideMark/>
          </w:tcPr>
          <w:p w14:paraId="6081AD13"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Negative</w:t>
            </w:r>
          </w:p>
        </w:tc>
      </w:tr>
      <w:tr w:rsidR="008C25E8" w:rsidRPr="008C25E8" w14:paraId="2BA72814" w14:textId="77777777" w:rsidTr="008C25E8">
        <w:trPr>
          <w:trHeight w:val="607"/>
        </w:trPr>
        <w:tc>
          <w:tcPr>
            <w:tcW w:w="0" w:type="auto"/>
            <w:hideMark/>
          </w:tcPr>
          <w:p w14:paraId="59CD09F4"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Preference for SUVs</w:t>
            </w:r>
          </w:p>
        </w:tc>
        <w:tc>
          <w:tcPr>
            <w:tcW w:w="0" w:type="auto"/>
            <w:hideMark/>
          </w:tcPr>
          <w:p w14:paraId="2A03B746"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Supports Model Y</w:t>
            </w:r>
          </w:p>
        </w:tc>
        <w:tc>
          <w:tcPr>
            <w:tcW w:w="0" w:type="auto"/>
            <w:hideMark/>
          </w:tcPr>
          <w:p w14:paraId="6B9AC5E7"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Positive</w:t>
            </w:r>
          </w:p>
        </w:tc>
      </w:tr>
      <w:tr w:rsidR="008C25E8" w:rsidRPr="008C25E8" w14:paraId="77647B85" w14:textId="77777777" w:rsidTr="008C25E8">
        <w:trPr>
          <w:trHeight w:val="597"/>
        </w:trPr>
        <w:tc>
          <w:tcPr>
            <w:tcW w:w="0" w:type="auto"/>
            <w:hideMark/>
          </w:tcPr>
          <w:p w14:paraId="46B9562A"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Brand perception</w:t>
            </w:r>
          </w:p>
        </w:tc>
        <w:tc>
          <w:tcPr>
            <w:tcW w:w="0" w:type="auto"/>
            <w:hideMark/>
          </w:tcPr>
          <w:p w14:paraId="4F2B6D5D" w14:textId="77777777" w:rsidR="008C25E8" w:rsidRP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Mixed influence</w:t>
            </w:r>
          </w:p>
        </w:tc>
        <w:tc>
          <w:tcPr>
            <w:tcW w:w="0" w:type="auto"/>
            <w:hideMark/>
          </w:tcPr>
          <w:p w14:paraId="500F5609" w14:textId="77777777" w:rsidR="008C25E8" w:rsidRPr="008C25E8" w:rsidRDefault="008C25E8" w:rsidP="008C25E8">
            <w:pPr>
              <w:keepNext/>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Moderate</w:t>
            </w:r>
          </w:p>
        </w:tc>
      </w:tr>
    </w:tbl>
    <w:p w14:paraId="6A02EAF2" w14:textId="3DBCF224" w:rsidR="008C25E8" w:rsidRDefault="008C25E8" w:rsidP="008C25E8">
      <w:pPr>
        <w:pStyle w:val="Caption"/>
        <w:rPr>
          <w:rFonts w:ascii="Arial" w:hAnsi="Arial" w:cs="Arial"/>
          <w:color w:val="000000" w:themeColor="text1"/>
          <w:sz w:val="24"/>
          <w:szCs w:val="24"/>
          <w:lang w:val="en-US"/>
        </w:rPr>
      </w:pPr>
      <w:bookmarkStart w:id="20" w:name="_Toc227699217"/>
      <w:r>
        <w:t xml:space="preserve">Table </w:t>
      </w:r>
      <w:r>
        <w:fldChar w:fldCharType="begin"/>
      </w:r>
      <w:r>
        <w:instrText xml:space="preserve"> SEQ Table \* ARABIC </w:instrText>
      </w:r>
      <w:r>
        <w:fldChar w:fldCharType="separate"/>
      </w:r>
      <w:r w:rsidR="002A2FCC">
        <w:rPr>
          <w:noProof/>
        </w:rPr>
        <w:t>3</w:t>
      </w:r>
      <w:r>
        <w:fldChar w:fldCharType="end"/>
      </w:r>
      <w:r>
        <w:t xml:space="preserve">: </w:t>
      </w:r>
      <w:r w:rsidRPr="008B789E">
        <w:t>Cultural Influences on Tesla's Success</w:t>
      </w:r>
      <w:bookmarkEnd w:id="20"/>
    </w:p>
    <w:p w14:paraId="09377612" w14:textId="77777777" w:rsidR="008C25E8" w:rsidRPr="008C25E8" w:rsidRDefault="008C25E8" w:rsidP="008C25E8">
      <w:pPr>
        <w:spacing w:after="160" w:line="360" w:lineRule="auto"/>
        <w:jc w:val="both"/>
        <w:rPr>
          <w:rFonts w:ascii="Arial" w:hAnsi="Arial" w:cs="Arial"/>
          <w:b/>
          <w:bCs/>
          <w:color w:val="000000" w:themeColor="text1"/>
          <w:sz w:val="24"/>
          <w:szCs w:val="24"/>
          <w:lang w:val="en-US"/>
        </w:rPr>
      </w:pPr>
      <w:r w:rsidRPr="008C25E8">
        <w:rPr>
          <w:rFonts w:ascii="Arial" w:hAnsi="Arial" w:cs="Arial"/>
          <w:b/>
          <w:bCs/>
          <w:color w:val="000000" w:themeColor="text1"/>
          <w:sz w:val="24"/>
          <w:szCs w:val="24"/>
          <w:lang w:val="en-US"/>
        </w:rPr>
        <w:t>Evaluation</w:t>
      </w:r>
    </w:p>
    <w:p w14:paraId="2FB93BED" w14:textId="77777777" w:rsid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Cultural aspects provide opportunities and limitations. Although the trends of sustainability promote the expansion of Tesla, more pragmatic issues like the range and infrastructure still diminish its extensive use.</w:t>
      </w:r>
    </w:p>
    <w:p w14:paraId="2B832226" w14:textId="641A9EE5" w:rsidR="00312403" w:rsidRPr="00312403" w:rsidRDefault="00312403" w:rsidP="00312403">
      <w:pPr>
        <w:spacing w:after="160" w:line="360" w:lineRule="auto"/>
        <w:jc w:val="both"/>
        <w:rPr>
          <w:rFonts w:ascii="Arial" w:hAnsi="Arial" w:cs="Arial"/>
          <w:b/>
          <w:bCs/>
          <w:color w:val="000000" w:themeColor="text1"/>
          <w:sz w:val="24"/>
          <w:szCs w:val="24"/>
          <w:lang w:val="en-US"/>
        </w:rPr>
      </w:pPr>
      <w:r w:rsidRPr="00312403">
        <w:rPr>
          <w:rFonts w:ascii="Arial" w:hAnsi="Arial" w:cs="Arial"/>
          <w:b/>
          <w:bCs/>
          <w:color w:val="000000" w:themeColor="text1"/>
          <w:sz w:val="24"/>
          <w:szCs w:val="24"/>
          <w:lang w:val="en-US"/>
        </w:rPr>
        <w:t>5. Technological Factors</w:t>
      </w:r>
    </w:p>
    <w:p w14:paraId="31A904FE" w14:textId="77777777" w:rsidR="00A907A0" w:rsidRPr="00A907A0" w:rsidRDefault="00A907A0" w:rsidP="00A907A0">
      <w:pPr>
        <w:spacing w:after="160" w:line="360" w:lineRule="auto"/>
        <w:jc w:val="both"/>
        <w:rPr>
          <w:rFonts w:ascii="Arial" w:hAnsi="Arial" w:cs="Arial"/>
          <w:color w:val="000000" w:themeColor="text1"/>
          <w:sz w:val="24"/>
          <w:szCs w:val="24"/>
          <w:lang w:val="en-US"/>
        </w:rPr>
      </w:pPr>
      <w:r w:rsidRPr="00A907A0">
        <w:rPr>
          <w:rFonts w:ascii="Arial" w:hAnsi="Arial" w:cs="Arial"/>
          <w:color w:val="000000" w:themeColor="text1"/>
          <w:sz w:val="24"/>
          <w:szCs w:val="24"/>
          <w:lang w:val="en-US"/>
        </w:rPr>
        <w:t>In the electric vehicle (EV) sector, technological skill is a significant competitive advantage, and Tesla Inc. has typically driven innovation in battery technology, software integration, and autonomous driving systems.</w:t>
      </w:r>
    </w:p>
    <w:p w14:paraId="3C3145C3" w14:textId="77777777" w:rsidR="00A907A0" w:rsidRPr="00A907A0" w:rsidRDefault="00A907A0" w:rsidP="00A907A0">
      <w:pPr>
        <w:spacing w:after="160" w:line="360" w:lineRule="auto"/>
        <w:jc w:val="both"/>
        <w:rPr>
          <w:rFonts w:ascii="Arial" w:hAnsi="Arial" w:cs="Arial"/>
          <w:color w:val="000000" w:themeColor="text1"/>
          <w:sz w:val="24"/>
          <w:szCs w:val="24"/>
          <w:lang w:val="en-US"/>
        </w:rPr>
      </w:pPr>
      <w:r w:rsidRPr="00A907A0">
        <w:rPr>
          <w:rFonts w:ascii="Arial" w:hAnsi="Arial" w:cs="Arial"/>
          <w:color w:val="000000" w:themeColor="text1"/>
          <w:sz w:val="24"/>
          <w:szCs w:val="24"/>
          <w:lang w:val="en-US"/>
        </w:rPr>
        <w:t>Tesla's patented technologies, including as OTA software updates and ADAS, increase vehicle performance and user experience, adding to its value proposition in Australia (Tesla, 2024). The company's Supercharger network investment covers infrastructure gaps and reduces range anxiety, a significant EV adoption barrier.</w:t>
      </w:r>
    </w:p>
    <w:p w14:paraId="494E1A3D" w14:textId="77777777" w:rsidR="00A907A0" w:rsidRPr="00A907A0" w:rsidRDefault="00A907A0" w:rsidP="00A907A0">
      <w:pPr>
        <w:spacing w:after="160" w:line="360" w:lineRule="auto"/>
        <w:jc w:val="both"/>
        <w:rPr>
          <w:rFonts w:ascii="Arial" w:hAnsi="Arial" w:cs="Arial"/>
          <w:color w:val="000000" w:themeColor="text1"/>
          <w:sz w:val="24"/>
          <w:szCs w:val="24"/>
          <w:lang w:val="en-US"/>
        </w:rPr>
      </w:pPr>
      <w:r w:rsidRPr="00A907A0">
        <w:rPr>
          <w:rFonts w:ascii="Arial" w:hAnsi="Arial" w:cs="Arial"/>
          <w:color w:val="000000" w:themeColor="text1"/>
          <w:sz w:val="24"/>
          <w:szCs w:val="24"/>
          <w:lang w:val="en-US"/>
        </w:rPr>
        <w:t>This technical advantage is fading. Competition, notably Chinese manufacturers like BYD, is rapidly increasing battery efficiency and offering similar technology at lower prices (EV Central, 2025). Such improvement reduces Tesla's distinctiveness and raises pricing competitiveness.</w:t>
      </w:r>
    </w:p>
    <w:p w14:paraId="54516C2D" w14:textId="77777777" w:rsidR="00A907A0" w:rsidRPr="00A907A0" w:rsidRDefault="00A907A0" w:rsidP="00A907A0">
      <w:pPr>
        <w:spacing w:after="160" w:line="360" w:lineRule="auto"/>
        <w:jc w:val="both"/>
        <w:rPr>
          <w:rFonts w:ascii="Arial" w:hAnsi="Arial" w:cs="Arial"/>
          <w:color w:val="000000" w:themeColor="text1"/>
          <w:sz w:val="24"/>
          <w:szCs w:val="24"/>
          <w:lang w:val="en-US"/>
        </w:rPr>
      </w:pPr>
      <w:r w:rsidRPr="00A907A0">
        <w:rPr>
          <w:rFonts w:ascii="Arial" w:hAnsi="Arial" w:cs="Arial"/>
          <w:color w:val="000000" w:themeColor="text1"/>
          <w:sz w:val="24"/>
          <w:szCs w:val="24"/>
          <w:lang w:val="en-US"/>
        </w:rPr>
        <w:t>Moreover, the EV charging infrastructure is not evenly distributed in Australia despite having improvements, especially in remote and rural regions. This makes Tesla's technology-based value proposition less relevant in a large country (The Driven, 2025).</w:t>
      </w:r>
    </w:p>
    <w:p w14:paraId="38B7F02A" w14:textId="7B1A559B" w:rsidR="00312403" w:rsidRPr="00312403" w:rsidRDefault="00A907A0" w:rsidP="00A907A0">
      <w:pPr>
        <w:spacing w:after="160" w:line="360" w:lineRule="auto"/>
        <w:jc w:val="both"/>
        <w:rPr>
          <w:rFonts w:ascii="Arial" w:hAnsi="Arial" w:cs="Arial"/>
          <w:color w:val="000000" w:themeColor="text1"/>
          <w:sz w:val="24"/>
          <w:szCs w:val="24"/>
          <w:lang w:val="en-US"/>
        </w:rPr>
      </w:pPr>
      <w:r w:rsidRPr="00A907A0">
        <w:rPr>
          <w:rFonts w:ascii="Arial" w:hAnsi="Arial" w:cs="Arial"/>
          <w:color w:val="000000" w:themeColor="text1"/>
          <w:sz w:val="24"/>
          <w:szCs w:val="24"/>
          <w:lang w:val="en-US"/>
        </w:rPr>
        <w:lastRenderedPageBreak/>
        <w:t>Tesla's foreign production and supply systems are another problem. Australia has plentiful raw materials, but there are no gigafactories, thus Tesla cannot employ local technical integration.</w:t>
      </w:r>
    </w:p>
    <w:p w14:paraId="03854C56" w14:textId="77777777" w:rsidR="00312403" w:rsidRPr="00312403" w:rsidRDefault="00312403" w:rsidP="00312403">
      <w:pPr>
        <w:spacing w:after="160" w:line="360" w:lineRule="auto"/>
        <w:jc w:val="both"/>
        <w:rPr>
          <w:rFonts w:ascii="Arial" w:hAnsi="Arial" w:cs="Arial"/>
          <w:b/>
          <w:bCs/>
          <w:color w:val="000000" w:themeColor="text1"/>
          <w:sz w:val="24"/>
          <w:szCs w:val="24"/>
          <w:lang w:val="en-US"/>
        </w:rPr>
      </w:pPr>
      <w:r w:rsidRPr="00312403">
        <w:rPr>
          <w:rFonts w:ascii="Arial" w:hAnsi="Arial" w:cs="Arial"/>
          <w:b/>
          <w:bCs/>
          <w:color w:val="000000" w:themeColor="text1"/>
          <w:sz w:val="24"/>
          <w:szCs w:val="24"/>
          <w:lang w:val="en-US"/>
        </w:rPr>
        <w:t>Critical Insight:</w:t>
      </w:r>
    </w:p>
    <w:p w14:paraId="2BCE20E3" w14:textId="77777777" w:rsidR="00312403" w:rsidRPr="00312403" w:rsidRDefault="00312403" w:rsidP="00312403">
      <w:pPr>
        <w:spacing w:after="160" w:line="360" w:lineRule="auto"/>
        <w:jc w:val="both"/>
        <w:rPr>
          <w:rFonts w:ascii="Arial" w:hAnsi="Arial" w:cs="Arial"/>
          <w:color w:val="000000" w:themeColor="text1"/>
          <w:sz w:val="24"/>
          <w:szCs w:val="24"/>
          <w:lang w:val="en-US"/>
        </w:rPr>
      </w:pPr>
      <w:r w:rsidRPr="00312403">
        <w:rPr>
          <w:rFonts w:ascii="Arial" w:hAnsi="Arial" w:cs="Arial"/>
          <w:color w:val="000000" w:themeColor="text1"/>
          <w:sz w:val="24"/>
          <w:szCs w:val="24"/>
          <w:lang w:val="en-US"/>
        </w:rPr>
        <w:t xml:space="preserve">The technological leadership that Tesla has been able to maintain is a strength but is becoming more threatened by fast innovation by its competitors and the constraints on infrastructure. To maintain this lead, the company will have to be constantly innovative and </w:t>
      </w:r>
      <w:proofErr w:type="spellStart"/>
      <w:r w:rsidRPr="00312403">
        <w:rPr>
          <w:rFonts w:ascii="Arial" w:hAnsi="Arial" w:cs="Arial"/>
          <w:color w:val="000000" w:themeColor="text1"/>
          <w:sz w:val="24"/>
          <w:szCs w:val="24"/>
          <w:lang w:val="en-US"/>
        </w:rPr>
        <w:t>localise</w:t>
      </w:r>
      <w:proofErr w:type="spellEnd"/>
      <w:r w:rsidRPr="00312403">
        <w:rPr>
          <w:rFonts w:ascii="Arial" w:hAnsi="Arial" w:cs="Arial"/>
          <w:color w:val="000000" w:themeColor="text1"/>
          <w:sz w:val="24"/>
          <w:szCs w:val="24"/>
          <w:lang w:val="en-US"/>
        </w:rPr>
        <w:t xml:space="preserve"> technological ecosystems.</w:t>
      </w:r>
    </w:p>
    <w:p w14:paraId="1DD06D4C" w14:textId="59DDD13B" w:rsidR="00312403" w:rsidRPr="00312403" w:rsidRDefault="00312403" w:rsidP="00312403">
      <w:pPr>
        <w:spacing w:after="160" w:line="360" w:lineRule="auto"/>
        <w:jc w:val="both"/>
        <w:rPr>
          <w:rFonts w:ascii="Arial" w:hAnsi="Arial" w:cs="Arial"/>
          <w:b/>
          <w:bCs/>
          <w:color w:val="000000" w:themeColor="text1"/>
          <w:sz w:val="24"/>
          <w:szCs w:val="24"/>
          <w:lang w:val="en-US"/>
        </w:rPr>
      </w:pPr>
      <w:r w:rsidRPr="00312403">
        <w:rPr>
          <w:rFonts w:ascii="Arial" w:hAnsi="Arial" w:cs="Arial"/>
          <w:b/>
          <w:bCs/>
          <w:color w:val="000000" w:themeColor="text1"/>
          <w:sz w:val="24"/>
          <w:szCs w:val="24"/>
          <w:lang w:val="en-US"/>
        </w:rPr>
        <w:t>6. Environmental Factors - Critical Assessment</w:t>
      </w:r>
    </w:p>
    <w:p w14:paraId="37B63436" w14:textId="77777777" w:rsidR="00384A64" w:rsidRPr="00384A64"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Environmental considerations heavily impact the EV business, and Tesla Inc. is leading the way to sustainable transportation.</w:t>
      </w:r>
    </w:p>
    <w:p w14:paraId="63FDD933" w14:textId="77777777" w:rsidR="00384A64" w:rsidRPr="00384A64"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EV adoption is aided by Australia's focus on carbon emission reduction and renewable energy. Tesla's demand is boosted by government vows to attain net-zero and public interest in climate change (Department of Climate Change, Energy, the Environment and Water, 2023). Sustainability innovation makes Tesla resonate with these macro-environmental concerns.</w:t>
      </w:r>
    </w:p>
    <w:p w14:paraId="1C8274B6" w14:textId="77777777" w:rsidR="00384A64" w:rsidRPr="00384A64"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Australia's abundant renewable energy supplies, notably solar and wind, make Tesla automobiles more enticing than internal combustion engine versions (International Energy Agency, 2024).</w:t>
      </w:r>
    </w:p>
    <w:p w14:paraId="53C43545" w14:textId="77777777" w:rsidR="00384A64" w:rsidRPr="00384A64"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However, environmental concerns have limits. EV battery manufacturing requires lithium and nickel mining, which raises concerns about environmental degradation and supply chain sustainability (Australian Treasury, 2024). Tesla promotes sustainability, yet the use of such materials contradicts clean energy goals.</w:t>
      </w:r>
    </w:p>
    <w:p w14:paraId="293C7906" w14:textId="77777777" w:rsidR="00384A64" w:rsidRPr="00384A64"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EV emissions are lifecycle-sensitive, meaning that the overall emissions from electric cars (EVs) rely heavily on the energy mix used to generate power. Australia is increasing its renewable energy supplies, but fossil fuels still dominate, which may reduce the environmental benefits of EV use (IEA, 2024).</w:t>
      </w:r>
    </w:p>
    <w:p w14:paraId="1EEE5ACE" w14:textId="5EC8AAA7" w:rsidR="00312403" w:rsidRPr="00312403" w:rsidRDefault="00384A64" w:rsidP="00384A64">
      <w:pPr>
        <w:spacing w:after="160" w:line="360" w:lineRule="auto"/>
        <w:jc w:val="both"/>
        <w:rPr>
          <w:rFonts w:ascii="Arial" w:hAnsi="Arial" w:cs="Arial"/>
          <w:color w:val="000000" w:themeColor="text1"/>
          <w:sz w:val="24"/>
          <w:szCs w:val="24"/>
          <w:lang w:val="en-US"/>
        </w:rPr>
      </w:pPr>
      <w:r w:rsidRPr="00384A64">
        <w:rPr>
          <w:rFonts w:ascii="Arial" w:hAnsi="Arial" w:cs="Arial"/>
          <w:color w:val="000000" w:themeColor="text1"/>
          <w:sz w:val="24"/>
          <w:szCs w:val="24"/>
          <w:lang w:val="en-US"/>
        </w:rPr>
        <w:t>Environmental requirements have increased, making compliance costly for enterprises. Tesla must follow new sustainability reporting and environmental accountability rules.</w:t>
      </w:r>
    </w:p>
    <w:p w14:paraId="391E4643" w14:textId="77777777" w:rsidR="00312403" w:rsidRPr="00312403" w:rsidRDefault="00312403" w:rsidP="00312403">
      <w:pPr>
        <w:spacing w:after="160" w:line="360" w:lineRule="auto"/>
        <w:jc w:val="both"/>
        <w:rPr>
          <w:rFonts w:ascii="Arial" w:hAnsi="Arial" w:cs="Arial"/>
          <w:b/>
          <w:bCs/>
          <w:color w:val="000000" w:themeColor="text1"/>
          <w:sz w:val="24"/>
          <w:szCs w:val="24"/>
          <w:lang w:val="en-US"/>
        </w:rPr>
      </w:pPr>
      <w:r w:rsidRPr="00312403">
        <w:rPr>
          <w:rFonts w:ascii="Arial" w:hAnsi="Arial" w:cs="Arial"/>
          <w:b/>
          <w:bCs/>
          <w:color w:val="000000" w:themeColor="text1"/>
          <w:sz w:val="24"/>
          <w:szCs w:val="24"/>
          <w:lang w:val="en-US"/>
        </w:rPr>
        <w:lastRenderedPageBreak/>
        <w:t>Critical Insight:</w:t>
      </w:r>
    </w:p>
    <w:p w14:paraId="78A5B6BC" w14:textId="466633CB" w:rsidR="00F947CD" w:rsidRPr="008C25E8" w:rsidRDefault="00312403" w:rsidP="008C25E8">
      <w:pPr>
        <w:spacing w:after="160" w:line="360" w:lineRule="auto"/>
        <w:jc w:val="both"/>
        <w:rPr>
          <w:rFonts w:ascii="Arial" w:hAnsi="Arial" w:cs="Arial"/>
          <w:color w:val="000000" w:themeColor="text1"/>
          <w:sz w:val="24"/>
          <w:szCs w:val="24"/>
          <w:lang w:val="en-US"/>
        </w:rPr>
      </w:pPr>
      <w:r w:rsidRPr="00312403">
        <w:rPr>
          <w:rFonts w:ascii="Arial" w:hAnsi="Arial" w:cs="Arial"/>
          <w:color w:val="000000" w:themeColor="text1"/>
          <w:sz w:val="24"/>
          <w:szCs w:val="24"/>
          <w:lang w:val="en-US"/>
        </w:rPr>
        <w:t>The opportunities for Tesla to grow in the environment are high, but there are structural contradictions with resource extraction and dependency on energy. Tesla's effective response to the sustainability of its overall value chain will lead to long-term success.</w:t>
      </w:r>
    </w:p>
    <w:p w14:paraId="703CAD17" w14:textId="172BC37A" w:rsidR="008C25E8" w:rsidRPr="008C25E8" w:rsidRDefault="008C25E8" w:rsidP="008C25E8">
      <w:pPr>
        <w:pStyle w:val="Heading2"/>
        <w:rPr>
          <w:lang w:val="en-US"/>
        </w:rPr>
      </w:pPr>
      <w:bookmarkStart w:id="21" w:name="_Toc227699210"/>
      <w:r>
        <w:rPr>
          <w:lang w:val="en-US"/>
        </w:rPr>
        <w:t xml:space="preserve">4.3 </w:t>
      </w:r>
      <w:r w:rsidRPr="008C25E8">
        <w:rPr>
          <w:lang w:val="en-US"/>
        </w:rPr>
        <w:t>General market attractiveness analysis</w:t>
      </w:r>
      <w:bookmarkEnd w:id="21"/>
    </w:p>
    <w:p w14:paraId="62C93BD2" w14:textId="77777777" w:rsidR="008C25E8" w:rsidRDefault="008C25E8" w:rsidP="008C25E8">
      <w:pPr>
        <w:spacing w:after="160" w:line="360" w:lineRule="auto"/>
        <w:jc w:val="both"/>
        <w:rPr>
          <w:rFonts w:ascii="Arial" w:hAnsi="Arial" w:cs="Arial"/>
          <w:color w:val="000000" w:themeColor="text1"/>
          <w:sz w:val="24"/>
          <w:szCs w:val="24"/>
          <w:lang w:val="en-US"/>
        </w:rPr>
      </w:pPr>
      <w:r w:rsidRPr="008C25E8">
        <w:rPr>
          <w:rFonts w:ascii="Arial" w:hAnsi="Arial" w:cs="Arial"/>
          <w:color w:val="000000" w:themeColor="text1"/>
          <w:sz w:val="24"/>
          <w:szCs w:val="24"/>
          <w:lang w:val="en-US"/>
        </w:rPr>
        <w:t>Tesla Inc. still finds Australia to be a good market but a difficult one.</w:t>
      </w:r>
    </w:p>
    <w:tbl>
      <w:tblPr>
        <w:tblStyle w:val="TableGrid"/>
        <w:tblW w:w="0" w:type="auto"/>
        <w:tblLook w:val="04A0" w:firstRow="1" w:lastRow="0" w:firstColumn="1" w:lastColumn="0" w:noHBand="0" w:noVBand="1"/>
      </w:tblPr>
      <w:tblGrid>
        <w:gridCol w:w="1883"/>
        <w:gridCol w:w="1871"/>
        <w:gridCol w:w="5262"/>
      </w:tblGrid>
      <w:tr w:rsidR="00416121" w:rsidRPr="00416121" w14:paraId="7F50080D" w14:textId="77777777" w:rsidTr="00416121">
        <w:tc>
          <w:tcPr>
            <w:tcW w:w="0" w:type="auto"/>
            <w:hideMark/>
          </w:tcPr>
          <w:p w14:paraId="20CB205B" w14:textId="77777777" w:rsidR="00416121" w:rsidRPr="00416121" w:rsidRDefault="00416121" w:rsidP="00416121">
            <w:pPr>
              <w:spacing w:after="160" w:line="360" w:lineRule="auto"/>
              <w:jc w:val="both"/>
              <w:rPr>
                <w:rFonts w:ascii="Arial" w:hAnsi="Arial" w:cs="Arial"/>
                <w:b/>
                <w:bCs/>
                <w:color w:val="000000" w:themeColor="text1"/>
                <w:sz w:val="24"/>
                <w:szCs w:val="24"/>
                <w:lang w:val="en-US"/>
              </w:rPr>
            </w:pPr>
            <w:r w:rsidRPr="00416121">
              <w:rPr>
                <w:rFonts w:ascii="Arial" w:hAnsi="Arial" w:cs="Arial"/>
                <w:b/>
                <w:bCs/>
                <w:color w:val="000000" w:themeColor="text1"/>
                <w:sz w:val="24"/>
                <w:szCs w:val="24"/>
                <w:lang w:val="en-US"/>
              </w:rPr>
              <w:t>Factor</w:t>
            </w:r>
          </w:p>
        </w:tc>
        <w:tc>
          <w:tcPr>
            <w:tcW w:w="0" w:type="auto"/>
            <w:hideMark/>
          </w:tcPr>
          <w:p w14:paraId="2BA50273" w14:textId="77777777" w:rsidR="00416121" w:rsidRPr="00416121" w:rsidRDefault="00416121" w:rsidP="00416121">
            <w:pPr>
              <w:spacing w:after="160" w:line="360" w:lineRule="auto"/>
              <w:jc w:val="both"/>
              <w:rPr>
                <w:rFonts w:ascii="Arial" w:hAnsi="Arial" w:cs="Arial"/>
                <w:b/>
                <w:bCs/>
                <w:color w:val="000000" w:themeColor="text1"/>
                <w:sz w:val="24"/>
                <w:szCs w:val="24"/>
                <w:lang w:val="en-US"/>
              </w:rPr>
            </w:pPr>
            <w:r w:rsidRPr="00416121">
              <w:rPr>
                <w:rFonts w:ascii="Arial" w:hAnsi="Arial" w:cs="Arial"/>
                <w:b/>
                <w:bCs/>
                <w:color w:val="000000" w:themeColor="text1"/>
                <w:sz w:val="24"/>
                <w:szCs w:val="24"/>
                <w:lang w:val="en-US"/>
              </w:rPr>
              <w:t>Attractiveness</w:t>
            </w:r>
          </w:p>
        </w:tc>
        <w:tc>
          <w:tcPr>
            <w:tcW w:w="0" w:type="auto"/>
            <w:hideMark/>
          </w:tcPr>
          <w:p w14:paraId="745BC2E0" w14:textId="77777777" w:rsidR="00416121" w:rsidRPr="00416121" w:rsidRDefault="00416121" w:rsidP="00416121">
            <w:pPr>
              <w:spacing w:after="160" w:line="360" w:lineRule="auto"/>
              <w:jc w:val="both"/>
              <w:rPr>
                <w:rFonts w:ascii="Arial" w:hAnsi="Arial" w:cs="Arial"/>
                <w:b/>
                <w:bCs/>
                <w:color w:val="000000" w:themeColor="text1"/>
                <w:sz w:val="24"/>
                <w:szCs w:val="24"/>
                <w:lang w:val="en-US"/>
              </w:rPr>
            </w:pPr>
            <w:r w:rsidRPr="00416121">
              <w:rPr>
                <w:rFonts w:ascii="Arial" w:hAnsi="Arial" w:cs="Arial"/>
                <w:b/>
                <w:bCs/>
                <w:color w:val="000000" w:themeColor="text1"/>
                <w:sz w:val="24"/>
                <w:szCs w:val="24"/>
                <w:lang w:val="en-US"/>
              </w:rPr>
              <w:t>Key Drivers &amp; Implications</w:t>
            </w:r>
          </w:p>
        </w:tc>
      </w:tr>
      <w:tr w:rsidR="00416121" w:rsidRPr="00416121" w14:paraId="18952E14" w14:textId="77777777" w:rsidTr="00416121">
        <w:tc>
          <w:tcPr>
            <w:tcW w:w="0" w:type="auto"/>
            <w:hideMark/>
          </w:tcPr>
          <w:p w14:paraId="3C51E484"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Political</w:t>
            </w:r>
          </w:p>
        </w:tc>
        <w:tc>
          <w:tcPr>
            <w:tcW w:w="0" w:type="auto"/>
            <w:hideMark/>
          </w:tcPr>
          <w:p w14:paraId="2CB8774B"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Moderate–High</w:t>
            </w:r>
          </w:p>
        </w:tc>
        <w:tc>
          <w:tcPr>
            <w:tcW w:w="0" w:type="auto"/>
            <w:hideMark/>
          </w:tcPr>
          <w:p w14:paraId="3BC53BD5"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 xml:space="preserve">Strong EV policies and </w:t>
            </w:r>
            <w:proofErr w:type="spellStart"/>
            <w:r w:rsidRPr="00416121">
              <w:rPr>
                <w:rFonts w:ascii="Arial" w:hAnsi="Arial" w:cs="Arial"/>
                <w:color w:val="000000" w:themeColor="text1"/>
                <w:sz w:val="24"/>
                <w:szCs w:val="24"/>
                <w:lang w:val="en-US"/>
              </w:rPr>
              <w:t>decarbonisation</w:t>
            </w:r>
            <w:proofErr w:type="spellEnd"/>
            <w:r w:rsidRPr="00416121">
              <w:rPr>
                <w:rFonts w:ascii="Arial" w:hAnsi="Arial" w:cs="Arial"/>
                <w:color w:val="000000" w:themeColor="text1"/>
                <w:sz w:val="24"/>
                <w:szCs w:val="24"/>
                <w:lang w:val="en-US"/>
              </w:rPr>
              <w:t xml:space="preserve"> focus; concerns over workforce transition and grid stability (DCCEEW, 2025).</w:t>
            </w:r>
          </w:p>
        </w:tc>
      </w:tr>
      <w:tr w:rsidR="00416121" w:rsidRPr="00416121" w14:paraId="7DA17C28" w14:textId="77777777" w:rsidTr="00416121">
        <w:tc>
          <w:tcPr>
            <w:tcW w:w="0" w:type="auto"/>
            <w:hideMark/>
          </w:tcPr>
          <w:p w14:paraId="2E15649F"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Economic</w:t>
            </w:r>
          </w:p>
        </w:tc>
        <w:tc>
          <w:tcPr>
            <w:tcW w:w="0" w:type="auto"/>
            <w:hideMark/>
          </w:tcPr>
          <w:p w14:paraId="05C1F9D0"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Moderate</w:t>
            </w:r>
          </w:p>
        </w:tc>
        <w:tc>
          <w:tcPr>
            <w:tcW w:w="0" w:type="auto"/>
            <w:hideMark/>
          </w:tcPr>
          <w:p w14:paraId="7D995010"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High interest rates reduce affordability; fuel volatility supports EV cost advantages (Carsales, 2026).</w:t>
            </w:r>
          </w:p>
        </w:tc>
      </w:tr>
      <w:tr w:rsidR="00416121" w:rsidRPr="00416121" w14:paraId="5B38FA50" w14:textId="77777777" w:rsidTr="00416121">
        <w:tc>
          <w:tcPr>
            <w:tcW w:w="0" w:type="auto"/>
            <w:hideMark/>
          </w:tcPr>
          <w:p w14:paraId="3724FE99"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Social</w:t>
            </w:r>
          </w:p>
        </w:tc>
        <w:tc>
          <w:tcPr>
            <w:tcW w:w="0" w:type="auto"/>
            <w:hideMark/>
          </w:tcPr>
          <w:p w14:paraId="2147F4FF"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Moderate</w:t>
            </w:r>
          </w:p>
        </w:tc>
        <w:tc>
          <w:tcPr>
            <w:tcW w:w="0" w:type="auto"/>
            <w:hideMark/>
          </w:tcPr>
          <w:p w14:paraId="608EA411"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Rising EV interest (55%); range anxiety remains, especially in regional areas (Carsales, 2026).</w:t>
            </w:r>
          </w:p>
        </w:tc>
      </w:tr>
      <w:tr w:rsidR="00416121" w:rsidRPr="00416121" w14:paraId="43736571" w14:textId="77777777" w:rsidTr="00416121">
        <w:tc>
          <w:tcPr>
            <w:tcW w:w="0" w:type="auto"/>
            <w:hideMark/>
          </w:tcPr>
          <w:p w14:paraId="33E7BC9C"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Technological</w:t>
            </w:r>
          </w:p>
        </w:tc>
        <w:tc>
          <w:tcPr>
            <w:tcW w:w="0" w:type="auto"/>
            <w:hideMark/>
          </w:tcPr>
          <w:p w14:paraId="5C3B7593"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High</w:t>
            </w:r>
          </w:p>
        </w:tc>
        <w:tc>
          <w:tcPr>
            <w:tcW w:w="0" w:type="auto"/>
            <w:hideMark/>
          </w:tcPr>
          <w:p w14:paraId="701A7E7D"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Growth in V2G and solar integration; aligns with Tesla Inc. software ecosystem (Electric Vehicle Council, 2025).</w:t>
            </w:r>
          </w:p>
        </w:tc>
      </w:tr>
      <w:tr w:rsidR="00416121" w:rsidRPr="00416121" w14:paraId="2BF74856" w14:textId="77777777" w:rsidTr="00416121">
        <w:tc>
          <w:tcPr>
            <w:tcW w:w="0" w:type="auto"/>
            <w:hideMark/>
          </w:tcPr>
          <w:p w14:paraId="3D076669"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Legal</w:t>
            </w:r>
          </w:p>
        </w:tc>
        <w:tc>
          <w:tcPr>
            <w:tcW w:w="0" w:type="auto"/>
            <w:hideMark/>
          </w:tcPr>
          <w:p w14:paraId="5FF09320"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Moderate–High</w:t>
            </w:r>
          </w:p>
        </w:tc>
        <w:tc>
          <w:tcPr>
            <w:tcW w:w="0" w:type="auto"/>
            <w:hideMark/>
          </w:tcPr>
          <w:p w14:paraId="2B490952"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NVES supports EVs; removal of subsidies creates mixed regulatory impact (Novated Lease Australia, 2026).</w:t>
            </w:r>
          </w:p>
        </w:tc>
      </w:tr>
      <w:tr w:rsidR="00416121" w:rsidRPr="00416121" w14:paraId="643EE91A" w14:textId="77777777" w:rsidTr="00416121">
        <w:tc>
          <w:tcPr>
            <w:tcW w:w="0" w:type="auto"/>
            <w:hideMark/>
          </w:tcPr>
          <w:p w14:paraId="489ED1E6"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b/>
                <w:bCs/>
                <w:color w:val="000000" w:themeColor="text1"/>
                <w:sz w:val="24"/>
                <w:szCs w:val="24"/>
                <w:lang w:val="en-US"/>
              </w:rPr>
              <w:t>Environmental</w:t>
            </w:r>
          </w:p>
        </w:tc>
        <w:tc>
          <w:tcPr>
            <w:tcW w:w="0" w:type="auto"/>
            <w:hideMark/>
          </w:tcPr>
          <w:p w14:paraId="0FE74969"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High</w:t>
            </w:r>
          </w:p>
        </w:tc>
        <w:tc>
          <w:tcPr>
            <w:tcW w:w="0" w:type="auto"/>
            <w:hideMark/>
          </w:tcPr>
          <w:p w14:paraId="36F8075A" w14:textId="77777777" w:rsidR="00416121" w:rsidRPr="00416121" w:rsidRDefault="00416121" w:rsidP="00416121">
            <w:pPr>
              <w:spacing w:after="160" w:line="360" w:lineRule="auto"/>
              <w:jc w:val="both"/>
              <w:rPr>
                <w:rFonts w:ascii="Arial" w:hAnsi="Arial" w:cs="Arial"/>
                <w:color w:val="000000" w:themeColor="text1"/>
                <w:sz w:val="24"/>
                <w:szCs w:val="24"/>
                <w:lang w:val="en-US"/>
              </w:rPr>
            </w:pPr>
            <w:r w:rsidRPr="00416121">
              <w:rPr>
                <w:rFonts w:ascii="Arial" w:hAnsi="Arial" w:cs="Arial"/>
                <w:color w:val="000000" w:themeColor="text1"/>
                <w:sz w:val="24"/>
                <w:szCs w:val="24"/>
                <w:lang w:val="en-US"/>
              </w:rPr>
              <w:t>Strong emissions targets and lithium dominance support long-term EV growth (</w:t>
            </w:r>
            <w:proofErr w:type="spellStart"/>
            <w:r w:rsidRPr="00416121">
              <w:rPr>
                <w:rFonts w:ascii="Arial" w:hAnsi="Arial" w:cs="Arial"/>
                <w:color w:val="000000" w:themeColor="text1"/>
                <w:sz w:val="24"/>
                <w:szCs w:val="24"/>
                <w:lang w:val="en-US"/>
              </w:rPr>
              <w:t>Farmonaut</w:t>
            </w:r>
            <w:proofErr w:type="spellEnd"/>
            <w:r w:rsidRPr="00416121">
              <w:rPr>
                <w:rFonts w:ascii="Arial" w:hAnsi="Arial" w:cs="Arial"/>
                <w:color w:val="000000" w:themeColor="text1"/>
                <w:sz w:val="24"/>
                <w:szCs w:val="24"/>
                <w:lang w:val="en-US"/>
              </w:rPr>
              <w:t>, 2025).</w:t>
            </w:r>
          </w:p>
        </w:tc>
      </w:tr>
    </w:tbl>
    <w:p w14:paraId="66950740" w14:textId="74CFF477" w:rsidR="008C25E8" w:rsidRPr="008C25E8" w:rsidRDefault="008C25E8" w:rsidP="008C25E8">
      <w:pPr>
        <w:pStyle w:val="Caption"/>
        <w:rPr>
          <w:rFonts w:ascii="Arial" w:hAnsi="Arial" w:cs="Arial"/>
          <w:color w:val="000000" w:themeColor="text1"/>
          <w:sz w:val="24"/>
          <w:szCs w:val="24"/>
          <w:lang w:val="en-US"/>
        </w:rPr>
      </w:pPr>
      <w:bookmarkStart w:id="22" w:name="_Toc227699218"/>
      <w:r>
        <w:t xml:space="preserve">Table </w:t>
      </w:r>
      <w:r>
        <w:fldChar w:fldCharType="begin"/>
      </w:r>
      <w:r>
        <w:instrText xml:space="preserve"> SEQ Table \* ARABIC </w:instrText>
      </w:r>
      <w:r>
        <w:fldChar w:fldCharType="separate"/>
      </w:r>
      <w:r w:rsidR="002A2FCC">
        <w:rPr>
          <w:noProof/>
        </w:rPr>
        <w:t>4</w:t>
      </w:r>
      <w:r>
        <w:fldChar w:fldCharType="end"/>
      </w:r>
      <w:r>
        <w:t xml:space="preserve">: </w:t>
      </w:r>
      <w:r w:rsidRPr="008E6037">
        <w:t>Market Attractiveness Summary</w:t>
      </w:r>
      <w:bookmarkEnd w:id="22"/>
    </w:p>
    <w:p w14:paraId="1B0B7CD5" w14:textId="67CC3420" w:rsidR="00BF590A" w:rsidRDefault="00517771" w:rsidP="00416121">
      <w:pPr>
        <w:spacing w:after="160" w:line="360" w:lineRule="auto"/>
        <w:jc w:val="both"/>
        <w:rPr>
          <w:rFonts w:ascii="Arial" w:hAnsi="Arial" w:cs="Arial"/>
          <w:color w:val="000000" w:themeColor="text1"/>
          <w:sz w:val="24"/>
          <w:szCs w:val="24"/>
          <w:lang w:val="en-US"/>
        </w:rPr>
      </w:pPr>
      <w:r w:rsidRPr="00517771">
        <w:rPr>
          <w:rFonts w:ascii="Arial" w:hAnsi="Arial" w:cs="Arial"/>
          <w:color w:val="000000" w:themeColor="text1"/>
          <w:sz w:val="24"/>
          <w:szCs w:val="24"/>
          <w:lang w:val="en-US"/>
        </w:rPr>
        <w:t xml:space="preserve">Tesla enjoys high demand prospects, </w:t>
      </w:r>
      <w:proofErr w:type="spellStart"/>
      <w:r w:rsidRPr="00517771">
        <w:rPr>
          <w:rFonts w:ascii="Arial" w:hAnsi="Arial" w:cs="Arial"/>
          <w:color w:val="000000" w:themeColor="text1"/>
          <w:sz w:val="24"/>
          <w:szCs w:val="24"/>
          <w:lang w:val="en-US"/>
        </w:rPr>
        <w:t>favourable</w:t>
      </w:r>
      <w:proofErr w:type="spellEnd"/>
      <w:r w:rsidRPr="00517771">
        <w:rPr>
          <w:rFonts w:ascii="Arial" w:hAnsi="Arial" w:cs="Arial"/>
          <w:color w:val="000000" w:themeColor="text1"/>
          <w:sz w:val="24"/>
          <w:szCs w:val="24"/>
          <w:lang w:val="en-US"/>
        </w:rPr>
        <w:t xml:space="preserve"> regulatory trends, and availability of essential resources. Nevertheless, increased competition, complex regulations, and culture make things less appealing.</w:t>
      </w:r>
      <w:r w:rsidR="00BF590A">
        <w:rPr>
          <w:rFonts w:ascii="Arial" w:hAnsi="Arial" w:cs="Arial"/>
          <w:color w:val="000000" w:themeColor="text1"/>
          <w:sz w:val="24"/>
          <w:szCs w:val="24"/>
          <w:lang w:val="en-US"/>
        </w:rPr>
        <w:br w:type="page"/>
      </w:r>
    </w:p>
    <w:p w14:paraId="02AD3481" w14:textId="77777777" w:rsidR="001E31AD" w:rsidRDefault="00BF590A" w:rsidP="00405C7D">
      <w:pPr>
        <w:pStyle w:val="Heading1"/>
        <w:rPr>
          <w:lang w:val="en-US"/>
        </w:rPr>
      </w:pPr>
      <w:bookmarkStart w:id="23" w:name="_Toc227699211"/>
      <w:r>
        <w:rPr>
          <w:lang w:val="en-US"/>
        </w:rPr>
        <w:lastRenderedPageBreak/>
        <w:t>5.0 Conclusion</w:t>
      </w:r>
      <w:bookmarkEnd w:id="23"/>
    </w:p>
    <w:p w14:paraId="368400FB" w14:textId="77777777" w:rsidR="00517771" w:rsidRPr="00517771" w:rsidRDefault="00517771" w:rsidP="00517771">
      <w:pPr>
        <w:spacing w:after="160" w:line="360" w:lineRule="auto"/>
        <w:jc w:val="both"/>
        <w:rPr>
          <w:rFonts w:ascii="Arial" w:hAnsi="Arial" w:cs="Arial"/>
          <w:color w:val="000000" w:themeColor="text1"/>
          <w:sz w:val="24"/>
          <w:szCs w:val="24"/>
          <w:lang w:val="en-US"/>
        </w:rPr>
      </w:pPr>
      <w:r w:rsidRPr="00517771">
        <w:rPr>
          <w:rFonts w:ascii="Arial" w:hAnsi="Arial" w:cs="Arial"/>
          <w:color w:val="000000" w:themeColor="text1"/>
          <w:sz w:val="24"/>
          <w:szCs w:val="24"/>
          <w:lang w:val="en-US"/>
        </w:rPr>
        <w:t>Analysis shows that Tesla Inc. is operating in a moderately appealing, yet more competitive, environment in Australia. The presence of political support of EV adoption and access to essential minerals are solid strategic strengths, whereas economic pressures and a growing competition become a major threat (Australian Treasury, 2024; EV Central, 2025).</w:t>
      </w:r>
    </w:p>
    <w:p w14:paraId="012671EF" w14:textId="77777777" w:rsidR="00517771" w:rsidRPr="00517771" w:rsidRDefault="00517771" w:rsidP="00517771">
      <w:pPr>
        <w:spacing w:after="160" w:line="360" w:lineRule="auto"/>
        <w:jc w:val="both"/>
        <w:rPr>
          <w:rFonts w:ascii="Arial" w:hAnsi="Arial" w:cs="Arial"/>
          <w:color w:val="000000" w:themeColor="text1"/>
          <w:sz w:val="24"/>
          <w:szCs w:val="24"/>
          <w:lang w:val="en-US"/>
        </w:rPr>
      </w:pPr>
      <w:r w:rsidRPr="00517771">
        <w:rPr>
          <w:rFonts w:ascii="Arial" w:hAnsi="Arial" w:cs="Arial"/>
          <w:color w:val="000000" w:themeColor="text1"/>
          <w:sz w:val="24"/>
          <w:szCs w:val="24"/>
          <w:lang w:val="en-US"/>
        </w:rPr>
        <w:t xml:space="preserve">Tesla will experience fewer sales in 2024 due to the effects of market saturation, pressure on prices, and new competitors. The legal and regulatory changes are mostly </w:t>
      </w:r>
      <w:proofErr w:type="spellStart"/>
      <w:r w:rsidRPr="00517771">
        <w:rPr>
          <w:rFonts w:ascii="Arial" w:hAnsi="Arial" w:cs="Arial"/>
          <w:color w:val="000000" w:themeColor="text1"/>
          <w:sz w:val="24"/>
          <w:szCs w:val="24"/>
          <w:lang w:val="en-US"/>
        </w:rPr>
        <w:t>favourable</w:t>
      </w:r>
      <w:proofErr w:type="spellEnd"/>
      <w:r w:rsidRPr="00517771">
        <w:rPr>
          <w:rFonts w:ascii="Arial" w:hAnsi="Arial" w:cs="Arial"/>
          <w:color w:val="000000" w:themeColor="text1"/>
          <w:sz w:val="24"/>
          <w:szCs w:val="24"/>
          <w:lang w:val="en-US"/>
        </w:rPr>
        <w:t xml:space="preserve"> and need to be observed in terms of consistency and disclosure (Reuters, 2024). Market dynamics are also determined by cultural factors, especially range anxiety and consumer preferences (The Australian, 2024).</w:t>
      </w:r>
    </w:p>
    <w:p w14:paraId="3AED7BA5" w14:textId="77777777" w:rsidR="00517771" w:rsidRPr="00517771" w:rsidRDefault="00517771" w:rsidP="00517771">
      <w:pPr>
        <w:spacing w:after="160" w:line="360" w:lineRule="auto"/>
        <w:jc w:val="both"/>
        <w:rPr>
          <w:rFonts w:ascii="Arial" w:hAnsi="Arial" w:cs="Arial"/>
          <w:color w:val="000000" w:themeColor="text1"/>
          <w:sz w:val="24"/>
          <w:szCs w:val="24"/>
          <w:lang w:val="en-US"/>
        </w:rPr>
      </w:pPr>
      <w:r w:rsidRPr="00517771">
        <w:rPr>
          <w:rFonts w:ascii="Arial" w:hAnsi="Arial" w:cs="Arial"/>
          <w:color w:val="000000" w:themeColor="text1"/>
          <w:sz w:val="24"/>
          <w:szCs w:val="24"/>
          <w:lang w:val="en-US"/>
        </w:rPr>
        <w:t xml:space="preserve">Tesla has to </w:t>
      </w:r>
      <w:proofErr w:type="spellStart"/>
      <w:r w:rsidRPr="00517771">
        <w:rPr>
          <w:rFonts w:ascii="Arial" w:hAnsi="Arial" w:cs="Arial"/>
          <w:color w:val="000000" w:themeColor="text1"/>
          <w:sz w:val="24"/>
          <w:szCs w:val="24"/>
          <w:lang w:val="en-US"/>
        </w:rPr>
        <w:t>prioritise</w:t>
      </w:r>
      <w:proofErr w:type="spellEnd"/>
      <w:r w:rsidRPr="00517771">
        <w:rPr>
          <w:rFonts w:ascii="Arial" w:hAnsi="Arial" w:cs="Arial"/>
          <w:color w:val="000000" w:themeColor="text1"/>
          <w:sz w:val="24"/>
          <w:szCs w:val="24"/>
          <w:lang w:val="en-US"/>
        </w:rPr>
        <w:t xml:space="preserve"> the strategies of innovation, cost efficiency and </w:t>
      </w:r>
      <w:proofErr w:type="spellStart"/>
      <w:r w:rsidRPr="00517771">
        <w:rPr>
          <w:rFonts w:ascii="Arial" w:hAnsi="Arial" w:cs="Arial"/>
          <w:color w:val="000000" w:themeColor="text1"/>
          <w:sz w:val="24"/>
          <w:szCs w:val="24"/>
          <w:lang w:val="en-US"/>
        </w:rPr>
        <w:t>localisation</w:t>
      </w:r>
      <w:proofErr w:type="spellEnd"/>
      <w:r w:rsidRPr="00517771">
        <w:rPr>
          <w:rFonts w:ascii="Arial" w:hAnsi="Arial" w:cs="Arial"/>
          <w:color w:val="000000" w:themeColor="text1"/>
          <w:sz w:val="24"/>
          <w:szCs w:val="24"/>
          <w:lang w:val="en-US"/>
        </w:rPr>
        <w:t xml:space="preserve"> to maintain success. The competitive position of Australia can be enhanced by expanding the charging infrastructure, variety in the product offerings and </w:t>
      </w:r>
      <w:proofErr w:type="spellStart"/>
      <w:r w:rsidRPr="00517771">
        <w:rPr>
          <w:rFonts w:ascii="Arial" w:hAnsi="Arial" w:cs="Arial"/>
          <w:color w:val="000000" w:themeColor="text1"/>
          <w:sz w:val="24"/>
          <w:szCs w:val="24"/>
          <w:lang w:val="en-US"/>
        </w:rPr>
        <w:t>capitalising</w:t>
      </w:r>
      <w:proofErr w:type="spellEnd"/>
      <w:r w:rsidRPr="00517771">
        <w:rPr>
          <w:rFonts w:ascii="Arial" w:hAnsi="Arial" w:cs="Arial"/>
          <w:color w:val="000000" w:themeColor="text1"/>
          <w:sz w:val="24"/>
          <w:szCs w:val="24"/>
          <w:lang w:val="en-US"/>
        </w:rPr>
        <w:t xml:space="preserve"> on the resources available in the country.</w:t>
      </w:r>
    </w:p>
    <w:p w14:paraId="44258602" w14:textId="1221D8BF" w:rsidR="001E31AD" w:rsidRDefault="00517771" w:rsidP="00517771">
      <w:pPr>
        <w:spacing w:after="160" w:line="360" w:lineRule="auto"/>
        <w:jc w:val="both"/>
        <w:rPr>
          <w:rFonts w:ascii="Arial" w:hAnsi="Arial" w:cs="Arial"/>
          <w:color w:val="000000" w:themeColor="text1"/>
          <w:sz w:val="24"/>
          <w:szCs w:val="24"/>
          <w:lang w:val="en-US"/>
        </w:rPr>
      </w:pPr>
      <w:r w:rsidRPr="00517771">
        <w:rPr>
          <w:rFonts w:ascii="Arial" w:hAnsi="Arial" w:cs="Arial"/>
          <w:color w:val="000000" w:themeColor="text1"/>
          <w:sz w:val="24"/>
          <w:szCs w:val="24"/>
          <w:lang w:val="en-US"/>
        </w:rPr>
        <w:t>On balance, Australia has a high growth potential, but Tesla will succeed in the long term, depending on its capacity to adjust to the changes in the political, economic, legal, and cultural environment in the fast-evolving global EV market.</w:t>
      </w:r>
    </w:p>
    <w:p w14:paraId="3994B1B1" w14:textId="32354A57" w:rsidR="005E1FC9" w:rsidRDefault="005E1FC9" w:rsidP="005E1FC9">
      <w:pPr>
        <w:spacing w:after="240" w:line="360" w:lineRule="auto"/>
        <w:jc w:val="both"/>
        <w:rPr>
          <w:rFonts w:ascii="Arial" w:hAnsi="Arial" w:cs="Arial"/>
          <w:color w:val="000000" w:themeColor="text1"/>
          <w:sz w:val="24"/>
          <w:szCs w:val="24"/>
          <w:lang w:val="en-US"/>
        </w:rPr>
      </w:pPr>
    </w:p>
    <w:p w14:paraId="18719F0E" w14:textId="77777777" w:rsidR="005E1FC9" w:rsidRDefault="005E1FC9" w:rsidP="005E1FC9">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59EFA810" w14:textId="77777777" w:rsidR="005E1FC9" w:rsidRPr="00F75A88" w:rsidRDefault="005E1FC9" w:rsidP="005E1FC9">
      <w:pPr>
        <w:pStyle w:val="Heading1"/>
        <w:jc w:val="center"/>
        <w:rPr>
          <w:u w:val="single"/>
          <w:lang w:val="en-US"/>
        </w:rPr>
      </w:pPr>
      <w:bookmarkStart w:id="24" w:name="_Toc227699212"/>
      <w:r w:rsidRPr="00F75A88">
        <w:rPr>
          <w:u w:val="single"/>
          <w:lang w:val="en-US"/>
        </w:rPr>
        <w:lastRenderedPageBreak/>
        <w:t>Section 2</w:t>
      </w:r>
      <w:bookmarkEnd w:id="24"/>
    </w:p>
    <w:p w14:paraId="1E0571AD" w14:textId="0EEF22FC" w:rsidR="00757BCD" w:rsidRPr="00757BCD" w:rsidRDefault="0078402D" w:rsidP="00757BCD">
      <w:pPr>
        <w:pStyle w:val="Heading1"/>
        <w:rPr>
          <w:lang w:val="en-US"/>
        </w:rPr>
      </w:pPr>
      <w:bookmarkStart w:id="25" w:name="_Toc227699213"/>
      <w:r w:rsidRPr="0078402D">
        <w:rPr>
          <w:lang w:val="en-US"/>
        </w:rPr>
        <w:t>Reflective Account Using Gibbs Reflective Cycle</w:t>
      </w:r>
      <w:r w:rsidR="00757BCD">
        <w:rPr>
          <w:lang w:val="en-US"/>
        </w:rPr>
        <w:t>:</w:t>
      </w:r>
      <w:bookmarkEnd w:id="25"/>
    </w:p>
    <w:p w14:paraId="61DFFB79" w14:textId="7777777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t>1. Description</w:t>
      </w:r>
    </w:p>
    <w:p w14:paraId="68BF32D0"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This reflective report explains the steps that I used to conduct research and </w:t>
      </w:r>
      <w:proofErr w:type="spellStart"/>
      <w:r w:rsidRPr="00CB1021">
        <w:rPr>
          <w:rFonts w:ascii="Arial" w:hAnsi="Arial" w:cs="Arial"/>
          <w:color w:val="000000" w:themeColor="text1"/>
          <w:sz w:val="24"/>
          <w:szCs w:val="24"/>
          <w:lang w:val="en-US"/>
        </w:rPr>
        <w:t>analyse</w:t>
      </w:r>
      <w:proofErr w:type="spellEnd"/>
      <w:r w:rsidRPr="00CB1021">
        <w:rPr>
          <w:rFonts w:ascii="Arial" w:hAnsi="Arial" w:cs="Arial"/>
          <w:color w:val="000000" w:themeColor="text1"/>
          <w:sz w:val="24"/>
          <w:szCs w:val="24"/>
          <w:lang w:val="en-US"/>
        </w:rPr>
        <w:t xml:space="preserve"> and prepare the previous part of the assessment, which dealt with the automobile industry in Australia and the analysis of Tesla Inc. with the Diamond Model and PESTLE analysis of Porter. The assignment involved consulting credible scholarly and business sources, such as annual reports of companies, industry databases like Statista and credible business magazines.</w:t>
      </w:r>
    </w:p>
    <w:p w14:paraId="0A0D37F2"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At the outset, I started by determining the scope of the report, making sure that the country-industry pair that I chose (Australia and the automobile industry) was appropriate to study since I had access to data that can be trusted. Then I collected secondary data from different sources, such as annual reports of the companies, government publications and industry reports. The emphasis was put on gathering recent data (2020–2024) in order to be precise and relevant.</w:t>
      </w:r>
    </w:p>
    <w:p w14:paraId="38280559"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Once the data were collected, I </w:t>
      </w:r>
      <w:proofErr w:type="spellStart"/>
      <w:r w:rsidRPr="00CB1021">
        <w:rPr>
          <w:rFonts w:ascii="Arial" w:hAnsi="Arial" w:cs="Arial"/>
          <w:color w:val="000000" w:themeColor="text1"/>
          <w:sz w:val="24"/>
          <w:szCs w:val="24"/>
          <w:lang w:val="en-US"/>
        </w:rPr>
        <w:t>systematised</w:t>
      </w:r>
      <w:proofErr w:type="spellEnd"/>
      <w:r w:rsidRPr="00CB1021">
        <w:rPr>
          <w:rFonts w:ascii="Arial" w:hAnsi="Arial" w:cs="Arial"/>
          <w:color w:val="000000" w:themeColor="text1"/>
          <w:sz w:val="24"/>
          <w:szCs w:val="24"/>
          <w:lang w:val="en-US"/>
        </w:rPr>
        <w:t xml:space="preserve"> the data according to the main analytical structures, i.e., Porter's Diamond model and PESTLE analysis. This implied the interpretation of raw information, pattern recognition, and connecting the theory to the practice in the industry. I also made some comparative tables to outline important findings. Lastly, I </w:t>
      </w:r>
      <w:proofErr w:type="spellStart"/>
      <w:r w:rsidRPr="00CB1021">
        <w:rPr>
          <w:rFonts w:ascii="Arial" w:hAnsi="Arial" w:cs="Arial"/>
          <w:color w:val="000000" w:themeColor="text1"/>
          <w:sz w:val="24"/>
          <w:szCs w:val="24"/>
          <w:lang w:val="en-US"/>
        </w:rPr>
        <w:t>organised</w:t>
      </w:r>
      <w:proofErr w:type="spellEnd"/>
      <w:r w:rsidRPr="00CB1021">
        <w:rPr>
          <w:rFonts w:ascii="Arial" w:hAnsi="Arial" w:cs="Arial"/>
          <w:color w:val="000000" w:themeColor="text1"/>
          <w:sz w:val="24"/>
          <w:szCs w:val="24"/>
          <w:lang w:val="en-US"/>
        </w:rPr>
        <w:t xml:space="preserve"> the report in logical parts, made sure there was a logical flow, did reference properly (UWTSD Harvard style) and critically reviewed the whole report.</w:t>
      </w:r>
    </w:p>
    <w:p w14:paraId="7261F747" w14:textId="7777777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t>2. Feelings</w:t>
      </w:r>
    </w:p>
    <w:p w14:paraId="335857BA"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I was motivated and a bit overwhelmed at the onset of the assignment. The assignment involved critical thinking, a lot of research and application of various theoretical frameworks. First, I was worried about the lack of credible sources, especially company-specific data and statistics of the latest industry.</w:t>
      </w:r>
    </w:p>
    <w:p w14:paraId="5F2A5B00"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But as I advanced, I was more confident. The fact that I could access sources that are credible like annual reports and </w:t>
      </w:r>
      <w:proofErr w:type="spellStart"/>
      <w:r w:rsidRPr="00CB1021">
        <w:rPr>
          <w:rFonts w:ascii="Arial" w:hAnsi="Arial" w:cs="Arial"/>
          <w:color w:val="000000" w:themeColor="text1"/>
          <w:sz w:val="24"/>
          <w:szCs w:val="24"/>
          <w:lang w:val="en-US"/>
        </w:rPr>
        <w:t>recognised</w:t>
      </w:r>
      <w:proofErr w:type="spellEnd"/>
      <w:r w:rsidRPr="00CB1021">
        <w:rPr>
          <w:rFonts w:ascii="Arial" w:hAnsi="Arial" w:cs="Arial"/>
          <w:color w:val="000000" w:themeColor="text1"/>
          <w:sz w:val="24"/>
          <w:szCs w:val="24"/>
          <w:lang w:val="en-US"/>
        </w:rPr>
        <w:t xml:space="preserve"> databases made me feel more confident </w:t>
      </w:r>
      <w:r w:rsidRPr="00CB1021">
        <w:rPr>
          <w:rFonts w:ascii="Arial" w:hAnsi="Arial" w:cs="Arial"/>
          <w:color w:val="000000" w:themeColor="text1"/>
          <w:sz w:val="24"/>
          <w:szCs w:val="24"/>
          <w:lang w:val="en-US"/>
        </w:rPr>
        <w:lastRenderedPageBreak/>
        <w:t>about the quality of my research. I also found the experience of implementing theoretical models such as Porter's Diamond and PESTLE analysis to a business situation thought-provoking, as it enabled me to relate academic knowledge to actual business situations.</w:t>
      </w:r>
    </w:p>
    <w:p w14:paraId="76F2066F"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It was not without some hardships such as the ones in attempting to be critical in assessing information other than merely describing it. This involved a further analysis and interpretation which was not easy but ended up being rewarding. I was also able to attain a sense of accomplishment by the end of the process because I was able to come up with a comprehensive and well-structured report.</w:t>
      </w:r>
    </w:p>
    <w:p w14:paraId="3DEDBEB2" w14:textId="7777777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t>3. Evaluation</w:t>
      </w:r>
    </w:p>
    <w:p w14:paraId="64B97B91"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There were strong and weak points of the general process of accomplishing the assignment. My ability to collect information based on the vast </w:t>
      </w:r>
      <w:proofErr w:type="gramStart"/>
      <w:r w:rsidRPr="00CB1021">
        <w:rPr>
          <w:rFonts w:ascii="Arial" w:hAnsi="Arial" w:cs="Arial"/>
          <w:color w:val="000000" w:themeColor="text1"/>
          <w:sz w:val="24"/>
          <w:szCs w:val="24"/>
          <w:lang w:val="en-US"/>
        </w:rPr>
        <w:t>amount</w:t>
      </w:r>
      <w:proofErr w:type="gramEnd"/>
      <w:r w:rsidRPr="00CB1021">
        <w:rPr>
          <w:rFonts w:ascii="Arial" w:hAnsi="Arial" w:cs="Arial"/>
          <w:color w:val="000000" w:themeColor="text1"/>
          <w:sz w:val="24"/>
          <w:szCs w:val="24"/>
          <w:lang w:val="en-US"/>
        </w:rPr>
        <w:t xml:space="preserve"> of authoritative sources covering company reports, government publications, and other industry data sources was one of the main strengths. This guaranteed the analysis was an evidence-based analysis that met the academic expectations.</w:t>
      </w:r>
    </w:p>
    <w:p w14:paraId="3AC65FC3"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The other area was good application of the analysis frameworks. The usage of Porter's Diamond Model allowed me to </w:t>
      </w:r>
      <w:proofErr w:type="spellStart"/>
      <w:r w:rsidRPr="00CB1021">
        <w:rPr>
          <w:rFonts w:ascii="Arial" w:hAnsi="Arial" w:cs="Arial"/>
          <w:color w:val="000000" w:themeColor="text1"/>
          <w:sz w:val="24"/>
          <w:szCs w:val="24"/>
          <w:lang w:val="en-US"/>
        </w:rPr>
        <w:t>realise</w:t>
      </w:r>
      <w:proofErr w:type="spellEnd"/>
      <w:r w:rsidRPr="00CB1021">
        <w:rPr>
          <w:rFonts w:ascii="Arial" w:hAnsi="Arial" w:cs="Arial"/>
          <w:color w:val="000000" w:themeColor="text1"/>
          <w:sz w:val="24"/>
          <w:szCs w:val="24"/>
          <w:lang w:val="en-US"/>
        </w:rPr>
        <w:t xml:space="preserve"> how competitive the Australian automobile industry is in the country, whereas PESTLE analysis allowed me to have a structured way of </w:t>
      </w:r>
      <w:proofErr w:type="spellStart"/>
      <w:r w:rsidRPr="00CB1021">
        <w:rPr>
          <w:rFonts w:ascii="Arial" w:hAnsi="Arial" w:cs="Arial"/>
          <w:color w:val="000000" w:themeColor="text1"/>
          <w:sz w:val="24"/>
          <w:szCs w:val="24"/>
          <w:lang w:val="en-US"/>
        </w:rPr>
        <w:t>analysing</w:t>
      </w:r>
      <w:proofErr w:type="spellEnd"/>
      <w:r w:rsidRPr="00CB1021">
        <w:rPr>
          <w:rFonts w:ascii="Arial" w:hAnsi="Arial" w:cs="Arial"/>
          <w:color w:val="000000" w:themeColor="text1"/>
          <w:sz w:val="24"/>
          <w:szCs w:val="24"/>
          <w:lang w:val="en-US"/>
        </w:rPr>
        <w:t xml:space="preserve"> the external forces that influence the workings of Tesla Company. These models helped to enrich my analysis.</w:t>
      </w:r>
    </w:p>
    <w:p w14:paraId="67549FDE"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I was also able to structure the report with clear headings and subheadings and the use of tables, which helped with readability and presentation. Formatting was used in a structured form enabling the understanding of complex information.</w:t>
      </w:r>
    </w:p>
    <w:p w14:paraId="3485F44C"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Nonetheless, it had certain pitfalls. Time management was one of the limitations since data collection and analysis was a tasking </w:t>
      </w:r>
      <w:proofErr w:type="spellStart"/>
      <w:r w:rsidRPr="00CB1021">
        <w:rPr>
          <w:rFonts w:ascii="Arial" w:hAnsi="Arial" w:cs="Arial"/>
          <w:color w:val="000000" w:themeColor="text1"/>
          <w:sz w:val="24"/>
          <w:szCs w:val="24"/>
          <w:lang w:val="en-US"/>
        </w:rPr>
        <w:t>endeavour</w:t>
      </w:r>
      <w:proofErr w:type="spellEnd"/>
      <w:r w:rsidRPr="00CB1021">
        <w:rPr>
          <w:rFonts w:ascii="Arial" w:hAnsi="Arial" w:cs="Arial"/>
          <w:color w:val="000000" w:themeColor="text1"/>
          <w:sz w:val="24"/>
          <w:szCs w:val="24"/>
          <w:lang w:val="en-US"/>
        </w:rPr>
        <w:t xml:space="preserve"> in the context of gathering and </w:t>
      </w:r>
      <w:proofErr w:type="spellStart"/>
      <w:r w:rsidRPr="00CB1021">
        <w:rPr>
          <w:rFonts w:ascii="Arial" w:hAnsi="Arial" w:cs="Arial"/>
          <w:color w:val="000000" w:themeColor="text1"/>
          <w:sz w:val="24"/>
          <w:szCs w:val="24"/>
          <w:lang w:val="en-US"/>
        </w:rPr>
        <w:t>analysing</w:t>
      </w:r>
      <w:proofErr w:type="spellEnd"/>
      <w:r w:rsidRPr="00CB1021">
        <w:rPr>
          <w:rFonts w:ascii="Arial" w:hAnsi="Arial" w:cs="Arial"/>
          <w:color w:val="000000" w:themeColor="text1"/>
          <w:sz w:val="24"/>
          <w:szCs w:val="24"/>
          <w:lang w:val="en-US"/>
        </w:rPr>
        <w:t xml:space="preserve"> large quantities of data. Sometimes, I was not able to strike the balance between descriptive materials and a critical approach. The other area of weakness included being consistent in referencing style, and this involved paying attention to detail.</w:t>
      </w:r>
    </w:p>
    <w:p w14:paraId="11F9C9A0"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lastRenderedPageBreak/>
        <w:t xml:space="preserve">In general, the strong points of deep research and </w:t>
      </w:r>
      <w:proofErr w:type="spellStart"/>
      <w:r w:rsidRPr="00CB1021">
        <w:rPr>
          <w:rFonts w:ascii="Arial" w:hAnsi="Arial" w:cs="Arial"/>
          <w:color w:val="000000" w:themeColor="text1"/>
          <w:sz w:val="24"/>
          <w:szCs w:val="24"/>
          <w:lang w:val="en-US"/>
        </w:rPr>
        <w:t>organisation</w:t>
      </w:r>
      <w:proofErr w:type="spellEnd"/>
      <w:r w:rsidRPr="00CB1021">
        <w:rPr>
          <w:rFonts w:ascii="Arial" w:hAnsi="Arial" w:cs="Arial"/>
          <w:color w:val="000000" w:themeColor="text1"/>
          <w:sz w:val="24"/>
          <w:szCs w:val="24"/>
          <w:lang w:val="en-US"/>
        </w:rPr>
        <w:t xml:space="preserve"> of analysis overcame the difficulties encountered in the process.</w:t>
      </w:r>
    </w:p>
    <w:p w14:paraId="36B8B393" w14:textId="7777777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t>4. Analysis</w:t>
      </w:r>
    </w:p>
    <w:p w14:paraId="66CDEDEF"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This assignment can be </w:t>
      </w:r>
      <w:proofErr w:type="spellStart"/>
      <w:r w:rsidRPr="00CB1021">
        <w:rPr>
          <w:rFonts w:ascii="Arial" w:hAnsi="Arial" w:cs="Arial"/>
          <w:color w:val="000000" w:themeColor="text1"/>
          <w:sz w:val="24"/>
          <w:szCs w:val="24"/>
          <w:lang w:val="en-US"/>
        </w:rPr>
        <w:t>analysed</w:t>
      </w:r>
      <w:proofErr w:type="spellEnd"/>
      <w:r w:rsidRPr="00CB1021">
        <w:rPr>
          <w:rFonts w:ascii="Arial" w:hAnsi="Arial" w:cs="Arial"/>
          <w:color w:val="000000" w:themeColor="text1"/>
          <w:sz w:val="24"/>
          <w:szCs w:val="24"/>
          <w:lang w:val="en-US"/>
        </w:rPr>
        <w:t xml:space="preserve"> in regard to research skills, critical thinking and application of theory. The fact that it is important to </w:t>
      </w:r>
      <w:proofErr w:type="spellStart"/>
      <w:r w:rsidRPr="00CB1021">
        <w:rPr>
          <w:rFonts w:ascii="Arial" w:hAnsi="Arial" w:cs="Arial"/>
          <w:color w:val="000000" w:themeColor="text1"/>
          <w:sz w:val="24"/>
          <w:szCs w:val="24"/>
          <w:lang w:val="en-US"/>
        </w:rPr>
        <w:t>utilise</w:t>
      </w:r>
      <w:proofErr w:type="spellEnd"/>
      <w:r w:rsidRPr="00CB1021">
        <w:rPr>
          <w:rFonts w:ascii="Arial" w:hAnsi="Arial" w:cs="Arial"/>
          <w:color w:val="000000" w:themeColor="text1"/>
          <w:sz w:val="24"/>
          <w:szCs w:val="24"/>
          <w:lang w:val="en-US"/>
        </w:rPr>
        <w:t xml:space="preserve"> credible and up-to-date sources was one of the major learning outcomes. The use of the annual reports of the companies and well-known databases in the industries made the analysis accurate and reliable.</w:t>
      </w:r>
    </w:p>
    <w:p w14:paraId="052DDA5F"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The fact that theoretical frameworks were </w:t>
      </w:r>
      <w:proofErr w:type="spellStart"/>
      <w:r w:rsidRPr="00CB1021">
        <w:rPr>
          <w:rFonts w:ascii="Arial" w:hAnsi="Arial" w:cs="Arial"/>
          <w:color w:val="000000" w:themeColor="text1"/>
          <w:sz w:val="24"/>
          <w:szCs w:val="24"/>
          <w:lang w:val="en-US"/>
        </w:rPr>
        <w:t>utilised</w:t>
      </w:r>
      <w:proofErr w:type="spellEnd"/>
      <w:r w:rsidRPr="00CB1021">
        <w:rPr>
          <w:rFonts w:ascii="Arial" w:hAnsi="Arial" w:cs="Arial"/>
          <w:color w:val="000000" w:themeColor="text1"/>
          <w:sz w:val="24"/>
          <w:szCs w:val="24"/>
          <w:lang w:val="en-US"/>
        </w:rPr>
        <w:t xml:space="preserve"> was another significant point. The Diamond Model created by Porter gave an overall insight into the impact of national aspects on the competitiveness of an industry. To illustrate, the use of factor conditions and demand conditions to explain why Australia is a leading country in terms of automotive services and a weak country in terms of manufacturing. In a similar vein, PESTLE analysis allowed studying environmental influences on Tesla, including political policies, the economic situation, and cultural inclinations, in greater detail.</w:t>
      </w:r>
    </w:p>
    <w:p w14:paraId="4B1F1B3E"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Critical thinking was involved in the process in a great manner. I was not merely providing the information, but I needed to consider the consequences of different factors. As an example, the identification of opportunities (as well as challenges) facing Tesla had to be done with the balance between positive (e.g., high demand for EVs) and negative (e.g., growing competition and regulatory pressures) factors.</w:t>
      </w:r>
    </w:p>
    <w:p w14:paraId="0365043A"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Other elements were time management and </w:t>
      </w:r>
      <w:proofErr w:type="spellStart"/>
      <w:r w:rsidRPr="00CB1021">
        <w:rPr>
          <w:rFonts w:ascii="Arial" w:hAnsi="Arial" w:cs="Arial"/>
          <w:color w:val="000000" w:themeColor="text1"/>
          <w:sz w:val="24"/>
          <w:szCs w:val="24"/>
          <w:lang w:val="en-US"/>
        </w:rPr>
        <w:t>organisation</w:t>
      </w:r>
      <w:proofErr w:type="spellEnd"/>
      <w:r w:rsidRPr="00CB1021">
        <w:rPr>
          <w:rFonts w:ascii="Arial" w:hAnsi="Arial" w:cs="Arial"/>
          <w:color w:val="000000" w:themeColor="text1"/>
          <w:sz w:val="24"/>
          <w:szCs w:val="24"/>
          <w:lang w:val="en-US"/>
        </w:rPr>
        <w:t xml:space="preserve">. The division of the task into smaller parts, i.e., industry overview, competitiveness analysis, and company evaluation, was beneficial in dealing with the workload. Nonetheless, I learnt that it would have been possible to spend more time planning and starting to work earlier in order to </w:t>
      </w:r>
      <w:proofErr w:type="spellStart"/>
      <w:r w:rsidRPr="00CB1021">
        <w:rPr>
          <w:rFonts w:ascii="Arial" w:hAnsi="Arial" w:cs="Arial"/>
          <w:color w:val="000000" w:themeColor="text1"/>
          <w:sz w:val="24"/>
          <w:szCs w:val="24"/>
          <w:lang w:val="en-US"/>
        </w:rPr>
        <w:t>minimise</w:t>
      </w:r>
      <w:proofErr w:type="spellEnd"/>
      <w:r w:rsidRPr="00CB1021">
        <w:rPr>
          <w:rFonts w:ascii="Arial" w:hAnsi="Arial" w:cs="Arial"/>
          <w:color w:val="000000" w:themeColor="text1"/>
          <w:sz w:val="24"/>
          <w:szCs w:val="24"/>
          <w:lang w:val="en-US"/>
        </w:rPr>
        <w:t xml:space="preserve"> time pressure.</w:t>
      </w:r>
    </w:p>
    <w:p w14:paraId="555FCB5C"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Altogether, this experience demonstrated the significance of the combination of theory and practice and the necessity of having analytical and </w:t>
      </w:r>
      <w:proofErr w:type="spellStart"/>
      <w:r w:rsidRPr="00CB1021">
        <w:rPr>
          <w:rFonts w:ascii="Arial" w:hAnsi="Arial" w:cs="Arial"/>
          <w:color w:val="000000" w:themeColor="text1"/>
          <w:sz w:val="24"/>
          <w:szCs w:val="24"/>
          <w:lang w:val="en-US"/>
        </w:rPr>
        <w:t>organisational</w:t>
      </w:r>
      <w:proofErr w:type="spellEnd"/>
      <w:r w:rsidRPr="00CB1021">
        <w:rPr>
          <w:rFonts w:ascii="Arial" w:hAnsi="Arial" w:cs="Arial"/>
          <w:color w:val="000000" w:themeColor="text1"/>
          <w:sz w:val="24"/>
          <w:szCs w:val="24"/>
          <w:lang w:val="en-US"/>
        </w:rPr>
        <w:t xml:space="preserve"> skills with the academic research.</w:t>
      </w:r>
    </w:p>
    <w:p w14:paraId="10FAC8A4" w14:textId="77777777" w:rsidR="00CB1021" w:rsidRDefault="00CB1021" w:rsidP="00CB1021">
      <w:pPr>
        <w:spacing w:before="240" w:line="360" w:lineRule="auto"/>
        <w:jc w:val="both"/>
        <w:rPr>
          <w:rFonts w:ascii="Arial" w:hAnsi="Arial" w:cs="Arial"/>
          <w:b/>
          <w:bCs/>
          <w:color w:val="000000" w:themeColor="text1"/>
          <w:sz w:val="24"/>
          <w:szCs w:val="24"/>
          <w:lang w:val="en-US"/>
        </w:rPr>
      </w:pPr>
    </w:p>
    <w:p w14:paraId="57095B4B" w14:textId="0589C29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lastRenderedPageBreak/>
        <w:t>5. Conclusion</w:t>
      </w:r>
    </w:p>
    <w:p w14:paraId="1D00220B"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Conclusively, this assignment has given a great deal of insight into the Australian automobile industry, as well as the real-life use of business analysis frameworks. The Gibbs Reflective Cycle has enabled me to critically assess my learning process and where I can improve.</w:t>
      </w:r>
    </w:p>
    <w:p w14:paraId="2926B2A6"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I have gained a better idea on how to do structured research, to </w:t>
      </w:r>
      <w:proofErr w:type="spellStart"/>
      <w:r w:rsidRPr="00CB1021">
        <w:rPr>
          <w:rFonts w:ascii="Arial" w:hAnsi="Arial" w:cs="Arial"/>
          <w:color w:val="000000" w:themeColor="text1"/>
          <w:sz w:val="24"/>
          <w:szCs w:val="24"/>
          <w:lang w:val="en-US"/>
        </w:rPr>
        <w:t>analyse</w:t>
      </w:r>
      <w:proofErr w:type="spellEnd"/>
      <w:r w:rsidRPr="00CB1021">
        <w:rPr>
          <w:rFonts w:ascii="Arial" w:hAnsi="Arial" w:cs="Arial"/>
          <w:color w:val="000000" w:themeColor="text1"/>
          <w:sz w:val="24"/>
          <w:szCs w:val="24"/>
          <w:lang w:val="en-US"/>
        </w:rPr>
        <w:t xml:space="preserve"> complex information and to use theoretical models for practical reality. The experience also enhanced my skills of critically assessing data, as opposed to using descriptive writing.</w:t>
      </w:r>
    </w:p>
    <w:p w14:paraId="4CA05C0D"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The process was a success, although there were a few setbacks, especially with time management and ensuring consistency when citing. I was in a position to come up with a detailed and well-</w:t>
      </w:r>
      <w:proofErr w:type="spellStart"/>
      <w:r w:rsidRPr="00CB1021">
        <w:rPr>
          <w:rFonts w:ascii="Arial" w:hAnsi="Arial" w:cs="Arial"/>
          <w:color w:val="000000" w:themeColor="text1"/>
          <w:sz w:val="24"/>
          <w:szCs w:val="24"/>
          <w:lang w:val="en-US"/>
        </w:rPr>
        <w:t>analysed</w:t>
      </w:r>
      <w:proofErr w:type="spellEnd"/>
      <w:r w:rsidRPr="00CB1021">
        <w:rPr>
          <w:rFonts w:ascii="Arial" w:hAnsi="Arial" w:cs="Arial"/>
          <w:color w:val="000000" w:themeColor="text1"/>
          <w:sz w:val="24"/>
          <w:szCs w:val="24"/>
          <w:lang w:val="en-US"/>
        </w:rPr>
        <w:t xml:space="preserve"> report that fulfilled the assignment requirements.</w:t>
      </w:r>
    </w:p>
    <w:p w14:paraId="3EF83F15"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This reflection has brought to the fore the significance of an ongoing learning process and self-assessment in academic </w:t>
      </w:r>
      <w:proofErr w:type="spellStart"/>
      <w:r w:rsidRPr="00CB1021">
        <w:rPr>
          <w:rFonts w:ascii="Arial" w:hAnsi="Arial" w:cs="Arial"/>
          <w:color w:val="000000" w:themeColor="text1"/>
          <w:sz w:val="24"/>
          <w:szCs w:val="24"/>
          <w:lang w:val="en-US"/>
        </w:rPr>
        <w:t>endeavours</w:t>
      </w:r>
      <w:proofErr w:type="spellEnd"/>
      <w:r w:rsidRPr="00CB1021">
        <w:rPr>
          <w:rFonts w:ascii="Arial" w:hAnsi="Arial" w:cs="Arial"/>
          <w:color w:val="000000" w:themeColor="text1"/>
          <w:sz w:val="24"/>
          <w:szCs w:val="24"/>
          <w:lang w:val="en-US"/>
        </w:rPr>
        <w:t>. It has also strengthened the importance of planning, critical thinking, and use of effective sources that are reliable.</w:t>
      </w:r>
    </w:p>
    <w:p w14:paraId="5498D2BB" w14:textId="77777777" w:rsidR="00CB1021" w:rsidRPr="00CB1021" w:rsidRDefault="00CB1021" w:rsidP="00CB1021">
      <w:pPr>
        <w:spacing w:before="240" w:line="360" w:lineRule="auto"/>
        <w:jc w:val="both"/>
        <w:rPr>
          <w:rFonts w:ascii="Arial" w:hAnsi="Arial" w:cs="Arial"/>
          <w:b/>
          <w:bCs/>
          <w:color w:val="000000" w:themeColor="text1"/>
          <w:sz w:val="24"/>
          <w:szCs w:val="24"/>
          <w:lang w:val="en-US"/>
        </w:rPr>
      </w:pPr>
      <w:r w:rsidRPr="00CB1021">
        <w:rPr>
          <w:rFonts w:ascii="Arial" w:hAnsi="Arial" w:cs="Arial"/>
          <w:b/>
          <w:bCs/>
          <w:color w:val="000000" w:themeColor="text1"/>
          <w:sz w:val="24"/>
          <w:szCs w:val="24"/>
          <w:lang w:val="en-US"/>
        </w:rPr>
        <w:t>6. Action Plan</w:t>
      </w:r>
    </w:p>
    <w:p w14:paraId="05D9426E"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 xml:space="preserve">It is against this reflection that I have come up with a number of measures that I will undertake to enhance my future scholarly </w:t>
      </w:r>
      <w:proofErr w:type="spellStart"/>
      <w:r w:rsidRPr="00CB1021">
        <w:rPr>
          <w:rFonts w:ascii="Arial" w:hAnsi="Arial" w:cs="Arial"/>
          <w:color w:val="000000" w:themeColor="text1"/>
          <w:sz w:val="24"/>
          <w:szCs w:val="24"/>
          <w:lang w:val="en-US"/>
        </w:rPr>
        <w:t>endeavours</w:t>
      </w:r>
      <w:proofErr w:type="spellEnd"/>
      <w:r w:rsidRPr="00CB1021">
        <w:rPr>
          <w:rFonts w:ascii="Arial" w:hAnsi="Arial" w:cs="Arial"/>
          <w:color w:val="000000" w:themeColor="text1"/>
          <w:sz w:val="24"/>
          <w:szCs w:val="24"/>
          <w:lang w:val="en-US"/>
        </w:rPr>
        <w:t>.</w:t>
      </w:r>
    </w:p>
    <w:p w14:paraId="7AD6180D"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To begin with, I will better my time management by developing an elaborate study plan at the outset of every assignment. This will assist me in setting aside adequate time to do research, analysis and writing to avoid the last-minute stress.</w:t>
      </w:r>
    </w:p>
    <w:p w14:paraId="02659D5E"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Secondly, I will work on the development of my critical thinking skills. I will also strive to do more than describe, and I will be conscious of how important and relevant the information I give is. This will be possible through posing questions like 'Why is this important?' and 'What will this mean to the industry or company?'</w:t>
      </w:r>
    </w:p>
    <w:p w14:paraId="0F52CF55"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Thirdly, I will develop better referencing skills by referencing the use of reference management tools and also keenly examining the citation styles. To be an academically credible source, it is necessary to make sure that Harvard referencing is consistent.</w:t>
      </w:r>
    </w:p>
    <w:p w14:paraId="76E89B7D" w14:textId="77777777" w:rsidR="00CB1021" w:rsidRPr="00CB1021" w:rsidRDefault="00CB1021" w:rsidP="00CB1021">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lastRenderedPageBreak/>
        <w:t>I will also still apply frameworks that have been in use, like the Porter's Diamond Model and PESTLE analysis, because they offer some structure in the analysis of a complex business environment.</w:t>
      </w:r>
    </w:p>
    <w:p w14:paraId="2CA26FE3" w14:textId="43BEB099" w:rsidR="005E1FC9" w:rsidRPr="008A70BC" w:rsidRDefault="00CB1021" w:rsidP="005E1FC9">
      <w:pPr>
        <w:spacing w:before="240" w:line="360" w:lineRule="auto"/>
        <w:jc w:val="both"/>
        <w:rPr>
          <w:rFonts w:ascii="Arial" w:hAnsi="Arial" w:cs="Arial"/>
          <w:color w:val="000000" w:themeColor="text1"/>
          <w:sz w:val="24"/>
          <w:szCs w:val="24"/>
          <w:lang w:val="en-US"/>
        </w:rPr>
      </w:pPr>
      <w:r w:rsidRPr="00CB1021">
        <w:rPr>
          <w:rFonts w:ascii="Arial" w:hAnsi="Arial" w:cs="Arial"/>
          <w:color w:val="000000" w:themeColor="text1"/>
          <w:sz w:val="24"/>
          <w:szCs w:val="24"/>
          <w:lang w:val="en-US"/>
        </w:rPr>
        <w:t>Lastly, I will also use the feedback provided by tutors and peers to pinpoint the areas that I need to improve on and ensure that I improve my work.</w:t>
      </w:r>
    </w:p>
    <w:p w14:paraId="6EAB167A" w14:textId="77777777" w:rsidR="005E1FC9" w:rsidRPr="00833DE5" w:rsidRDefault="005E1FC9" w:rsidP="005E1FC9">
      <w:pPr>
        <w:spacing w:before="240" w:line="360" w:lineRule="auto"/>
        <w:jc w:val="both"/>
        <w:rPr>
          <w:rFonts w:ascii="Arial" w:hAnsi="Arial" w:cs="Arial"/>
          <w:color w:val="000000" w:themeColor="text1"/>
          <w:sz w:val="24"/>
          <w:szCs w:val="24"/>
          <w:lang w:val="en-US"/>
        </w:rPr>
      </w:pPr>
      <w:r w:rsidRPr="008D3FC7">
        <w:rPr>
          <w:rFonts w:ascii="Arial" w:hAnsi="Arial" w:cs="Arial"/>
          <w:color w:val="000000" w:themeColor="text1"/>
          <w:sz w:val="24"/>
          <w:szCs w:val="24"/>
        </w:rPr>
        <w:br w:type="page"/>
      </w:r>
    </w:p>
    <w:p w14:paraId="348A3D4F" w14:textId="77777777" w:rsidR="005E1FC9" w:rsidRPr="00294F8F" w:rsidRDefault="005E1FC9" w:rsidP="0098300F">
      <w:pPr>
        <w:pStyle w:val="Heading1"/>
      </w:pPr>
      <w:bookmarkStart w:id="26" w:name="_Toc227699214"/>
      <w:r w:rsidRPr="0098300F">
        <w:lastRenderedPageBreak/>
        <w:t>Reference</w:t>
      </w:r>
      <w:bookmarkEnd w:id="26"/>
    </w:p>
    <w:p w14:paraId="2F091973"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Australian Automotive Dealer Association (2023) </w:t>
      </w:r>
      <w:r w:rsidRPr="0000554F">
        <w:rPr>
          <w:rFonts w:ascii="Arial" w:hAnsi="Arial" w:cs="Arial"/>
          <w:i/>
          <w:iCs/>
          <w:color w:val="000000" w:themeColor="text1"/>
          <w:lang w:val="en-US"/>
        </w:rPr>
        <w:t>Industry Workforce Report</w:t>
      </w:r>
      <w:r w:rsidRPr="0000554F">
        <w:rPr>
          <w:rFonts w:ascii="Arial" w:hAnsi="Arial" w:cs="Arial"/>
          <w:color w:val="000000" w:themeColor="text1"/>
          <w:lang w:val="en-US"/>
        </w:rPr>
        <w:t xml:space="preserve">. [online] Available at: </w:t>
      </w:r>
      <w:hyperlink r:id="rId13" w:tgtFrame="_blank" w:history="1">
        <w:r w:rsidRPr="0000554F">
          <w:rPr>
            <w:rStyle w:val="Hyperlink"/>
            <w:rFonts w:ascii="Arial" w:hAnsi="Arial" w:cs="Arial"/>
            <w:lang w:val="en-US"/>
          </w:rPr>
          <w:t>https://www.aada.asn.au</w:t>
        </w:r>
      </w:hyperlink>
      <w:r w:rsidRPr="0000554F">
        <w:rPr>
          <w:rFonts w:ascii="Arial" w:hAnsi="Arial" w:cs="Arial"/>
          <w:color w:val="000000" w:themeColor="text1"/>
          <w:lang w:val="en-US"/>
        </w:rPr>
        <w:t xml:space="preserve"> [Accessed 14 April 2026].</w:t>
      </w:r>
    </w:p>
    <w:p w14:paraId="0B2213B1"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Department of Infrastructure (2023) </w:t>
      </w:r>
      <w:r w:rsidRPr="0000554F">
        <w:rPr>
          <w:rFonts w:ascii="Arial" w:hAnsi="Arial" w:cs="Arial"/>
          <w:i/>
          <w:iCs/>
          <w:color w:val="000000" w:themeColor="text1"/>
          <w:lang w:val="en-US"/>
        </w:rPr>
        <w:t>Future Fuels Strategy</w:t>
      </w:r>
      <w:r w:rsidRPr="0000554F">
        <w:rPr>
          <w:rFonts w:ascii="Arial" w:hAnsi="Arial" w:cs="Arial"/>
          <w:color w:val="000000" w:themeColor="text1"/>
          <w:lang w:val="en-US"/>
        </w:rPr>
        <w:t xml:space="preserve">. [online] Canberra: Australian Government. Available at: </w:t>
      </w:r>
      <w:hyperlink r:id="rId14" w:tgtFrame="_blank" w:history="1">
        <w:r w:rsidRPr="0000554F">
          <w:rPr>
            <w:rStyle w:val="Hyperlink"/>
            <w:rFonts w:ascii="Arial" w:hAnsi="Arial" w:cs="Arial"/>
            <w:lang w:val="en-US"/>
          </w:rPr>
          <w:t>https://www.infrastructure.gov.au</w:t>
        </w:r>
      </w:hyperlink>
      <w:r w:rsidRPr="0000554F">
        <w:rPr>
          <w:rFonts w:ascii="Arial" w:hAnsi="Arial" w:cs="Arial"/>
          <w:color w:val="000000" w:themeColor="text1"/>
          <w:lang w:val="en-US"/>
        </w:rPr>
        <w:t xml:space="preserve"> [Accessed 14 April 2026].</w:t>
      </w:r>
    </w:p>
    <w:p w14:paraId="355A28A5"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Ford Motor Company (2023) </w:t>
      </w:r>
      <w:r w:rsidRPr="0000554F">
        <w:rPr>
          <w:rFonts w:ascii="Arial" w:hAnsi="Arial" w:cs="Arial"/>
          <w:i/>
          <w:iCs/>
          <w:color w:val="000000" w:themeColor="text1"/>
          <w:lang w:val="en-US"/>
        </w:rPr>
        <w:t>Integrated Sustainability and Financial Report 2023</w:t>
      </w:r>
      <w:r w:rsidRPr="0000554F">
        <w:rPr>
          <w:rFonts w:ascii="Arial" w:hAnsi="Arial" w:cs="Arial"/>
          <w:color w:val="000000" w:themeColor="text1"/>
          <w:lang w:val="en-US"/>
        </w:rPr>
        <w:t xml:space="preserve">. [online] Available at: </w:t>
      </w:r>
      <w:hyperlink r:id="rId15" w:tgtFrame="_blank" w:history="1">
        <w:r w:rsidRPr="0000554F">
          <w:rPr>
            <w:rStyle w:val="Hyperlink"/>
            <w:rFonts w:ascii="Arial" w:hAnsi="Arial" w:cs="Arial"/>
            <w:lang w:val="en-US"/>
          </w:rPr>
          <w:t>https://www.ford.com</w:t>
        </w:r>
      </w:hyperlink>
      <w:r w:rsidRPr="0000554F">
        <w:rPr>
          <w:rFonts w:ascii="Arial" w:hAnsi="Arial" w:cs="Arial"/>
          <w:color w:val="000000" w:themeColor="text1"/>
          <w:lang w:val="en-US"/>
        </w:rPr>
        <w:t xml:space="preserve"> [Accessed 14 April 2026].</w:t>
      </w:r>
    </w:p>
    <w:p w14:paraId="5ED61662"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Hyundai Motor Company (2023) </w:t>
      </w:r>
      <w:r w:rsidRPr="0000554F">
        <w:rPr>
          <w:rFonts w:ascii="Arial" w:hAnsi="Arial" w:cs="Arial"/>
          <w:i/>
          <w:iCs/>
          <w:color w:val="000000" w:themeColor="text1"/>
          <w:lang w:val="en-US"/>
        </w:rPr>
        <w:t>Annual Report 2023-24: Future Mobility, Driven by Innovation</w:t>
      </w:r>
      <w:r w:rsidRPr="0000554F">
        <w:rPr>
          <w:rFonts w:ascii="Arial" w:hAnsi="Arial" w:cs="Arial"/>
          <w:color w:val="000000" w:themeColor="text1"/>
          <w:lang w:val="en-US"/>
        </w:rPr>
        <w:t xml:space="preserve">. [online] Available at: </w:t>
      </w:r>
      <w:hyperlink r:id="rId16" w:tgtFrame="_blank" w:history="1">
        <w:r w:rsidRPr="0000554F">
          <w:rPr>
            <w:rStyle w:val="Hyperlink"/>
            <w:rFonts w:ascii="Arial" w:hAnsi="Arial" w:cs="Arial"/>
            <w:lang w:val="en-US"/>
          </w:rPr>
          <w:t>https://www.hyundai.com</w:t>
        </w:r>
      </w:hyperlink>
      <w:r w:rsidRPr="0000554F">
        <w:rPr>
          <w:rFonts w:ascii="Arial" w:hAnsi="Arial" w:cs="Arial"/>
          <w:color w:val="000000" w:themeColor="text1"/>
          <w:lang w:val="en-US"/>
        </w:rPr>
        <w:t xml:space="preserve"> [Accessed 14 April 2026].</w:t>
      </w:r>
    </w:p>
    <w:p w14:paraId="5625A2A3"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International Energy Agency (2024) </w:t>
      </w:r>
      <w:r w:rsidRPr="0000554F">
        <w:rPr>
          <w:rFonts w:ascii="Arial" w:hAnsi="Arial" w:cs="Arial"/>
          <w:i/>
          <w:iCs/>
          <w:color w:val="000000" w:themeColor="text1"/>
          <w:lang w:val="en-US"/>
        </w:rPr>
        <w:t>Global EV Outlook 2024: Moving towards increased affordability</w:t>
      </w:r>
      <w:r w:rsidRPr="0000554F">
        <w:rPr>
          <w:rFonts w:ascii="Arial" w:hAnsi="Arial" w:cs="Arial"/>
          <w:color w:val="000000" w:themeColor="text1"/>
          <w:lang w:val="en-US"/>
        </w:rPr>
        <w:t xml:space="preserve">. [online] Paris: IEA. Available at: </w:t>
      </w:r>
      <w:hyperlink r:id="rId17" w:tgtFrame="_blank" w:history="1">
        <w:r w:rsidRPr="0000554F">
          <w:rPr>
            <w:rStyle w:val="Hyperlink"/>
            <w:rFonts w:ascii="Arial" w:hAnsi="Arial" w:cs="Arial"/>
            <w:lang w:val="en-US"/>
          </w:rPr>
          <w:t>https://www.iea.org</w:t>
        </w:r>
      </w:hyperlink>
      <w:r w:rsidRPr="0000554F">
        <w:rPr>
          <w:rFonts w:ascii="Arial" w:hAnsi="Arial" w:cs="Arial"/>
          <w:color w:val="000000" w:themeColor="text1"/>
          <w:lang w:val="en-US"/>
        </w:rPr>
        <w:t xml:space="preserve"> [Accessed 14 April 2026].</w:t>
      </w:r>
    </w:p>
    <w:p w14:paraId="7CDD3CC6"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Productivity Commission (2021) </w:t>
      </w:r>
      <w:r w:rsidRPr="0000554F">
        <w:rPr>
          <w:rFonts w:ascii="Arial" w:hAnsi="Arial" w:cs="Arial"/>
          <w:i/>
          <w:iCs/>
          <w:color w:val="000000" w:themeColor="text1"/>
          <w:lang w:val="en-US"/>
        </w:rPr>
        <w:t>Trade and Assistance Review 2021-22</w:t>
      </w:r>
      <w:r w:rsidRPr="0000554F">
        <w:rPr>
          <w:rFonts w:ascii="Arial" w:hAnsi="Arial" w:cs="Arial"/>
          <w:color w:val="000000" w:themeColor="text1"/>
          <w:lang w:val="en-US"/>
        </w:rPr>
        <w:t xml:space="preserve">. [online] Canberra: Australian Government. Available at: </w:t>
      </w:r>
      <w:hyperlink r:id="rId18" w:tgtFrame="_blank" w:history="1">
        <w:r w:rsidRPr="0000554F">
          <w:rPr>
            <w:rStyle w:val="Hyperlink"/>
            <w:rFonts w:ascii="Arial" w:hAnsi="Arial" w:cs="Arial"/>
            <w:lang w:val="en-US"/>
          </w:rPr>
          <w:t>https://www.pc.gov.au</w:t>
        </w:r>
      </w:hyperlink>
      <w:r w:rsidRPr="0000554F">
        <w:rPr>
          <w:rFonts w:ascii="Arial" w:hAnsi="Arial" w:cs="Arial"/>
          <w:color w:val="000000" w:themeColor="text1"/>
          <w:lang w:val="en-US"/>
        </w:rPr>
        <w:t xml:space="preserve"> [Accessed 14 April 2026].</w:t>
      </w:r>
    </w:p>
    <w:p w14:paraId="212D9495" w14:textId="7EAF5380"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Statista (2024) </w:t>
      </w:r>
      <w:r w:rsidRPr="00525617">
        <w:rPr>
          <w:rFonts w:ascii="Arial" w:hAnsi="Arial" w:cs="Arial"/>
          <w:i/>
          <w:iCs/>
          <w:color w:val="000000" w:themeColor="text1"/>
          <w:lang w:val="en-US"/>
        </w:rPr>
        <w:t>Automotive Market Revenue Australia</w:t>
      </w:r>
      <w:r w:rsidRPr="00525617">
        <w:rPr>
          <w:rFonts w:ascii="Arial" w:hAnsi="Arial" w:cs="Arial"/>
          <w:color w:val="000000" w:themeColor="text1"/>
          <w:lang w:val="en-US"/>
        </w:rPr>
        <w:t xml:space="preserve">. Available at: </w:t>
      </w:r>
      <w:hyperlink r:id="rId19" w:tgtFrame="_new" w:history="1">
        <w:r w:rsidRPr="00525617">
          <w:rPr>
            <w:rStyle w:val="Hyperlink"/>
            <w:rFonts w:ascii="Arial" w:hAnsi="Arial" w:cs="Arial"/>
            <w:lang w:val="en-US"/>
          </w:rPr>
          <w:t>https://www.statista.com</w:t>
        </w:r>
      </w:hyperlink>
    </w:p>
    <w:p w14:paraId="6CA9D917"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Tesla Inc. (2024) </w:t>
      </w:r>
      <w:r w:rsidRPr="00525617">
        <w:rPr>
          <w:rFonts w:ascii="Arial" w:hAnsi="Arial" w:cs="Arial"/>
          <w:i/>
          <w:iCs/>
          <w:color w:val="000000" w:themeColor="text1"/>
          <w:lang w:val="en-US"/>
        </w:rPr>
        <w:t>Annual Report 2024</w:t>
      </w:r>
      <w:r w:rsidRPr="00525617">
        <w:rPr>
          <w:rFonts w:ascii="Arial" w:hAnsi="Arial" w:cs="Arial"/>
          <w:color w:val="000000" w:themeColor="text1"/>
          <w:lang w:val="en-US"/>
        </w:rPr>
        <w:t xml:space="preserve">. Available at: </w:t>
      </w:r>
      <w:hyperlink r:id="rId20" w:tgtFrame="_new" w:history="1">
        <w:r w:rsidRPr="00525617">
          <w:rPr>
            <w:rStyle w:val="Hyperlink"/>
            <w:rFonts w:ascii="Arial" w:hAnsi="Arial" w:cs="Arial"/>
            <w:lang w:val="en-US"/>
          </w:rPr>
          <w:t>https://www.tesla.com</w:t>
        </w:r>
      </w:hyperlink>
    </w:p>
    <w:p w14:paraId="4AFA33B4"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Toyota Motor Corporation (2024) </w:t>
      </w:r>
      <w:r w:rsidRPr="00525617">
        <w:rPr>
          <w:rFonts w:ascii="Arial" w:hAnsi="Arial" w:cs="Arial"/>
          <w:i/>
          <w:iCs/>
          <w:color w:val="000000" w:themeColor="text1"/>
          <w:lang w:val="en-US"/>
        </w:rPr>
        <w:t>Annual Report 2024</w:t>
      </w:r>
      <w:r w:rsidRPr="00525617">
        <w:rPr>
          <w:rFonts w:ascii="Arial" w:hAnsi="Arial" w:cs="Arial"/>
          <w:color w:val="000000" w:themeColor="text1"/>
          <w:lang w:val="en-US"/>
        </w:rPr>
        <w:t xml:space="preserve">. Available at: </w:t>
      </w:r>
      <w:hyperlink r:id="rId21" w:tgtFrame="_new" w:history="1">
        <w:r w:rsidRPr="00525617">
          <w:rPr>
            <w:rStyle w:val="Hyperlink"/>
            <w:rFonts w:ascii="Arial" w:hAnsi="Arial" w:cs="Arial"/>
            <w:lang w:val="en-US"/>
          </w:rPr>
          <w:t>https://www.toyota-global.com</w:t>
        </w:r>
      </w:hyperlink>
    </w:p>
    <w:p w14:paraId="096AFE8B"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Cockatoo (2023) </w:t>
      </w:r>
      <w:r w:rsidRPr="00525617">
        <w:rPr>
          <w:rFonts w:ascii="Arial" w:hAnsi="Arial" w:cs="Arial"/>
          <w:i/>
          <w:iCs/>
          <w:color w:val="000000" w:themeColor="text1"/>
          <w:lang w:val="en-US"/>
        </w:rPr>
        <w:t>Porter Diamond in Australia</w:t>
      </w:r>
      <w:r w:rsidRPr="00525617">
        <w:rPr>
          <w:rFonts w:ascii="Arial" w:hAnsi="Arial" w:cs="Arial"/>
          <w:color w:val="000000" w:themeColor="text1"/>
          <w:lang w:val="en-US"/>
        </w:rPr>
        <w:t xml:space="preserve">. Available at: </w:t>
      </w:r>
      <w:hyperlink r:id="rId22" w:tgtFrame="_new" w:history="1">
        <w:r w:rsidRPr="00525617">
          <w:rPr>
            <w:rStyle w:val="Hyperlink"/>
            <w:rFonts w:ascii="Arial" w:hAnsi="Arial" w:cs="Arial"/>
            <w:lang w:val="en-US"/>
          </w:rPr>
          <w:t>https://cockatoo.com.au/porter-diamond-australia-competitive-advantage-2025/</w:t>
        </w:r>
      </w:hyperlink>
    </w:p>
    <w:p w14:paraId="5F4272C2"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MarketLine (2023) </w:t>
      </w:r>
      <w:r w:rsidRPr="00525617">
        <w:rPr>
          <w:rFonts w:ascii="Arial" w:hAnsi="Arial" w:cs="Arial"/>
          <w:i/>
          <w:iCs/>
          <w:color w:val="000000" w:themeColor="text1"/>
          <w:lang w:val="en-US"/>
        </w:rPr>
        <w:t>Australia Automotive Aftermarket Report</w:t>
      </w:r>
      <w:r w:rsidRPr="00525617">
        <w:rPr>
          <w:rFonts w:ascii="Arial" w:hAnsi="Arial" w:cs="Arial"/>
          <w:color w:val="000000" w:themeColor="text1"/>
          <w:lang w:val="en-US"/>
        </w:rPr>
        <w:t xml:space="preserve">. Available at: </w:t>
      </w:r>
      <w:hyperlink r:id="rId23" w:tgtFrame="_new" w:history="1">
        <w:r w:rsidRPr="00525617">
          <w:rPr>
            <w:rStyle w:val="Hyperlink"/>
            <w:rFonts w:ascii="Arial" w:hAnsi="Arial" w:cs="Arial"/>
            <w:lang w:val="en-US"/>
          </w:rPr>
          <w:t>https://www.scotts-international.com</w:t>
        </w:r>
      </w:hyperlink>
    </w:p>
    <w:p w14:paraId="1FF9D139" w14:textId="77777777" w:rsidR="00525617" w:rsidRPr="00525617" w:rsidRDefault="00525617" w:rsidP="00525617">
      <w:pPr>
        <w:pStyle w:val="NormalWeb"/>
        <w:spacing w:line="360" w:lineRule="auto"/>
        <w:rPr>
          <w:rFonts w:ascii="Arial" w:hAnsi="Arial" w:cs="Arial"/>
          <w:color w:val="000000" w:themeColor="text1"/>
          <w:lang w:val="en-US"/>
        </w:rPr>
      </w:pPr>
      <w:proofErr w:type="spellStart"/>
      <w:r w:rsidRPr="00525617">
        <w:rPr>
          <w:rFonts w:ascii="Arial" w:hAnsi="Arial" w:cs="Arial"/>
          <w:color w:val="000000" w:themeColor="text1"/>
          <w:lang w:val="en-US"/>
        </w:rPr>
        <w:lastRenderedPageBreak/>
        <w:t>WifiTalents</w:t>
      </w:r>
      <w:proofErr w:type="spellEnd"/>
      <w:r w:rsidRPr="00525617">
        <w:rPr>
          <w:rFonts w:ascii="Arial" w:hAnsi="Arial" w:cs="Arial"/>
          <w:color w:val="000000" w:themeColor="text1"/>
          <w:lang w:val="en-US"/>
        </w:rPr>
        <w:t xml:space="preserve"> (2026) </w:t>
      </w:r>
      <w:r w:rsidRPr="00525617">
        <w:rPr>
          <w:rFonts w:ascii="Arial" w:hAnsi="Arial" w:cs="Arial"/>
          <w:i/>
          <w:iCs/>
          <w:color w:val="000000" w:themeColor="text1"/>
          <w:lang w:val="en-US"/>
        </w:rPr>
        <w:t>Australian Automotive Industry Statistics</w:t>
      </w:r>
      <w:r w:rsidRPr="00525617">
        <w:rPr>
          <w:rFonts w:ascii="Arial" w:hAnsi="Arial" w:cs="Arial"/>
          <w:color w:val="000000" w:themeColor="text1"/>
          <w:lang w:val="en-US"/>
        </w:rPr>
        <w:t xml:space="preserve">. Available at: </w:t>
      </w:r>
      <w:hyperlink r:id="rId24" w:tgtFrame="_new" w:history="1">
        <w:r w:rsidRPr="00525617">
          <w:rPr>
            <w:rStyle w:val="Hyperlink"/>
            <w:rFonts w:ascii="Arial" w:hAnsi="Arial" w:cs="Arial"/>
            <w:lang w:val="en-US"/>
          </w:rPr>
          <w:t>https://wifitalents.com</w:t>
        </w:r>
      </w:hyperlink>
    </w:p>
    <w:p w14:paraId="4DDC4A5A" w14:textId="77777777" w:rsidR="00525617" w:rsidRPr="00525617" w:rsidRDefault="00525617" w:rsidP="00525617">
      <w:pPr>
        <w:pStyle w:val="NormalWeb"/>
        <w:spacing w:line="360" w:lineRule="auto"/>
        <w:rPr>
          <w:rFonts w:ascii="Arial" w:hAnsi="Arial" w:cs="Arial"/>
          <w:color w:val="000000" w:themeColor="text1"/>
          <w:lang w:val="en-US"/>
        </w:rPr>
      </w:pPr>
      <w:proofErr w:type="spellStart"/>
      <w:r w:rsidRPr="00525617">
        <w:rPr>
          <w:rFonts w:ascii="Arial" w:hAnsi="Arial" w:cs="Arial"/>
          <w:color w:val="000000" w:themeColor="text1"/>
          <w:lang w:val="en-US"/>
        </w:rPr>
        <w:t>Hivelr</w:t>
      </w:r>
      <w:proofErr w:type="spellEnd"/>
      <w:r w:rsidRPr="00525617">
        <w:rPr>
          <w:rFonts w:ascii="Arial" w:hAnsi="Arial" w:cs="Arial"/>
          <w:color w:val="000000" w:themeColor="text1"/>
          <w:lang w:val="en-US"/>
        </w:rPr>
        <w:t xml:space="preserve"> (2024) </w:t>
      </w:r>
      <w:r w:rsidRPr="00525617">
        <w:rPr>
          <w:rFonts w:ascii="Arial" w:hAnsi="Arial" w:cs="Arial"/>
          <w:i/>
          <w:iCs/>
          <w:color w:val="000000" w:themeColor="text1"/>
          <w:lang w:val="en-US"/>
        </w:rPr>
        <w:t>Porter’s Diamond Model Australia</w:t>
      </w:r>
      <w:r w:rsidRPr="00525617">
        <w:rPr>
          <w:rFonts w:ascii="Arial" w:hAnsi="Arial" w:cs="Arial"/>
          <w:color w:val="000000" w:themeColor="text1"/>
          <w:lang w:val="en-US"/>
        </w:rPr>
        <w:t xml:space="preserve">. Available at: </w:t>
      </w:r>
      <w:hyperlink r:id="rId25" w:tgtFrame="_new" w:history="1">
        <w:r w:rsidRPr="00525617">
          <w:rPr>
            <w:rStyle w:val="Hyperlink"/>
            <w:rFonts w:ascii="Arial" w:hAnsi="Arial" w:cs="Arial"/>
            <w:lang w:val="en-US"/>
          </w:rPr>
          <w:t>https://www.hivelr.com</w:t>
        </w:r>
      </w:hyperlink>
    </w:p>
    <w:p w14:paraId="5D94B156"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Australian Treasury (2024) </w:t>
      </w:r>
      <w:r w:rsidRPr="00525617">
        <w:rPr>
          <w:rFonts w:ascii="Arial" w:hAnsi="Arial" w:cs="Arial"/>
          <w:i/>
          <w:iCs/>
          <w:color w:val="000000" w:themeColor="text1"/>
          <w:lang w:val="en-US"/>
        </w:rPr>
        <w:t>Tesla submission on production tax incentives</w:t>
      </w:r>
      <w:r w:rsidRPr="00525617">
        <w:rPr>
          <w:rFonts w:ascii="Arial" w:hAnsi="Arial" w:cs="Arial"/>
          <w:color w:val="000000" w:themeColor="text1"/>
          <w:lang w:val="en-US"/>
        </w:rPr>
        <w:t xml:space="preserve">. Available at: </w:t>
      </w:r>
      <w:hyperlink r:id="rId26" w:tgtFrame="_new" w:history="1">
        <w:r w:rsidRPr="00525617">
          <w:rPr>
            <w:rStyle w:val="Hyperlink"/>
            <w:rFonts w:ascii="Arial" w:hAnsi="Arial" w:cs="Arial"/>
            <w:lang w:val="en-US"/>
          </w:rPr>
          <w:t>https://treasury.gov.au</w:t>
        </w:r>
      </w:hyperlink>
    </w:p>
    <w:p w14:paraId="2C64115A"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Electric Vehicle Central (2025) </w:t>
      </w:r>
      <w:r w:rsidRPr="00525617">
        <w:rPr>
          <w:rFonts w:ascii="Arial" w:hAnsi="Arial" w:cs="Arial"/>
          <w:i/>
          <w:iCs/>
          <w:color w:val="000000" w:themeColor="text1"/>
          <w:lang w:val="en-US"/>
        </w:rPr>
        <w:t>EV sales in Australia</w:t>
      </w:r>
      <w:r w:rsidRPr="00525617">
        <w:rPr>
          <w:rFonts w:ascii="Arial" w:hAnsi="Arial" w:cs="Arial"/>
          <w:color w:val="000000" w:themeColor="text1"/>
          <w:lang w:val="en-US"/>
        </w:rPr>
        <w:t xml:space="preserve">. Available at: </w:t>
      </w:r>
      <w:hyperlink r:id="rId27" w:tgtFrame="_new" w:history="1">
        <w:r w:rsidRPr="00525617">
          <w:rPr>
            <w:rStyle w:val="Hyperlink"/>
            <w:rFonts w:ascii="Arial" w:hAnsi="Arial" w:cs="Arial"/>
            <w:lang w:val="en-US"/>
          </w:rPr>
          <w:t>https://evcentral.com.au</w:t>
        </w:r>
      </w:hyperlink>
      <w:r w:rsidRPr="00525617">
        <w:rPr>
          <w:rFonts w:ascii="Arial" w:hAnsi="Arial" w:cs="Arial"/>
          <w:color w:val="000000" w:themeColor="text1"/>
          <w:lang w:val="en-US"/>
        </w:rPr>
        <w:t xml:space="preserve"> </w:t>
      </w:r>
    </w:p>
    <w:p w14:paraId="662097A2" w14:textId="77777777" w:rsidR="00525617" w:rsidRPr="00525617" w:rsidRDefault="00525617" w:rsidP="00525617">
      <w:pPr>
        <w:pStyle w:val="NormalWeb"/>
        <w:spacing w:line="360" w:lineRule="auto"/>
        <w:rPr>
          <w:rFonts w:ascii="Arial" w:hAnsi="Arial" w:cs="Arial"/>
          <w:color w:val="000000" w:themeColor="text1"/>
          <w:lang w:val="en-US"/>
        </w:rPr>
      </w:pPr>
      <w:r w:rsidRPr="00525617">
        <w:rPr>
          <w:rFonts w:ascii="Arial" w:hAnsi="Arial" w:cs="Arial"/>
          <w:color w:val="000000" w:themeColor="text1"/>
          <w:lang w:val="en-US"/>
        </w:rPr>
        <w:t xml:space="preserve">Statista (2024) </w:t>
      </w:r>
      <w:r w:rsidRPr="00525617">
        <w:rPr>
          <w:rFonts w:ascii="Arial" w:hAnsi="Arial" w:cs="Arial"/>
          <w:i/>
          <w:iCs/>
          <w:color w:val="000000" w:themeColor="text1"/>
          <w:lang w:val="en-US"/>
        </w:rPr>
        <w:t>Automotive Industry Australia</w:t>
      </w:r>
      <w:r w:rsidRPr="00525617">
        <w:rPr>
          <w:rFonts w:ascii="Arial" w:hAnsi="Arial" w:cs="Arial"/>
          <w:color w:val="000000" w:themeColor="text1"/>
          <w:lang w:val="en-US"/>
        </w:rPr>
        <w:t xml:space="preserve">. Available at: </w:t>
      </w:r>
      <w:hyperlink r:id="rId28" w:tgtFrame="_new" w:history="1">
        <w:r w:rsidRPr="00525617">
          <w:rPr>
            <w:rStyle w:val="Hyperlink"/>
            <w:rFonts w:ascii="Arial" w:hAnsi="Arial" w:cs="Arial"/>
            <w:lang w:val="en-US"/>
          </w:rPr>
          <w:t>https://www.statista.com</w:t>
        </w:r>
      </w:hyperlink>
    </w:p>
    <w:p w14:paraId="789BEA12" w14:textId="77777777" w:rsidR="0000554F" w:rsidRPr="0000554F" w:rsidRDefault="0000554F" w:rsidP="0000554F">
      <w:pPr>
        <w:pStyle w:val="NormalWeb"/>
        <w:spacing w:line="360" w:lineRule="auto"/>
        <w:rPr>
          <w:rFonts w:ascii="Arial" w:hAnsi="Arial" w:cs="Arial"/>
          <w:color w:val="000000" w:themeColor="text1"/>
          <w:lang w:val="en-US"/>
        </w:rPr>
      </w:pPr>
      <w:proofErr w:type="spellStart"/>
      <w:r w:rsidRPr="0000554F">
        <w:rPr>
          <w:rFonts w:ascii="Arial" w:hAnsi="Arial" w:cs="Arial"/>
          <w:color w:val="000000" w:themeColor="text1"/>
          <w:lang w:val="en-US"/>
        </w:rPr>
        <w:t>AutoWorld</w:t>
      </w:r>
      <w:proofErr w:type="spellEnd"/>
      <w:r w:rsidRPr="0000554F">
        <w:rPr>
          <w:rFonts w:ascii="Arial" w:hAnsi="Arial" w:cs="Arial"/>
          <w:color w:val="000000" w:themeColor="text1"/>
          <w:lang w:val="en-US"/>
        </w:rPr>
        <w:t xml:space="preserve"> Journal (2025) </w:t>
      </w:r>
      <w:r w:rsidRPr="0000554F">
        <w:rPr>
          <w:rFonts w:ascii="Arial" w:hAnsi="Arial" w:cs="Arial"/>
          <w:i/>
          <w:iCs/>
          <w:color w:val="000000" w:themeColor="text1"/>
          <w:lang w:val="en-US"/>
        </w:rPr>
        <w:t>Tesla’s dynamic pricing strategy: Navigating market volatility</w:t>
      </w:r>
      <w:r w:rsidRPr="0000554F">
        <w:rPr>
          <w:rFonts w:ascii="Arial" w:hAnsi="Arial" w:cs="Arial"/>
          <w:color w:val="000000" w:themeColor="text1"/>
          <w:lang w:val="en-US"/>
        </w:rPr>
        <w:t xml:space="preserve">. [online] Available at: </w:t>
      </w:r>
      <w:hyperlink r:id="rId29" w:tgtFrame="_blank" w:history="1">
        <w:r w:rsidRPr="0000554F">
          <w:rPr>
            <w:rStyle w:val="Hyperlink"/>
            <w:rFonts w:ascii="Arial" w:hAnsi="Arial" w:cs="Arial"/>
            <w:lang w:val="en-US"/>
          </w:rPr>
          <w:t>https://www.autoworldjournal.com</w:t>
        </w:r>
      </w:hyperlink>
      <w:r w:rsidRPr="0000554F">
        <w:rPr>
          <w:rFonts w:ascii="Arial" w:hAnsi="Arial" w:cs="Arial"/>
          <w:color w:val="000000" w:themeColor="text1"/>
          <w:lang w:val="en-US"/>
        </w:rPr>
        <w:t xml:space="preserve"> [Accessed 14 April 2026].</w:t>
      </w:r>
    </w:p>
    <w:p w14:paraId="106FB352" w14:textId="77777777" w:rsidR="0000554F" w:rsidRPr="0000554F" w:rsidRDefault="0000554F" w:rsidP="0000554F">
      <w:pPr>
        <w:pStyle w:val="NormalWeb"/>
        <w:spacing w:line="360" w:lineRule="auto"/>
        <w:rPr>
          <w:rFonts w:ascii="Arial" w:hAnsi="Arial" w:cs="Arial"/>
          <w:color w:val="000000" w:themeColor="text1"/>
          <w:lang w:val="en-US"/>
        </w:rPr>
      </w:pPr>
      <w:proofErr w:type="spellStart"/>
      <w:r w:rsidRPr="0000554F">
        <w:rPr>
          <w:rFonts w:ascii="Arial" w:hAnsi="Arial" w:cs="Arial"/>
          <w:color w:val="000000" w:themeColor="text1"/>
          <w:lang w:val="en-US"/>
        </w:rPr>
        <w:t>CarExpert</w:t>
      </w:r>
      <w:proofErr w:type="spellEnd"/>
      <w:r w:rsidRPr="0000554F">
        <w:rPr>
          <w:rFonts w:ascii="Arial" w:hAnsi="Arial" w:cs="Arial"/>
          <w:color w:val="000000" w:themeColor="text1"/>
          <w:lang w:val="en-US"/>
        </w:rPr>
        <w:t xml:space="preserve"> (2025) </w:t>
      </w:r>
      <w:r w:rsidRPr="0000554F">
        <w:rPr>
          <w:rFonts w:ascii="Arial" w:hAnsi="Arial" w:cs="Arial"/>
          <w:i/>
          <w:iCs/>
          <w:color w:val="000000" w:themeColor="text1"/>
          <w:lang w:val="en-US"/>
        </w:rPr>
        <w:t xml:space="preserve">Tesla sales decline in Australia: </w:t>
      </w:r>
      <w:proofErr w:type="spellStart"/>
      <w:r w:rsidRPr="0000554F">
        <w:rPr>
          <w:rFonts w:ascii="Arial" w:hAnsi="Arial" w:cs="Arial"/>
          <w:i/>
          <w:iCs/>
          <w:color w:val="000000" w:themeColor="text1"/>
          <w:lang w:val="en-US"/>
        </w:rPr>
        <w:t>Analysing</w:t>
      </w:r>
      <w:proofErr w:type="spellEnd"/>
      <w:r w:rsidRPr="0000554F">
        <w:rPr>
          <w:rFonts w:ascii="Arial" w:hAnsi="Arial" w:cs="Arial"/>
          <w:i/>
          <w:iCs/>
          <w:color w:val="000000" w:themeColor="text1"/>
          <w:lang w:val="en-US"/>
        </w:rPr>
        <w:t xml:space="preserve"> the 2025 downturn</w:t>
      </w:r>
      <w:r w:rsidRPr="0000554F">
        <w:rPr>
          <w:rFonts w:ascii="Arial" w:hAnsi="Arial" w:cs="Arial"/>
          <w:color w:val="000000" w:themeColor="text1"/>
          <w:lang w:val="en-US"/>
        </w:rPr>
        <w:t xml:space="preserve">. [online] Available at: </w:t>
      </w:r>
      <w:hyperlink r:id="rId30" w:tgtFrame="_blank" w:history="1">
        <w:r w:rsidRPr="0000554F">
          <w:rPr>
            <w:rStyle w:val="Hyperlink"/>
            <w:rFonts w:ascii="Arial" w:hAnsi="Arial" w:cs="Arial"/>
            <w:lang w:val="en-US"/>
          </w:rPr>
          <w:t>https://www.carexpert.com.au</w:t>
        </w:r>
      </w:hyperlink>
      <w:r w:rsidRPr="0000554F">
        <w:rPr>
          <w:rFonts w:ascii="Arial" w:hAnsi="Arial" w:cs="Arial"/>
          <w:color w:val="000000" w:themeColor="text1"/>
          <w:lang w:val="en-US"/>
        </w:rPr>
        <w:t xml:space="preserve"> [Accessed 14 April 2026].</w:t>
      </w:r>
    </w:p>
    <w:p w14:paraId="283F1127"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The Driven (2025) </w:t>
      </w:r>
      <w:r w:rsidRPr="0000554F">
        <w:rPr>
          <w:rFonts w:ascii="Arial" w:hAnsi="Arial" w:cs="Arial"/>
          <w:i/>
          <w:iCs/>
          <w:color w:val="000000" w:themeColor="text1"/>
          <w:lang w:val="en-US"/>
        </w:rPr>
        <w:t>Australian EV sales data: Record breaking year for electric mobility</w:t>
      </w:r>
      <w:r w:rsidRPr="0000554F">
        <w:rPr>
          <w:rFonts w:ascii="Arial" w:hAnsi="Arial" w:cs="Arial"/>
          <w:color w:val="000000" w:themeColor="text1"/>
          <w:lang w:val="en-US"/>
        </w:rPr>
        <w:t xml:space="preserve">. [online] Available at: </w:t>
      </w:r>
      <w:hyperlink r:id="rId31" w:tgtFrame="_blank" w:history="1">
        <w:r w:rsidRPr="0000554F">
          <w:rPr>
            <w:rStyle w:val="Hyperlink"/>
            <w:rFonts w:ascii="Arial" w:hAnsi="Arial" w:cs="Arial"/>
            <w:lang w:val="en-US"/>
          </w:rPr>
          <w:t>https://thedriven.io</w:t>
        </w:r>
      </w:hyperlink>
      <w:r w:rsidRPr="0000554F">
        <w:rPr>
          <w:rFonts w:ascii="Arial" w:hAnsi="Arial" w:cs="Arial"/>
          <w:color w:val="000000" w:themeColor="text1"/>
          <w:lang w:val="en-US"/>
        </w:rPr>
        <w:t xml:space="preserve"> [Accessed 14 April 2026].</w:t>
      </w:r>
    </w:p>
    <w:p w14:paraId="1681E022"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The Guardian (2024) </w:t>
      </w:r>
      <w:r w:rsidRPr="0000554F">
        <w:rPr>
          <w:rFonts w:ascii="Arial" w:hAnsi="Arial" w:cs="Arial"/>
          <w:i/>
          <w:iCs/>
          <w:color w:val="000000" w:themeColor="text1"/>
          <w:lang w:val="en-US"/>
        </w:rPr>
        <w:t>Electric vehicle sales and global market trends: A 2024 overview</w:t>
      </w:r>
      <w:r w:rsidRPr="0000554F">
        <w:rPr>
          <w:rFonts w:ascii="Arial" w:hAnsi="Arial" w:cs="Arial"/>
          <w:color w:val="000000" w:themeColor="text1"/>
          <w:lang w:val="en-US"/>
        </w:rPr>
        <w:t xml:space="preserve">. [online] Available at: </w:t>
      </w:r>
      <w:hyperlink r:id="rId32" w:tgtFrame="_blank" w:history="1">
        <w:r w:rsidRPr="0000554F">
          <w:rPr>
            <w:rStyle w:val="Hyperlink"/>
            <w:rFonts w:ascii="Arial" w:hAnsi="Arial" w:cs="Arial"/>
            <w:lang w:val="en-US"/>
          </w:rPr>
          <w:t>https://www.theguardian.com</w:t>
        </w:r>
      </w:hyperlink>
      <w:r w:rsidRPr="0000554F">
        <w:rPr>
          <w:rFonts w:ascii="Arial" w:hAnsi="Arial" w:cs="Arial"/>
          <w:color w:val="000000" w:themeColor="text1"/>
          <w:lang w:val="en-US"/>
        </w:rPr>
        <w:t xml:space="preserve"> [Accessed 14 April 2026].</w:t>
      </w:r>
    </w:p>
    <w:p w14:paraId="0F803F76" w14:textId="77777777" w:rsidR="0000554F" w:rsidRPr="0000554F" w:rsidRDefault="0000554F" w:rsidP="0000554F">
      <w:pPr>
        <w:pStyle w:val="NormalWeb"/>
        <w:spacing w:line="360" w:lineRule="auto"/>
        <w:rPr>
          <w:rFonts w:ascii="Arial" w:hAnsi="Arial" w:cs="Arial"/>
          <w:color w:val="000000" w:themeColor="text1"/>
          <w:lang w:val="en-US"/>
        </w:rPr>
      </w:pPr>
      <w:proofErr w:type="spellStart"/>
      <w:r w:rsidRPr="0000554F">
        <w:rPr>
          <w:rFonts w:ascii="Arial" w:hAnsi="Arial" w:cs="Arial"/>
          <w:color w:val="000000" w:themeColor="text1"/>
          <w:lang w:val="en-US"/>
        </w:rPr>
        <w:t>Zecar</w:t>
      </w:r>
      <w:proofErr w:type="spellEnd"/>
      <w:r w:rsidRPr="0000554F">
        <w:rPr>
          <w:rFonts w:ascii="Arial" w:hAnsi="Arial" w:cs="Arial"/>
          <w:color w:val="000000" w:themeColor="text1"/>
          <w:lang w:val="en-US"/>
        </w:rPr>
        <w:t xml:space="preserve"> (2024) </w:t>
      </w:r>
      <w:r w:rsidRPr="0000554F">
        <w:rPr>
          <w:rFonts w:ascii="Arial" w:hAnsi="Arial" w:cs="Arial"/>
          <w:i/>
          <w:iCs/>
          <w:color w:val="000000" w:themeColor="text1"/>
          <w:lang w:val="en-US"/>
        </w:rPr>
        <w:t>EV sales growth in Australia: Trends and projections for the decade</w:t>
      </w:r>
      <w:r w:rsidRPr="0000554F">
        <w:rPr>
          <w:rFonts w:ascii="Arial" w:hAnsi="Arial" w:cs="Arial"/>
          <w:color w:val="000000" w:themeColor="text1"/>
          <w:lang w:val="en-US"/>
        </w:rPr>
        <w:t xml:space="preserve">. [online] Available at: </w:t>
      </w:r>
      <w:hyperlink r:id="rId33" w:tgtFrame="_blank" w:history="1">
        <w:r w:rsidRPr="0000554F">
          <w:rPr>
            <w:rStyle w:val="Hyperlink"/>
            <w:rFonts w:ascii="Arial" w:hAnsi="Arial" w:cs="Arial"/>
            <w:lang w:val="en-US"/>
          </w:rPr>
          <w:t>https://zecar.com</w:t>
        </w:r>
      </w:hyperlink>
      <w:r w:rsidRPr="0000554F">
        <w:rPr>
          <w:rFonts w:ascii="Arial" w:hAnsi="Arial" w:cs="Arial"/>
          <w:color w:val="000000" w:themeColor="text1"/>
          <w:lang w:val="en-US"/>
        </w:rPr>
        <w:t xml:space="preserve"> [Accessed 14 April 2026].</w:t>
      </w:r>
    </w:p>
    <w:p w14:paraId="5AB27F39"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Carsales (2026) </w:t>
      </w:r>
      <w:r w:rsidRPr="0000554F">
        <w:rPr>
          <w:rFonts w:ascii="Arial" w:hAnsi="Arial" w:cs="Arial"/>
          <w:i/>
          <w:iCs/>
          <w:color w:val="000000" w:themeColor="text1"/>
          <w:lang w:val="en-US"/>
        </w:rPr>
        <w:t>EV consideration skyrockets in Australia</w:t>
      </w:r>
      <w:r w:rsidRPr="0000554F">
        <w:rPr>
          <w:rFonts w:ascii="Arial" w:hAnsi="Arial" w:cs="Arial"/>
          <w:color w:val="000000" w:themeColor="text1"/>
          <w:lang w:val="en-US"/>
        </w:rPr>
        <w:t xml:space="preserve">. [online] Available at: </w:t>
      </w:r>
      <w:hyperlink r:id="rId34" w:tgtFrame="_blank" w:history="1">
        <w:r w:rsidRPr="0000554F">
          <w:rPr>
            <w:rStyle w:val="Hyperlink"/>
            <w:rFonts w:ascii="Arial" w:hAnsi="Arial" w:cs="Arial"/>
            <w:lang w:val="en-US"/>
          </w:rPr>
          <w:t>https://www.carsales.com.au/editorial/details/ev-consideration-skyrockets-in-australia-151687/</w:t>
        </w:r>
      </w:hyperlink>
      <w:r w:rsidRPr="0000554F">
        <w:rPr>
          <w:rFonts w:ascii="Arial" w:hAnsi="Arial" w:cs="Arial"/>
          <w:color w:val="000000" w:themeColor="text1"/>
          <w:lang w:val="en-US"/>
        </w:rPr>
        <w:t xml:space="preserve"> [Accessed 14 April 2026].</w:t>
      </w:r>
    </w:p>
    <w:p w14:paraId="0CC78D52"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DCCEEW (2025) </w:t>
      </w:r>
      <w:r w:rsidRPr="0000554F">
        <w:rPr>
          <w:rFonts w:ascii="Arial" w:hAnsi="Arial" w:cs="Arial"/>
          <w:i/>
          <w:iCs/>
          <w:color w:val="000000" w:themeColor="text1"/>
          <w:lang w:val="en-US"/>
        </w:rPr>
        <w:t>National Electric Vehicle Strategy – Annual Update 2024-25</w:t>
      </w:r>
      <w:r w:rsidRPr="0000554F">
        <w:rPr>
          <w:rFonts w:ascii="Arial" w:hAnsi="Arial" w:cs="Arial"/>
          <w:color w:val="000000" w:themeColor="text1"/>
          <w:lang w:val="en-US"/>
        </w:rPr>
        <w:t xml:space="preserve">. [online] Department of Climate Change, Energy, the Environment and Water. Available at: </w:t>
      </w:r>
      <w:hyperlink r:id="rId35" w:tgtFrame="_blank" w:history="1">
        <w:r w:rsidRPr="0000554F">
          <w:rPr>
            <w:rStyle w:val="Hyperlink"/>
            <w:rFonts w:ascii="Arial" w:hAnsi="Arial" w:cs="Arial"/>
            <w:lang w:val="en-US"/>
          </w:rPr>
          <w:t>https://www.dcceew.gov.au/</w:t>
        </w:r>
      </w:hyperlink>
      <w:r w:rsidRPr="0000554F">
        <w:rPr>
          <w:rFonts w:ascii="Arial" w:hAnsi="Arial" w:cs="Arial"/>
          <w:color w:val="000000" w:themeColor="text1"/>
          <w:lang w:val="en-US"/>
        </w:rPr>
        <w:t xml:space="preserve"> [Accessed 14 April 2026].</w:t>
      </w:r>
    </w:p>
    <w:p w14:paraId="5E852D92"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lastRenderedPageBreak/>
        <w:t xml:space="preserve">Electric Vehicle Council (2025) </w:t>
      </w:r>
      <w:r w:rsidRPr="0000554F">
        <w:rPr>
          <w:rFonts w:ascii="Arial" w:hAnsi="Arial" w:cs="Arial"/>
          <w:i/>
          <w:iCs/>
          <w:color w:val="000000" w:themeColor="text1"/>
          <w:lang w:val="en-US"/>
        </w:rPr>
        <w:t>State of EVs 2025</w:t>
      </w:r>
      <w:r w:rsidRPr="0000554F">
        <w:rPr>
          <w:rFonts w:ascii="Arial" w:hAnsi="Arial" w:cs="Arial"/>
          <w:color w:val="000000" w:themeColor="text1"/>
          <w:lang w:val="en-US"/>
        </w:rPr>
        <w:t xml:space="preserve">. [online] Available at: </w:t>
      </w:r>
      <w:hyperlink r:id="rId36" w:tgtFrame="_blank" w:history="1">
        <w:r w:rsidRPr="0000554F">
          <w:rPr>
            <w:rStyle w:val="Hyperlink"/>
            <w:rFonts w:ascii="Arial" w:hAnsi="Arial" w:cs="Arial"/>
            <w:lang w:val="en-US"/>
          </w:rPr>
          <w:t>https://electricvehiclecouncil.com.au/</w:t>
        </w:r>
      </w:hyperlink>
      <w:r w:rsidRPr="0000554F">
        <w:rPr>
          <w:rFonts w:ascii="Arial" w:hAnsi="Arial" w:cs="Arial"/>
          <w:color w:val="000000" w:themeColor="text1"/>
          <w:lang w:val="en-US"/>
        </w:rPr>
        <w:t xml:space="preserve"> [Accessed 14 April 2026].</w:t>
      </w:r>
    </w:p>
    <w:p w14:paraId="36322F61" w14:textId="77777777" w:rsidR="0000554F" w:rsidRPr="0000554F" w:rsidRDefault="0000554F" w:rsidP="0000554F">
      <w:pPr>
        <w:pStyle w:val="NormalWeb"/>
        <w:spacing w:line="360" w:lineRule="auto"/>
        <w:rPr>
          <w:rFonts w:ascii="Arial" w:hAnsi="Arial" w:cs="Arial"/>
          <w:color w:val="000000" w:themeColor="text1"/>
          <w:lang w:val="en-US"/>
        </w:rPr>
      </w:pPr>
      <w:proofErr w:type="spellStart"/>
      <w:r w:rsidRPr="0000554F">
        <w:rPr>
          <w:rFonts w:ascii="Arial" w:hAnsi="Arial" w:cs="Arial"/>
          <w:color w:val="000000" w:themeColor="text1"/>
          <w:lang w:val="en-US"/>
        </w:rPr>
        <w:t>Farmonaut</w:t>
      </w:r>
      <w:proofErr w:type="spellEnd"/>
      <w:r w:rsidRPr="0000554F">
        <w:rPr>
          <w:rFonts w:ascii="Arial" w:hAnsi="Arial" w:cs="Arial"/>
          <w:color w:val="000000" w:themeColor="text1"/>
          <w:lang w:val="en-US"/>
        </w:rPr>
        <w:t xml:space="preserve"> (2025) </w:t>
      </w:r>
      <w:r w:rsidRPr="0000554F">
        <w:rPr>
          <w:rFonts w:ascii="Arial" w:hAnsi="Arial" w:cs="Arial"/>
          <w:i/>
          <w:iCs/>
          <w:color w:val="000000" w:themeColor="text1"/>
          <w:lang w:val="en-US"/>
        </w:rPr>
        <w:t>Lithium Mining 2025: Powering Australia’s Clean Future</w:t>
      </w:r>
      <w:r w:rsidRPr="0000554F">
        <w:rPr>
          <w:rFonts w:ascii="Arial" w:hAnsi="Arial" w:cs="Arial"/>
          <w:color w:val="000000" w:themeColor="text1"/>
          <w:lang w:val="en-US"/>
        </w:rPr>
        <w:t xml:space="preserve">. [online] Available at: </w:t>
      </w:r>
      <w:hyperlink r:id="rId37" w:tgtFrame="_blank" w:history="1">
        <w:r w:rsidRPr="0000554F">
          <w:rPr>
            <w:rStyle w:val="Hyperlink"/>
            <w:rFonts w:ascii="Arial" w:hAnsi="Arial" w:cs="Arial"/>
            <w:lang w:val="en-US"/>
          </w:rPr>
          <w:t>https://farmonaut.com/mining/lithium-mining-2025-powering-australias-clean-future</w:t>
        </w:r>
      </w:hyperlink>
      <w:r w:rsidRPr="0000554F">
        <w:rPr>
          <w:rFonts w:ascii="Arial" w:hAnsi="Arial" w:cs="Arial"/>
          <w:color w:val="000000" w:themeColor="text1"/>
          <w:lang w:val="en-US"/>
        </w:rPr>
        <w:t xml:space="preserve"> [Accessed 14 April 2026].</w:t>
      </w:r>
    </w:p>
    <w:p w14:paraId="3E5060F3"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IMARC Group (2025) </w:t>
      </w:r>
      <w:r w:rsidRPr="0000554F">
        <w:rPr>
          <w:rFonts w:ascii="Arial" w:hAnsi="Arial" w:cs="Arial"/>
          <w:i/>
          <w:iCs/>
          <w:color w:val="000000" w:themeColor="text1"/>
          <w:lang w:val="en-US"/>
        </w:rPr>
        <w:t>Australia Electric Vehicle Market Size and Share 2026-2034</w:t>
      </w:r>
      <w:r w:rsidRPr="0000554F">
        <w:rPr>
          <w:rFonts w:ascii="Arial" w:hAnsi="Arial" w:cs="Arial"/>
          <w:color w:val="000000" w:themeColor="text1"/>
          <w:lang w:val="en-US"/>
        </w:rPr>
        <w:t xml:space="preserve">. [online] Available at: </w:t>
      </w:r>
      <w:hyperlink r:id="rId38" w:tgtFrame="_blank" w:history="1">
        <w:r w:rsidRPr="0000554F">
          <w:rPr>
            <w:rStyle w:val="Hyperlink"/>
            <w:rFonts w:ascii="Arial" w:hAnsi="Arial" w:cs="Arial"/>
            <w:lang w:val="en-US"/>
          </w:rPr>
          <w:t>https://www.imarcgroup.com/australia-electric-vehicle-market</w:t>
        </w:r>
      </w:hyperlink>
      <w:r w:rsidRPr="0000554F">
        <w:rPr>
          <w:rFonts w:ascii="Arial" w:hAnsi="Arial" w:cs="Arial"/>
          <w:color w:val="000000" w:themeColor="text1"/>
          <w:lang w:val="en-US"/>
        </w:rPr>
        <w:t xml:space="preserve"> [Accessed 14 April 2026].</w:t>
      </w:r>
    </w:p>
    <w:p w14:paraId="2CA41369" w14:textId="77777777" w:rsidR="0000554F" w:rsidRPr="0000554F" w:rsidRDefault="0000554F" w:rsidP="0000554F">
      <w:pPr>
        <w:pStyle w:val="NormalWeb"/>
        <w:spacing w:line="360" w:lineRule="auto"/>
        <w:rPr>
          <w:rFonts w:ascii="Arial" w:hAnsi="Arial" w:cs="Arial"/>
          <w:color w:val="000000" w:themeColor="text1"/>
          <w:lang w:val="en-US"/>
        </w:rPr>
      </w:pPr>
      <w:r w:rsidRPr="0000554F">
        <w:rPr>
          <w:rFonts w:ascii="Arial" w:hAnsi="Arial" w:cs="Arial"/>
          <w:color w:val="000000" w:themeColor="text1"/>
          <w:lang w:val="en-US"/>
        </w:rPr>
        <w:t xml:space="preserve">Novated Lease Australia (2026) </w:t>
      </w:r>
      <w:r w:rsidRPr="0000554F">
        <w:rPr>
          <w:rFonts w:ascii="Arial" w:hAnsi="Arial" w:cs="Arial"/>
          <w:i/>
          <w:iCs/>
          <w:color w:val="000000" w:themeColor="text1"/>
          <w:lang w:val="en-US"/>
        </w:rPr>
        <w:t>EV Incentives Australia 2026 (State-By-State Guide)</w:t>
      </w:r>
      <w:r w:rsidRPr="0000554F">
        <w:rPr>
          <w:rFonts w:ascii="Arial" w:hAnsi="Arial" w:cs="Arial"/>
          <w:color w:val="000000" w:themeColor="text1"/>
          <w:lang w:val="en-US"/>
        </w:rPr>
        <w:t xml:space="preserve">. [online] Available at: </w:t>
      </w:r>
      <w:hyperlink r:id="rId39" w:tgtFrame="_blank" w:history="1">
        <w:r w:rsidRPr="0000554F">
          <w:rPr>
            <w:rStyle w:val="Hyperlink"/>
            <w:rFonts w:ascii="Arial" w:hAnsi="Arial" w:cs="Arial"/>
            <w:lang w:val="en-US"/>
          </w:rPr>
          <w:t>https://www.novatedleaseaustralia.com.au/electric-cars/ev-incentives</w:t>
        </w:r>
      </w:hyperlink>
      <w:r w:rsidRPr="0000554F">
        <w:rPr>
          <w:rFonts w:ascii="Arial" w:hAnsi="Arial" w:cs="Arial"/>
          <w:color w:val="000000" w:themeColor="text1"/>
          <w:lang w:val="en-US"/>
        </w:rPr>
        <w:t xml:space="preserve"> [Accessed 14 April 2026].</w:t>
      </w:r>
    </w:p>
    <w:p w14:paraId="7479902A" w14:textId="77777777" w:rsidR="0000554F" w:rsidRPr="00525617" w:rsidRDefault="0000554F" w:rsidP="00525617">
      <w:pPr>
        <w:pStyle w:val="NormalWeb"/>
        <w:spacing w:line="360" w:lineRule="auto"/>
        <w:rPr>
          <w:rFonts w:ascii="Arial" w:hAnsi="Arial" w:cs="Arial"/>
          <w:color w:val="000000" w:themeColor="text1"/>
          <w:lang w:val="en-US"/>
        </w:rPr>
      </w:pPr>
    </w:p>
    <w:p w14:paraId="3772C9A4" w14:textId="681830C6" w:rsidR="0078402D" w:rsidRPr="0078402D" w:rsidRDefault="0078402D" w:rsidP="00525617">
      <w:pPr>
        <w:pStyle w:val="NormalWeb"/>
        <w:spacing w:line="360" w:lineRule="auto"/>
        <w:rPr>
          <w:rFonts w:ascii="Arial" w:hAnsi="Arial" w:cs="Arial"/>
          <w:color w:val="000000" w:themeColor="text1"/>
          <w:lang w:val="en-US"/>
        </w:rPr>
      </w:pPr>
    </w:p>
    <w:sectPr w:rsidR="0078402D" w:rsidRPr="0078402D" w:rsidSect="005E1FC9">
      <w:footerReference w:type="default" r:id="rId4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05C47D" w14:textId="77777777" w:rsidR="00E36E05" w:rsidRDefault="00E36E05">
      <w:pPr>
        <w:spacing w:after="0" w:line="240" w:lineRule="auto"/>
      </w:pPr>
      <w:r>
        <w:separator/>
      </w:r>
    </w:p>
  </w:endnote>
  <w:endnote w:type="continuationSeparator" w:id="0">
    <w:p w14:paraId="52912CD1" w14:textId="77777777" w:rsidR="00E36E05" w:rsidRDefault="00E3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201291"/>
      <w:docPartObj>
        <w:docPartGallery w:val="Page Numbers (Bottom of Page)"/>
        <w:docPartUnique/>
      </w:docPartObj>
    </w:sdtPr>
    <w:sdtEndPr>
      <w:rPr>
        <w:noProof/>
      </w:rPr>
    </w:sdtEndPr>
    <w:sdtContent>
      <w:p w14:paraId="0C585559" w14:textId="77777777" w:rsidR="000C1A5C" w:rsidRDefault="000C1A5C">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3CEDDEC" w14:textId="77777777" w:rsidR="000C1A5C" w:rsidRDefault="000C1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76C6D" w14:textId="77777777" w:rsidR="00E36E05" w:rsidRDefault="00E36E05">
      <w:pPr>
        <w:spacing w:after="0" w:line="240" w:lineRule="auto"/>
      </w:pPr>
      <w:r>
        <w:separator/>
      </w:r>
    </w:p>
  </w:footnote>
  <w:footnote w:type="continuationSeparator" w:id="0">
    <w:p w14:paraId="5EBF2C92" w14:textId="77777777" w:rsidR="00E36E05" w:rsidRDefault="00E36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B4D9B"/>
    <w:multiLevelType w:val="hybridMultilevel"/>
    <w:tmpl w:val="04522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B63B3E"/>
    <w:multiLevelType w:val="hybridMultilevel"/>
    <w:tmpl w:val="0C34A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74701D"/>
    <w:multiLevelType w:val="hybridMultilevel"/>
    <w:tmpl w:val="3ED290B4"/>
    <w:lvl w:ilvl="0" w:tplc="C2CE0AA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3F5C7E"/>
    <w:multiLevelType w:val="hybridMultilevel"/>
    <w:tmpl w:val="2EBA0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050739"/>
    <w:multiLevelType w:val="hybridMultilevel"/>
    <w:tmpl w:val="68E2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FE598C"/>
    <w:multiLevelType w:val="hybridMultilevel"/>
    <w:tmpl w:val="1A9C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8A3E9C"/>
    <w:multiLevelType w:val="hybridMultilevel"/>
    <w:tmpl w:val="4FBC7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F242FD"/>
    <w:multiLevelType w:val="hybridMultilevel"/>
    <w:tmpl w:val="60C4B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946C8D"/>
    <w:multiLevelType w:val="hybridMultilevel"/>
    <w:tmpl w:val="6B98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082662"/>
    <w:multiLevelType w:val="hybridMultilevel"/>
    <w:tmpl w:val="4A400B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8AF09F7"/>
    <w:multiLevelType w:val="multilevel"/>
    <w:tmpl w:val="89D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F23EC"/>
    <w:multiLevelType w:val="hybridMultilevel"/>
    <w:tmpl w:val="752EC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A14CE1"/>
    <w:multiLevelType w:val="hybridMultilevel"/>
    <w:tmpl w:val="413E7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E824CB"/>
    <w:multiLevelType w:val="hybridMultilevel"/>
    <w:tmpl w:val="5926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353F32"/>
    <w:multiLevelType w:val="hybridMultilevel"/>
    <w:tmpl w:val="4AEA5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381D31"/>
    <w:multiLevelType w:val="hybridMultilevel"/>
    <w:tmpl w:val="1D687E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3DF15BD"/>
    <w:multiLevelType w:val="hybridMultilevel"/>
    <w:tmpl w:val="330C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9211B0"/>
    <w:multiLevelType w:val="multilevel"/>
    <w:tmpl w:val="89D67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4311BF"/>
    <w:multiLevelType w:val="hybridMultilevel"/>
    <w:tmpl w:val="6994E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8744BE"/>
    <w:multiLevelType w:val="hybridMultilevel"/>
    <w:tmpl w:val="E95A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40092C"/>
    <w:multiLevelType w:val="hybridMultilevel"/>
    <w:tmpl w:val="F88CA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F7C0BA4"/>
    <w:multiLevelType w:val="hybridMultilevel"/>
    <w:tmpl w:val="92E4B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1410369"/>
    <w:multiLevelType w:val="hybridMultilevel"/>
    <w:tmpl w:val="19D43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6737E9"/>
    <w:multiLevelType w:val="hybridMultilevel"/>
    <w:tmpl w:val="3424A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C834CFF"/>
    <w:multiLevelType w:val="hybridMultilevel"/>
    <w:tmpl w:val="44E6A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18744C"/>
    <w:multiLevelType w:val="hybridMultilevel"/>
    <w:tmpl w:val="D494B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C95AF0"/>
    <w:multiLevelType w:val="hybridMultilevel"/>
    <w:tmpl w:val="02420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8111970"/>
    <w:multiLevelType w:val="hybridMultilevel"/>
    <w:tmpl w:val="24E8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EDF2EFB"/>
    <w:multiLevelType w:val="hybridMultilevel"/>
    <w:tmpl w:val="12AE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0F83090"/>
    <w:multiLevelType w:val="hybridMultilevel"/>
    <w:tmpl w:val="60E4A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9F372A"/>
    <w:multiLevelType w:val="hybridMultilevel"/>
    <w:tmpl w:val="0BD8C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2F1164"/>
    <w:multiLevelType w:val="hybridMultilevel"/>
    <w:tmpl w:val="9AB8F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4BC308E"/>
    <w:multiLevelType w:val="hybridMultilevel"/>
    <w:tmpl w:val="FC948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532135"/>
    <w:multiLevelType w:val="hybridMultilevel"/>
    <w:tmpl w:val="4C640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F8E3EA3"/>
    <w:multiLevelType w:val="hybridMultilevel"/>
    <w:tmpl w:val="82F0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4"/>
  </w:num>
  <w:num w:numId="3">
    <w:abstractNumId w:val="34"/>
  </w:num>
  <w:num w:numId="4">
    <w:abstractNumId w:val="29"/>
  </w:num>
  <w:num w:numId="5">
    <w:abstractNumId w:val="35"/>
  </w:num>
  <w:num w:numId="6">
    <w:abstractNumId w:val="30"/>
  </w:num>
  <w:num w:numId="7">
    <w:abstractNumId w:val="21"/>
  </w:num>
  <w:num w:numId="8">
    <w:abstractNumId w:val="36"/>
  </w:num>
  <w:num w:numId="9">
    <w:abstractNumId w:val="5"/>
  </w:num>
  <w:num w:numId="10">
    <w:abstractNumId w:val="8"/>
  </w:num>
  <w:num w:numId="11">
    <w:abstractNumId w:val="2"/>
  </w:num>
  <w:num w:numId="12">
    <w:abstractNumId w:val="17"/>
  </w:num>
  <w:num w:numId="13">
    <w:abstractNumId w:val="11"/>
  </w:num>
  <w:num w:numId="14">
    <w:abstractNumId w:val="7"/>
  </w:num>
  <w:num w:numId="15">
    <w:abstractNumId w:val="15"/>
  </w:num>
  <w:num w:numId="16">
    <w:abstractNumId w:val="31"/>
  </w:num>
  <w:num w:numId="17">
    <w:abstractNumId w:val="32"/>
  </w:num>
  <w:num w:numId="18">
    <w:abstractNumId w:val="0"/>
  </w:num>
  <w:num w:numId="19">
    <w:abstractNumId w:val="6"/>
  </w:num>
  <w:num w:numId="20">
    <w:abstractNumId w:val="27"/>
  </w:num>
  <w:num w:numId="21">
    <w:abstractNumId w:val="4"/>
  </w:num>
  <w:num w:numId="22">
    <w:abstractNumId w:val="13"/>
  </w:num>
  <w:num w:numId="23">
    <w:abstractNumId w:val="25"/>
  </w:num>
  <w:num w:numId="24">
    <w:abstractNumId w:val="12"/>
  </w:num>
  <w:num w:numId="25">
    <w:abstractNumId w:val="28"/>
  </w:num>
  <w:num w:numId="26">
    <w:abstractNumId w:val="22"/>
  </w:num>
  <w:num w:numId="27">
    <w:abstractNumId w:val="1"/>
  </w:num>
  <w:num w:numId="28">
    <w:abstractNumId w:val="33"/>
  </w:num>
  <w:num w:numId="29">
    <w:abstractNumId w:val="23"/>
  </w:num>
  <w:num w:numId="30">
    <w:abstractNumId w:val="3"/>
  </w:num>
  <w:num w:numId="31">
    <w:abstractNumId w:val="24"/>
  </w:num>
  <w:num w:numId="32">
    <w:abstractNumId w:val="19"/>
  </w:num>
  <w:num w:numId="33">
    <w:abstractNumId w:val="10"/>
  </w:num>
  <w:num w:numId="34">
    <w:abstractNumId w:val="9"/>
  </w:num>
  <w:num w:numId="35">
    <w:abstractNumId w:val="16"/>
  </w:num>
  <w:num w:numId="36">
    <w:abstractNumId w:val="20"/>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49"/>
    <w:rsid w:val="0000554F"/>
    <w:rsid w:val="00023776"/>
    <w:rsid w:val="00035838"/>
    <w:rsid w:val="000563EC"/>
    <w:rsid w:val="00080629"/>
    <w:rsid w:val="000A13A9"/>
    <w:rsid w:val="000C1A5C"/>
    <w:rsid w:val="000C7046"/>
    <w:rsid w:val="000D3A5C"/>
    <w:rsid w:val="000F3F15"/>
    <w:rsid w:val="000F5E66"/>
    <w:rsid w:val="0012016C"/>
    <w:rsid w:val="00176351"/>
    <w:rsid w:val="0019650D"/>
    <w:rsid w:val="001B2A07"/>
    <w:rsid w:val="001D5EF2"/>
    <w:rsid w:val="001E21CA"/>
    <w:rsid w:val="001E31AD"/>
    <w:rsid w:val="00204E0F"/>
    <w:rsid w:val="00212ED5"/>
    <w:rsid w:val="002167D9"/>
    <w:rsid w:val="00250E94"/>
    <w:rsid w:val="002816E2"/>
    <w:rsid w:val="002A2FCC"/>
    <w:rsid w:val="002F34BD"/>
    <w:rsid w:val="00312403"/>
    <w:rsid w:val="003530F1"/>
    <w:rsid w:val="00361E3B"/>
    <w:rsid w:val="00384A64"/>
    <w:rsid w:val="00395191"/>
    <w:rsid w:val="003B371C"/>
    <w:rsid w:val="00402F79"/>
    <w:rsid w:val="00405C7D"/>
    <w:rsid w:val="00416121"/>
    <w:rsid w:val="004560CD"/>
    <w:rsid w:val="00456D91"/>
    <w:rsid w:val="004601CD"/>
    <w:rsid w:val="00470495"/>
    <w:rsid w:val="004C4C3B"/>
    <w:rsid w:val="004E4B12"/>
    <w:rsid w:val="005169C9"/>
    <w:rsid w:val="00517771"/>
    <w:rsid w:val="00525617"/>
    <w:rsid w:val="0052577F"/>
    <w:rsid w:val="005C1942"/>
    <w:rsid w:val="005E1FC9"/>
    <w:rsid w:val="00632499"/>
    <w:rsid w:val="00671C07"/>
    <w:rsid w:val="006C6415"/>
    <w:rsid w:val="006D1412"/>
    <w:rsid w:val="006D243F"/>
    <w:rsid w:val="007007BD"/>
    <w:rsid w:val="0072168C"/>
    <w:rsid w:val="0073663B"/>
    <w:rsid w:val="00757BCD"/>
    <w:rsid w:val="0078240F"/>
    <w:rsid w:val="0078402D"/>
    <w:rsid w:val="00795ACB"/>
    <w:rsid w:val="007A38B1"/>
    <w:rsid w:val="007B49C0"/>
    <w:rsid w:val="00806FDC"/>
    <w:rsid w:val="008511C4"/>
    <w:rsid w:val="00852E10"/>
    <w:rsid w:val="008702D1"/>
    <w:rsid w:val="00884CF2"/>
    <w:rsid w:val="008C25E8"/>
    <w:rsid w:val="008E3532"/>
    <w:rsid w:val="009153A3"/>
    <w:rsid w:val="00932E32"/>
    <w:rsid w:val="00951A1B"/>
    <w:rsid w:val="0098300F"/>
    <w:rsid w:val="00992F28"/>
    <w:rsid w:val="009C1BB4"/>
    <w:rsid w:val="009F752E"/>
    <w:rsid w:val="00A005C3"/>
    <w:rsid w:val="00A06A94"/>
    <w:rsid w:val="00A16974"/>
    <w:rsid w:val="00A27743"/>
    <w:rsid w:val="00A30E8F"/>
    <w:rsid w:val="00A7047A"/>
    <w:rsid w:val="00A73D2B"/>
    <w:rsid w:val="00A7721B"/>
    <w:rsid w:val="00A907A0"/>
    <w:rsid w:val="00A9373A"/>
    <w:rsid w:val="00AA1F3D"/>
    <w:rsid w:val="00AB2424"/>
    <w:rsid w:val="00AC24F6"/>
    <w:rsid w:val="00AD2BDB"/>
    <w:rsid w:val="00B22A2A"/>
    <w:rsid w:val="00BF590A"/>
    <w:rsid w:val="00C07E90"/>
    <w:rsid w:val="00C20D50"/>
    <w:rsid w:val="00C471C5"/>
    <w:rsid w:val="00C562E1"/>
    <w:rsid w:val="00C72269"/>
    <w:rsid w:val="00C74935"/>
    <w:rsid w:val="00C95F86"/>
    <w:rsid w:val="00CB1021"/>
    <w:rsid w:val="00D025E3"/>
    <w:rsid w:val="00D10E8B"/>
    <w:rsid w:val="00DB2F22"/>
    <w:rsid w:val="00DD704F"/>
    <w:rsid w:val="00E340CD"/>
    <w:rsid w:val="00E36E05"/>
    <w:rsid w:val="00E9427E"/>
    <w:rsid w:val="00EA0A9C"/>
    <w:rsid w:val="00EA5449"/>
    <w:rsid w:val="00EE2A3A"/>
    <w:rsid w:val="00EF02D7"/>
    <w:rsid w:val="00EF54BA"/>
    <w:rsid w:val="00F33CA7"/>
    <w:rsid w:val="00F82959"/>
    <w:rsid w:val="00F947CD"/>
    <w:rsid w:val="00FE7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9E8"/>
  <w15:chartTrackingRefBased/>
  <w15:docId w15:val="{AFDF5B1C-492B-4F01-B574-C31F3E2A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1FC9"/>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E70C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E70C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A06A9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A54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54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0C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E70C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A06A9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A54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54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49"/>
    <w:rPr>
      <w:rFonts w:eastAsiaTheme="majorEastAsia" w:cstheme="majorBidi"/>
      <w:color w:val="272727" w:themeColor="text1" w:themeTint="D8"/>
    </w:rPr>
  </w:style>
  <w:style w:type="paragraph" w:styleId="Title">
    <w:name w:val="Title"/>
    <w:basedOn w:val="Normal"/>
    <w:next w:val="Normal"/>
    <w:link w:val="TitleChar"/>
    <w:uiPriority w:val="10"/>
    <w:qFormat/>
    <w:rsid w:val="00EA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49"/>
    <w:pPr>
      <w:spacing w:before="160"/>
      <w:jc w:val="center"/>
    </w:pPr>
    <w:rPr>
      <w:i/>
      <w:iCs/>
      <w:color w:val="404040" w:themeColor="text1" w:themeTint="BF"/>
    </w:rPr>
  </w:style>
  <w:style w:type="character" w:customStyle="1" w:styleId="QuoteChar">
    <w:name w:val="Quote Char"/>
    <w:basedOn w:val="DefaultParagraphFont"/>
    <w:link w:val="Quote"/>
    <w:uiPriority w:val="29"/>
    <w:rsid w:val="00EA5449"/>
    <w:rPr>
      <w:i/>
      <w:iCs/>
      <w:color w:val="404040" w:themeColor="text1" w:themeTint="BF"/>
    </w:rPr>
  </w:style>
  <w:style w:type="paragraph" w:styleId="ListParagraph">
    <w:name w:val="List Paragraph"/>
    <w:basedOn w:val="Normal"/>
    <w:uiPriority w:val="34"/>
    <w:qFormat/>
    <w:rsid w:val="00EA5449"/>
    <w:pPr>
      <w:ind w:left="720"/>
      <w:contextualSpacing/>
    </w:pPr>
  </w:style>
  <w:style w:type="character" w:styleId="IntenseEmphasis">
    <w:name w:val="Intense Emphasis"/>
    <w:basedOn w:val="DefaultParagraphFont"/>
    <w:uiPriority w:val="21"/>
    <w:qFormat/>
    <w:rsid w:val="00EA5449"/>
    <w:rPr>
      <w:i/>
      <w:iCs/>
      <w:color w:val="2F5496" w:themeColor="accent1" w:themeShade="BF"/>
    </w:rPr>
  </w:style>
  <w:style w:type="paragraph" w:styleId="IntenseQuote">
    <w:name w:val="Intense Quote"/>
    <w:basedOn w:val="Normal"/>
    <w:next w:val="Normal"/>
    <w:link w:val="IntenseQuoteChar"/>
    <w:uiPriority w:val="30"/>
    <w:qFormat/>
    <w:rsid w:val="00EA5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5449"/>
    <w:rPr>
      <w:i/>
      <w:iCs/>
      <w:color w:val="2F5496" w:themeColor="accent1" w:themeShade="BF"/>
    </w:rPr>
  </w:style>
  <w:style w:type="character" w:styleId="IntenseReference">
    <w:name w:val="Intense Reference"/>
    <w:basedOn w:val="DefaultParagraphFont"/>
    <w:uiPriority w:val="32"/>
    <w:qFormat/>
    <w:rsid w:val="00EA5449"/>
    <w:rPr>
      <w:b/>
      <w:bCs/>
      <w:smallCaps/>
      <w:color w:val="2F5496" w:themeColor="accent1" w:themeShade="BF"/>
      <w:spacing w:val="5"/>
    </w:rPr>
  </w:style>
  <w:style w:type="paragraph" w:styleId="NormalWeb">
    <w:name w:val="Normal (Web)"/>
    <w:basedOn w:val="Normal"/>
    <w:uiPriority w:val="99"/>
    <w:unhideWhenUsed/>
    <w:rsid w:val="005E1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C9"/>
    <w:rPr>
      <w:kern w:val="0"/>
      <w:sz w:val="22"/>
      <w:szCs w:val="22"/>
      <w:lang w:val="en-GB"/>
      <w14:ligatures w14:val="none"/>
    </w:rPr>
  </w:style>
  <w:style w:type="paragraph" w:styleId="TOCHeading">
    <w:name w:val="TOC Heading"/>
    <w:basedOn w:val="Heading1"/>
    <w:next w:val="Normal"/>
    <w:uiPriority w:val="39"/>
    <w:unhideWhenUsed/>
    <w:qFormat/>
    <w:rsid w:val="005E1FC9"/>
    <w:pPr>
      <w:spacing w:before="480" w:after="0"/>
      <w:outlineLvl w:val="9"/>
    </w:pPr>
    <w:rPr>
      <w:rFonts w:ascii="Times New Roman" w:hAnsi="Times New Roman"/>
      <w:b w:val="0"/>
      <w:bCs/>
      <w:color w:val="222A35" w:themeColor="text2" w:themeShade="80"/>
      <w:szCs w:val="28"/>
      <w:lang w:eastAsia="ja-JP"/>
    </w:rPr>
  </w:style>
  <w:style w:type="paragraph" w:styleId="TOC1">
    <w:name w:val="toc 1"/>
    <w:basedOn w:val="Normal"/>
    <w:next w:val="Normal"/>
    <w:autoRedefine/>
    <w:uiPriority w:val="39"/>
    <w:unhideWhenUsed/>
    <w:rsid w:val="005E1FC9"/>
    <w:pPr>
      <w:spacing w:after="100"/>
    </w:pPr>
  </w:style>
  <w:style w:type="character" w:styleId="Hyperlink">
    <w:name w:val="Hyperlink"/>
    <w:basedOn w:val="DefaultParagraphFont"/>
    <w:uiPriority w:val="99"/>
    <w:unhideWhenUsed/>
    <w:rsid w:val="005E1FC9"/>
    <w:rPr>
      <w:color w:val="0563C1" w:themeColor="hyperlink"/>
      <w:u w:val="single"/>
    </w:rPr>
  </w:style>
  <w:style w:type="paragraph" w:styleId="TOC2">
    <w:name w:val="toc 2"/>
    <w:basedOn w:val="Normal"/>
    <w:next w:val="Normal"/>
    <w:autoRedefine/>
    <w:uiPriority w:val="39"/>
    <w:unhideWhenUsed/>
    <w:rsid w:val="005E1FC9"/>
    <w:pPr>
      <w:spacing w:after="100"/>
      <w:ind w:left="220"/>
    </w:pPr>
  </w:style>
  <w:style w:type="table" w:styleId="TableGrid">
    <w:name w:val="Table Grid"/>
    <w:basedOn w:val="TableNormal"/>
    <w:uiPriority w:val="39"/>
    <w:rsid w:val="005E1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C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1FC9"/>
    <w:pPr>
      <w:spacing w:after="0"/>
    </w:pPr>
  </w:style>
  <w:style w:type="character" w:styleId="UnresolvedMention">
    <w:name w:val="Unresolved Mention"/>
    <w:basedOn w:val="DefaultParagraphFont"/>
    <w:uiPriority w:val="99"/>
    <w:semiHidden/>
    <w:unhideWhenUsed/>
    <w:rsid w:val="00470495"/>
    <w:rPr>
      <w:color w:val="605E5C"/>
      <w:shd w:val="clear" w:color="auto" w:fill="E1DFDD"/>
    </w:rPr>
  </w:style>
  <w:style w:type="paragraph" w:styleId="TOC3">
    <w:name w:val="toc 3"/>
    <w:basedOn w:val="Normal"/>
    <w:next w:val="Normal"/>
    <w:autoRedefine/>
    <w:uiPriority w:val="39"/>
    <w:unhideWhenUsed/>
    <w:rsid w:val="00DB2F22"/>
    <w:pPr>
      <w:spacing w:after="100"/>
      <w:ind w:left="440"/>
    </w:pPr>
  </w:style>
  <w:style w:type="character" w:styleId="Emphasis">
    <w:name w:val="Emphasis"/>
    <w:basedOn w:val="DefaultParagraphFont"/>
    <w:uiPriority w:val="20"/>
    <w:qFormat/>
    <w:rsid w:val="0078402D"/>
    <w:rPr>
      <w:i/>
      <w:iCs/>
    </w:rPr>
  </w:style>
  <w:style w:type="character" w:styleId="Strong">
    <w:name w:val="Strong"/>
    <w:basedOn w:val="DefaultParagraphFont"/>
    <w:uiPriority w:val="22"/>
    <w:qFormat/>
    <w:rsid w:val="000055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ada.asn.au" TargetMode="External"/><Relationship Id="rId18" Type="http://schemas.openxmlformats.org/officeDocument/2006/relationships/hyperlink" Target="https://www.pc.gov.au" TargetMode="External"/><Relationship Id="rId26" Type="http://schemas.openxmlformats.org/officeDocument/2006/relationships/hyperlink" Target="https://treasury.gov.au" TargetMode="External"/><Relationship Id="rId39" Type="http://schemas.openxmlformats.org/officeDocument/2006/relationships/hyperlink" Target="https://www.novatedleaseaustralia.com.au/electric-cars/ev-incentives" TargetMode="External"/><Relationship Id="rId21" Type="http://schemas.openxmlformats.org/officeDocument/2006/relationships/hyperlink" Target="https://www.toyota-global.com" TargetMode="External"/><Relationship Id="rId34" Type="http://schemas.openxmlformats.org/officeDocument/2006/relationships/hyperlink" Target="https://www.carsales.com.au/editorial/details/ev-consideration-skyrockets-in-australia-151687/"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hyundai.com" TargetMode="External"/><Relationship Id="rId20" Type="http://schemas.openxmlformats.org/officeDocument/2006/relationships/hyperlink" Target="https://www.tesla.com" TargetMode="External"/><Relationship Id="rId29" Type="http://schemas.openxmlformats.org/officeDocument/2006/relationships/hyperlink" Target="https://www.autoworldjournal.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ifitalents.com" TargetMode="External"/><Relationship Id="rId32" Type="http://schemas.openxmlformats.org/officeDocument/2006/relationships/hyperlink" Target="https://www.theguardian.com" TargetMode="External"/><Relationship Id="rId37" Type="http://schemas.openxmlformats.org/officeDocument/2006/relationships/hyperlink" Target="https://farmonaut.com/mining/lithium-mining-2025-powering-australias-clean-future"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ord.com" TargetMode="External"/><Relationship Id="rId23" Type="http://schemas.openxmlformats.org/officeDocument/2006/relationships/hyperlink" Target="https://www.scotts-international.com" TargetMode="External"/><Relationship Id="rId28" Type="http://schemas.openxmlformats.org/officeDocument/2006/relationships/hyperlink" Target="https://www.statista.com" TargetMode="External"/><Relationship Id="rId36" Type="http://schemas.openxmlformats.org/officeDocument/2006/relationships/hyperlink" Target="https://electricvehiclecouncil.com.au/" TargetMode="External"/><Relationship Id="rId10" Type="http://schemas.openxmlformats.org/officeDocument/2006/relationships/hyperlink" Target="https://www.hiringlab.org/au/blog/2018/01/31/motor-vehicle-workers-australia/" TargetMode="External"/><Relationship Id="rId19" Type="http://schemas.openxmlformats.org/officeDocument/2006/relationships/hyperlink" Target="https://www.statista.com" TargetMode="External"/><Relationship Id="rId31" Type="http://schemas.openxmlformats.org/officeDocument/2006/relationships/hyperlink" Target="https://thedriven.io"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nfrastructure.gov.au" TargetMode="External"/><Relationship Id="rId22" Type="http://schemas.openxmlformats.org/officeDocument/2006/relationships/hyperlink" Target="https://cockatoo.com.au/porter-diamond-australia-competitive-advantage-2025/?utm_source=chatgpt.com" TargetMode="External"/><Relationship Id="rId27" Type="http://schemas.openxmlformats.org/officeDocument/2006/relationships/hyperlink" Target="https://evcentral.com.au" TargetMode="External"/><Relationship Id="rId30" Type="http://schemas.openxmlformats.org/officeDocument/2006/relationships/hyperlink" Target="https://www.carexpert.com.au" TargetMode="External"/><Relationship Id="rId35" Type="http://schemas.openxmlformats.org/officeDocument/2006/relationships/hyperlink" Target="https://www.dcceew.gov.au/" TargetMode="Externa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slidemodel.com/porters-diamond-model/" TargetMode="External"/><Relationship Id="rId17" Type="http://schemas.openxmlformats.org/officeDocument/2006/relationships/hyperlink" Target="https://www.iea.org" TargetMode="External"/><Relationship Id="rId25" Type="http://schemas.openxmlformats.org/officeDocument/2006/relationships/hyperlink" Target="https://www.hivelr.com" TargetMode="External"/><Relationship Id="rId33" Type="http://schemas.openxmlformats.org/officeDocument/2006/relationships/hyperlink" Target="https://zecar.com" TargetMode="External"/><Relationship Id="rId38" Type="http://schemas.openxmlformats.org/officeDocument/2006/relationships/hyperlink" Target="https://www.imarcgroup.com/australia-electric-vehicle-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6857</Words>
  <Characters>39091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Tanvir Ahmed Tipu</dc:creator>
  <cp:keywords/>
  <dc:description/>
  <cp:lastModifiedBy>MUTA LEB</cp:lastModifiedBy>
  <cp:revision>2</cp:revision>
  <dcterms:created xsi:type="dcterms:W3CDTF">2026-04-25T22:41:00Z</dcterms:created>
  <dcterms:modified xsi:type="dcterms:W3CDTF">2026-04-25T22:41:00Z</dcterms:modified>
</cp:coreProperties>
</file>