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C2EE7" w14:textId="77777777" w:rsidR="0010026F" w:rsidRPr="00A85BFE" w:rsidRDefault="0010026F" w:rsidP="0010026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95703FA" wp14:editId="2A407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GA36d</w:t>
      </w:r>
    </w:p>
    <w:p w14:paraId="69C01002" w14:textId="77777777" w:rsidR="0010026F" w:rsidRPr="00A406E5" w:rsidRDefault="0010026F" w:rsidP="0010026F">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0026F" w:rsidRPr="00A406E5" w14:paraId="2BC5B9CA" w14:textId="77777777" w:rsidTr="0010026F">
        <w:tc>
          <w:tcPr>
            <w:tcW w:w="8618" w:type="dxa"/>
            <w:shd w:val="clear" w:color="auto" w:fill="C0C0C0"/>
          </w:tcPr>
          <w:p w14:paraId="08331BFF" w14:textId="77777777" w:rsidR="0010026F" w:rsidRPr="00A406E5" w:rsidRDefault="0010026F" w:rsidP="00390415">
            <w:pPr>
              <w:pStyle w:val="Heading4"/>
              <w:rPr>
                <w:rFonts w:ascii="Arial" w:hAnsi="Arial" w:cs="Arial"/>
                <w:b/>
              </w:rPr>
            </w:pPr>
            <w:r w:rsidRPr="00674829">
              <w:rPr>
                <w:rFonts w:ascii="Arial" w:hAnsi="Arial" w:cs="Arial"/>
                <w:b/>
                <w:lang w:val="cy-GB"/>
              </w:rPr>
              <w:t>MANYLEB ASESU LEFEL 7</w:t>
            </w:r>
            <w:r w:rsidRPr="00A406E5">
              <w:rPr>
                <w:rFonts w:ascii="Arial" w:hAnsi="Arial" w:cs="Arial"/>
                <w:b/>
              </w:rPr>
              <w:t xml:space="preserve"> </w:t>
            </w:r>
          </w:p>
        </w:tc>
      </w:tr>
    </w:tbl>
    <w:p w14:paraId="5B753E0B" w14:textId="77777777" w:rsidR="0010026F" w:rsidRPr="00A406E5" w:rsidRDefault="0010026F" w:rsidP="0010026F">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0026F" w:rsidRPr="00A406E5" w14:paraId="34556D78" w14:textId="77777777" w:rsidTr="0010026F">
        <w:tc>
          <w:tcPr>
            <w:tcW w:w="2093" w:type="dxa"/>
            <w:shd w:val="pct15" w:color="auto" w:fill="auto"/>
          </w:tcPr>
          <w:p w14:paraId="3BDA06A9" w14:textId="77777777" w:rsidR="0010026F" w:rsidRPr="00A406E5" w:rsidRDefault="0010026F" w:rsidP="00390415">
            <w:pPr>
              <w:spacing w:before="120" w:after="120"/>
              <w:jc w:val="both"/>
              <w:rPr>
                <w:rFonts w:ascii="Arial" w:hAnsi="Arial" w:cs="Arial"/>
                <w:b/>
                <w:sz w:val="22"/>
                <w:szCs w:val="22"/>
              </w:rPr>
            </w:pPr>
            <w:r w:rsidRPr="00674829">
              <w:rPr>
                <w:rFonts w:ascii="Arial" w:hAnsi="Arial" w:cs="Arial"/>
                <w:b/>
                <w:sz w:val="22"/>
                <w:szCs w:val="22"/>
                <w:lang w:val="cy-GB"/>
              </w:rPr>
              <w:t>Enw’r myfyriwr:</w:t>
            </w:r>
          </w:p>
        </w:tc>
        <w:tc>
          <w:tcPr>
            <w:tcW w:w="3293" w:type="dxa"/>
          </w:tcPr>
          <w:p w14:paraId="363E52FE" w14:textId="528BFCCA" w:rsidR="0010026F" w:rsidRPr="00A406E5" w:rsidRDefault="00B86385" w:rsidP="00390415">
            <w:pPr>
              <w:spacing w:before="120" w:after="120"/>
              <w:jc w:val="both"/>
              <w:rPr>
                <w:rFonts w:ascii="Arial" w:hAnsi="Arial" w:cs="Arial"/>
                <w:b/>
                <w:sz w:val="22"/>
                <w:szCs w:val="22"/>
              </w:rPr>
            </w:pPr>
            <w:r>
              <w:rPr>
                <w:rFonts w:ascii="Arial" w:hAnsi="Arial" w:cs="Arial"/>
                <w:b/>
                <w:sz w:val="22"/>
                <w:szCs w:val="22"/>
              </w:rPr>
              <w:t xml:space="preserve">Eleri Smith </w:t>
            </w:r>
          </w:p>
        </w:tc>
        <w:tc>
          <w:tcPr>
            <w:tcW w:w="2268" w:type="dxa"/>
            <w:shd w:val="clear" w:color="auto" w:fill="D9D9D9"/>
          </w:tcPr>
          <w:p w14:paraId="1002ACB3"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Rhif Adnabod y myfyriwr:</w:t>
            </w:r>
          </w:p>
        </w:tc>
        <w:tc>
          <w:tcPr>
            <w:tcW w:w="2268" w:type="dxa"/>
          </w:tcPr>
          <w:p w14:paraId="51A7FB02" w14:textId="5223F9F3" w:rsidR="0010026F" w:rsidRPr="00A406E5" w:rsidRDefault="00B86385" w:rsidP="00390415">
            <w:pPr>
              <w:spacing w:before="120" w:after="120"/>
              <w:jc w:val="both"/>
              <w:rPr>
                <w:rFonts w:ascii="Arial" w:hAnsi="Arial" w:cs="Arial"/>
                <w:b/>
                <w:sz w:val="22"/>
                <w:szCs w:val="22"/>
              </w:rPr>
            </w:pPr>
            <w:r>
              <w:rPr>
                <w:rFonts w:ascii="Arial" w:hAnsi="Arial" w:cs="Arial"/>
                <w:b/>
                <w:sz w:val="22"/>
                <w:szCs w:val="22"/>
              </w:rPr>
              <w:t>1500151</w:t>
            </w:r>
          </w:p>
        </w:tc>
      </w:tr>
      <w:tr w:rsidR="0010026F" w:rsidRPr="00A406E5" w14:paraId="754C201D" w14:textId="77777777" w:rsidTr="0010026F">
        <w:tc>
          <w:tcPr>
            <w:tcW w:w="2093" w:type="dxa"/>
            <w:shd w:val="pct15" w:color="auto" w:fill="auto"/>
          </w:tcPr>
          <w:p w14:paraId="4C556418"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Rhaglen:</w:t>
            </w:r>
          </w:p>
        </w:tc>
        <w:tc>
          <w:tcPr>
            <w:tcW w:w="7829" w:type="dxa"/>
            <w:gridSpan w:val="3"/>
          </w:tcPr>
          <w:p w14:paraId="02EDBBD9" w14:textId="63C81E3B" w:rsidR="0010026F" w:rsidRPr="00A406E5" w:rsidRDefault="0010026F" w:rsidP="00390415">
            <w:pPr>
              <w:spacing w:before="120" w:after="120"/>
              <w:jc w:val="both"/>
              <w:rPr>
                <w:rFonts w:ascii="Arial" w:hAnsi="Arial" w:cs="Arial"/>
                <w:b/>
                <w:sz w:val="22"/>
                <w:szCs w:val="22"/>
              </w:rPr>
            </w:pPr>
            <w:r>
              <w:rPr>
                <w:rFonts w:ascii="Arial" w:hAnsi="Arial" w:cs="Arial"/>
                <w:b/>
                <w:sz w:val="22"/>
                <w:szCs w:val="22"/>
              </w:rPr>
              <w:t>TAR Uwchradd</w:t>
            </w:r>
          </w:p>
        </w:tc>
      </w:tr>
      <w:tr w:rsidR="0010026F" w:rsidRPr="00A406E5" w14:paraId="3117D219" w14:textId="77777777" w:rsidTr="0010026F">
        <w:tc>
          <w:tcPr>
            <w:tcW w:w="2093" w:type="dxa"/>
            <w:shd w:val="pct15" w:color="auto" w:fill="auto"/>
          </w:tcPr>
          <w:p w14:paraId="0478DFCB"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Modwl:</w:t>
            </w:r>
          </w:p>
        </w:tc>
        <w:tc>
          <w:tcPr>
            <w:tcW w:w="7829" w:type="dxa"/>
            <w:gridSpan w:val="3"/>
            <w:shd w:val="clear" w:color="auto" w:fill="auto"/>
          </w:tcPr>
          <w:p w14:paraId="2C2E1E7A" w14:textId="77777777" w:rsidR="0010026F" w:rsidRDefault="0010026F" w:rsidP="00390415">
            <w:pPr>
              <w:pStyle w:val="NormalWeb"/>
            </w:pPr>
            <w:r>
              <w:rPr>
                <w:rFonts w:ascii="Arial" w:hAnsi="Arial" w:cs="Arial"/>
                <w:b/>
                <w:bCs/>
                <w:sz w:val="22"/>
                <w:szCs w:val="22"/>
              </w:rPr>
              <w:t xml:space="preserve">Datblygu a Chyfoethogi’r Cwricwlwm </w:t>
            </w:r>
          </w:p>
          <w:p w14:paraId="0053FCD9" w14:textId="77777777" w:rsidR="0010026F" w:rsidRPr="00A406E5" w:rsidRDefault="0010026F" w:rsidP="00390415">
            <w:pPr>
              <w:spacing w:before="120" w:after="120"/>
              <w:jc w:val="both"/>
              <w:rPr>
                <w:rFonts w:ascii="Arial" w:hAnsi="Arial" w:cs="Arial"/>
                <w:b/>
                <w:sz w:val="22"/>
                <w:szCs w:val="22"/>
              </w:rPr>
            </w:pPr>
          </w:p>
        </w:tc>
      </w:tr>
      <w:tr w:rsidR="0010026F" w:rsidRPr="00A406E5" w14:paraId="323B5DC0" w14:textId="77777777" w:rsidTr="0010026F">
        <w:tc>
          <w:tcPr>
            <w:tcW w:w="2093" w:type="dxa"/>
            <w:shd w:val="pct15" w:color="auto" w:fill="auto"/>
          </w:tcPr>
          <w:p w14:paraId="79E3C493"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Cod y modwl:</w:t>
            </w:r>
          </w:p>
        </w:tc>
        <w:tc>
          <w:tcPr>
            <w:tcW w:w="3293" w:type="dxa"/>
          </w:tcPr>
          <w:p w14:paraId="31F92C2C" w14:textId="77777777" w:rsidR="0010026F" w:rsidRPr="00A406E5" w:rsidRDefault="0010026F" w:rsidP="00390415">
            <w:pPr>
              <w:spacing w:before="120" w:after="120"/>
              <w:jc w:val="both"/>
              <w:rPr>
                <w:rFonts w:ascii="Arial" w:hAnsi="Arial" w:cs="Arial"/>
                <w:b/>
                <w:sz w:val="22"/>
                <w:szCs w:val="22"/>
              </w:rPr>
            </w:pPr>
            <w:r>
              <w:rPr>
                <w:rFonts w:ascii="Arial" w:hAnsi="Arial" w:cs="Arial"/>
                <w:b/>
                <w:sz w:val="22"/>
                <w:szCs w:val="22"/>
              </w:rPr>
              <w:t>ECSP7002C</w:t>
            </w:r>
          </w:p>
        </w:tc>
        <w:tc>
          <w:tcPr>
            <w:tcW w:w="2268" w:type="dxa"/>
            <w:shd w:val="clear" w:color="auto" w:fill="D9D9D9"/>
          </w:tcPr>
          <w:p w14:paraId="3F2055B2" w14:textId="77777777" w:rsidR="0010026F" w:rsidRPr="004D5E9B" w:rsidRDefault="0010026F" w:rsidP="00390415">
            <w:pPr>
              <w:pStyle w:val="Heading2"/>
              <w:rPr>
                <w:rFonts w:ascii="Arial" w:hAnsi="Arial" w:cs="Arial"/>
                <w:sz w:val="22"/>
                <w:szCs w:val="22"/>
              </w:rPr>
            </w:pPr>
            <w:r w:rsidRPr="00131FEF">
              <w:rPr>
                <w:rFonts w:ascii="Arial" w:hAnsi="Arial" w:cs="Arial"/>
                <w:sz w:val="22"/>
                <w:szCs w:val="22"/>
                <w:lang w:val="cy-GB"/>
              </w:rPr>
              <w:t>Cyfraniad at Asesiad Cyffredinol y Modwl  (%):</w:t>
            </w:r>
          </w:p>
        </w:tc>
        <w:tc>
          <w:tcPr>
            <w:tcW w:w="2268" w:type="dxa"/>
          </w:tcPr>
          <w:p w14:paraId="568472F7" w14:textId="77777777" w:rsidR="0010026F" w:rsidRPr="00A406E5" w:rsidRDefault="0010026F" w:rsidP="00390415">
            <w:pPr>
              <w:spacing w:before="120" w:after="120"/>
              <w:jc w:val="both"/>
              <w:rPr>
                <w:rFonts w:ascii="Arial" w:hAnsi="Arial" w:cs="Arial"/>
                <w:b/>
                <w:sz w:val="22"/>
                <w:szCs w:val="22"/>
              </w:rPr>
            </w:pPr>
            <w:r>
              <w:rPr>
                <w:rFonts w:ascii="Arial" w:hAnsi="Arial" w:cs="Arial"/>
                <w:b/>
                <w:sz w:val="22"/>
                <w:szCs w:val="22"/>
              </w:rPr>
              <w:t>100%</w:t>
            </w:r>
          </w:p>
        </w:tc>
      </w:tr>
      <w:tr w:rsidR="0010026F" w:rsidRPr="00A406E5" w14:paraId="5445CB79" w14:textId="77777777" w:rsidTr="0010026F">
        <w:tc>
          <w:tcPr>
            <w:tcW w:w="2093" w:type="dxa"/>
            <w:shd w:val="pct15" w:color="auto" w:fill="auto"/>
          </w:tcPr>
          <w:p w14:paraId="2A88576F"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Darlithydd:</w:t>
            </w:r>
          </w:p>
        </w:tc>
        <w:tc>
          <w:tcPr>
            <w:tcW w:w="3293" w:type="dxa"/>
          </w:tcPr>
          <w:p w14:paraId="4B8EF824" w14:textId="77777777" w:rsidR="0010026F" w:rsidRPr="00A406E5" w:rsidRDefault="0010026F" w:rsidP="00390415">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46D26D78"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Gwiriwr Mewnol:</w:t>
            </w:r>
          </w:p>
        </w:tc>
        <w:tc>
          <w:tcPr>
            <w:tcW w:w="2268" w:type="dxa"/>
          </w:tcPr>
          <w:p w14:paraId="11BE801E" w14:textId="77777777" w:rsidR="0010026F" w:rsidRPr="00A406E5" w:rsidRDefault="0010026F" w:rsidP="00390415">
            <w:pPr>
              <w:spacing w:before="120" w:after="120"/>
              <w:jc w:val="both"/>
              <w:rPr>
                <w:rFonts w:ascii="Arial" w:hAnsi="Arial" w:cs="Arial"/>
                <w:b/>
                <w:sz w:val="22"/>
                <w:szCs w:val="22"/>
              </w:rPr>
            </w:pPr>
          </w:p>
        </w:tc>
      </w:tr>
      <w:tr w:rsidR="0010026F" w:rsidRPr="00A406E5" w14:paraId="0F36B886" w14:textId="77777777" w:rsidTr="0010026F">
        <w:tc>
          <w:tcPr>
            <w:tcW w:w="2093" w:type="dxa"/>
            <w:shd w:val="pct15" w:color="auto" w:fill="auto"/>
          </w:tcPr>
          <w:p w14:paraId="149BD33A"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Teitl yr Aseiniad:</w:t>
            </w:r>
          </w:p>
        </w:tc>
        <w:tc>
          <w:tcPr>
            <w:tcW w:w="3293" w:type="dxa"/>
          </w:tcPr>
          <w:p w14:paraId="39030B9F" w14:textId="77777777" w:rsidR="0010026F" w:rsidRDefault="0010026F" w:rsidP="00390415">
            <w:pPr>
              <w:pStyle w:val="NormalWeb"/>
            </w:pPr>
            <w:r>
              <w:rPr>
                <w:rFonts w:ascii="Arial" w:hAnsi="Arial" w:cs="Arial"/>
                <w:b/>
                <w:bCs/>
                <w:color w:val="1C1C1C"/>
                <w:sz w:val="22"/>
                <w:szCs w:val="22"/>
              </w:rPr>
              <w:t xml:space="preserve">Astudiaeth Ymchwil yn cynnwys </w:t>
            </w:r>
            <w:r>
              <w:rPr>
                <w:rFonts w:ascii="Arial" w:hAnsi="Arial" w:cs="Arial"/>
                <w:b/>
                <w:bCs/>
                <w:sz w:val="22"/>
                <w:szCs w:val="22"/>
              </w:rPr>
              <w:t xml:space="preserve">Ffurflen Foeseg </w:t>
            </w:r>
          </w:p>
          <w:p w14:paraId="44E1AB67" w14:textId="77777777" w:rsidR="0010026F" w:rsidRPr="00A406E5" w:rsidRDefault="0010026F" w:rsidP="00390415">
            <w:pPr>
              <w:spacing w:before="120" w:after="120"/>
              <w:jc w:val="both"/>
              <w:rPr>
                <w:rFonts w:ascii="Arial" w:hAnsi="Arial" w:cs="Arial"/>
                <w:b/>
                <w:sz w:val="22"/>
                <w:szCs w:val="22"/>
              </w:rPr>
            </w:pPr>
          </w:p>
        </w:tc>
        <w:tc>
          <w:tcPr>
            <w:tcW w:w="2268" w:type="dxa"/>
            <w:shd w:val="pct15" w:color="auto" w:fill="auto"/>
          </w:tcPr>
          <w:p w14:paraId="207963B0"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 xml:space="preserve">Nifer o eiriau (neu’r cyfwerth): </w:t>
            </w:r>
          </w:p>
        </w:tc>
        <w:tc>
          <w:tcPr>
            <w:tcW w:w="2268" w:type="dxa"/>
          </w:tcPr>
          <w:p w14:paraId="6BF22589" w14:textId="77777777" w:rsidR="0010026F" w:rsidRDefault="0010026F" w:rsidP="00390415">
            <w:pPr>
              <w:pStyle w:val="NormalWeb"/>
            </w:pPr>
            <w:r>
              <w:rPr>
                <w:rFonts w:ascii="Arial" w:hAnsi="Arial" w:cs="Arial"/>
                <w:b/>
                <w:bCs/>
                <w:sz w:val="22"/>
                <w:szCs w:val="22"/>
              </w:rPr>
              <w:t xml:space="preserve">10,000 words yn cynnwys ffurflen moeseg ( i gael ei roi I mewn Ionawr 11 2019) </w:t>
            </w:r>
          </w:p>
          <w:p w14:paraId="4396E75D" w14:textId="77777777" w:rsidR="0010026F" w:rsidRPr="00A406E5" w:rsidRDefault="0010026F" w:rsidP="00390415">
            <w:pPr>
              <w:spacing w:before="120" w:after="120"/>
              <w:jc w:val="both"/>
              <w:rPr>
                <w:rFonts w:ascii="Arial" w:hAnsi="Arial" w:cs="Arial"/>
                <w:b/>
                <w:sz w:val="22"/>
                <w:szCs w:val="22"/>
              </w:rPr>
            </w:pPr>
          </w:p>
        </w:tc>
      </w:tr>
      <w:tr w:rsidR="0010026F" w:rsidRPr="00A406E5" w14:paraId="2A597E89" w14:textId="77777777" w:rsidTr="0010026F">
        <w:tc>
          <w:tcPr>
            <w:tcW w:w="2093" w:type="dxa"/>
            <w:shd w:val="pct15" w:color="auto" w:fill="auto"/>
          </w:tcPr>
          <w:p w14:paraId="4151A912"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Dyddiad cyflwyno:</w:t>
            </w:r>
          </w:p>
        </w:tc>
        <w:tc>
          <w:tcPr>
            <w:tcW w:w="3293" w:type="dxa"/>
            <w:shd w:val="clear" w:color="auto" w:fill="auto"/>
          </w:tcPr>
          <w:p w14:paraId="74D000CF" w14:textId="77777777" w:rsidR="0010026F" w:rsidRDefault="0010026F" w:rsidP="00390415">
            <w:pPr>
              <w:pStyle w:val="NormalWeb"/>
            </w:pPr>
            <w:r>
              <w:rPr>
                <w:rFonts w:ascii="Arial" w:hAnsi="Arial" w:cs="Arial"/>
                <w:b/>
                <w:bCs/>
                <w:sz w:val="22"/>
                <w:szCs w:val="22"/>
              </w:rPr>
              <w:t xml:space="preserve">13 Mai 2019 </w:t>
            </w:r>
          </w:p>
          <w:p w14:paraId="6ABC0D44" w14:textId="77777777" w:rsidR="0010026F" w:rsidRPr="00A406E5" w:rsidRDefault="0010026F" w:rsidP="00390415">
            <w:pPr>
              <w:spacing w:before="120" w:after="120"/>
              <w:jc w:val="both"/>
              <w:rPr>
                <w:rFonts w:ascii="Arial" w:hAnsi="Arial" w:cs="Arial"/>
                <w:b/>
                <w:sz w:val="22"/>
                <w:szCs w:val="22"/>
              </w:rPr>
            </w:pPr>
          </w:p>
        </w:tc>
        <w:tc>
          <w:tcPr>
            <w:tcW w:w="2268" w:type="dxa"/>
            <w:shd w:val="pct15" w:color="auto" w:fill="auto"/>
          </w:tcPr>
          <w:p w14:paraId="4B55E483"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 xml:space="preserve">Dyddiad dychwelyd marciau dros dro ac adborth ysgrifenedig: </w:t>
            </w:r>
          </w:p>
        </w:tc>
        <w:tc>
          <w:tcPr>
            <w:tcW w:w="2268" w:type="dxa"/>
          </w:tcPr>
          <w:p w14:paraId="392C4444" w14:textId="77777777" w:rsidR="0010026F" w:rsidRDefault="0010026F" w:rsidP="00390415">
            <w:pPr>
              <w:pStyle w:val="NormalWeb"/>
            </w:pPr>
            <w:r>
              <w:rPr>
                <w:rFonts w:ascii="Arial" w:hAnsi="Arial" w:cs="Arial"/>
                <w:b/>
                <w:bCs/>
                <w:sz w:val="22"/>
                <w:szCs w:val="22"/>
              </w:rPr>
              <w:t xml:space="preserve">10 Mehefin 2019 </w:t>
            </w:r>
          </w:p>
          <w:p w14:paraId="7243B3E6" w14:textId="77777777" w:rsidR="0010026F" w:rsidRPr="00A406E5" w:rsidRDefault="0010026F" w:rsidP="00390415">
            <w:pPr>
              <w:spacing w:before="120" w:after="120"/>
              <w:jc w:val="both"/>
              <w:rPr>
                <w:rFonts w:ascii="Arial" w:hAnsi="Arial" w:cs="Arial"/>
                <w:b/>
                <w:sz w:val="22"/>
                <w:szCs w:val="22"/>
              </w:rPr>
            </w:pPr>
          </w:p>
        </w:tc>
      </w:tr>
      <w:tr w:rsidR="0010026F" w:rsidRPr="00A406E5" w14:paraId="5BF5FDE3" w14:textId="77777777" w:rsidTr="0010026F">
        <w:tc>
          <w:tcPr>
            <w:tcW w:w="2093" w:type="dxa"/>
            <w:shd w:val="pct15" w:color="auto" w:fill="auto"/>
          </w:tcPr>
          <w:p w14:paraId="46580A89"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 xml:space="preserve">Dull cyflwyno: </w:t>
            </w:r>
          </w:p>
        </w:tc>
        <w:tc>
          <w:tcPr>
            <w:tcW w:w="7829" w:type="dxa"/>
            <w:gridSpan w:val="3"/>
            <w:shd w:val="clear" w:color="auto" w:fill="auto"/>
          </w:tcPr>
          <w:p w14:paraId="3A990F86" w14:textId="77777777" w:rsidR="0010026F" w:rsidRPr="00A406E5" w:rsidRDefault="0010026F" w:rsidP="00390415">
            <w:pPr>
              <w:rPr>
                <w:rFonts w:ascii="Arial" w:hAnsi="Arial" w:cs="Arial"/>
                <w:sz w:val="22"/>
                <w:szCs w:val="22"/>
              </w:rPr>
            </w:pPr>
            <w:r w:rsidRPr="00131FEF">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131FEF">
              <w:rPr>
                <w:rFonts w:ascii="Arial" w:hAnsi="Arial" w:cs="Arial"/>
                <w:sz w:val="22"/>
                <w:szCs w:val="22"/>
                <w:lang w:val="cy-GB"/>
              </w:rPr>
              <w:t>(PEIDIWCH â rhoi’r fanyleb asesu hon i mewn i Turnitin neu bydd yn cyfateb i lawer o bethau tebyg yng nghyflwyniadau myfyrwyr eraill.)</w:t>
            </w:r>
          </w:p>
          <w:p w14:paraId="1CF554C9"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Dull cyflwyno arall (os ydy’n berthnasol):</w:t>
            </w:r>
            <w:r w:rsidRPr="00A406E5">
              <w:rPr>
                <w:rFonts w:ascii="Arial" w:hAnsi="Arial" w:cs="Arial"/>
                <w:b/>
                <w:sz w:val="22"/>
                <w:szCs w:val="22"/>
              </w:rPr>
              <w:t xml:space="preserve"> </w:t>
            </w:r>
          </w:p>
          <w:p w14:paraId="0AC252FA" w14:textId="77777777" w:rsidR="0010026F" w:rsidRPr="00A406E5" w:rsidRDefault="0010026F" w:rsidP="00390415">
            <w:pPr>
              <w:spacing w:before="120" w:after="120"/>
              <w:jc w:val="both"/>
              <w:rPr>
                <w:rFonts w:ascii="Arial" w:hAnsi="Arial" w:cs="Arial"/>
                <w:b/>
                <w:sz w:val="22"/>
                <w:szCs w:val="22"/>
              </w:rPr>
            </w:pPr>
            <w:r w:rsidRPr="00131FEF">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131FEF">
              <w:rPr>
                <w:rFonts w:ascii="Arial" w:hAnsi="Arial" w:cs="Arial"/>
                <w:sz w:val="22"/>
                <w:szCs w:val="22"/>
                <w:lang w:val="cy-GB"/>
              </w:rPr>
              <w:t>Cosbau am gyflwyno’n hwyr:</w:t>
            </w:r>
            <w:r w:rsidRPr="00A406E5">
              <w:rPr>
                <w:rFonts w:ascii="Arial" w:hAnsi="Arial" w:cs="Arial"/>
                <w:sz w:val="22"/>
                <w:szCs w:val="22"/>
              </w:rPr>
              <w:t xml:space="preserve"> </w:t>
            </w:r>
            <w:r w:rsidRPr="00131FEF">
              <w:rPr>
                <w:rFonts w:ascii="Arial" w:hAnsi="Arial" w:cs="Arial"/>
                <w:sz w:val="22"/>
                <w:szCs w:val="22"/>
                <w:lang w:val="cy-GB"/>
              </w:rPr>
              <w:t>Hyd at wythnos yn hwyr, uchafswm marc o 50%.</w:t>
            </w:r>
            <w:r>
              <w:rPr>
                <w:rFonts w:ascii="Arial" w:hAnsi="Arial" w:cs="Arial"/>
                <w:sz w:val="22"/>
                <w:szCs w:val="22"/>
              </w:rPr>
              <w:t xml:space="preserve">  </w:t>
            </w:r>
            <w:r w:rsidRPr="00131FEF">
              <w:rPr>
                <w:rFonts w:ascii="Arial" w:hAnsi="Arial" w:cs="Arial"/>
                <w:sz w:val="22"/>
                <w:szCs w:val="22"/>
                <w:lang w:val="cy-GB"/>
              </w:rPr>
              <w:t>Dros wythnos yn hwyr, 0%.</w:t>
            </w:r>
            <w:r w:rsidRPr="00A406E5">
              <w:rPr>
                <w:rFonts w:ascii="Arial" w:hAnsi="Arial" w:cs="Arial"/>
                <w:sz w:val="22"/>
                <w:szCs w:val="22"/>
              </w:rPr>
              <w:t xml:space="preserve">  </w:t>
            </w:r>
            <w:r w:rsidRPr="00131FEF">
              <w:rPr>
                <w:rFonts w:ascii="Arial" w:hAnsi="Arial" w:cs="Arial"/>
                <w:sz w:val="22"/>
                <w:szCs w:val="22"/>
                <w:lang w:val="cy-GB"/>
              </w:rPr>
              <w:t xml:space="preserve">Y Panel Amgylchiadau Esgusodol yn unig all gymeradwyo newid dyddiadau cyflwyno. </w:t>
            </w:r>
          </w:p>
        </w:tc>
      </w:tr>
      <w:tr w:rsidR="0010026F" w:rsidRPr="00A406E5" w14:paraId="59A27B0A" w14:textId="77777777" w:rsidTr="0010026F">
        <w:tc>
          <w:tcPr>
            <w:tcW w:w="2093" w:type="dxa"/>
            <w:shd w:val="pct15" w:color="auto" w:fill="auto"/>
          </w:tcPr>
          <w:p w14:paraId="0719C8BB" w14:textId="77777777" w:rsidR="0010026F" w:rsidRPr="00A406E5" w:rsidRDefault="0010026F" w:rsidP="00390415">
            <w:pPr>
              <w:spacing w:before="120" w:after="120"/>
              <w:rPr>
                <w:rFonts w:ascii="Arial" w:hAnsi="Arial" w:cs="Arial"/>
                <w:b/>
                <w:sz w:val="22"/>
                <w:szCs w:val="22"/>
              </w:rPr>
            </w:pPr>
            <w:r w:rsidRPr="00131FEF">
              <w:rPr>
                <w:rFonts w:ascii="Arial" w:hAnsi="Arial" w:cs="Arial"/>
                <w:b/>
                <w:sz w:val="22"/>
                <w:szCs w:val="22"/>
                <w:lang w:val="cy-GB"/>
              </w:rPr>
              <w:t xml:space="preserve">Gonestrwydd academaidd / cyfeirnodi: </w:t>
            </w:r>
          </w:p>
        </w:tc>
        <w:tc>
          <w:tcPr>
            <w:tcW w:w="7829" w:type="dxa"/>
            <w:gridSpan w:val="3"/>
            <w:shd w:val="clear" w:color="auto" w:fill="auto"/>
          </w:tcPr>
          <w:p w14:paraId="03366A8E" w14:textId="77777777" w:rsidR="0010026F" w:rsidRPr="00A406E5" w:rsidRDefault="0010026F" w:rsidP="00390415">
            <w:pPr>
              <w:spacing w:before="120" w:after="120"/>
              <w:jc w:val="both"/>
              <w:rPr>
                <w:rFonts w:ascii="Arial" w:hAnsi="Arial" w:cs="Arial"/>
                <w:sz w:val="22"/>
                <w:szCs w:val="22"/>
              </w:rPr>
            </w:pPr>
            <w:r w:rsidRPr="00131FEF">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131FEF">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131FEF">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2CFD3A17" w14:textId="0A10BDE7" w:rsidR="00F80469" w:rsidRPr="00F80469" w:rsidRDefault="00F80469" w:rsidP="00F80469">
      <w:pPr>
        <w:jc w:val="center"/>
        <w:rPr>
          <w:rFonts w:cstheme="minorHAnsi"/>
          <w:color w:val="000000" w:themeColor="text1"/>
          <w:sz w:val="40"/>
        </w:rPr>
      </w:pPr>
      <w:r>
        <w:rPr>
          <w:rFonts w:asciiTheme="minorHAnsi" w:hAnsiTheme="minorHAnsi" w:cstheme="minorHAnsi"/>
          <w:color w:val="000000" w:themeColor="text1"/>
          <w:sz w:val="40"/>
          <w:lang w:val="cy-GB"/>
        </w:rPr>
        <w:lastRenderedPageBreak/>
        <w:t>‘M</w:t>
      </w:r>
      <w:r w:rsidRPr="00560859">
        <w:rPr>
          <w:rFonts w:asciiTheme="minorHAnsi" w:hAnsiTheme="minorHAnsi" w:cstheme="minorHAnsi"/>
          <w:color w:val="000000" w:themeColor="text1"/>
          <w:sz w:val="40"/>
          <w:lang w:val="cy-GB"/>
        </w:rPr>
        <w:t>odeli arfer dda yw’r ffordd orau i sicrhau llwyddiant y dysgwyr’.</w:t>
      </w:r>
    </w:p>
    <w:p w14:paraId="09AA5129" w14:textId="77777777" w:rsidR="00F80469" w:rsidRDefault="00F80469" w:rsidP="00F80469">
      <w:pPr>
        <w:pStyle w:val="NormalWeb"/>
        <w:spacing w:line="276" w:lineRule="auto"/>
        <w:rPr>
          <w:rFonts w:asciiTheme="minorHAnsi" w:hAnsiTheme="minorHAnsi" w:cstheme="minorHAnsi"/>
          <w:color w:val="000000" w:themeColor="text1"/>
          <w:u w:val="single"/>
          <w:lang w:val="cy-GB"/>
        </w:rPr>
      </w:pPr>
    </w:p>
    <w:p w14:paraId="3E8A9FAF"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u w:val="single"/>
          <w:lang w:val="cy-GB" w:eastAsia="en-US"/>
        </w:rPr>
      </w:pPr>
      <w:r>
        <w:rPr>
          <w:rFonts w:ascii="Calibri" w:eastAsiaTheme="minorHAnsi" w:hAnsi="Calibri" w:cs="Calibri"/>
          <w:color w:val="000000"/>
          <w:sz w:val="24"/>
          <w:szCs w:val="24"/>
          <w:u w:val="single"/>
          <w:lang w:val="cy-GB" w:eastAsia="en-US"/>
        </w:rPr>
        <w:t xml:space="preserve">Rhagarweiniad </w:t>
      </w:r>
    </w:p>
    <w:p w14:paraId="671CC2EE" w14:textId="3D61708F"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Mae Ysgol X yn ysgol gyfrwng Gymraeg sy’n darparu addysg i ddisgyblion rhwng 11 ac 18 oed. </w:t>
      </w:r>
      <w:r w:rsidR="00A95A1D">
        <w:rPr>
          <w:rFonts w:ascii="Calibri" w:eastAsiaTheme="minorHAnsi" w:hAnsi="Calibri" w:cs="Calibri"/>
          <w:color w:val="000000"/>
          <w:sz w:val="24"/>
          <w:szCs w:val="24"/>
          <w:lang w:val="cy-GB" w:eastAsia="en-US"/>
        </w:rPr>
        <w:t>Mae’r</w:t>
      </w:r>
      <w:r>
        <w:rPr>
          <w:rFonts w:ascii="Calibri" w:eastAsiaTheme="minorHAnsi" w:hAnsi="Calibri" w:cs="Calibri"/>
          <w:color w:val="000000"/>
          <w:sz w:val="24"/>
          <w:szCs w:val="24"/>
          <w:lang w:val="cy-GB" w:eastAsia="en-US"/>
        </w:rPr>
        <w:t xml:space="preserve"> ysgol yng ngogledd Abertawe ac fe’i cynhelir gan awdurdod lleol Abertawe. Mae 19.6% o ddisgyblion yn byw mewn 20% o’r ardaloedd mwyaf difreintiedig yng Nghymru (Estyn, 2013). Yn Ysgol X mae yna 746 o ddisgyblion ar y gofrestr gan gynnwys 129 yn y chweched dosbarth. Mae 18% o ddisgyblion ar y gofrestr o anghenion dysgu ychwanegol (ADY), ac mae gan 2% ddatganiad o anghenion addysgol arbennig. Mae’r ffigyrau Ysgol X yn is na’r ffigurau cenedlaethol. Yn ôl ei arolwg diwethaf yn 2013 (Estyn 2013) mae dau o’r awgrymiadau yn cysylltu gyda chynnydd a pherfformiad y dysgwyr yn Gyfnod Allweddol 3 (CA3). Wrth fod ar leoliad cyntaf yn Ysgol X, gwelais wrth arsylwi a dechrau addysgu yn yr adran Addysg Grefyddol yn yr ysgol bod yna gyfleoedd i ymhelaethu ar rhai arferion dysgu ac addysgu'r adran. O ganlyniad i hyn, a rhesymau eraill byddaf yn drafod yn yr adolygiad llenyddiaeth yn y traethawd hwn, penderfynais i ganolbwyntio ar rai o arferion dysgu ac addysgu hyn. Fy ffocws penderfynais i ganolbwyntio arno oedd ‘modeli arfer dda yw’r ffordd orau i sicrhau llwyddiant y dysgwyr’. </w:t>
      </w:r>
    </w:p>
    <w:p w14:paraId="556F13CE"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u w:val="single"/>
          <w:lang w:val="cy-GB" w:eastAsia="en-US"/>
        </w:rPr>
      </w:pPr>
      <w:r>
        <w:rPr>
          <w:rFonts w:ascii="Calibri" w:eastAsiaTheme="minorHAnsi" w:hAnsi="Calibri" w:cs="Calibri"/>
          <w:color w:val="000000"/>
          <w:sz w:val="24"/>
          <w:szCs w:val="24"/>
          <w:u w:val="single"/>
          <w:lang w:val="cy-GB" w:eastAsia="en-US"/>
        </w:rPr>
        <w:t>Polisi’r ysgol</w:t>
      </w:r>
    </w:p>
    <w:p w14:paraId="21579C88"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Wrth arsylwi o fewn yr adran ac ar draws yr ysgol am bythefnos cyn dechrau dysgu, gwelais sut mae gwahanol adrannau yn defnyddio dulliau dysgu ac addysgu megis modeli arfer dda o fewn eu gwersi. Mae Bromley (2017) yn awgrymu bod dangos enghreifftiau yw prif beth ac yr unig beth i wneud i ddangos arfer dda. Mae modeli dda yn arddangos gwaith sy’n gweithio a gwaith sydd ddim yn dangos. Felly mae hwn yn cysylltu gyda beth welais i yn yr ysgol. Er enghraifft yn ystod wers Cymraeg, wnaeth yr athrawes modeli'r papur TGAU o safon uchel er mwyn i’r dysgwyr gwybod beth oedd y disgwyliadau, a beth mae safon eu gwaith i fod. Er hyn ar y llaw arall, maen pwysig i fodeli waith o safon isel er mwyn i’r dysgwyr adnabod gwaith o safon isel, a'r canlyniad o hyn yw bod y dysgwyr yn ymwybodol o sut i osgoi gwneud yr un camgymeriadau a’r model (Salisu; Ransom, 2014). Yn Ysgol X, dydyn nhw ddim yn unig yn dangos gwaith da fel math o fodeli, yn hytrach maen nhw hefyd yn arddangos y dull trwy arfer arall o asesu ar gyfer dysgu sef trwy Feini Prawf Llwyddiant. Wrth gael deialog proffesiynol gydag athrawon yn Ysgol X am feini prawf llwyddiant; wrth osod meini prawf llwyddiant fel rhan allweddol o’r wers, ac mae'n dod yn rhan arferol o’r wers, mae’r dysgwyr yn ymwybodol o beth mae rhaid iddynt gynnwys ac wrth gael trafodaeth dosbarth o beth i gyflawni a sut i’w cyflawni trwy ofyn cwestiynau, mae’r dysgwyr y dod yn gyfarwydd o beth yw’r strwythur y wers. Er hyn, nad yw hyn yn cael ei weld yn bolisi’r ysgol neu’r polisi’r adran Addysg Grefyddol, ond credaf faen rhan hanfodol i addysg y dysgwyr er mwyn iddynt fod yn ymwybodol o naill ai'r safon o waith chi’n disgwyl wrth ddefnyddio’r meini prawf llwyddiant neu fel ffordd o roi cymorth i’r dysgwyr er mwyn </w:t>
      </w:r>
      <w:r>
        <w:rPr>
          <w:rFonts w:ascii="Calibri" w:eastAsiaTheme="minorHAnsi" w:hAnsi="Calibri" w:cs="Calibri"/>
          <w:color w:val="000000"/>
          <w:sz w:val="24"/>
          <w:szCs w:val="24"/>
          <w:lang w:val="cy-GB" w:eastAsia="en-US"/>
        </w:rPr>
        <w:lastRenderedPageBreak/>
        <w:t xml:space="preserve">iddynt gyrraedd y safon uchel. Fe wnes i yn Ysgol X cynllunio fy ngwersi o amgylch naill ai modeli waith trwy waith gwahanol ddysgwyr, neu trwy feini prawf llwyddiant. Trwy wneud hynny, mae gan y dysgwyr y ddealltwriaeth a disgwyliadau sylfaenol o beth yw disgwyliadau'r athro/awes a beth a sut maent yn mynd ati i gyflawni eu gwaith i’r safon uchaf posib; felly maen nhw’n ymwybodol o beth yw’r ffiniau. Mae hwn yn cysylltu gydag un o awgrymiadau CDY sef gwthio her yn yr ysgol, oherwydd wrth roi cymorth i’r dysgwyr rydych chi dal yn gallu gwthio’r dysgwyr MAT iddynt gyrraedd y safon uchaf ac i’r potential gorau’r dysgwyr, achos maen hanfodol i gofio mae pob dysgwr yn gwneud cynnydd o lefel a safon wahanol, felly mae rhaid cael y wahaniaethu yna i gefnogi ac am gymorth ychwanegol. Felly, mae gwahaniaethu hefyd yn cysylltu gyda’r agwedd o ‘modeli arfer dda yw’r ffordd orau i sicrhau llwyddiant y dysgwyr’. Er hyn, hyd yn oed nid yw’r modeli yn cael ei weld fel rhan o bolisi’r ysgol neu’r adran, mae'n cysylltu gyda’r awgrymiadau gan Estyn (2013) ac y CDY a CDA o wthio her a chynyddu safon o waith yn CA3.  </w:t>
      </w:r>
    </w:p>
    <w:p w14:paraId="391CC6F4"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u w:val="single"/>
          <w:lang w:val="cy-GB" w:eastAsia="en-US"/>
        </w:rPr>
      </w:pPr>
      <w:r>
        <w:rPr>
          <w:rFonts w:ascii="Calibri" w:eastAsiaTheme="minorHAnsi" w:hAnsi="Calibri" w:cs="Calibri"/>
          <w:color w:val="000000"/>
          <w:sz w:val="24"/>
          <w:szCs w:val="24"/>
          <w:u w:val="single"/>
          <w:lang w:val="cy-GB" w:eastAsia="en-US"/>
        </w:rPr>
        <w:t>Adolygiad Llenyddiaeth</w:t>
      </w:r>
    </w:p>
    <w:p w14:paraId="2009454D"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Yn ôl Salisu a Ransom (2014), mae modeli yn strategaeth gyfarwyddiadol lle mae'r athro yn dangos cysyniad neu ymagwedd newydd at ddysgu ac mae myfyrwyr yn dysgu drwy arsylwi. I gytuno â hwn mae Eggen a Kauchak (2001) sy’n dweud yr union yr un peth â Salisu a Ransom (2014) sy’n dweud bod modeli yn strategaeth gyfarwyddiadol ble mae’r athro yn dangos cysyniad neu agwedd newydd i ddysgu ac addysgu, ac mae’r dysgwyr yn dysgu trwy arsylwi. Yn wahanol i Salisu a Ransom (2014), i Holland a Kobasigawa (1980) mae modelu'n disgrifio'r broses o ddysgu gwybodaeth newydd, sgiliau, neu arsylwi ar ymddygiad yn hytrach nag ymdrechion profiad uniongyrchol. Felly mae’r ddau ysgolhaig yn wahanol ond yn debyg achos mae ymchwil yn dangos modeli yn strategaeth gyfarwyddo effeithiol gan ei fod yn caniatáu i fyfyrwyr arsylwi prosesau meddwl yr athro/athrawes. Yna mae Haston (2007) yn dweud “whenever a teacher demostrates a concept for a student, that teaher is modelling”. Felly gallwn ni ddadlau rydym yn fodeli yn gyson yn ystod ein gwersi heb sylweddoli, achos yn naturiol rydym fel athrawon yn dangos neu roi enghreifftiau o wahanol ffurf o wneud pethau, neu os oes cam ddealltwriaeth wrth asesu dealltwriaeth y dysgwyr, rydym yn naturiol yn stopio’r dasg ac yn mynd dros y camddealltwriaeth cyn gadael y dysgwyr i barhau gyda’r dasg. Dyna beth yw rôl athrawon yn y dosbarth i gadarnhau mae’r dysgwyr yn cyrraedd eu potential llawn.</w:t>
      </w:r>
    </w:p>
    <w:p w14:paraId="1EB45977"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 Er hyn i Biggs a Moore (1993) mae rhaid i athrawon sylweddoli does dim un ffordd mae'r dysgwyr yn dysgu achos mae bod dysgwr yn dysgu mewn ffordd wahanol. Mae rhai strategaethau yn fwy effeithiol nag eraill, ac felly hwnna yw’r peth pwysicaf achos mae yna bethau gallwn ni ei wneud fel athrawon fel defnyddio gwahanol strategaethau dysgu ac addysgu yn ystod ein gwersi i optimeiddio'r siawns i’r dysgwyr dysgu yn eu ffyrdd mwyaf dymunol iddyn nhw. Felly wrth edrych ar ddylanwad Biggs a Moore (1993) gallwn ni ofyn a mae pob dysgwr yn dysgu mewn ffordd wahanol? Felly mae hwnna’n gofyn y cwestiwn ydy modeli wir yn mynd i fod yn effeithiol achos os mae dysgwr yn dysgu mewn ffordd wahanol, ydy pob dysgwr yn mynd i ddysgu a gwneud cynnydd wrth ddefnyddio modeli yn eich </w:t>
      </w:r>
      <w:r>
        <w:rPr>
          <w:rFonts w:ascii="Calibri" w:eastAsiaTheme="minorHAnsi" w:hAnsi="Calibri" w:cs="Calibri"/>
          <w:color w:val="000000"/>
          <w:sz w:val="24"/>
          <w:szCs w:val="24"/>
          <w:lang w:val="cy-GB" w:eastAsia="en-US"/>
        </w:rPr>
        <w:lastRenderedPageBreak/>
        <w:t xml:space="preserve">gwersi?  Felly os yr ydym yn dilyn cysyniadau'r ysgol heigion uchod yn enwedig Haston (2007) o fodeli, ydy fodeli yn cael unrhyw effaith ar ein dysgwyr a'i addysgu nhw achos yr ydym yn ei ddefnyddio mor aml yn ein gwersi heb sylweddoli?; Ydy modeli yn wir yn gwneud gwahaniaeth i ansawdd gwaith y dysgwyr?; ac yn olaf ydy modeli yn cael effaith positif ar waith ac agwedd y dysgwyr yn ystod ein gwersi? Byddaf yn ateb y cwestiynau yma nes ymlaen yn y traethawd. </w:t>
      </w:r>
    </w:p>
    <w:p w14:paraId="07D8F071"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eastAsia="en-US"/>
        </w:rPr>
      </w:pPr>
      <w:r>
        <w:rPr>
          <w:rFonts w:ascii="Calibri" w:eastAsiaTheme="minorHAnsi" w:hAnsi="Calibri" w:cs="Calibri"/>
          <w:color w:val="000000"/>
          <w:sz w:val="24"/>
          <w:szCs w:val="24"/>
          <w:lang w:val="cy-GB" w:eastAsia="en-US"/>
        </w:rPr>
        <w:t xml:space="preserve">Mae ymchwil yn awgrymu </w:t>
      </w:r>
      <w:r>
        <w:rPr>
          <w:rFonts w:ascii="Calibri" w:eastAsiaTheme="minorHAnsi" w:hAnsi="Calibri" w:cs="Calibri"/>
          <w:color w:val="000000"/>
          <w:sz w:val="24"/>
          <w:szCs w:val="24"/>
          <w:lang w:val="cy" w:eastAsia="en-US"/>
        </w:rPr>
        <w:t>bod modelu yn strategaeth gyfarwyddo effeithiol o ran caniatáu i ddysgwyr arsylwi prosesau meddwl yr athro/athrawes.</w:t>
      </w:r>
      <w:r>
        <w:rPr>
          <w:rFonts w:ascii="Calibri" w:eastAsiaTheme="minorHAnsi" w:hAnsi="Calibri" w:cs="Calibri"/>
          <w:color w:val="000000"/>
          <w:sz w:val="24"/>
          <w:szCs w:val="24"/>
          <w:lang w:val="cy-GB" w:eastAsia="en-US"/>
        </w:rPr>
        <w:t xml:space="preserve"> Gan ddefnyddio dull Holland a Kobasigawa (1980) o gyfarwyddyd, mae athrawon yn ennyn diddordeb myfyrwyr mewn dynwared ymddygiad penodol sy'n annog dysgu. I ehangu ar bwynt Bromley (2017) o fodeli waith da mae Bandura (1986) hefyd yn cytuno gan ddweud bod modeli yn un o’r dulliau mwyaf effeithlon o ddysgu unrhyw sgìl neu wybodaeth newydd a thrwy hynny'r canlyniad yw bod modeli yn ymgysylltu ac yn annog dysgu yn y dosbarth. Mae Bandura (1986) yn rhoi’r agwedd i mewn i gyd-destun. Mae'n anodd dychmygu unrhyw gymdeithas sydd heb ddibynnu ar fodelau ar ryw ffurf neu'i gilydd i drosglwyddo'r gwerthoedd, arferion a chredoau diwylliannol pwysicaf a sylfaenol o un genhedlaeth i'r llall. O blentyndod i fod yn oedolyn, mae modeli yn chwarae rhan allweddol mewn datblygu sgiliau gwybyddol a meta-wybyddol, sgiliau echddygol (motor) manwl, sgiliau rhyngbersonol, a sgiliau proffesiynol diweddarach. O'r weithred symlaf o ddysgu sut i godi a defnyddio fforc i'r broses gymhleth ac amlochrog o yrru car, mae'r holl sgiliau hyn yn cael eu caffael trwy arsylwi modelau. Bydd pa sgiliau sy'n cael eu dysgu a'u hailadrodd gan yr arsylwr yn dibynnu yn y pen draw ar y mathau o atgyfnerthiad a dderbynnir, yn ogystal â pha mor alluog neu cymhellon yw'r arsylwr i ailadrodd yr ymddygiadau hynny. Felly os mae modeli yn rhan hanfodol o dyfu lan, dyle modeli fod yn rhan hanfodol mewn addysgu yn addysg heddiw. Mae Bandura (1977) yn dweud “learning would be exceedingly laborious, not to mention hazardous, if people had to rely solely on the effects of their own actions to inform them what to do”. Felly i roi gosodiad Bandura (1977) i mewn i gyd-destun, os nad ydym yn defnyddio modeli yn ein bywyd ac mae hwnna’n cynnwys tu fewn a thu allan i addysg, sut ydym ni fel bodau dynol yn mynd i wella neu hyd yn oed dysgu pethau hanfodol mewn bywyd? Yn naturiol rydym yn dysgu oddi wrth ein gilydd, dyna pam rydym yn addysg yn defnyddio’r dechneg o feddwl, paru, rhannu (Lyman, 1981) yn aml yn ystod ein gwers. Rydym yn defnyddio’r strategaeth yma er mwyn i’r dysgwyr meddwl yn unigol yn gyntaf, cyn rhannu eu syniadau gyda gweddill y grŵp neu par, ac yna yn y pendraw yn cael trafodaeth dosbarth. Y canlyniad a phwrpas defnyddio strategaeth yna yn ystod gwersi yw dysgu oddi wrth ei gilydd ac i adeiladu hyder y dysgwyr i rannu eu syniadau gyda gweddill y grŵp a dosbarth. Felly gallen ni ddadlau mae’r strategaeth o feddwl, paru, rhannu yn gallu gweithio fel ffordd o fodeli gan ei fod yn dysgu oddi wrth ei gilydd ac yn ymestyn ei gilydd trwy gwestiynu yn ystod y drafodaeth dosbarth. </w:t>
      </w:r>
    </w:p>
    <w:p w14:paraId="288CDA19"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eastAsia="en-US"/>
        </w:rPr>
      </w:pPr>
      <w:r>
        <w:rPr>
          <w:rFonts w:ascii="Calibri" w:eastAsiaTheme="minorHAnsi" w:hAnsi="Calibri" w:cs="Calibri"/>
          <w:color w:val="000000"/>
          <w:sz w:val="24"/>
          <w:szCs w:val="24"/>
          <w:lang w:val="cy" w:eastAsia="en-US"/>
        </w:rPr>
        <w:t xml:space="preserve">Mae'r ddamcaniaeth rydym yn ei chyflogi yn ehangu ac yn estyniad o addysgu a dysgu sy'n seiliedig ar fodelau a osodwyd mewn rhifyn arbennig o'r cylchgrawn addysg </w:t>
      </w:r>
      <w:r>
        <w:rPr>
          <w:rFonts w:ascii="Calibri" w:eastAsiaTheme="minorHAnsi" w:hAnsi="Calibri" w:cs="Calibri"/>
          <w:color w:val="000000"/>
          <w:sz w:val="24"/>
          <w:szCs w:val="24"/>
          <w:lang w:val="cy" w:eastAsia="en-US"/>
        </w:rPr>
        <w:lastRenderedPageBreak/>
        <w:t>gwyddoniaeth ryng-genedlaethol (Gobert a Buckley, 2000). Mae’r egwyddorion dysgu sy'n seiliedig ar fodel yn seiliedig ar y dybiaeth bod deall yn gofyn am adeiladu modelau meddwl o'r ffenomenau sy'n cael eu hastudio, a bod pob math o strategaeth megis datrys problemau, is gyfeirio, neu resymu dilynol yn cael ei wneud drwy drin a thrafod neu "redeg" y modelau hyn (Johnson-Laird, 1983). Gwelwn fodelau meddwl fel cynrychioliadau mewnol, gwybyddol sydd yn cael ei ddefnyddio mewn sawl math o resymu (Brewer, 1987; Rouse a Morris, 1986).  Er hyn yn ôl Genter a Stevens (1983) mae modelau meddwl, fel gwybodaeth flaenorol, yn dylanwadu ar ein hamgyffrediad o ffenomenau ac ein dealltwriaeth o wybodaeth. Mae rhyngweithio gyda ffenomenau a chynrychioliadau, yn eu tro, yn dylanwadu ar ein modelau meddwl (Gentner a Stevens, 1983; Johnson-Laird, 1983). Felly yn syml mae'r rhan fwyaf o ymddygiad dynol yn cael ei ddysgu drwy fodelu. Mae ymchwil wedi dangos y gellir defnyddio modelu ar draws disgyblaethau ac yn yr ystafell ddosbarth ar lefel gallu drwy'r flwyddyn. Gall model roi enghreifftiau o'r hyn a ddisgwylir gan y dysgwyr o ran gwaith a/neu ymddygiad. Gall athro fodelu drwy ddefnyddio technegau cyfarwyddo gweledol, clybodol, cyffyrddol a/neu ginesthetig, ac yna trwy hynny, maent yn agored ar gyfer pob dysgwr a'i ffordd nhw o ddysgu.</w:t>
      </w:r>
    </w:p>
    <w:p w14:paraId="3E97A9A7"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 w:eastAsia="en-US"/>
        </w:rPr>
        <w:t xml:space="preserve">Cyn dechreuais gyda’r ymchwil, edrychais ar y wahanol fathau o fodeli er mwyn bod yn ymwybodol o’r wahanol fathau o fodeli sydd ar gael er mwyn penderfynu ar ba un bydd y mwyaf effeithiol i ddefnyddio yn ystod fy ymchwil. Felly, maen pwysig i ddiffinio'r mathau o fodeli rydym yn gallu defnyddio yn ychwanegol i’r cynrychioliadau meddyliol ffenomena. </w:t>
      </w:r>
      <w:r>
        <w:rPr>
          <w:rFonts w:ascii="Calibri" w:eastAsiaTheme="minorHAnsi" w:hAnsi="Calibri" w:cs="Calibri"/>
          <w:color w:val="000000"/>
          <w:sz w:val="24"/>
          <w:szCs w:val="24"/>
          <w:lang w:val="cy-GB" w:eastAsia="en-US"/>
        </w:rPr>
        <w:t xml:space="preserve">Yn ôl Sliau a Ransom (2014), Mae modelu aneiriol yn ennill ac yn dal sylw'r dysgwyr, sy'n anodd ei gynnal yn aml drwy siarad yn unig. Mae Ransom yn awgrymu bod modeli aneriol hefyd yn ffordd ffurfiannol o asesu dealltwriaeth y dysgwyr. Yna, fel athrawes os yr ydych yn gweld unrhyw anhawster yr ydych yn gallu datrys yr anawsterau cyn mynd ymlaen yn bellach gyda’r dasg er mwyn sicrhau bod y dysgwyr yn gallu cyrraedd eu potensial llawn. Mae yna 5 math o fodeli sef: </w:t>
      </w:r>
    </w:p>
    <w:p w14:paraId="5B544AD3" w14:textId="77777777" w:rsidR="00D10285" w:rsidRDefault="00D10285" w:rsidP="00D10285">
      <w:pPr>
        <w:autoSpaceDE w:val="0"/>
        <w:autoSpaceDN w:val="0"/>
        <w:adjustRightInd w:val="0"/>
        <w:spacing w:before="100" w:after="100" w:line="276" w:lineRule="auto"/>
        <w:ind w:left="114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1.</w:t>
      </w:r>
      <w:r>
        <w:rPr>
          <w:rFonts w:ascii="Calibri" w:eastAsiaTheme="minorHAnsi" w:hAnsi="Calibri" w:cs="Calibri"/>
          <w:color w:val="000000"/>
          <w:sz w:val="24"/>
          <w:szCs w:val="24"/>
          <w:lang w:val="cy-GB" w:eastAsia="en-US"/>
        </w:rPr>
        <w:tab/>
        <w:t>Anianawd (Disposition)</w:t>
      </w:r>
    </w:p>
    <w:p w14:paraId="4BC774B7" w14:textId="77777777" w:rsidR="00D10285" w:rsidRDefault="00D10285" w:rsidP="00D10285">
      <w:pPr>
        <w:autoSpaceDE w:val="0"/>
        <w:autoSpaceDN w:val="0"/>
        <w:adjustRightInd w:val="0"/>
        <w:spacing w:before="100" w:after="100" w:line="276" w:lineRule="auto"/>
        <w:ind w:left="114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2.</w:t>
      </w:r>
      <w:r>
        <w:rPr>
          <w:rFonts w:ascii="Calibri" w:eastAsiaTheme="minorHAnsi" w:hAnsi="Calibri" w:cs="Calibri"/>
          <w:color w:val="000000"/>
          <w:sz w:val="24"/>
          <w:szCs w:val="24"/>
          <w:lang w:val="cy-GB" w:eastAsia="en-US"/>
        </w:rPr>
        <w:tab/>
        <w:t>Tasg a Pherfformiad (Task and performance)</w:t>
      </w:r>
    </w:p>
    <w:p w14:paraId="3DD5782F" w14:textId="77777777" w:rsidR="00D10285" w:rsidRDefault="00D10285" w:rsidP="00D10285">
      <w:pPr>
        <w:autoSpaceDE w:val="0"/>
        <w:autoSpaceDN w:val="0"/>
        <w:adjustRightInd w:val="0"/>
        <w:spacing w:before="100" w:after="100" w:line="276" w:lineRule="auto"/>
        <w:ind w:left="114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3.</w:t>
      </w:r>
      <w:r>
        <w:rPr>
          <w:rFonts w:ascii="Calibri" w:eastAsiaTheme="minorHAnsi" w:hAnsi="Calibri" w:cs="Calibri"/>
          <w:color w:val="000000"/>
          <w:sz w:val="24"/>
          <w:szCs w:val="24"/>
          <w:lang w:val="cy-GB" w:eastAsia="en-US"/>
        </w:rPr>
        <w:tab/>
        <w:t>Meta wybyddol (Metacognitive)</w:t>
      </w:r>
    </w:p>
    <w:p w14:paraId="41706589" w14:textId="77777777" w:rsidR="00D10285" w:rsidRDefault="00D10285" w:rsidP="00D10285">
      <w:pPr>
        <w:autoSpaceDE w:val="0"/>
        <w:autoSpaceDN w:val="0"/>
        <w:adjustRightInd w:val="0"/>
        <w:spacing w:before="100" w:after="100" w:line="276" w:lineRule="auto"/>
        <w:ind w:left="114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4.</w:t>
      </w:r>
      <w:r>
        <w:rPr>
          <w:rFonts w:ascii="Calibri" w:eastAsiaTheme="minorHAnsi" w:hAnsi="Calibri" w:cs="Calibri"/>
          <w:color w:val="000000"/>
          <w:sz w:val="24"/>
          <w:szCs w:val="24"/>
          <w:lang w:val="cy-GB" w:eastAsia="en-US"/>
        </w:rPr>
        <w:tab/>
        <w:t>Strategaeth scaffoldio (Scaffolding technique)</w:t>
      </w:r>
    </w:p>
    <w:p w14:paraId="0FF41708" w14:textId="77777777" w:rsidR="00D10285" w:rsidRDefault="00D10285" w:rsidP="00D10285">
      <w:pPr>
        <w:autoSpaceDE w:val="0"/>
        <w:autoSpaceDN w:val="0"/>
        <w:adjustRightInd w:val="0"/>
        <w:spacing w:before="100" w:after="100" w:line="276" w:lineRule="auto"/>
        <w:ind w:left="1143" w:hanging="360"/>
        <w:rPr>
          <w:rFonts w:ascii="Calibri" w:eastAsiaTheme="minorHAnsi" w:hAnsi="Calibri" w:cs="Calibri"/>
          <w:color w:val="000000"/>
          <w:sz w:val="24"/>
          <w:szCs w:val="24"/>
          <w:lang w:eastAsia="en-US"/>
        </w:rPr>
      </w:pPr>
      <w:r>
        <w:rPr>
          <w:rFonts w:ascii="Calibri" w:eastAsiaTheme="minorHAnsi" w:hAnsi="Calibri" w:cs="Calibri"/>
          <w:color w:val="000000"/>
          <w:sz w:val="24"/>
          <w:szCs w:val="24"/>
          <w:lang w:val="cy-GB" w:eastAsia="en-US"/>
        </w:rPr>
        <w:t>5.</w:t>
      </w:r>
      <w:r>
        <w:rPr>
          <w:rFonts w:ascii="Calibri" w:eastAsiaTheme="minorHAnsi" w:hAnsi="Calibri" w:cs="Calibri"/>
          <w:color w:val="000000"/>
          <w:sz w:val="24"/>
          <w:szCs w:val="24"/>
          <w:lang w:val="cy-GB" w:eastAsia="en-US"/>
        </w:rPr>
        <w:tab/>
        <w:t>Myfyriwr - ganolog (Student-centred</w:t>
      </w:r>
      <w:r>
        <w:rPr>
          <w:rFonts w:ascii="Calibri" w:eastAsiaTheme="minorHAnsi" w:hAnsi="Calibri" w:cs="Calibri"/>
          <w:color w:val="000000"/>
          <w:sz w:val="24"/>
          <w:szCs w:val="24"/>
          <w:lang w:eastAsia="en-US"/>
        </w:rPr>
        <w:t>)</w:t>
      </w:r>
    </w:p>
    <w:p w14:paraId="222454B7"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GB" w:eastAsia="en-US"/>
        </w:rPr>
        <w:t>Wrth edrych ar anianawd fel math o fodeli, mae hwn ynglŷn ag athrawon</w:t>
      </w:r>
      <w:r>
        <w:rPr>
          <w:rFonts w:ascii="Calibri" w:eastAsiaTheme="minorHAnsi" w:hAnsi="Calibri" w:cs="Calibri"/>
          <w:color w:val="000000"/>
          <w:sz w:val="24"/>
          <w:szCs w:val="24"/>
          <w:lang w:val="cy" w:eastAsia="en-US"/>
        </w:rPr>
        <w:t xml:space="preserve"> cyfleu gwerthoedd personol neu ffyrdd o feddwl, a gall athrawon fodelu nodweddion personol a ddymuniadol. Yn ôl Eurich (1995) mae modeli anianawd yn bwysig ar gyfer hwyluso datblygiad cymeriad a chymunedol, sydd yn wahanol i agwedd Duplass (2006) sydd yn dweud ei fod angen strategaethau fodeli i lwyddo. Felly mae Eurich (1995) yn dweud bod modeli yn rhywbeth da ar gyfer datblygiad personal a chymunedol ble mae Duplass (2006) yn dweud bod anianawd yn sicrhau llwyddiant. Mae modeli dasg a pherfformiad yn ychydig gwahanol i anianawd achos mae athrawon yn dangos tasg i’r dysgwyr ac mae disgwyl ar y </w:t>
      </w:r>
      <w:r>
        <w:rPr>
          <w:rFonts w:ascii="Calibri" w:eastAsiaTheme="minorHAnsi" w:hAnsi="Calibri" w:cs="Calibri"/>
          <w:color w:val="000000"/>
          <w:sz w:val="24"/>
          <w:szCs w:val="24"/>
          <w:lang w:val="cy" w:eastAsia="en-US"/>
        </w:rPr>
        <w:lastRenderedPageBreak/>
        <w:t xml:space="preserve">dysgwyr i gyflawni e ar ben ei hun. Maent yn cael ei ddefnyddio ar gyfer y dysgwyr i arsylwi beth mae disgwyl ohonynt cyn cyflawni un ei hunain. Er enghraifft mae’r athro yn fodeli arfer o waith da er mwyn i’r dysgwyr bod yn ymwybodol o safon y gwaith mae’r athro yn disgwyl. Defnyddiais i'r arfer yma o fodeli ar gyfer fy ymchwil i, ond mewn ffordd wahanol. Mewn cyd-destun, gwnes i roi gosodiad i’r dysgwyr “mae 13 oed yn rhy ifanc ar gyfer Bar Mitzvah”, ac yna fe wnes i baratoi model i’r dysgwyr gweld cyn iddynt fynd ati i wneud un ei hun. Yn hytrach na fodeli arfer o waith o safon uchel i’r dysgwyr, fe wnes i'r gwrthwyneb sef dangos model o waith o lefel isel. Penderfynais i wneud hynny er mwyn i’r dysgwyr bod yn ymwybodol o beth mae ansawdd o lefel isel yn edrych fel, ac yna fel grwpiau a thrafodaeth dosbarth, daethon nhw lan a llwyth o agweddau dyle cael ei gynnwys yn y dasg. Yn syml, wrth edrych ar y model o waith o lefel isel, gwnaeth y dysgwyr fynd ati a chreu meini prawf llwyddiant ei hun o’r pethau i gynnwys yn ei waith. Felly wrth ddangos model o waith lefel isel roedd y dysgwyr yn ymwybodol o beth i osgoi a beth yw’r disgwyliadau sydd gen i er mwyn iddynt gael y lefel gorau posib. Byddaf yn edrych i mewn i hwn yn fanylder nes ymlaen. </w:t>
      </w:r>
    </w:p>
    <w:p w14:paraId="66D2BCE8" w14:textId="714EAFE8"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 w:eastAsia="en-US"/>
        </w:rPr>
        <w:t xml:space="preserve">Yn wahanol i fodeli dasg a pherfformiad mae modeli feta wybyddol sef sgiliau meddwl sy'n canolbwyntio ar ddehongli gwybodaeth a data, dadansoddi datganiadau a llunio casgliadau am yr hyn a ddysgwyd. Mae athrawon yn siarad drwy eu proses feddwl wrth wneud y cwestiwn. Yn syml yn ôl Duplass (2006) mae beta wybyddol yn strategaeth o feddwl mas yn agored. Mae’r strategaeth yma yn bennaf yn cael ei ddefnyddio yn Ddaearyddiaeth a Mathemateg wrth edrych ar gyfrifiadau a gwaith map. Fe wnes i ddim defnyddio’r dechneg yma yn ystof fy ymchwil achos credaf bydd dim llwyth o effaith ar waith y dysgwyr. Er hyn, fe wnes i fynd trwyddo’r model o waith gyda’r dysgwyr a gaethon ni trafodaeth ynglŷn â beth oedd cynnwys ac ansawdd y darn ysgrifenedig. Yn y gwrthwyneb i feta wybyddol mae modeli fel strategaeth o scaffoldio yn strategaeth ble mae athrawon yn modeli’r dasg ac yna mae’r dysgwyr yn gweithio trwy’r gwaith cyflymder eu hun. Yn wahanol i fodeli anianawd mae Baldwin et al (2006) yn dweud bod athrawon yn gallu modeli'r dasg sawl gwaith ar gyfer dysgwyr gydag anghenion dysgu ychwanegol (ADY) neu Saesneg fel iaith ychwanegol. Er hyn yn wahanol i Baldwin et al mae Exel (1996) sydd yn dweud bod y math hwn o fodeli dim ond yn gallu cael ei ddefnyddio fel drafft ar gyfer y dysgwyr i addasu ac ychwanegu ati. Gallaf ddadlau defnyddiais i fodeli fel strategaeth scaffoldio yn ystod fy ymchwil achos fe wnes i fodeli’r gwaith ysgrifenedig ac yna dros y ddwy wers arall cafodd y dysgwyr amser wedyn ni i ddechrau a pharhau gyda’r dasg ar gyflymder i hun. Wrth gael y dysgwyr i gyflawni’r dasg yn yr ystafell dosbarth, roeddwn fel yr athrawes gallu rhoi cymorth ychwanegol pan roedd angen a mynd dros unrhyw cam ddealltwriaethau pan roedd angen er mwyn cael y dysgwyr i wneud y gwaith i’w potential llawn er mwyn cael y lefel gorau posib. Cytunaf gyda Lambert a Balderstone (2010) sy’n dweud mai modeli ac enghreifftiau yn weithgareddau ar y cyd, sydd yn cael ei weld fel gweithgaredd scaffoldio ar gyfer y dysgwyr MATh a ADY sydd yn y pendraw yn weithgaredd i’r dysgwyr gweithio yn annibynnol. Mae’r strategaeth yma o fodeli yn gallu cael ei weld fel math o wahaniaethu achos yr ydych yn ‘teach to the top’ (Sherrington, 2017) ac yna yn </w:t>
      </w:r>
      <w:r>
        <w:rPr>
          <w:rFonts w:ascii="Calibri" w:eastAsiaTheme="minorHAnsi" w:hAnsi="Calibri" w:cs="Calibri"/>
          <w:color w:val="000000"/>
          <w:sz w:val="24"/>
          <w:szCs w:val="24"/>
          <w:lang w:val="cy" w:eastAsia="en-US"/>
        </w:rPr>
        <w:lastRenderedPageBreak/>
        <w:t xml:space="preserve">scaffoldio i lawr. Felly, yr ydych dal yn gwthio’r dysgwyr MATh trwy beidio â rhoi popeth iddynt er mwyn iddynt i feddwl am beth mae rhaid iddynt wneud, ble gyda’r dysgwyr ADY fe wnes i baratoi taflenni cymorth i’w helpu. Yn yr un ffordd, fe wnes i baratoi 2 math o strwythur fel y gwelwch isod, ond nad oedd y dysgwyr yn sylweddoli roedd hwn yn gwahaniaethu. Roedd yr un gyntaf yn fwy heriol ar gyfer y dysgwyr MATh i osod eu gwaith mas fel fwy o drafodaeth ddadleuol, ble mae’r ail un yn fwy o strwythur cadarn ble maent yn rhoi’r ochr cytuno i gyd gyda’i gilydd ac yna'r anghytuno. Mae’n strwythur mwy syml a llai cymhleth.  </w:t>
      </w:r>
    </w:p>
    <w:p w14:paraId="72BF5768" w14:textId="4CC10165"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r w:rsidRPr="00D10285">
        <w:rPr>
          <w:rFonts w:ascii="Calibri" w:eastAsiaTheme="minorHAnsi" w:hAnsi="Calibri" w:cs="Calibri"/>
          <w:noProof/>
          <w:color w:val="000000"/>
          <w:sz w:val="24"/>
          <w:szCs w:val="24"/>
          <w:lang w:val="cy" w:eastAsia="en-US"/>
        </w:rPr>
        <mc:AlternateContent>
          <mc:Choice Requires="wps">
            <w:drawing>
              <wp:anchor distT="0" distB="0" distL="114300" distR="114300" simplePos="0" relativeHeight="251669504" behindDoc="0" locked="0" layoutInCell="1" allowOverlap="1" wp14:anchorId="7E664C59" wp14:editId="57A06656">
                <wp:simplePos x="0" y="0"/>
                <wp:positionH relativeFrom="column">
                  <wp:posOffset>4744085</wp:posOffset>
                </wp:positionH>
                <wp:positionV relativeFrom="paragraph">
                  <wp:posOffset>314325</wp:posOffset>
                </wp:positionV>
                <wp:extent cx="1021405" cy="466928"/>
                <wp:effectExtent l="0" t="0" r="0" b="3175"/>
                <wp:wrapNone/>
                <wp:docPr id="3" name="Text Box 3"/>
                <wp:cNvGraphicFramePr/>
                <a:graphic xmlns:a="http://schemas.openxmlformats.org/drawingml/2006/main">
                  <a:graphicData uri="http://schemas.microsoft.com/office/word/2010/wordprocessingShape">
                    <wps:wsp>
                      <wps:cNvSpPr txBox="1"/>
                      <wps:spPr>
                        <a:xfrm>
                          <a:off x="0" y="0"/>
                          <a:ext cx="1021405" cy="466928"/>
                        </a:xfrm>
                        <a:prstGeom prst="rect">
                          <a:avLst/>
                        </a:prstGeom>
                        <a:solidFill>
                          <a:schemeClr val="lt1"/>
                        </a:solidFill>
                        <a:ln w="6350">
                          <a:noFill/>
                        </a:ln>
                      </wps:spPr>
                      <wps:txbx>
                        <w:txbxContent>
                          <w:p w14:paraId="31892200" w14:textId="77777777" w:rsidR="00D10285" w:rsidRPr="00D10285" w:rsidRDefault="00D10285" w:rsidP="00D10285">
                            <w:pPr>
                              <w:rPr>
                                <w:rFonts w:asciiTheme="minorHAnsi" w:hAnsiTheme="minorHAnsi"/>
                                <w:sz w:val="24"/>
                              </w:rPr>
                            </w:pPr>
                            <w:r w:rsidRPr="00D10285">
                              <w:rPr>
                                <w:rFonts w:asciiTheme="minorHAnsi" w:hAnsiTheme="minorHAnsi"/>
                                <w:sz w:val="24"/>
                              </w:rPr>
                              <w:t>Strwythur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E664C59" id="_x0000_t202" coordsize="21600,21600" o:spt="202" path="m,l,21600r21600,l21600,xe">
                <v:stroke joinstyle="miter"/>
                <v:path gradientshapeok="t" o:connecttype="rect"/>
              </v:shapetype>
              <v:shape id="Text Box 3" o:spid="_x0000_s1026" type="#_x0000_t202" style="position:absolute;left:0;text-align:left;margin-left:373.55pt;margin-top:24.75pt;width:80.45pt;height:36.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" fillcolor="white [3201]" stroked="f" strokeweight=".5pt">
                <v:textbox>
                  <w:txbxContent>
                    <w:p w14:paraId="31892200" w14:textId="77777777" w:rsidR="00D10285" w:rsidRPr="00D10285" w:rsidRDefault="00D10285" w:rsidP="00D10285">
                      <w:pPr>
                        <w:rPr>
                          <w:rFonts w:asciiTheme="minorHAnsi" w:hAnsiTheme="minorHAnsi"/>
                          <w:sz w:val="24"/>
                        </w:rPr>
                      </w:pPr>
                      <w:proofErr w:type="spellStart"/>
                      <w:r w:rsidRPr="00D10285">
                        <w:rPr>
                          <w:rFonts w:asciiTheme="minorHAnsi" w:hAnsiTheme="minorHAnsi"/>
                          <w:sz w:val="24"/>
                        </w:rPr>
                        <w:t>Strwythur</w:t>
                      </w:r>
                      <w:proofErr w:type="spellEnd"/>
                      <w:r w:rsidRPr="00D10285">
                        <w:rPr>
                          <w:rFonts w:asciiTheme="minorHAnsi" w:hAnsiTheme="minorHAnsi"/>
                          <w:sz w:val="24"/>
                        </w:rPr>
                        <w:t xml:space="preserve"> 1</w:t>
                      </w:r>
                    </w:p>
                  </w:txbxContent>
                </v:textbox>
              </v:shape>
            </w:pict>
          </mc:Fallback>
        </mc:AlternateContent>
      </w:r>
      <w:r w:rsidRPr="00D10285">
        <w:rPr>
          <w:rFonts w:ascii="Calibri" w:eastAsiaTheme="minorHAnsi" w:hAnsi="Calibri" w:cs="Calibri"/>
          <w:noProof/>
          <w:color w:val="000000"/>
          <w:sz w:val="24"/>
          <w:szCs w:val="24"/>
          <w:lang w:val="cy" w:eastAsia="en-US"/>
        </w:rPr>
        <w:drawing>
          <wp:anchor distT="0" distB="0" distL="114300" distR="114300" simplePos="0" relativeHeight="251668480" behindDoc="1" locked="0" layoutInCell="1" allowOverlap="1" wp14:anchorId="13E8C42B" wp14:editId="0F55AC9A">
            <wp:simplePos x="0" y="0"/>
            <wp:positionH relativeFrom="margin">
              <wp:align>left</wp:align>
            </wp:positionH>
            <wp:positionV relativeFrom="paragraph">
              <wp:posOffset>388620</wp:posOffset>
            </wp:positionV>
            <wp:extent cx="6162040" cy="2482215"/>
            <wp:effectExtent l="0" t="0" r="0" b="0"/>
            <wp:wrapTight wrapText="bothSides">
              <wp:wrapPolygon edited="0">
                <wp:start x="0" y="0"/>
                <wp:lineTo x="0" y="21384"/>
                <wp:lineTo x="21502" y="21384"/>
                <wp:lineTo x="21502" y="0"/>
                <wp:lineTo x="0" y="0"/>
              </wp:wrapPolygon>
            </wp:wrapTight>
            <wp:docPr id="2" name="Picture 2" descr="A picture containing melon,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4-15 at 14.59.11.png"/>
                    <pic:cNvPicPr/>
                  </pic:nvPicPr>
                  <pic:blipFill>
                    <a:blip r:embed="rId8">
                      <a:extLst>
                        <a:ext uri="{28A0092B-C50C-407E-A947-70E740481C1C}">
                          <a14:useLocalDpi xmlns:a14="http://schemas.microsoft.com/office/drawing/2010/main" val="0"/>
                        </a:ext>
                      </a:extLst>
                    </a:blip>
                    <a:stretch>
                      <a:fillRect/>
                    </a:stretch>
                  </pic:blipFill>
                  <pic:spPr>
                    <a:xfrm>
                      <a:off x="0" y="0"/>
                      <a:ext cx="6162040" cy="2482215"/>
                    </a:xfrm>
                    <a:prstGeom prst="rect">
                      <a:avLst/>
                    </a:prstGeom>
                  </pic:spPr>
                </pic:pic>
              </a:graphicData>
            </a:graphic>
            <wp14:sizeRelH relativeFrom="page">
              <wp14:pctWidth>0</wp14:pctWidth>
            </wp14:sizeRelH>
            <wp14:sizeRelV relativeFrom="page">
              <wp14:pctHeight>0</wp14:pctHeight>
            </wp14:sizeRelV>
          </wp:anchor>
        </w:drawing>
      </w:r>
    </w:p>
    <w:p w14:paraId="01251436" w14:textId="6B6E8DEE"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38422D2C" w14:textId="1C22F11C"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r w:rsidRPr="00D10285">
        <w:rPr>
          <w:rFonts w:ascii="Calibri" w:eastAsiaTheme="minorHAnsi" w:hAnsi="Calibri" w:cs="Calibri"/>
          <w:noProof/>
          <w:color w:val="000000"/>
          <w:sz w:val="24"/>
          <w:szCs w:val="24"/>
          <w:lang w:val="cy" w:eastAsia="en-US"/>
        </w:rPr>
        <w:drawing>
          <wp:anchor distT="0" distB="0" distL="114300" distR="114300" simplePos="0" relativeHeight="251667456" behindDoc="1" locked="0" layoutInCell="1" allowOverlap="1" wp14:anchorId="067BD203" wp14:editId="62EA8127">
            <wp:simplePos x="0" y="0"/>
            <wp:positionH relativeFrom="column">
              <wp:posOffset>609600</wp:posOffset>
            </wp:positionH>
            <wp:positionV relativeFrom="paragraph">
              <wp:posOffset>11430</wp:posOffset>
            </wp:positionV>
            <wp:extent cx="4795520" cy="2796540"/>
            <wp:effectExtent l="0" t="0" r="5080" b="0"/>
            <wp:wrapTight wrapText="bothSides">
              <wp:wrapPolygon edited="0">
                <wp:start x="0" y="0"/>
                <wp:lineTo x="0" y="21482"/>
                <wp:lineTo x="21566" y="21482"/>
                <wp:lineTo x="2156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15 at 14.58.58.png"/>
                    <pic:cNvPicPr/>
                  </pic:nvPicPr>
                  <pic:blipFill>
                    <a:blip r:embed="rId9">
                      <a:extLst>
                        <a:ext uri="{28A0092B-C50C-407E-A947-70E740481C1C}">
                          <a14:useLocalDpi xmlns:a14="http://schemas.microsoft.com/office/drawing/2010/main" val="0"/>
                        </a:ext>
                      </a:extLst>
                    </a:blip>
                    <a:stretch>
                      <a:fillRect/>
                    </a:stretch>
                  </pic:blipFill>
                  <pic:spPr>
                    <a:xfrm>
                      <a:off x="0" y="0"/>
                      <a:ext cx="4795520" cy="2796540"/>
                    </a:xfrm>
                    <a:prstGeom prst="rect">
                      <a:avLst/>
                    </a:prstGeom>
                  </pic:spPr>
                </pic:pic>
              </a:graphicData>
            </a:graphic>
            <wp14:sizeRelH relativeFrom="page">
              <wp14:pctWidth>0</wp14:pctWidth>
            </wp14:sizeRelH>
            <wp14:sizeRelV relativeFrom="page">
              <wp14:pctHeight>0</wp14:pctHeight>
            </wp14:sizeRelV>
          </wp:anchor>
        </w:drawing>
      </w:r>
    </w:p>
    <w:p w14:paraId="6AB41C82" w14:textId="1AB6A3D6"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6BB7FED7" w14:textId="0CB85D7E"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17E76718" w14:textId="236ABFAA"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51479C39" w14:textId="43410AC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3147467E" w14:textId="16680D38"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30CFCEB9" w14:textId="71ABAB33"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6D24F6D1" w14:textId="3AFF21B8"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10AAB9D1" w14:textId="68BD767E"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r w:rsidRPr="00D10285">
        <w:rPr>
          <w:rFonts w:ascii="Calibri" w:eastAsiaTheme="minorHAnsi" w:hAnsi="Calibri" w:cs="Calibri"/>
          <w:noProof/>
          <w:color w:val="000000"/>
          <w:sz w:val="24"/>
          <w:szCs w:val="24"/>
          <w:lang w:val="cy" w:eastAsia="en-US"/>
        </w:rPr>
        <mc:AlternateContent>
          <mc:Choice Requires="wps">
            <w:drawing>
              <wp:anchor distT="0" distB="0" distL="114300" distR="114300" simplePos="0" relativeHeight="251670528" behindDoc="0" locked="0" layoutInCell="1" allowOverlap="1" wp14:anchorId="51D386E5" wp14:editId="23A3BCC1">
                <wp:simplePos x="0" y="0"/>
                <wp:positionH relativeFrom="column">
                  <wp:posOffset>4492625</wp:posOffset>
                </wp:positionH>
                <wp:positionV relativeFrom="paragraph">
                  <wp:posOffset>6350</wp:posOffset>
                </wp:positionV>
                <wp:extent cx="1021080" cy="466725"/>
                <wp:effectExtent l="0" t="0" r="7620" b="9525"/>
                <wp:wrapNone/>
                <wp:docPr id="5" name="Text Box 5"/>
                <wp:cNvGraphicFramePr/>
                <a:graphic xmlns:a="http://schemas.openxmlformats.org/drawingml/2006/main">
                  <a:graphicData uri="http://schemas.microsoft.com/office/word/2010/wordprocessingShape">
                    <wps:wsp>
                      <wps:cNvSpPr txBox="1"/>
                      <wps:spPr>
                        <a:xfrm>
                          <a:off x="0" y="0"/>
                          <a:ext cx="1021080" cy="466725"/>
                        </a:xfrm>
                        <a:prstGeom prst="rect">
                          <a:avLst/>
                        </a:prstGeom>
                        <a:solidFill>
                          <a:schemeClr val="lt1"/>
                        </a:solidFill>
                        <a:ln w="6350">
                          <a:noFill/>
                        </a:ln>
                      </wps:spPr>
                      <wps:txbx>
                        <w:txbxContent>
                          <w:p w14:paraId="74EA1F28" w14:textId="77777777" w:rsidR="00D10285" w:rsidRPr="00D10285" w:rsidRDefault="00D10285" w:rsidP="00D10285">
                            <w:pPr>
                              <w:rPr>
                                <w:rFonts w:asciiTheme="minorHAnsi" w:hAnsiTheme="minorHAnsi"/>
                                <w:sz w:val="24"/>
                              </w:rPr>
                            </w:pPr>
                            <w:r w:rsidRPr="00D10285">
                              <w:rPr>
                                <w:rFonts w:asciiTheme="minorHAnsi" w:hAnsiTheme="minorHAnsi"/>
                                <w:sz w:val="24"/>
                              </w:rPr>
                              <w:t>Strwythur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D386E5" id="Text Box 5" o:spid="_x0000_s1027" type="#_x0000_t202" style="position:absolute;left:0;text-align:left;margin-left:353.75pt;margin-top:.5pt;width:80.4pt;height:36.7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" fillcolor="white [3201]" stroked="f" strokeweight=".5pt">
                <v:textbox>
                  <w:txbxContent>
                    <w:p w14:paraId="74EA1F28" w14:textId="77777777" w:rsidR="00D10285" w:rsidRPr="00D10285" w:rsidRDefault="00D10285" w:rsidP="00D10285">
                      <w:pPr>
                        <w:rPr>
                          <w:rFonts w:asciiTheme="minorHAnsi" w:hAnsiTheme="minorHAnsi"/>
                          <w:sz w:val="24"/>
                        </w:rPr>
                      </w:pPr>
                      <w:proofErr w:type="spellStart"/>
                      <w:r w:rsidRPr="00D10285">
                        <w:rPr>
                          <w:rFonts w:asciiTheme="minorHAnsi" w:hAnsiTheme="minorHAnsi"/>
                          <w:sz w:val="24"/>
                        </w:rPr>
                        <w:t>Strwythur</w:t>
                      </w:r>
                      <w:proofErr w:type="spellEnd"/>
                      <w:r w:rsidRPr="00D10285">
                        <w:rPr>
                          <w:rFonts w:asciiTheme="minorHAnsi" w:hAnsiTheme="minorHAnsi"/>
                          <w:sz w:val="24"/>
                        </w:rPr>
                        <w:t xml:space="preserve"> 2</w:t>
                      </w:r>
                    </w:p>
                  </w:txbxContent>
                </v:textbox>
              </v:shape>
            </w:pict>
          </mc:Fallback>
        </mc:AlternateContent>
      </w:r>
    </w:p>
    <w:p w14:paraId="289E086E" w14:textId="51B632C9"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55C731A8" w14:textId="55C8DA1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156378F4" w14:textId="2423DEE4"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0F2A97CA" w14:textId="700DD461"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p>
    <w:p w14:paraId="203A6760" w14:textId="14EA9002"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eastAsia="en-US"/>
        </w:rPr>
      </w:pPr>
      <w:r>
        <w:rPr>
          <w:rFonts w:ascii="Calibri" w:eastAsiaTheme="minorHAnsi" w:hAnsi="Calibri" w:cs="Calibri"/>
          <w:color w:val="000000"/>
          <w:sz w:val="24"/>
          <w:szCs w:val="24"/>
          <w:lang w:val="cy-GB" w:eastAsia="en-US"/>
        </w:rPr>
        <w:lastRenderedPageBreak/>
        <w:t xml:space="preserve">Y math olaf o fodeli yw fodeli fyfyriwr - ganolog ble yn aml mae athrawon yn galw ar ddysgwyr i fodeli ymddygiad neu broses feddwl. I Haston (2017) </w:t>
      </w:r>
      <w:r>
        <w:rPr>
          <w:rFonts w:ascii="Calibri" w:eastAsiaTheme="minorHAnsi" w:hAnsi="Calibri" w:cs="Calibri"/>
          <w:color w:val="000000"/>
          <w:sz w:val="24"/>
          <w:szCs w:val="24"/>
          <w:lang w:val="cy" w:eastAsia="en-US"/>
        </w:rPr>
        <w:t xml:space="preserve">mae athrawon yn ymgysylltu â myfyrwyr sydd wedi meistroli cysyniadau penodol neu ddeilliannau dysgu ac yn modelu'r dasg ar gyfer eu cyfoedion. Yn syml, mae’n fwy o ddysgu annibynol ac yn llai o arweiniad yr athro (Duplass 2006). Ar rhai achlysur fe wnes i ddangos gwaith o safon dda i weddill y dosbarth er mwyn rhoi’r naws o weithio’n galed i’r dysgwyr ac i’r dysgwyr i deimlo ei fod nhw yn cyflawni gwaith da ac yr wyf yn ymwybodol o hyn. O brofiad o fod yn Ysgol X, os yr ydych yn canmol y dysgwyr ac yn bod yn bositif gyda nhw mae hwnna’n cael effaith mawr ar ansawdd eu gwaith. Mae rhaid yn Ysgol X gweithio gyda’r dysgwyr yn hytrach na yn erbyn neu hyd yn oed drostyn nhw. Mae’n hanfodol i ddilyn yr arferion arferol gyda’r dysgwyr. </w:t>
      </w:r>
    </w:p>
    <w:p w14:paraId="7B9C87A4"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GB" w:eastAsia="en-US"/>
        </w:rPr>
        <w:t xml:space="preserve">Mae yna nifer o fanteision ynglŷn a modeli arfer dda i ddysgwyr er mwyn gwella eu haddysg. Mae angen hyfforddiant ar bob dysgwr, ond mae angen i rai disgyblion cael cryn dipyn o addysgu sy'n wirioneddol o ansawdd da er mwyn dysgu sut i ddarllen ac ysgrifennu wrth ochr eu cyfoedion. Yr hyn sydd ei angen ar bob dysgwr yn ôl Sliau (2014) o fewn ysgolion, yw modelau, esboniadau ac arddangosiadau o'r modd y caiff y darllen ei gyflawni. Yr hyn nad oes ei angen fwyaf yw mwy o aseiniadau heb gyfarwyddyd a gyfarwyddir gan athrawon, ac eto nid yw llawer o'r gwaith a wna’r dysgwyr  yn yr ysgol yn cynnwys unrhyw fath o ryngweithio neu arddangos cyfarwyddiadol. Mae modelu, egluro ac arddangos yn weithgareddau addysgu hanfodol er mwyn i fod dysgwr i ddysgu darllen ac ysgrifennu. Mae athrawon yn modelu'r prosesau darllen ac ysgrifennu drwy gymryd rhan ynddynt tra bydd plant yn arsylwi. Mae darllen ar lafar i blant, er enghraifft, yn darparu model o sut mae darllen synau a sut mae storïau'n mynd. Mae cyfansoddi rhestr o bethau sydd eu hangen ar gyfer prosiect yn darparu model o un swyddogaeth ysgrifennu. Mae siarad am sut mae stori papur newydd wedi gwneud i ni boeni yn darparu model o ymateb i destun. </w:t>
      </w:r>
      <w:r>
        <w:rPr>
          <w:rFonts w:ascii="Calibri" w:eastAsiaTheme="minorHAnsi" w:hAnsi="Calibri" w:cs="Calibri"/>
          <w:color w:val="000000"/>
          <w:sz w:val="24"/>
          <w:szCs w:val="24"/>
          <w:lang w:val="cy" w:eastAsia="en-US"/>
        </w:rPr>
        <w:t xml:space="preserve">Gall modelu yn aml wneud y aneglur yn fwy eglur. Gall modelu hyrwyddo cynhwysiant, sy’n helpu athrawon i fesur anhawster neu lwyth gwaith eu dysgwyr. Mae modelu meta wybyddol yn arbennig o ddefnyddiol ar gyfer grwpiau arholiad, achos mae'n stopio’r dysgwyr rhag gwastraffu amser oherwydd ‘nid ydynt yn gallu meddwl am unrhyw beth’. </w:t>
      </w:r>
    </w:p>
    <w:p w14:paraId="3F0CA081" w14:textId="77777777" w:rsidR="00D10285" w:rsidRDefault="00D10285" w:rsidP="00D10285">
      <w:pPr>
        <w:autoSpaceDE w:val="0"/>
        <w:autoSpaceDN w:val="0"/>
        <w:adjustRightInd w:val="0"/>
        <w:spacing w:line="276" w:lineRule="auto"/>
        <w:ind w:firstLine="423"/>
        <w:rPr>
          <w:rFonts w:ascii="Calibri" w:eastAsiaTheme="minorHAnsi" w:hAnsi="Calibri" w:cs="Calibri"/>
          <w:color w:val="000000"/>
          <w:sz w:val="24"/>
          <w:szCs w:val="24"/>
          <w:lang w:eastAsia="en-US"/>
        </w:rPr>
      </w:pPr>
      <w:r>
        <w:rPr>
          <w:rFonts w:ascii="Calibri" w:eastAsiaTheme="minorHAnsi" w:hAnsi="Calibri" w:cs="Calibri"/>
          <w:color w:val="000000"/>
          <w:sz w:val="24"/>
          <w:szCs w:val="24"/>
          <w:lang w:eastAsia="en-US"/>
        </w:rPr>
        <w:t xml:space="preserve">Er hyn, hyd yn oed mae yna nifer o fanteision mae yna anfanteision ynglyn a modeli. Mae yna’r posibilrwydd  o droseddu myfyrwyr os nad yw athrawon yn gweithio gydag empathi ac uniondeb. Drwy roi modelau iddynt yr holl amser y gall myfyrwyr ddechrau "disgwyl" modelau. Felly, i gysylltu gyda hwnna bydd y dysgwyr llai galluog yn fwy tebygol o dderbyn yr hyn sy'n cael ei fodelu a pheidio â'i herio. Mae rhaid dysgwyr yn fwy creadigol nag eraill achos mae pawb yn dysgu mewn gwahanol ffordd, ond i’r dysgwyr creadigol drwy roi modelau gwaith i ddysgwyr mae'n lleihau eu sgiliau meddwl a chreadigrwydd eu hunain. Mae yna mwy o bethau positif ynglyn a defnyddio modeli fel arfer dda na phethau negyddol, ac mae hwnna’n amlwg o’r dadleuon uchod. Er hyn, wrth ddefnyddio modeli maen hanfodol o bwysig i gadw yn eich cof y pethau negyddol yn ogystal â’r pethau positif </w:t>
      </w:r>
      <w:r>
        <w:rPr>
          <w:rFonts w:ascii="Calibri" w:eastAsiaTheme="minorHAnsi" w:hAnsi="Calibri" w:cs="Calibri"/>
          <w:color w:val="000000"/>
          <w:sz w:val="24"/>
          <w:szCs w:val="24"/>
          <w:lang w:eastAsia="en-US"/>
        </w:rPr>
        <w:lastRenderedPageBreak/>
        <w:t xml:space="preserve">er mwyn cofio’r effaith mae modeli yn gallu cael ar eich dysgwyr ar yr amod yr ydych yn defnyddio’r strategaeth yn iawn. </w:t>
      </w:r>
    </w:p>
    <w:p w14:paraId="62764D80"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eastAsia="en-US"/>
        </w:rPr>
      </w:pPr>
      <w:r>
        <w:rPr>
          <w:rFonts w:ascii="Calibri" w:eastAsiaTheme="minorHAnsi" w:hAnsi="Calibri" w:cs="Calibri"/>
          <w:color w:val="000000"/>
          <w:sz w:val="24"/>
          <w:szCs w:val="24"/>
          <w:lang w:val="cy-GB" w:eastAsia="en-US"/>
        </w:rPr>
        <w:t>Wrth edrych ar adroddiad Estyn (2013) sef yr un diweddaraf ynglyn ag Ysgol X, dewisais dechneg o asesu ar gyfer dysgu a bydd yn ganolog ac yn gallu gweithio tuag at yr holl awgrymiadau mewn gwahanol ffurf. Wrth edrych ar yr adroddiad Estyn (2013) yn fanwl, y tri awgrym yw i:</w:t>
      </w:r>
    </w:p>
    <w:p w14:paraId="6F882321" w14:textId="77777777" w:rsidR="00D10285" w:rsidRDefault="00D10285" w:rsidP="00D10285">
      <w:pPr>
        <w:autoSpaceDE w:val="0"/>
        <w:autoSpaceDN w:val="0"/>
        <w:adjustRightInd w:val="0"/>
        <w:spacing w:before="100" w:after="100" w:line="276" w:lineRule="auto"/>
        <w:ind w:left="78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1.</w:t>
      </w:r>
      <w:r>
        <w:rPr>
          <w:rFonts w:ascii="Calibri" w:eastAsiaTheme="minorHAnsi" w:hAnsi="Calibri" w:cs="Calibri"/>
          <w:color w:val="000000"/>
          <w:sz w:val="24"/>
          <w:szCs w:val="24"/>
          <w:lang w:val="cy-GB" w:eastAsia="en-US"/>
        </w:rPr>
        <w:tab/>
        <w:t xml:space="preserve">Leihau’r bwlch rhwng perfformiad bechgyn a merched. </w:t>
      </w:r>
    </w:p>
    <w:p w14:paraId="54B89DF3" w14:textId="77777777" w:rsidR="00D10285" w:rsidRDefault="00D10285" w:rsidP="00D10285">
      <w:pPr>
        <w:autoSpaceDE w:val="0"/>
        <w:autoSpaceDN w:val="0"/>
        <w:adjustRightInd w:val="0"/>
        <w:spacing w:before="100" w:after="100" w:line="276" w:lineRule="auto"/>
        <w:ind w:left="78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2.</w:t>
      </w:r>
      <w:r>
        <w:rPr>
          <w:rFonts w:ascii="Calibri" w:eastAsiaTheme="minorHAnsi" w:hAnsi="Calibri" w:cs="Calibri"/>
          <w:color w:val="000000"/>
          <w:sz w:val="24"/>
          <w:szCs w:val="24"/>
          <w:lang w:val="cy-GB" w:eastAsia="en-US"/>
        </w:rPr>
        <w:tab/>
        <w:t xml:space="preserve">Cryfhau perfformiad yn CA3. </w:t>
      </w:r>
    </w:p>
    <w:p w14:paraId="499061F2" w14:textId="77777777" w:rsidR="00D10285" w:rsidRDefault="00D10285" w:rsidP="00D10285">
      <w:pPr>
        <w:autoSpaceDE w:val="0"/>
        <w:autoSpaceDN w:val="0"/>
        <w:adjustRightInd w:val="0"/>
        <w:spacing w:before="100" w:after="100" w:line="276" w:lineRule="auto"/>
        <w:ind w:left="783"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3.</w:t>
      </w:r>
      <w:r>
        <w:rPr>
          <w:rFonts w:ascii="Calibri" w:eastAsiaTheme="minorHAnsi" w:hAnsi="Calibri" w:cs="Calibri"/>
          <w:color w:val="000000"/>
          <w:sz w:val="24"/>
          <w:szCs w:val="24"/>
          <w:lang w:val="cy-GB" w:eastAsia="en-US"/>
        </w:rPr>
        <w:tab/>
        <w:t xml:space="preserve">Lledaenu arferion rhagorol wrth gynllunio ar gyfer gwelliannau. </w:t>
      </w:r>
    </w:p>
    <w:p w14:paraId="430A659E" w14:textId="77777777" w:rsidR="00D10285" w:rsidRDefault="00D10285" w:rsidP="00D10285">
      <w:pPr>
        <w:autoSpaceDE w:val="0"/>
        <w:autoSpaceDN w:val="0"/>
        <w:adjustRightInd w:val="0"/>
        <w:spacing w:before="100" w:after="100" w:line="276" w:lineRule="auto"/>
        <w:ind w:firstLine="423"/>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Os yr ydych yn defnyddio modeli'r ffordd gywir, bydd modeli arfer dda yn gallu cryfhau'r awgrymiadau o’r Adroddiad Estyn 2013 am Ysgol X mewn ffordd bositif. Felly'r math o fodeli yr wyf wedi canolbwyntio ar y mwyaf yn ystod fy ymchwil yw modeli dasg a pherfformiad, er hyn yr wyf wedi defnyddio amryw o wahanol strategaethau yn ystod fy ngwersi. Bodd bynnag, trwy roi enghraifft o waith fel sail i’r dasg ysgrifenedig credaf defnyddiaf modeli dasg a pherfformiad y fwyaf yn ystod yr ymchwil. </w:t>
      </w:r>
    </w:p>
    <w:p w14:paraId="00E93D09" w14:textId="028479E5"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u w:val="single"/>
          <w:lang w:val="cy-GB" w:eastAsia="en-US"/>
        </w:rPr>
      </w:pPr>
      <w:r>
        <w:rPr>
          <w:rFonts w:ascii="Calibri" w:eastAsiaTheme="minorHAnsi" w:hAnsi="Calibri" w:cs="Calibri"/>
          <w:color w:val="000000"/>
          <w:sz w:val="24"/>
          <w:szCs w:val="24"/>
          <w:u w:val="single"/>
          <w:lang w:val="cy-GB" w:eastAsia="en-US"/>
        </w:rPr>
        <w:t xml:space="preserve">Methodoleg a Moeseg </w:t>
      </w:r>
    </w:p>
    <w:p w14:paraId="0ED7458F"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ab/>
        <w:t xml:space="preserve">Cyn sôn am sut aeth yr ymchwil, maen hanfodol i fod yn ymwybodol o’r fethodoleg a’r foeseg tu ôl i’r ymchwil. Yn ôl Cohen a Manion (1994) mae ymchwil gweithredu yn ddull sy'n briodol mewn unrhyw gyd-destun pan fydd angen gwybodaeth benodol ar gyfer problem benodol mewn sefyllfa benodol, neu pan fydd dull newydd yn cael ei impio i system sy'n bodoli eisoes. Nid yw ymchwil gweithredol yn ddull neu yn dechneg achos yn ôl pob math o ymchwil, y dulliau yr ydych yn defnyddio i gasglu gwybodaeth yn dibynnu ar natur y wybodaeth ofynnol. Felly i gytuno â hwn, gellir dweud defnyddiais ymchwil cymhwysol, achos yn ôl Bell (2010), os mae ymchwil cymhwysol yn cael ei wneud gan yr ymchwilydd sydd wedi nodi mae angen newid neu welliant yn y sefydliad; weithiau gyda chefnogaeth o'r tu allan i'r sefydliad. Felly yn yr achos yma, y sefydliad yw Ysgol X, ac fel y nodwyd yn gynharach yn y traethawd, byddaf fy ymchwil i yn cysylltu gydag awgrymiadau o Adroddiad Estyn 2013. Y nod yw “to arrive at recommendations for good practice that will tackle a problem or enhance the peformance of the organization and individuals through changes to the rules and procedures within which they operate” (Denscombe 2010, p12). Yn debyg i Denscombe mae Bassey (1998) yn disgrifio ymchwil gweithredol fel “an enquiry which is carried out in order to understand, to evaluate and then to change in order to improve educational practice”. Felly i Bassey mae ymchwil gweithredol yn ffordd o wneud ymholiad er mwyn deall ac i werthuso er mwyn gwella ymarfer addysgol. I gymharu mae Bell (1999) yn cofnodi ar y ffordd ymarferol o ddatrys problemau sydd yn gwneud ymchwil gweithredol yn ddull deniadol i ymchwilwyr. </w:t>
      </w:r>
    </w:p>
    <w:p w14:paraId="739436C5"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ab/>
        <w:t xml:space="preserve">Gan fy mod i yn mynd i ymarfer ymchwil gweithredol yn Ysgol X, bydd rhaid cadw ffocws ynglyn â beth yw’r pwrpas?, beth yw’r ffocws?, beth yw’r cysylltiadau?, cysylltu </w:t>
      </w:r>
      <w:r>
        <w:rPr>
          <w:rFonts w:ascii="Calibri" w:eastAsiaTheme="minorHAnsi" w:hAnsi="Calibri" w:cs="Calibri"/>
          <w:color w:val="000000"/>
          <w:sz w:val="24"/>
          <w:szCs w:val="24"/>
          <w:lang w:val="cy-GB" w:eastAsia="en-US"/>
        </w:rPr>
        <w:lastRenderedPageBreak/>
        <w:t>theori gydag ymarfer, a hefyd y dilysiad / gwerthusiad ar y diwedd. Byddaf yn cadw cwestiynau Lomax (2007) yn fy nghof wrth wneud ymchwiliad sef:</w:t>
      </w:r>
    </w:p>
    <w:p w14:paraId="18061546"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1.</w:t>
      </w:r>
      <w:r>
        <w:rPr>
          <w:rFonts w:ascii="Calibri" w:eastAsiaTheme="minorHAnsi" w:hAnsi="Calibri" w:cs="Calibri"/>
          <w:color w:val="000000"/>
          <w:sz w:val="24"/>
          <w:szCs w:val="24"/>
          <w:lang w:val="cy-GB" w:eastAsia="en-US"/>
        </w:rPr>
        <w:tab/>
        <w:t>Alla i wella fy ymarfer fel ei fod yn fwy effeithiol?</w:t>
      </w:r>
    </w:p>
    <w:p w14:paraId="3C6AD74D"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2.</w:t>
      </w:r>
      <w:r>
        <w:rPr>
          <w:rFonts w:ascii="Calibri" w:eastAsiaTheme="minorHAnsi" w:hAnsi="Calibri" w:cs="Calibri"/>
          <w:color w:val="000000"/>
          <w:sz w:val="24"/>
          <w:szCs w:val="24"/>
          <w:lang w:val="cy-GB" w:eastAsia="en-US"/>
        </w:rPr>
        <w:tab/>
        <w:t>A allaf i wella fy nealltwriaeth o'r arfer hwn?</w:t>
      </w:r>
    </w:p>
    <w:p w14:paraId="69D279A4"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3.</w:t>
      </w:r>
      <w:r>
        <w:rPr>
          <w:rFonts w:ascii="Calibri" w:eastAsiaTheme="minorHAnsi" w:hAnsi="Calibri" w:cs="Calibri"/>
          <w:color w:val="000000"/>
          <w:sz w:val="24"/>
          <w:szCs w:val="24"/>
          <w:lang w:val="cy-GB" w:eastAsia="en-US"/>
        </w:rPr>
        <w:tab/>
        <w:t>A allaf ddefnyddio fy ngwybodaeth a fy nylanwad i wella'r sefyllfa?</w:t>
      </w:r>
    </w:p>
    <w:p w14:paraId="4A916C28"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ab/>
        <w:t>Yn 2010 roedd yna ddiddordeb rhyfeddol o eang ynglyn â rôl mewn addysg yn benodol mewn ysgolion. Fe wnaeth y diddordeb ynglyn â rôl mewn addysg pwysleisio yr oeddent eisiau gwybod beth sy’n gweithio yn ddosbarthiadau. Felly trwy gynnal ymchwil yn y dosbarth, byddaf yn darganfod beth sy’n gweithio a beth sydd ddim, ond maen hanfodol i ddarganfod y ffordd gywir sy’n addas i’r ysgol ac i’r ymchwilydd. Yn ôl Donald Schon (1983) ‘</w:t>
      </w:r>
      <w:r>
        <w:rPr>
          <w:rFonts w:ascii="Calibri" w:eastAsiaTheme="minorHAnsi" w:hAnsi="Calibri" w:cs="Calibri"/>
          <w:i/>
          <w:iCs/>
          <w:color w:val="000000"/>
          <w:sz w:val="24"/>
          <w:szCs w:val="24"/>
          <w:lang w:val="cy-GB" w:eastAsia="en-US"/>
        </w:rPr>
        <w:t xml:space="preserve">The Reflective Practitioner’ </w:t>
      </w:r>
      <w:r>
        <w:rPr>
          <w:rFonts w:ascii="Calibri" w:eastAsiaTheme="minorHAnsi" w:hAnsi="Calibri" w:cs="Calibri"/>
          <w:color w:val="000000"/>
          <w:sz w:val="24"/>
          <w:szCs w:val="24"/>
          <w:lang w:val="cy-GB" w:eastAsia="en-US"/>
        </w:rPr>
        <w:t xml:space="preserve">mae yna dau fath o werthuso eich ymchwil sy’n ganolbwynt i waith athrawon. Y ddau yw adlewyrchiad ar waith a myfyrdod ar weithredu; ble mae adlewyrchu ar waith yw’r gallu i ddatblygu o fewn ein harfer ein hunain sy'n canolbwyntio ar asesu'n gyson yr hyn rydym yn ei wneud fel yr ydym yn wneud, ac os nad yw rhywbeth yn gweithio rydym yn defnyddio ein profiad a dealltwriaeth i newid neu addasu'r gweithgaredd (Schon, 2018). Serch hynny, mae myfyrdod ar weithredu yn seiliedig ar ddisgrifio, dadansoddi, adolygu a gwerthuso arferion y tu hwnt i'r ystafell ddosbarth er mwyn nodi meysydd i'w gwella yn y dyfodol, sy'n cefnogi dadl Bell (2010). Er hyn, rhywbeth mae’r ddau fath o ymchwil yn cytuno gydag yw’r modd bod ymchwil yn ymwneud ag archwilio a deall materion i gefnogi a gwella addysg. </w:t>
      </w:r>
    </w:p>
    <w:p w14:paraId="47EF23BB"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Wrth ystyried y wahanol gosodiadau ynglyn ag ymchwil, ar gyfer fy ymchwil penderfynaf i ddilyn strwythur Wood a Smith (2016) achos credaf dyma’r ffordd orau i fynd ati i ateb fy ffocws o ‘modeli arfer dda yw’r ffordd orau i sicrhau llwyddiant y dysgwyr’. Y prif egwyddorion dylinaf ar gyfer fy ymchwil yw:</w:t>
      </w:r>
    </w:p>
    <w:p w14:paraId="3C3A97AC"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canolbwyntio ar fater diffiniad neu broblem</w:t>
      </w:r>
    </w:p>
    <w:p w14:paraId="2ED97A0D"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pwyslais ar ymagwedd foesegol</w:t>
      </w:r>
    </w:p>
    <w:p w14:paraId="682C1305"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 xml:space="preserve">rhoi amlinelliad clir o gyd-destun ymchwil </w:t>
      </w:r>
    </w:p>
    <w:p w14:paraId="7DE29FE6"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defnyddio llenyddiaeth ymchwil i lywio dyluniad yr ymchwil</w:t>
      </w:r>
    </w:p>
    <w:p w14:paraId="7A1D28C5"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rhoi amlinelliad a thrafodaeth glir o'r fethodoleg a'r dulliau sydd wedi'u defnyddio i gasglu data</w:t>
      </w:r>
    </w:p>
    <w:p w14:paraId="4BB21543"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dulliau priodol sy'n cysylltu'n glir â materion ynglyn a’r cwestiwn ymchwil</w:t>
      </w:r>
    </w:p>
    <w:p w14:paraId="09E68362"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dadansoddi data a gasglwyd mewn ffordd dryloyw</w:t>
      </w:r>
    </w:p>
    <w:p w14:paraId="6B4B0A7C" w14:textId="77777777" w:rsidR="00D10285" w:rsidRDefault="00D10285" w:rsidP="00D10285">
      <w:pPr>
        <w:autoSpaceDE w:val="0"/>
        <w:autoSpaceDN w:val="0"/>
        <w:adjustRightInd w:val="0"/>
        <w:spacing w:before="100" w:after="100" w:line="276" w:lineRule="auto"/>
        <w:ind w:left="720" w:hanging="360"/>
        <w:rPr>
          <w:rFonts w:ascii="Calibri" w:eastAsiaTheme="minorHAnsi" w:hAnsi="Calibri" w:cs="Calibri"/>
          <w:color w:val="000000"/>
          <w:sz w:val="24"/>
          <w:szCs w:val="24"/>
          <w:lang w:val="cy-GB" w:eastAsia="en-US"/>
        </w:rPr>
      </w:pPr>
      <w:r>
        <w:rPr>
          <w:rFonts w:ascii="Symbol" w:eastAsiaTheme="minorHAnsi" w:hAnsi="Symbol" w:cs="Symbol"/>
          <w:color w:val="000000"/>
          <w:sz w:val="24"/>
          <w:szCs w:val="24"/>
          <w:lang w:val="cy-GB" w:eastAsia="en-US"/>
        </w:rPr>
        <w:t></w:t>
      </w:r>
      <w:r>
        <w:rPr>
          <w:rFonts w:ascii="Symbol" w:eastAsiaTheme="minorHAnsi" w:hAnsi="Symbol" w:cs="Symbol"/>
          <w:color w:val="000000"/>
          <w:sz w:val="24"/>
          <w:szCs w:val="24"/>
          <w:lang w:val="cy-GB" w:eastAsia="en-US"/>
        </w:rPr>
        <w:tab/>
      </w:r>
      <w:r>
        <w:rPr>
          <w:rFonts w:ascii="Calibri" w:eastAsiaTheme="minorHAnsi" w:hAnsi="Calibri" w:cs="Calibri"/>
          <w:color w:val="000000"/>
          <w:sz w:val="24"/>
          <w:szCs w:val="24"/>
          <w:lang w:val="cy-GB" w:eastAsia="en-US"/>
        </w:rPr>
        <w:t>gwerthusiad ar y diwedd o sut aeth yr ymchwil a beth yw’r camau nesaf</w:t>
      </w:r>
    </w:p>
    <w:p w14:paraId="38DE269E"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Mae moeseg yn cael ei ddiffinio fel “the whole field of moral science” (Wood; Smith, 2016), felly mae ymddwyn yn foesegol yn golygu “acting in accordance with the principles of ethics; morally right; honourable; virtuous; decent” (Oxford English Dictionary, 2007). Mewn cyd-destun ymchwil mae hyn yn cynnwys gonestrwydd ac ymrwymiad i amddiffyn pobl sy'n </w:t>
      </w:r>
      <w:r>
        <w:rPr>
          <w:rFonts w:ascii="Calibri" w:eastAsiaTheme="minorHAnsi" w:hAnsi="Calibri" w:cs="Calibri"/>
          <w:color w:val="000000"/>
          <w:sz w:val="24"/>
          <w:szCs w:val="24"/>
          <w:lang w:val="cy-GB" w:eastAsia="en-US"/>
        </w:rPr>
        <w:lastRenderedPageBreak/>
        <w:t xml:space="preserve">rhan o'r gwaith o roi niwed. Pan fyddwch yn ymchwilio ym myd addysg, mae tair egwyddor sylfaenol i'w hystyried: cydsyniad, gonestrwydd a gofal. </w:t>
      </w:r>
    </w:p>
    <w:p w14:paraId="3D7C40B5"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Cyn cychwyn gydag unrhyw ymchwil, yn ôl BERA (2018) maen hanfodol i ofyn am ganiatâd moesegol, yn enwedig pan yr ydych yn sefydliad amlddiwylliannol fel ysgol. Yn ôl BERA (2018) un o’r egwyddorion yw gofyn am ganiatâd cyn cychwyn gydag unrhyw ymchwil. Felly byddaf yn gofyn am ganiatâd o’r Cod Moeseg PCYDDS ar ôl llenwi mewn ffurflen moeseg, ac yn ar ôl cael caniatâd, byddaf yn cychwyn yr ymchwil. Mae'r Gymdeithas yn cymryd caniatâd gwirfoddol ar sail gwybodaeth a pharhaus ei fod yn amod sy'n sicrhau bod cyfranogwyr yn deall ac yn cytuno ar eu cyfranogiad, a thelerau ac ymarferoldeb hynny, heb unrhyw orfodaeth, cyn i'r ymchwil dechrau. Dylid ei gwneud yn glir i'r cyfranogwyr y gallant dynnu'n ôl ar unrhyw adeg heb orfod rhoi eglurhad. Felly i gadw yn unol â chanllawiau BERA fe wnes i baratoi llythyr i’r dysgwyr i roi i'w rhieni a disgrifiodd yn union beth oeddwn yn bwriadu gwneud fel rhan o fy ymchwil. Er mwyn arddangos fy mod yn ymwybodol bod hawl â’r dysgwyr i wrthod fod yn rhan o’r ymchwil, byddaf yn pwysleisio yn fy llythyr i’r rhieni nid yw’r ymchwil yn mynd i effeithio ar addysg y dysgwyr gan fod yr ymchwil yn rhan o addysgu arferol yn yr ystafell dosbarth, a chyn iddynt wneud unrhyw benderfyniad ynglyn a gwrthod y dysgwyr bod yn rhan o’r ymchwil, byddaf yn rhoi’r hawl iddynt i gysylltu gyda’r athrawes am unrhyw gwestiynau neu ofidion sydd gyda nhw (Atodiad 1). Felly os byddaf yn cael dysgwyr sydd yn dymuno i beidio bod yn rhan o’r ymchwil, yr unig wahaniaeth yw’r ffaith ni fyddai yn defnyddio gwaith neu ddata'r unigolion hynny yn fy ngwaith. Pwysleisiaf yr unig amser bydd e yn cael ei hystyried fel ymchwil yw pryd byddaf yn ysgrifennu lan amdano’r ymchwil. Heblaw am hynny, nid yw unrhyw beth arall yn cael ei hystyried fel ymchwil gan fod yn rhan o addysgu arferol yn yr ystafell dosbarth. I gadw yn llym gyda chanllawiau BERA (2018), ar ôl danfon y llythyr allan, byddaf yn mynd dros beth yw bwriad yr ymchwil er mwyn i’r dysgwyr bod yn ymwybodol bod yr ymchwil ddim yn cymryd lle dysgu arferol ac yna yn ymateb i unrhyw gwestiynau sydd gan y dysgwyr. Yn ôl BERA (2017) dylai ymchwilwyr wneud popeth o fewn eu gallu i sicrhau bod pob darpar gyfranogwr yn deall, cystal ag y gallant, yr hyn sy'n gysylltiedig ag astudiaeth. Dylid dweud wrthynt pam y mae angen eu cyfranogiad, beth y gofynnir iddynt ei wneud, beth fydd yn digwydd i'r wybodaeth a ddarperir ganddynt, sut y caiff y wybodaeth honno ei defnyddio a sut ac i bwy fydd y gwaith/data yn cael ei hadrodd. Felly byddaf yn sicrhau mae’r dysgwyr a’r rhieni yn ymwybodol yn gwmws beth sy’n digwydd yn ystod yr ymchwil. </w:t>
      </w:r>
    </w:p>
    <w:p w14:paraId="62CB3A44"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GB" w:eastAsia="en-US"/>
        </w:rPr>
        <w:t xml:space="preserve">Wrth gyflawni unrhyw fath o ymchwil, maen hanfodol bod y data yr ydych wedi casglu yn gyfrinachol wrth gyflawni’r ymchwil. Yn ôl BERA (2018, t21) “researchers should recongnise the entitlement of both institutions and individual participants to privacy, and should accord them their rights to confidentiality and anonymity”; felly wrth gadw at ganllawiau BERA wrth ddechrau’r ymchwil, pwysleisiaf bydd pob math o ddata yn gyfrinachol a byddai ddim yn defnyddio enwau’r dysgwyr o gwbl yn fy ngwaith. Yr unig berson bydd yn gwybod pwy yw pwy yw’r athrawes, i bawb arall bydd eu henwau yn cael eu dileu. Felly, bydd hwnna’n rhoi cymorth i’r rhai bydd ddim yn siŵr beth i wneud gan ei fod </w:t>
      </w:r>
      <w:r>
        <w:rPr>
          <w:rFonts w:ascii="Calibri" w:eastAsiaTheme="minorHAnsi" w:hAnsi="Calibri" w:cs="Calibri"/>
          <w:color w:val="000000"/>
          <w:sz w:val="24"/>
          <w:szCs w:val="24"/>
          <w:lang w:val="cy-GB" w:eastAsia="en-US"/>
        </w:rPr>
        <w:lastRenderedPageBreak/>
        <w:t>yn gwybod ni fydd neb arall yn ymwybodol o bwy fyddaf yn sôn am heblaw am yr athrawes. Yn ôl y Ddeddf Diogelu Data (1998) ac y GDPR mae gan y dysgwyr “the right to private citizens to have access to any personal data that is stored, and which relates to them” (BERA 2018, t24).</w:t>
      </w:r>
    </w:p>
    <w:p w14:paraId="29872CBA"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GB" w:eastAsia="en-US"/>
        </w:rPr>
        <w:t xml:space="preserve">Mae nifer o bwyntiau i’w hystyried wrth gychwyn ymchwil. Penderfynais i ddefnyddio i ddilyn dull Cohen (2017) o brawf diagnostig cyn yr ymyrraeth ac ar ôl yr ymyrraeth felly mae rhaid dilyn amryw o ganllawiau. Ar ôl i chi lanw’r ffurflen moeseg, os yr ydych yn dymuno gallwch newid ffurf neu eirfa’r cwestiynau ar yr amod o mae’r ddau yn profi’r un cynnwys. Felly o hwnna mae rhaid cadarnhau bod y ddau brawf yn cael yr un lefel o anhawster, neu bydd y ddau brawf yn hollol wahanol i’w gilydd. Yn ogystal â hynny, mae rhaid cymryd sylw at ddibynadwyedd a dilysrwydd eich prawf. Yn ôl Cohen (2017) mae </w:t>
      </w:r>
      <w:r>
        <w:rPr>
          <w:rFonts w:ascii="Calibri" w:eastAsiaTheme="minorHAnsi" w:hAnsi="Calibri" w:cs="Calibri"/>
          <w:color w:val="000000"/>
          <w:sz w:val="24"/>
          <w:szCs w:val="24"/>
          <w:lang w:val="cy" w:eastAsia="en-US"/>
        </w:rPr>
        <w:t xml:space="preserve">dibynadwyedd yn ymwneud â faint o hyder y gellir ei roi yn y canlyniadau a'r data, lle mae dilysrwydd yn ymwneud â'r graddau y mae'r prawf yn profi'r hyn sydd i fod i'w brofi. Felly wrth gynllunio beth yw’r prawf bydd rhaid cadw’r ddau derm dibynadwyedd a dilysrwydd yng nghanol cynllun y prawf. Felly mae nifer o bethau a phwyntiau mae rhaid ystyried wrth fynd ati i gynllunio beth yw’r profion megis: beth ydyn ni’n profi?; Ydy’r canlyniadau yn deillio o </w:t>
      </w:r>
      <w:r>
        <w:rPr>
          <w:rFonts w:ascii="Calibri" w:eastAsiaTheme="minorHAnsi" w:hAnsi="Calibri" w:cs="Calibri"/>
          <w:color w:val="000000"/>
          <w:sz w:val="24"/>
          <w:szCs w:val="24"/>
          <w:lang w:val="cy-GB" w:eastAsia="en-US"/>
        </w:rPr>
        <w:t>brawf diagnostig cyn yr ymyrraeth ac ar ôl yr ymyrraeth</w:t>
      </w:r>
      <w:r>
        <w:rPr>
          <w:rFonts w:ascii="Calibri" w:eastAsiaTheme="minorHAnsi" w:hAnsi="Calibri" w:cs="Calibri"/>
          <w:color w:val="000000"/>
          <w:sz w:val="24"/>
          <w:szCs w:val="24"/>
          <w:lang w:val="cy" w:eastAsia="en-US"/>
        </w:rPr>
        <w:t xml:space="preserve">?; Ydy’r prawf yn brawf grŵp neu yn brawf unigol?; ac yn olaf ydy’r prawf yn cynnwys elfen o hunan adroddiad neu ydy’r prawf wedi ei weinyddu?. Wrth gadw'r rhain i gyd yn gof, penderfynaf i osod tasg i flwyddyn 8 heb fodel o waith neu feini prawf llwyddiant fel prawf diagnostig cyn yr ymyrraeth er mwyn gwybod beth fydd safon y wers, ac yna fel prawf diagnostig ar ôl yr ymyrraeth byddaf yn gosod meini prawf llwyddiant a model o arfer dda iddynt i weld safon eu gwaith. Penderfynaf ddefnyddio sampl cyfleustra achos yr oeddwn yn barod yn addysgu’r dosbarth. Felly rydw i’n adnabod y dosbarth yn dda ac yn ymwybodol o unrhyw anghenion neu adnoddau bydd angen ar eu cyfer nhw. Nid yw hwn yr unig sampl gallaf ddefnyddio, gallaf ddefnyddio sampl wedi’i reoli yn lle, ond gyda hyn bydd rhaid i mi gael dau ddosbarth i’w wneud a bydd yr ymchwil yn cymryd fwy o amser na’r amser sydd gen i. Felly, wrth ystyried y mathau o sampl gallaf ddefnyddio, penderfynaf i gadw at y sampl cyfleustra achos y prinder amser bydd gen i, achos mae pob dosbarth yn wahanol. Felly bydd yr ymchwil wedi gweithio gyda’r ddau ddosbarth? </w:t>
      </w:r>
    </w:p>
    <w:p w14:paraId="41CBB63C"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u w:val="single"/>
          <w:lang w:val="cy" w:eastAsia="en-US"/>
        </w:rPr>
      </w:pPr>
      <w:r>
        <w:rPr>
          <w:rFonts w:ascii="Calibri" w:eastAsiaTheme="minorHAnsi" w:hAnsi="Calibri" w:cs="Calibri"/>
          <w:color w:val="000000"/>
          <w:sz w:val="24"/>
          <w:szCs w:val="24"/>
          <w:u w:val="single"/>
          <w:lang w:val="cy" w:eastAsia="en-US"/>
        </w:rPr>
        <w:t>Gwerthusiad</w:t>
      </w:r>
    </w:p>
    <w:p w14:paraId="3F1AED65"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GB" w:eastAsia="en-US"/>
        </w:rPr>
        <w:t xml:space="preserve">Fel yr ydym yn ymwybodol, mae modeli yn cael ei ddiffinio fel proses o ddysgu trwy sgiliau a gwybodaeth newydd neu trwy arsylwi ymddygiad yn hytrach na trwy brofiad personol; yng ngeiriau Holland a Kobasigawa (1980) “learning is viewed as a function of observation, rather than a direct experience”, felly dyma pam dewisais modeli fel fy ymchwil, achos mae’r dysgwyr yn dysgu wrth arsylwi, yn hytrach na trwy brofiadau sydd yn golygu bod yr ymchwil yn agored i bawb sy’n cynnwys y dysgwyr ADY a MATh, a does dim angen profiadau na dealltwriaeth flaenorol arnynt. Penderfynais ar fodeli gan fod Salisu Ransom (2014) yn dweud bod defnyddio’r strategaeth o fodeli </w:t>
      </w:r>
      <w:r>
        <w:rPr>
          <w:rFonts w:ascii="Calibri" w:eastAsiaTheme="minorHAnsi" w:hAnsi="Calibri" w:cs="Calibri"/>
          <w:color w:val="000000"/>
          <w:sz w:val="24"/>
          <w:szCs w:val="24"/>
          <w:lang w:val="cy" w:eastAsia="en-US"/>
        </w:rPr>
        <w:t xml:space="preserve">athrawon yn ennyn diddordeb y dysgwyr mewn dynwared ymddygwyr penodol sy'n annog dysgu ac felly mae’r </w:t>
      </w:r>
      <w:r>
        <w:rPr>
          <w:rFonts w:ascii="Calibri" w:eastAsiaTheme="minorHAnsi" w:hAnsi="Calibri" w:cs="Calibri"/>
          <w:color w:val="000000"/>
          <w:sz w:val="24"/>
          <w:szCs w:val="24"/>
          <w:lang w:val="cy" w:eastAsia="en-US"/>
        </w:rPr>
        <w:lastRenderedPageBreak/>
        <w:t xml:space="preserve">dysgwyr yn ymateb yn dda i’r strategaeth yma, felly dyma pam mae modeli yn sail yr ymchwil. Wrth fod yn athrawes mae rhaid bod yn ymwybodol o anghenion y dysgwyr sydd o fewn eich dosbarth. Dyna pam dewisais modeli achos gallech ddefnyddio modeli ar draws pob thema a phob dosbarth gan ei fod yn agored i bob unigolyn ad draws pob lefel. Dydy modeli ddim yn seiliedig ar ddysgwyr o allu uchel neu isel, felly wrth gael dosbarthiadau o allu cymysg a'r dosbarth Bl8 dewisais i, roedd ên hanfodol i ddewis strategaeth a bydd yn agored i bob dysgwyr i gyrraedd eu potential llawn fel mae modeli a Emmanuel a Ransom (2014) yn awgrymu. Wrth fod yn athrawes Addysg Grefyddol, maen hanfodol i ddenu sylw a diddordeb y dysgwyr yn syth er mwyn iddynt ymroi eu gorau i mewn yn ystod y gwersi a gwaith, a thrwy ddefnyddio modeli, dyna un o’r dulliau mwyaf effeithlon o ddysgu unrhyw sgìl neu wybodaeth newydd (Bandura, 1986). Felly, dyle modeli gael ei weld yn gynlluniau gwers a gwersi athrawon gan ei fod yn arwyddocaol i addysg a dysgu'r dysgwyr. Dyna pam dewisais y strategaeth yma gan ei fod yn strategaeth mor eang fel gwelwn yn yr adolygiad llenyddiaeth uchod. </w:t>
      </w:r>
    </w:p>
    <w:p w14:paraId="07120E1E"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 w:eastAsia="en-US"/>
        </w:rPr>
        <w:t xml:space="preserve">Fel y gwelwn yn yr adolygiad llenyddiaeth mae modeli yn gallu cael ei ystyried fel term enfawr ar gyfer mathau gwahanol o fodeli, felly gallen ni ddadlau bod modeli yn derm umbrel ar gyfer y gwahanol fathau o fodeli a dulliau o strategaethau. I ychwanegu â hyn mae arddangosiadau ac esboniadau (explanation). Dydy modeli ddim yn strategaeth syml i ddefnyddio yn addysg i gynorthwyo’r dysgwyr. Felly, maen hanfodol i fod yn ymwybodol o’r wahanol fathau o fodeli ac i ddewis y dull sydd y fwyaf addas i chi yn eich ystafell dosbarth. Yn ychwanegol i hynny, gan fod y dosbarth penderfynais i wneud yr ymchwil gydag yn ddosbarth gallu cymysg, mae rhaid bod yn barod i gynorthwyo a pharatoi unrhyw waith gwahaniaethol megis taflenni gwaith, a modelau gwahaniaethol. Gan fod modeli yn strategaeth yn ddull o ddysgu ac addysgu i scaffoldio’r dysgwyr, yn barod i gymryd y cam nesaf o beth yw eu dealltwriaeth flaenorol i mewn i waith a dysgu trwy ddangos modeli  (The National Strategy, 2007), fe wnes i gadarnhau roedd y modeli defnyddiais yn addas ac yn fuddiol ac yn werthfawr i’r dysgwyr gan fod modeli ac arddangosiadau yn cael ei hystyried gan The National Strategy (2007, t.3) fel “lynchpins of successful teaching” felly dyna pam mae modeli mor bwysig yn addysg a pham mae rhaid iddo gael ei ddefnyddio yn aml o fewn yr ystafell dosbarth. Mae cyfarwyddyd scaffoldio fel strategaeth addysgu yn tarddu o ddamcaniaeth gymdeithas ddiwylliannol Vygotsky a'i gysyniad o'r </w:t>
      </w:r>
      <w:r>
        <w:rPr>
          <w:rFonts w:ascii="Calibri" w:eastAsiaTheme="minorHAnsi" w:hAnsi="Calibri" w:cs="Calibri"/>
          <w:i/>
          <w:iCs/>
          <w:color w:val="000000"/>
          <w:sz w:val="24"/>
          <w:szCs w:val="24"/>
          <w:lang w:val="cy" w:eastAsia="en-US"/>
        </w:rPr>
        <w:t xml:space="preserve">parth datblygiad procsimol </w:t>
      </w:r>
      <w:r>
        <w:rPr>
          <w:rFonts w:ascii="Calibri" w:eastAsiaTheme="minorHAnsi" w:hAnsi="Calibri" w:cs="Calibri"/>
          <w:color w:val="000000"/>
          <w:sz w:val="24"/>
          <w:szCs w:val="24"/>
          <w:lang w:val="cy" w:eastAsia="en-US"/>
        </w:rPr>
        <w:t>(PDP</w:t>
      </w:r>
      <w:r>
        <w:rPr>
          <w:rFonts w:ascii="Calibri" w:eastAsiaTheme="minorHAnsi" w:hAnsi="Calibri" w:cs="Calibri"/>
          <w:i/>
          <w:iCs/>
          <w:color w:val="000000"/>
          <w:sz w:val="24"/>
          <w:szCs w:val="24"/>
          <w:lang w:val="cy" w:eastAsia="en-US"/>
        </w:rPr>
        <w:t>)</w:t>
      </w:r>
      <w:r>
        <w:rPr>
          <w:rFonts w:ascii="Calibri" w:eastAsiaTheme="minorHAnsi" w:hAnsi="Calibri" w:cs="Calibri"/>
          <w:color w:val="000000"/>
          <w:sz w:val="24"/>
          <w:szCs w:val="24"/>
          <w:lang w:val="cy" w:eastAsia="en-US"/>
        </w:rPr>
        <w:t xml:space="preserve">. Yn ôl Raymond (2000, t.176) </w:t>
      </w:r>
      <w:r>
        <w:rPr>
          <w:rFonts w:ascii="Calibri" w:eastAsiaTheme="minorHAnsi" w:hAnsi="Calibri" w:cs="Calibri"/>
          <w:color w:val="000000"/>
          <w:sz w:val="24"/>
          <w:szCs w:val="24"/>
          <w:lang w:eastAsia="en-US"/>
        </w:rPr>
        <w:t>“the zone of proximal development is the distance between what children can do by themselves and the next learning that they can be helped to achieve with competent assistance”</w:t>
      </w:r>
      <w:r>
        <w:rPr>
          <w:rFonts w:ascii="Calibri" w:eastAsiaTheme="minorHAnsi" w:hAnsi="Calibri" w:cs="Calibri"/>
          <w:color w:val="000000"/>
          <w:sz w:val="24"/>
          <w:szCs w:val="24"/>
          <w:lang w:val="cy" w:eastAsia="en-US"/>
        </w:rPr>
        <w:t xml:space="preserve">. Mae'r strategaeth addysgu scaffoldio yn darparu cymorth unigolyn seiliedig ar PDP (NEWI; Canu; Chen, 2002). Felly o wybod beth yw PDP a fodeli, gallen ni ddadlau mae’r ddau yn cydweithio gyda’i gilydd, oherwydd wrth wybod ble mae’r dysgwyr a ble mae rhaid iddynt gyrraedd, gallech ddefnyddio fodeli fel modd o scaffoldio er mwyn cynorthwyo’r dysgwyr i gyrraedd ei nod yn y pendraw. Dyma beth wnes i gyda’r ymchwil. Roeddwn yn gwybod y nod yn y pendraw oedd i’r dysgwyr gallu ysgrifennu darn ysgrifenedig amdano’r testun ‘mae 13 oed yn rhy ifanc i gael Bar Mitzvah’. Felly er mwyn gwneud yn siŵr roedd y dysgwyr yn gwneud eu gorau, dyna pam paratois </w:t>
      </w:r>
      <w:r>
        <w:rPr>
          <w:rFonts w:ascii="Calibri" w:eastAsiaTheme="minorHAnsi" w:hAnsi="Calibri" w:cs="Calibri"/>
          <w:color w:val="000000"/>
          <w:sz w:val="24"/>
          <w:szCs w:val="24"/>
          <w:lang w:val="cy" w:eastAsia="en-US"/>
        </w:rPr>
        <w:lastRenderedPageBreak/>
        <w:t>fodel o waith o lefel isel er mwyn i’r dysgwyr bod yn ymwybodol o beth nad oeddwn eisiau a daethon nhw lan a dadleuon a meini prawf llwyddiant eu hun er mwyn iddynt wneud eu gorau yn y dasg. Yn syml defnyddiais modeli fel strategaeth i helpu’r dysgwyr i gyrraedd y nod yn y pendraw ac iddynt fod yn browd ac yn falch o’r gwaith maent yn eu cyflawni. I gefnogi mae modeli a scaffoldio yn cydweithio gyda’i gilydd mae Vygotsky yn diffinio scaffoldio a PDP fel “...supporting the learner’s development and providing support...” (</w:t>
      </w:r>
      <w:r>
        <w:rPr>
          <w:rFonts w:ascii="Calibri" w:eastAsiaTheme="minorHAnsi" w:hAnsi="Calibri" w:cs="Calibri"/>
          <w:color w:val="000000"/>
          <w:sz w:val="24"/>
          <w:szCs w:val="24"/>
          <w:lang w:eastAsia="en-US"/>
        </w:rPr>
        <w:t>Raymond, 2000, t. 176)</w:t>
      </w:r>
      <w:r>
        <w:rPr>
          <w:rFonts w:ascii="Calibri" w:eastAsiaTheme="minorHAnsi" w:hAnsi="Calibri" w:cs="Calibri"/>
          <w:color w:val="000000"/>
          <w:sz w:val="24"/>
          <w:szCs w:val="24"/>
          <w:lang w:val="cy" w:eastAsia="en-US"/>
        </w:rPr>
        <w:t xml:space="preserve"> sef yr un peth a fodeli “...scaffold or support children’s learning...” (The National Strategy, 2007, t.3), felly pam lai uno’r ddau gyda’i gilydd er mwyn cynorthwyo’r dysgwyr i gyrraedd eu potential. Dyma pam gallai ddadlau fe wnes i ddefnyddio’r ddau yn ystod yr ymchwil gan fod y ddau yn cydweithio yn dda gyda’i gilydd. </w:t>
      </w:r>
    </w:p>
    <w:p w14:paraId="5AB440E1"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 w:eastAsia="en-US"/>
        </w:rPr>
        <w:t xml:space="preserve">Un o brif egwyddorion addysgu ar hyn y bryd yw ‘Teaching to the top’ (Sherrington, 2017) gan fod athrawon yn canolbwyntio ar wahaniaethu ar gyfer y dysgwyr gyda gallu isel neu sydd â ADY, felly maent yn anghofio am y dysgwyr gyda’r gallu uchel a’r dysgwyr MAT. Wrth osod gwaith o safon rhy hawdd iddynt nad ydynt yn cyrraedd eu potential llawn ac felly nad ydynt yn gwthio eu hunain. Mae hwn yn arwain at ddysgwyr sydd yn dod yn ddiog ac yn flinedig, sydd yn arwain at ddysgwyr yn ancyflawni (Sherrington, 2017). I gefnogi hyn mae Sherrington (2017) yn dweud “teachers should consider the curriculum and plan activities based on the capabilities of the higher attainers as a priority....providing appropriate scaffolds for other students...teachers need to have the courage and confidence to challenge...the top end”. Felly yn syml mae Sherrington yn awgrymu i athrawon i ddysgu i’r uchaf a scaffaldi i lawr er mwyn cael y gorau allan o’r dysgwyr. Gallen ni ddadlau mae strategaeth Sherrington yn cysylltu gyda modeli gan fod modeli yn gallu gwthio’r dysgwyr ond ar yr un pryd bod yn sgaffald ar gyfer y dysgwyr sydd eu hangen. Dyna beth wnes i gyda’r ymchwil. Wrth ddefnyddio un darn o fodeli, fe wnes i osod sylfaen ar gyfer y dysgwyr ADY ond eu herio trwy gael y dysgwyr i wthio i gael lefel yn uwch na’r fodel, ond ar gyfer y dysgwyr MAT roedd hwnna’n cael ei weld fel esiampl iddynt i fod yn ymwybodol o’r her sydd o’i flaenau iddynt gyflawni gwaith o lefel uchel. Dangosais y dysgwyr y lefelau er mwyn i’r dysgwyr bod yn ymwybodol o’r her o un lefel i’r llall ac iddynt fod yn ymwybodol o beth mae rhaid iddynt gynnwys i gyrraedd pob lefel, a hefyd paratoais termau wrth law iddynt gynnwys ar ôl cael trafodaeth dosbarth o’r termau mae rhaid cynnwys. I gytuno â beth wnes i mae Tharby (2015), gan ei fod yn awgrymu mae modeli yn arwain at ddarn o ysgrifenedig llwyddiannus. Os mae ysgrifennu yn graidd eich pwnc megis Addysg Grefyddol, Cymraeg a Hanes ac ati dylech modeli yn gyson yn ystod eich gwersi a dyle cael ei gynnwys ar bob cyfle posib gan ei fod yn modeli’r termau ac iaith academaidd gywir. Ar ol gweld a mynd trwy’r modeli, doedd dim hawl gyda’r dysgwyr gweld yr esiampl eto gan i fod yn gallu arwain at ddibyniaeth a dyle cael ei dynnu i ffwrdd i adael i’r dysgwyr meddwl ar ben hun a gwneud camgymeriadau er mwyn iddynt ddysgu beth wnaethon nhw yn anghywir a beth mae rhaid iddynt wneud i lwyddo (Tharby, 2015). </w:t>
      </w:r>
    </w:p>
    <w:p w14:paraId="5029E97B"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 w:eastAsia="en-US"/>
        </w:rPr>
        <w:t xml:space="preserve">I gysylltu â’r uchod mae Dweck et al gyda meddylfryd twf sy’n dweud nid yw eich cudd-wybodaeth yn sefydlog a gellir ei newid (Heggart, 2015) a dyle gwthio eich disgyblion </w:t>
      </w:r>
      <w:r>
        <w:rPr>
          <w:rFonts w:ascii="Calibri" w:eastAsiaTheme="minorHAnsi" w:hAnsi="Calibri" w:cs="Calibri"/>
          <w:color w:val="000000"/>
          <w:sz w:val="24"/>
          <w:szCs w:val="24"/>
          <w:lang w:val="cy" w:eastAsia="en-US"/>
        </w:rPr>
        <w:lastRenderedPageBreak/>
        <w:t xml:space="preserve">MAT a ADY, ac yn y pendraw byddech yn newid meddylfryd y dysgwyr. I gefnogi gyda dadl Dweck, newidiais feddylfryd y dysgwyr trwy fodeli achos fe wnes i bwysleisio y gellir neud yn well na beth yw’r darn modeli a thrwy ganmoliaeth ac agwedd bositif yn gyson yn ystod y dasg llwyddasant nhw i gael lefel dda, agwedd bositif a meddylfryd twf nid sefydlog. Er enghraifft cafodd disgybl 1 lefel 4 yn ei dasg flaenorol lle nad oedd unrhyw fodeli na canomliaeth gyson i lefel 5+ yn y dasg ar gyfer yr ymchwil. Yn aml mae dysgwyr dim ond angen y canomliaeth, agwedd bositif a chysur er mwyn iddynt wybod ei fod ar y trywydd cywir i lwyddo. Yn ogystal â hynny, fe wnaeth pob dysgwr rhyw fath o gynnydd. Fe wnaeth rhai dysgwyr datblygu eu sgiliau llythrennedd wrth gael y darn modeli a’r strwythur i ddilyn. Serch hynny, gwnaeth y dysgwyr MATh cynnydd o lefel 6- i lefel 6. Felly mae’r canlyniadau o’r ymchwil, yn dangos bod modeli yw’r ffordd gorau i gadarnhau llwyddiant i’r dysgwyr. </w:t>
      </w:r>
    </w:p>
    <w:p w14:paraId="72EEE32E" w14:textId="77777777" w:rsidR="00D10285" w:rsidRDefault="00D10285" w:rsidP="00D10285">
      <w:pPr>
        <w:autoSpaceDE w:val="0"/>
        <w:autoSpaceDN w:val="0"/>
        <w:adjustRightInd w:val="0"/>
        <w:spacing w:before="100" w:after="100" w:line="276" w:lineRule="auto"/>
        <w:rPr>
          <w:rFonts w:ascii="Calibri" w:eastAsiaTheme="minorHAnsi" w:hAnsi="Calibri" w:cs="Calibri"/>
          <w:color w:val="000000"/>
          <w:sz w:val="24"/>
          <w:szCs w:val="24"/>
          <w:u w:val="single"/>
          <w:lang w:val="cy" w:eastAsia="en-US"/>
        </w:rPr>
      </w:pPr>
      <w:r>
        <w:rPr>
          <w:rFonts w:ascii="Calibri" w:eastAsiaTheme="minorHAnsi" w:hAnsi="Calibri" w:cs="Calibri"/>
          <w:color w:val="000000"/>
          <w:sz w:val="24"/>
          <w:szCs w:val="24"/>
          <w:u w:val="single"/>
          <w:lang w:val="cy" w:eastAsia="en-US"/>
        </w:rPr>
        <w:t>Casgliad a datblygiadau yn y dyfodol</w:t>
      </w:r>
    </w:p>
    <w:p w14:paraId="518E5133" w14:textId="77777777" w:rsidR="00D10285" w:rsidRDefault="00D10285" w:rsidP="00D10285">
      <w:pPr>
        <w:autoSpaceDE w:val="0"/>
        <w:autoSpaceDN w:val="0"/>
        <w:adjustRightInd w:val="0"/>
        <w:spacing w:line="276" w:lineRule="auto"/>
        <w:ind w:firstLine="720"/>
        <w:rPr>
          <w:rFonts w:ascii="Calibri" w:eastAsiaTheme="minorHAnsi" w:hAnsi="Calibri" w:cs="Calibri"/>
          <w:color w:val="000000"/>
          <w:sz w:val="24"/>
          <w:szCs w:val="24"/>
          <w:lang w:eastAsia="en-US"/>
        </w:rPr>
      </w:pPr>
      <w:r>
        <w:rPr>
          <w:rFonts w:ascii="Calibri" w:eastAsiaTheme="minorHAnsi" w:hAnsi="Calibri" w:cs="Calibri"/>
          <w:color w:val="000000"/>
          <w:sz w:val="24"/>
          <w:szCs w:val="24"/>
          <w:lang w:val="cy" w:eastAsia="en-US"/>
        </w:rPr>
        <w:t xml:space="preserve">Wrth gwrs gydag unrhyw fath o ymchwil mae yna oblygiadau. Mae yna oblygiadau gyda'r dysgwyr yn teimlo o dan bwysau i gymryd rhan yn yr ymchwil oherwydd anghydbwysedd grym yr ymchwilydd fel yr athro dosbarth hefyd. Felly gall y dysgwyr meddwl ei fod rhaid iddynt wneud yn dda er mwyn cadw’r athro yn hapus. Cafodd y risg hon yn ei lleihau gymaint â phosibl drwy egluro'r broses o roi cydsyniad deallus (rhoi'r cydsyniad wrth i'r cyfranogwyr fod dan 18 oed) i'r cyfranogwyr gan esbonio na fydd unrhyw effaith ar eu cynnydd neu eu cyrhaeddiad os byddant yn cymryd rhan yn yr ymchwil neu beidio. Bydd pawb sy'n cymryd rhan yn cael gwybod y bydd eu data'n cael ei drin yn gyfrinachol ac y bydd yn ddienw wrth ysgrifennu'r ymchwil. Felly wrth ddanfon y llythyr i’r rhieni (atodiad 1), mae’r dysgwyr, a’r rhieni i gyd yn cael yr un neges er mwy cadw cysondeb ac osgoi cam ddealltwriaeth. Yn ogystal â hynny, bydd gan bawb sy'n cymryd rhan yr hawl i dynnu'n ôl o'r ymchwil ar unrhyw adeg ac am unrhyw reswm arall. Gallai fod gwrthdaro buddiannau gan mai'r ymchwilydd yw'r athro/athrawes dosbarth hefyd. Bydd y risg yn cael ei leihau drwy egluro i’r dysgwyr na fydd unrhyw sgil-effeithiau yn deillio o'r ymchwil ar y cyfranogwr. Mae perygl na fydd unrhyw un eisiau cymryd rhan yn yr ymchwil. Bydd hyn yn cael ei leihau drwy ddefnyddio dosbarth gwahanol fel sampl. </w:t>
      </w:r>
    </w:p>
    <w:p w14:paraId="5BCDE42C"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 w:eastAsia="en-US"/>
        </w:rPr>
      </w:pPr>
      <w:r>
        <w:rPr>
          <w:rFonts w:ascii="Calibri" w:eastAsiaTheme="minorHAnsi" w:hAnsi="Calibri" w:cs="Calibri"/>
          <w:color w:val="000000"/>
          <w:sz w:val="24"/>
          <w:szCs w:val="24"/>
          <w:lang w:val="cy" w:eastAsia="en-US"/>
        </w:rPr>
        <w:t>Yn ogystal â hynny, oherwydd yr oedd fy astudiaeth i yn un bach gan fod dim ond un dosbarth blwyddyn 8 dewisais i, mae rhaid gofyn y cwestiwn ydy’r ymchwil yn ddibynadwy achos dim ond sampl fach oedd e. I ateb hwnna, credaf roedd yr ymchwil yn dangos rhyw fath o ddibynadwyedd gan gynyddodd lefelau ac ymateb y dysgwyr i’r gwaith codi. Serch hynny, tro nesaf byddaf yn gwneud ymchwil byddaf yn defnyddio fwy o sampl er mwyn cryfhau’r dibynadwyedd er mwyn cael canlyniadau cryfach i wir wneud newid mewn addysg i wella addysg y dysgwyr, ond hyd hyn, credaf fod modeli arfer dda wir yn cryfhau llwyddiant i’r dysgwyr.</w:t>
      </w:r>
    </w:p>
    <w:p w14:paraId="04B7533D" w14:textId="77777777" w:rsidR="00D10285" w:rsidRDefault="00D10285" w:rsidP="00D10285">
      <w:pPr>
        <w:autoSpaceDE w:val="0"/>
        <w:autoSpaceDN w:val="0"/>
        <w:adjustRightInd w:val="0"/>
        <w:spacing w:before="100" w:after="100" w:line="276" w:lineRule="auto"/>
        <w:ind w:firstLine="720"/>
        <w:rPr>
          <w:rFonts w:ascii="Calibri" w:eastAsiaTheme="minorHAnsi" w:hAnsi="Calibri" w:cs="Calibri"/>
          <w:color w:val="000000"/>
          <w:sz w:val="24"/>
          <w:szCs w:val="24"/>
          <w:lang w:val="cy-GB" w:eastAsia="en-US"/>
        </w:rPr>
      </w:pPr>
      <w:r>
        <w:rPr>
          <w:rFonts w:ascii="Calibri" w:eastAsiaTheme="minorHAnsi" w:hAnsi="Calibri" w:cs="Calibri"/>
          <w:color w:val="000000"/>
          <w:sz w:val="24"/>
          <w:szCs w:val="24"/>
          <w:lang w:val="cy" w:eastAsia="en-US"/>
        </w:rPr>
        <w:t>Felly wrth ddod at gasgliad, gallwn weld fe wnes i ateb y gosodiad gosodais ar y dechrau o’r ymchwil yma o ‘</w:t>
      </w:r>
      <w:r>
        <w:rPr>
          <w:rFonts w:ascii="Calibri" w:eastAsiaTheme="minorHAnsi" w:hAnsi="Calibri" w:cs="Calibri"/>
          <w:color w:val="000000"/>
          <w:sz w:val="24"/>
          <w:szCs w:val="24"/>
          <w:lang w:val="cy-GB" w:eastAsia="en-US"/>
        </w:rPr>
        <w:t xml:space="preserve">fodeli arfer dda yw’r ffordd orau i sicrhau llwyddiant y dysgwyr’. Wrth edrych ar yr ymchwil yn ei gyfanrwydd, roedd e yn ymchwil llwyddianus a dysgais lawer o wahanol strategaethau a gwybodaeth ynglyn â’r wahanol fathau o fodeli a sut i fynd </w:t>
      </w:r>
      <w:r>
        <w:rPr>
          <w:rFonts w:ascii="Calibri" w:eastAsiaTheme="minorHAnsi" w:hAnsi="Calibri" w:cs="Calibri"/>
          <w:color w:val="000000"/>
          <w:sz w:val="24"/>
          <w:szCs w:val="24"/>
          <w:lang w:val="cy-GB" w:eastAsia="en-US"/>
        </w:rPr>
        <w:lastRenderedPageBreak/>
        <w:t xml:space="preserve">ati i’w ddefnyddio yn yr ystafell dosbarth. Yn fwy na unrhyw beth arall, darganfyddai bod modeli yn gwella safon gwaith y dysgwyr, a nawr mae modeli yn cael ei weld o fewn cynllun gwaith yr adran, gan ei fod yn cynorthwyo’r dysgwyr i'r dysgwyr i gyd ADY i’r dysgwyr MAT. Mae modeli yn gallu cynorthwyo pob disgybl i wella ac ehangu ar safon eu gwaith. Wrth gael y profiad o addysgu a defnyddio modeli yn yr ystafell dosbarth, yr wyf yn ymrwymo ac yn benderfynol i ddefnyddio modeli fel canolbwynt o fy addysgu i.  Ar y cyfan, rwyf yn bositif ar sut aeth pethau gyda’r ymchwil, gan ei fod wedi cryfhau fy nealltwriaeth i fel athrawes sydd yn y pendraw yn cryfhau fy addysgu i, i helpu’r dysgwyr fwy. Er hyn, gyda phob ymchwil mae yna oblygiadau, achos cafodd yr ymchwil ei gyflawni o fewn amser byr. Os roedd gen i’r cyfle i ail wneud yr ymchwil eto, byddaf yn cyflawni’r ymchwil o fewn fwy o amser achos roedd y terfyn amser mor dyn achos cafodd ei wneud dros 3 gwers. Os roedd ên gen i fwy o amser tro nesaf byddaf yn defnyddio dau ddosbarth dysgu er mwyn gallu cymharu'r canlyniadau. Serch hynny, y peth gyda modeli, maen hanfodol i wahaniaethu yn ôl anghenion y dysgwyr gan fod pob dosbarth yn wahanol yn ol eu hanghenion a'u natur, felly beth fydd yn gweithio gydag un dosbarth efallai ni fydd yn gweithio gyda’r dosbarth arall. Felly y bydd yn ddiddorol iawn i weld sut bydd dau ddosbarth yn ymateb i’r gwaith yn wahanol ac os mae'n cael yr un effaith i wella gwaith y dysgwyr. Yn ogystal â hynny, byddaf yn cael y dysgwyr i lenwi mewn holiadur ar ôl y wers i gael barn y dysgwyr ar yr ymchwil. Wrth gael y dysgwyr i gwblhau’r holiadur byddaf yn gallu gweld beth yw barn y dysgwyr ac os roeddent yn meddwl bod modeli yn strategaeth o arfer dda. Credaf fe wnes i lwyddo gyda fy ymchwil i brofi ‘modeli arfer dda yw’r ffordd orau i sicrhau llwyddiant y dysgwyr’. </w:t>
      </w:r>
    </w:p>
    <w:p w14:paraId="0DE75857"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23C61BCB"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62F29768"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1FEC5E2E"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10D4858C"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50C99A4C"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393226B7" w14:textId="77777777" w:rsidR="00DB1668" w:rsidRDefault="00DB1668" w:rsidP="00F80469">
      <w:pPr>
        <w:pStyle w:val="NormalWeb"/>
        <w:spacing w:line="276" w:lineRule="auto"/>
        <w:ind w:firstLine="720"/>
        <w:rPr>
          <w:rFonts w:asciiTheme="minorHAnsi" w:hAnsiTheme="minorHAnsi" w:cstheme="minorHAnsi"/>
          <w:color w:val="000000" w:themeColor="text1"/>
          <w:szCs w:val="24"/>
          <w:u w:val="single"/>
          <w:lang w:val="cy-GB"/>
        </w:rPr>
      </w:pPr>
    </w:p>
    <w:p w14:paraId="78F622D6"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3ADE0450"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3E9204DC"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31685BC6"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4833F1A8"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76247D58"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4B10B10A"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65332085" w14:textId="77777777" w:rsidR="00D10285" w:rsidRDefault="00D10285" w:rsidP="00F80469">
      <w:pPr>
        <w:pStyle w:val="NormalWeb"/>
        <w:spacing w:line="276" w:lineRule="auto"/>
        <w:ind w:firstLine="720"/>
        <w:rPr>
          <w:rFonts w:asciiTheme="minorHAnsi" w:hAnsiTheme="minorHAnsi" w:cstheme="minorHAnsi"/>
          <w:color w:val="000000" w:themeColor="text1"/>
          <w:szCs w:val="24"/>
          <w:u w:val="single"/>
          <w:lang w:val="cy-GB"/>
        </w:rPr>
      </w:pPr>
    </w:p>
    <w:p w14:paraId="2775B8FD" w14:textId="73434D9B" w:rsidR="00F80469" w:rsidRPr="00F80469" w:rsidRDefault="00F80469" w:rsidP="00F80469">
      <w:pPr>
        <w:pStyle w:val="NormalWeb"/>
        <w:spacing w:line="276" w:lineRule="auto"/>
        <w:ind w:firstLine="720"/>
        <w:rPr>
          <w:rFonts w:asciiTheme="minorHAnsi" w:hAnsiTheme="minorHAnsi" w:cstheme="minorHAnsi"/>
          <w:color w:val="000000" w:themeColor="text1"/>
          <w:szCs w:val="24"/>
          <w:lang w:val="cy-GB"/>
        </w:rPr>
      </w:pPr>
      <w:r w:rsidRPr="00F80469">
        <w:rPr>
          <w:rFonts w:asciiTheme="minorHAnsi" w:hAnsiTheme="minorHAnsi" w:cstheme="minorHAnsi"/>
          <w:color w:val="000000" w:themeColor="text1"/>
          <w:szCs w:val="24"/>
          <w:u w:val="single"/>
          <w:lang w:val="cy-GB"/>
        </w:rPr>
        <w:lastRenderedPageBreak/>
        <w:t>Cyfeir</w:t>
      </w:r>
      <w:r w:rsidR="00A95A1D">
        <w:rPr>
          <w:rFonts w:asciiTheme="minorHAnsi" w:hAnsiTheme="minorHAnsi" w:cstheme="minorHAnsi"/>
          <w:color w:val="000000" w:themeColor="text1"/>
          <w:szCs w:val="24"/>
          <w:u w:val="single"/>
          <w:lang w:val="cy-GB"/>
        </w:rPr>
        <w:t>iadau</w:t>
      </w:r>
      <w:r w:rsidRPr="00F80469">
        <w:rPr>
          <w:rFonts w:asciiTheme="minorHAnsi" w:hAnsiTheme="minorHAnsi" w:cstheme="minorHAnsi"/>
          <w:color w:val="000000" w:themeColor="text1"/>
          <w:szCs w:val="24"/>
          <w:u w:val="single"/>
          <w:lang w:val="cy-GB"/>
        </w:rPr>
        <w:t>:</w:t>
      </w:r>
    </w:p>
    <w:p w14:paraId="60518727"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Agnes, M. (2000). </w:t>
      </w:r>
      <w:r w:rsidRPr="0084307B">
        <w:rPr>
          <w:rFonts w:asciiTheme="minorHAnsi" w:hAnsiTheme="minorHAnsi" w:cstheme="minorHAnsi"/>
          <w:bCs/>
          <w:i/>
          <w:color w:val="000000" w:themeColor="text1"/>
          <w:szCs w:val="24"/>
        </w:rPr>
        <w:t>Webster’s New World College Dictionary</w:t>
      </w:r>
      <w:r w:rsidRPr="0084307B">
        <w:rPr>
          <w:rFonts w:asciiTheme="minorHAnsi" w:hAnsiTheme="minorHAnsi" w:cstheme="minorHAnsi"/>
          <w:bCs/>
          <w:color w:val="000000" w:themeColor="text1"/>
          <w:szCs w:val="24"/>
        </w:rPr>
        <w:t xml:space="preserve">. </w:t>
      </w:r>
      <w:r w:rsidRPr="0084307B">
        <w:rPr>
          <w:rFonts w:asciiTheme="minorHAnsi" w:hAnsiTheme="minorHAnsi" w:cstheme="minorHAnsi"/>
          <w:color w:val="000000" w:themeColor="text1"/>
          <w:szCs w:val="24"/>
        </w:rPr>
        <w:t>Foster City CA: IDG Book Worldwide Inc.</w:t>
      </w:r>
    </w:p>
    <w:p w14:paraId="32BAD4AF"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Baldwin, M., Keating, J. and Bachman, K. (2006) </w:t>
      </w:r>
      <w:r w:rsidRPr="0084307B">
        <w:rPr>
          <w:rFonts w:asciiTheme="minorHAnsi" w:hAnsiTheme="minorHAnsi" w:cstheme="minorHAnsi"/>
          <w:bCs/>
          <w:i/>
          <w:color w:val="000000" w:themeColor="text1"/>
          <w:szCs w:val="24"/>
        </w:rPr>
        <w:t>Teaching in Secondary Schools: Meeting the Challenges of Today’s Adolescents.</w:t>
      </w:r>
      <w:r w:rsidRPr="0084307B">
        <w:rPr>
          <w:rFonts w:asciiTheme="minorHAnsi" w:hAnsiTheme="minorHAnsi" w:cstheme="minorHAnsi"/>
          <w:color w:val="000000" w:themeColor="text1"/>
          <w:szCs w:val="24"/>
        </w:rPr>
        <w:t xml:space="preserve"> Upper Saddle River NJ: Pearson.</w:t>
      </w:r>
    </w:p>
    <w:p w14:paraId="447E1E88"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Bandura, A. (1977) </w:t>
      </w:r>
      <w:r w:rsidRPr="0084307B">
        <w:rPr>
          <w:rFonts w:asciiTheme="minorHAnsi" w:hAnsiTheme="minorHAnsi" w:cstheme="minorHAnsi"/>
          <w:bCs/>
          <w:i/>
          <w:color w:val="000000" w:themeColor="text1"/>
          <w:szCs w:val="24"/>
        </w:rPr>
        <w:t>Social Learning Theory</w:t>
      </w:r>
      <w:r w:rsidRPr="0084307B">
        <w:rPr>
          <w:rFonts w:asciiTheme="minorHAnsi" w:hAnsiTheme="minorHAnsi" w:cstheme="minorHAnsi"/>
          <w:bCs/>
          <w:color w:val="000000" w:themeColor="text1"/>
          <w:szCs w:val="24"/>
        </w:rPr>
        <w:t xml:space="preserve">. </w:t>
      </w:r>
      <w:r w:rsidRPr="0084307B">
        <w:rPr>
          <w:rFonts w:asciiTheme="minorHAnsi" w:hAnsiTheme="minorHAnsi" w:cstheme="minorHAnsi"/>
          <w:color w:val="000000" w:themeColor="text1"/>
          <w:szCs w:val="24"/>
        </w:rPr>
        <w:t>New York: General Learning Press.</w:t>
      </w:r>
    </w:p>
    <w:p w14:paraId="356622E5"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Bandura, A. (1986) </w:t>
      </w:r>
      <w:r w:rsidRPr="0084307B">
        <w:rPr>
          <w:rFonts w:asciiTheme="minorHAnsi" w:hAnsiTheme="minorHAnsi" w:cstheme="minorHAnsi"/>
          <w:bCs/>
          <w:i/>
          <w:color w:val="000000" w:themeColor="text1"/>
          <w:szCs w:val="24"/>
        </w:rPr>
        <w:t>Social Foundations of Thought and Action</w:t>
      </w:r>
      <w:r w:rsidRPr="0084307B">
        <w:rPr>
          <w:rFonts w:asciiTheme="minorHAnsi" w:hAnsiTheme="minorHAnsi" w:cstheme="minorHAnsi"/>
          <w:bCs/>
          <w:color w:val="000000" w:themeColor="text1"/>
          <w:szCs w:val="24"/>
        </w:rPr>
        <w:t xml:space="preserve">: A Social Cognitive. </w:t>
      </w:r>
      <w:r w:rsidRPr="0084307B">
        <w:rPr>
          <w:rFonts w:asciiTheme="minorHAnsi" w:hAnsiTheme="minorHAnsi" w:cstheme="minorHAnsi"/>
          <w:color w:val="000000" w:themeColor="text1"/>
          <w:szCs w:val="24"/>
        </w:rPr>
        <w:t>Englewood Cliffs NJ: Prentice Hall.</w:t>
      </w:r>
    </w:p>
    <w:p w14:paraId="2A557CB7"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Barnes, D. and Todd, F (1977) </w:t>
      </w:r>
      <w:r w:rsidRPr="0084307B">
        <w:rPr>
          <w:rFonts w:asciiTheme="minorHAnsi" w:hAnsiTheme="minorHAnsi" w:cstheme="minorHAnsi"/>
          <w:i/>
          <w:color w:val="000000" w:themeColor="text1"/>
          <w:szCs w:val="24"/>
        </w:rPr>
        <w:t>Communication and learning in small groups</w:t>
      </w:r>
      <w:r w:rsidRPr="0084307B">
        <w:rPr>
          <w:rFonts w:asciiTheme="minorHAnsi" w:hAnsiTheme="minorHAnsi" w:cstheme="minorHAnsi"/>
          <w:color w:val="000000" w:themeColor="text1"/>
          <w:szCs w:val="24"/>
        </w:rPr>
        <w:t>. London: Routledge.</w:t>
      </w:r>
    </w:p>
    <w:p w14:paraId="2C9E43EF"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Bartlett, S. Leask, M. (2005) </w:t>
      </w:r>
      <w:r w:rsidRPr="0084307B">
        <w:rPr>
          <w:rFonts w:asciiTheme="minorHAnsi" w:hAnsiTheme="minorHAnsi" w:cstheme="minorHAnsi"/>
          <w:i/>
          <w:color w:val="000000" w:themeColor="text1"/>
          <w:szCs w:val="24"/>
        </w:rPr>
        <w:t>Improving your teaching an introduction to practitioner research and reflective practice</w:t>
      </w:r>
      <w:r w:rsidRPr="0084307B">
        <w:rPr>
          <w:rFonts w:asciiTheme="minorHAnsi" w:hAnsiTheme="minorHAnsi" w:cstheme="minorHAnsi"/>
          <w:color w:val="000000" w:themeColor="text1"/>
          <w:szCs w:val="24"/>
        </w:rPr>
        <w:t>. Unit 5.4 in Capel, S and Leask, M. and Turner, T. eds Learning to teach in the secondary school, a companion to school experience. London: Routledge.</w:t>
      </w:r>
    </w:p>
    <w:p w14:paraId="4EA0FE4A"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Bates, B. and Walton, M. (1993) </w:t>
      </w:r>
      <w:r w:rsidRPr="0084307B">
        <w:rPr>
          <w:rFonts w:asciiTheme="minorHAnsi" w:hAnsiTheme="minorHAnsi" w:cstheme="minorHAnsi"/>
          <w:i/>
          <w:color w:val="000000" w:themeColor="text1"/>
          <w:szCs w:val="24"/>
        </w:rPr>
        <w:t>Guidelines for secondary schools for effective differentiation in the classroom</w:t>
      </w:r>
      <w:r w:rsidRPr="0084307B">
        <w:rPr>
          <w:rFonts w:asciiTheme="minorHAnsi" w:hAnsiTheme="minorHAnsi" w:cstheme="minorHAnsi"/>
          <w:color w:val="000000" w:themeColor="text1"/>
          <w:szCs w:val="24"/>
        </w:rPr>
        <w:t>. Essex: Essex County Council Education Department.</w:t>
      </w:r>
    </w:p>
    <w:p w14:paraId="11484E41"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Batesby, J. (1995) </w:t>
      </w:r>
      <w:r w:rsidRPr="0084307B">
        <w:rPr>
          <w:rFonts w:asciiTheme="minorHAnsi" w:hAnsiTheme="minorHAnsi" w:cstheme="minorHAnsi"/>
          <w:i/>
          <w:color w:val="000000" w:themeColor="text1"/>
          <w:szCs w:val="24"/>
        </w:rPr>
        <w:t>Teaching geography at KS3</w:t>
      </w:r>
      <w:r w:rsidRPr="0084307B">
        <w:rPr>
          <w:rFonts w:asciiTheme="minorHAnsi" w:hAnsiTheme="minorHAnsi" w:cstheme="minorHAnsi"/>
          <w:color w:val="000000" w:themeColor="text1"/>
          <w:szCs w:val="24"/>
        </w:rPr>
        <w:t>. Cambridge: Chris Kington Publishing.</w:t>
      </w:r>
    </w:p>
    <w:p w14:paraId="1DEEC046"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Bennett, N. (1995) </w:t>
      </w:r>
      <w:r w:rsidRPr="0084307B">
        <w:rPr>
          <w:rFonts w:asciiTheme="minorHAnsi" w:hAnsiTheme="minorHAnsi" w:cstheme="minorHAnsi"/>
          <w:i/>
          <w:color w:val="000000" w:themeColor="text1"/>
          <w:szCs w:val="24"/>
        </w:rPr>
        <w:t>Managing learning through groupwork</w:t>
      </w:r>
      <w:r w:rsidRPr="0084307B">
        <w:rPr>
          <w:rFonts w:asciiTheme="minorHAnsi" w:hAnsiTheme="minorHAnsi" w:cstheme="minorHAnsi"/>
          <w:color w:val="000000" w:themeColor="text1"/>
          <w:szCs w:val="24"/>
        </w:rPr>
        <w:t>. In Desforges, C. eds. An introduction to teaching psychological perspectives. Oxford: Blackwell.</w:t>
      </w:r>
    </w:p>
    <w:p w14:paraId="6B52FACB"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BERA (2018). </w:t>
      </w:r>
      <w:r w:rsidRPr="0084307B">
        <w:rPr>
          <w:rFonts w:asciiTheme="minorHAnsi" w:hAnsiTheme="minorHAnsi" w:cstheme="minorHAnsi"/>
          <w:i/>
          <w:iCs/>
          <w:color w:val="000000" w:themeColor="text1"/>
        </w:rPr>
        <w:t>Ethical Guideline for Educational Researc</w:t>
      </w:r>
      <w:r>
        <w:rPr>
          <w:rFonts w:asciiTheme="minorHAnsi" w:hAnsiTheme="minorHAnsi" w:cstheme="minorHAnsi"/>
          <w:i/>
          <w:iCs/>
          <w:color w:val="000000" w:themeColor="text1"/>
        </w:rPr>
        <w:t>h</w:t>
      </w:r>
      <w:r w:rsidRPr="0084307B">
        <w:rPr>
          <w:rFonts w:asciiTheme="minorHAnsi" w:hAnsiTheme="minorHAnsi" w:cstheme="minorHAnsi"/>
          <w:color w:val="000000" w:themeColor="text1"/>
        </w:rPr>
        <w:t xml:space="preserve">. 4th ed. London: British Educational Research Association. </w:t>
      </w:r>
    </w:p>
    <w:p w14:paraId="696C34E1"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Biggs, J. and Moore, P. (1993) </w:t>
      </w:r>
      <w:r w:rsidRPr="0084307B">
        <w:rPr>
          <w:rFonts w:asciiTheme="minorHAnsi" w:hAnsiTheme="minorHAnsi" w:cstheme="minorHAnsi"/>
          <w:bCs/>
          <w:i/>
          <w:color w:val="000000" w:themeColor="text1"/>
          <w:szCs w:val="24"/>
        </w:rPr>
        <w:t>The Process of Learning</w:t>
      </w:r>
      <w:r w:rsidRPr="0084307B">
        <w:rPr>
          <w:rFonts w:asciiTheme="minorHAnsi" w:hAnsiTheme="minorHAnsi" w:cstheme="minorHAnsi"/>
          <w:bCs/>
          <w:color w:val="000000" w:themeColor="text1"/>
          <w:szCs w:val="24"/>
        </w:rPr>
        <w:t>.</w:t>
      </w:r>
      <w:r w:rsidRPr="0084307B">
        <w:rPr>
          <w:rFonts w:asciiTheme="minorHAnsi" w:hAnsiTheme="minorHAnsi" w:cstheme="minorHAnsi"/>
          <w:color w:val="000000" w:themeColor="text1"/>
          <w:szCs w:val="24"/>
        </w:rPr>
        <w:t> Sydney: Prentice Hall.</w:t>
      </w:r>
    </w:p>
    <w:p w14:paraId="773594BF"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Capel, S. Keask, M. and Turner, T. (2005) </w:t>
      </w:r>
      <w:r w:rsidRPr="0084307B">
        <w:rPr>
          <w:rFonts w:asciiTheme="minorHAnsi" w:hAnsiTheme="minorHAnsi" w:cstheme="minorHAnsi"/>
          <w:bCs/>
          <w:i/>
          <w:color w:val="000000" w:themeColor="text1"/>
          <w:szCs w:val="24"/>
        </w:rPr>
        <w:t>Learning to Teach in the Secondary School, a Companion to School Experience</w:t>
      </w:r>
      <w:r w:rsidRPr="0084307B">
        <w:rPr>
          <w:rFonts w:asciiTheme="minorHAnsi" w:hAnsiTheme="minorHAnsi" w:cstheme="minorHAnsi"/>
          <w:bCs/>
          <w:color w:val="000000" w:themeColor="text1"/>
          <w:szCs w:val="24"/>
        </w:rPr>
        <w:t>. </w:t>
      </w:r>
      <w:r w:rsidRPr="0084307B">
        <w:rPr>
          <w:rFonts w:asciiTheme="minorHAnsi" w:hAnsiTheme="minorHAnsi" w:cstheme="minorHAnsi"/>
          <w:color w:val="000000" w:themeColor="text1"/>
          <w:szCs w:val="24"/>
        </w:rPr>
        <w:t>New York: Routledge.</w:t>
      </w:r>
    </w:p>
    <w:p w14:paraId="5D984AA3"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Davidson, G. (2006) </w:t>
      </w:r>
      <w:r w:rsidRPr="0084307B">
        <w:rPr>
          <w:rFonts w:asciiTheme="minorHAnsi" w:hAnsiTheme="minorHAnsi" w:cstheme="minorHAnsi"/>
          <w:i/>
          <w:color w:val="000000" w:themeColor="text1"/>
          <w:szCs w:val="24"/>
        </w:rPr>
        <w:t>Start at the beginning in teaching geography</w:t>
      </w:r>
      <w:r w:rsidRPr="0084307B">
        <w:rPr>
          <w:rFonts w:asciiTheme="minorHAnsi" w:hAnsiTheme="minorHAnsi" w:cstheme="minorHAnsi"/>
          <w:color w:val="000000" w:themeColor="text1"/>
          <w:szCs w:val="24"/>
        </w:rPr>
        <w:t>. 31 (3) 105-108.</w:t>
      </w:r>
    </w:p>
    <w:p w14:paraId="367434BE"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DfEE (2000) </w:t>
      </w:r>
      <w:r w:rsidRPr="0084307B">
        <w:rPr>
          <w:rFonts w:asciiTheme="minorHAnsi" w:hAnsiTheme="minorHAnsi" w:cstheme="minorHAnsi"/>
          <w:i/>
          <w:color w:val="000000" w:themeColor="text1"/>
          <w:szCs w:val="24"/>
        </w:rPr>
        <w:t>Research into teacher effectiveness: a model of teacher effectiveness.</w:t>
      </w:r>
      <w:r w:rsidRPr="0084307B">
        <w:rPr>
          <w:rFonts w:asciiTheme="minorHAnsi" w:hAnsiTheme="minorHAnsi" w:cstheme="minorHAnsi"/>
          <w:color w:val="000000" w:themeColor="text1"/>
          <w:szCs w:val="24"/>
        </w:rPr>
        <w:t xml:space="preserve"> London: Hay McBer/DfEE.</w:t>
      </w:r>
    </w:p>
    <w:p w14:paraId="23183B96"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Duplass, J. (2006) </w:t>
      </w:r>
      <w:r w:rsidRPr="0084307B">
        <w:rPr>
          <w:rFonts w:asciiTheme="minorHAnsi" w:hAnsiTheme="minorHAnsi" w:cstheme="minorHAnsi"/>
          <w:bCs/>
          <w:color w:val="000000" w:themeColor="text1"/>
          <w:szCs w:val="24"/>
        </w:rPr>
        <w:t xml:space="preserve">Middle and High School Teaching: Methods, Standards, and Best Practices. </w:t>
      </w:r>
      <w:r w:rsidRPr="0084307B">
        <w:rPr>
          <w:rFonts w:asciiTheme="minorHAnsi" w:hAnsiTheme="minorHAnsi" w:cstheme="minorHAnsi"/>
          <w:color w:val="000000" w:themeColor="text1"/>
          <w:szCs w:val="24"/>
        </w:rPr>
        <w:t>Boston: Houghton Mifflin Company.</w:t>
      </w:r>
    </w:p>
    <w:p w14:paraId="73B2A5CE" w14:textId="785E0A0E" w:rsidR="00A95A1D"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Eggen, P. and Kauchak, D. (2001) </w:t>
      </w:r>
      <w:r w:rsidRPr="0084307B">
        <w:rPr>
          <w:rFonts w:asciiTheme="minorHAnsi" w:hAnsiTheme="minorHAnsi" w:cstheme="minorHAnsi"/>
          <w:bCs/>
          <w:i/>
          <w:color w:val="000000" w:themeColor="text1"/>
          <w:szCs w:val="24"/>
        </w:rPr>
        <w:t>Educational Psychology: Classroom Connections</w:t>
      </w:r>
      <w:r w:rsidRPr="0084307B">
        <w:rPr>
          <w:rFonts w:asciiTheme="minorHAnsi" w:hAnsiTheme="minorHAnsi" w:cstheme="minorHAnsi"/>
          <w:bCs/>
          <w:color w:val="000000" w:themeColor="text1"/>
          <w:szCs w:val="24"/>
        </w:rPr>
        <w:t xml:space="preserve">. </w:t>
      </w:r>
      <w:r w:rsidRPr="0084307B">
        <w:rPr>
          <w:rFonts w:asciiTheme="minorHAnsi" w:hAnsiTheme="minorHAnsi" w:cstheme="minorHAnsi"/>
          <w:color w:val="000000" w:themeColor="text1"/>
          <w:szCs w:val="24"/>
        </w:rPr>
        <w:t>5</w:t>
      </w:r>
      <w:r w:rsidRPr="0084307B">
        <w:rPr>
          <w:rFonts w:asciiTheme="minorHAnsi" w:hAnsiTheme="minorHAnsi" w:cstheme="minorHAnsi"/>
          <w:color w:val="000000" w:themeColor="text1"/>
          <w:szCs w:val="24"/>
          <w:vertAlign w:val="superscript"/>
        </w:rPr>
        <w:t>th</w:t>
      </w:r>
      <w:r w:rsidRPr="0084307B">
        <w:rPr>
          <w:rFonts w:asciiTheme="minorHAnsi" w:hAnsiTheme="minorHAnsi" w:cstheme="minorHAnsi"/>
          <w:color w:val="000000" w:themeColor="text1"/>
          <w:szCs w:val="24"/>
        </w:rPr>
        <w:t xml:space="preserve"> ed. New York: Macmillan.</w:t>
      </w:r>
    </w:p>
    <w:p w14:paraId="4AB4A928" w14:textId="0FCA36EE"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A97F45">
        <w:rPr>
          <w:rFonts w:asciiTheme="minorHAnsi" w:hAnsiTheme="minorHAnsi" w:cstheme="minorHAnsi"/>
          <w:lang w:val="cy-GB"/>
        </w:rPr>
        <w:t xml:space="preserve">Estyn </w:t>
      </w:r>
      <w:r>
        <w:rPr>
          <w:rFonts w:asciiTheme="minorHAnsi" w:hAnsiTheme="minorHAnsi" w:cstheme="minorHAnsi"/>
          <w:lang w:val="cy-GB"/>
        </w:rPr>
        <w:t>(2013), Ysgol X.</w:t>
      </w:r>
    </w:p>
    <w:p w14:paraId="278FD882"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Eurich, G. (1995</w:t>
      </w:r>
      <w:r w:rsidRPr="0084307B">
        <w:rPr>
          <w:rFonts w:asciiTheme="minorHAnsi" w:hAnsiTheme="minorHAnsi" w:cstheme="minorHAnsi"/>
          <w:i/>
          <w:color w:val="000000" w:themeColor="text1"/>
          <w:szCs w:val="24"/>
        </w:rPr>
        <w:t>) Theory into practice: Modelling respect in the classroom</w:t>
      </w:r>
      <w:r w:rsidRPr="0084307B">
        <w:rPr>
          <w:rFonts w:asciiTheme="minorHAnsi" w:hAnsiTheme="minorHAnsi" w:cstheme="minorHAnsi"/>
          <w:color w:val="000000" w:themeColor="text1"/>
          <w:szCs w:val="24"/>
        </w:rPr>
        <w:t xml:space="preserve">. </w:t>
      </w:r>
      <w:r w:rsidRPr="0084307B">
        <w:rPr>
          <w:rFonts w:asciiTheme="minorHAnsi" w:hAnsiTheme="minorHAnsi" w:cstheme="minorHAnsi"/>
          <w:bCs/>
          <w:color w:val="000000" w:themeColor="text1"/>
          <w:szCs w:val="24"/>
        </w:rPr>
        <w:t xml:space="preserve">Intervention in School and Clinic. </w:t>
      </w:r>
      <w:r w:rsidRPr="0084307B">
        <w:rPr>
          <w:rFonts w:asciiTheme="minorHAnsi" w:hAnsiTheme="minorHAnsi" w:cstheme="minorHAnsi"/>
          <w:color w:val="000000" w:themeColor="text1"/>
          <w:szCs w:val="24"/>
        </w:rPr>
        <w:t>31 (2): 119-121.</w:t>
      </w:r>
    </w:p>
    <w:p w14:paraId="5471B2B1"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EXEL (1996) </w:t>
      </w:r>
      <w:r w:rsidRPr="0084307B">
        <w:rPr>
          <w:rFonts w:asciiTheme="minorHAnsi" w:hAnsiTheme="minorHAnsi" w:cstheme="minorHAnsi"/>
          <w:bCs/>
          <w:i/>
          <w:color w:val="000000" w:themeColor="text1"/>
          <w:szCs w:val="24"/>
        </w:rPr>
        <w:t>Writing Frames</w:t>
      </w:r>
      <w:r w:rsidRPr="0084307B">
        <w:rPr>
          <w:rFonts w:asciiTheme="minorHAnsi" w:hAnsiTheme="minorHAnsi" w:cstheme="minorHAnsi"/>
          <w:bCs/>
          <w:color w:val="000000" w:themeColor="text1"/>
          <w:szCs w:val="24"/>
        </w:rPr>
        <w:t>.</w:t>
      </w:r>
      <w:r w:rsidRPr="0084307B">
        <w:rPr>
          <w:rFonts w:asciiTheme="minorHAnsi" w:hAnsiTheme="minorHAnsi" w:cstheme="minorHAnsi"/>
          <w:color w:val="000000" w:themeColor="text1"/>
          <w:szCs w:val="24"/>
        </w:rPr>
        <w:t>  Exeter: University of Exeter School of Education.</w:t>
      </w:r>
    </w:p>
    <w:p w14:paraId="28E1045F"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George, J., Clarke, J., Davis, P. and Durbin, C. (2002) </w:t>
      </w:r>
      <w:r w:rsidRPr="0084307B">
        <w:rPr>
          <w:rFonts w:asciiTheme="minorHAnsi" w:hAnsiTheme="minorHAnsi" w:cstheme="minorHAnsi"/>
          <w:i/>
          <w:color w:val="000000" w:themeColor="text1"/>
          <w:szCs w:val="24"/>
        </w:rPr>
        <w:t>Helping students to get better at geographical writing in teaching geography</w:t>
      </w:r>
      <w:r w:rsidRPr="0084307B">
        <w:rPr>
          <w:rFonts w:asciiTheme="minorHAnsi" w:hAnsiTheme="minorHAnsi" w:cstheme="minorHAnsi"/>
          <w:color w:val="000000" w:themeColor="text1"/>
          <w:szCs w:val="24"/>
        </w:rPr>
        <w:t>. 27 (4) 156-160.</w:t>
      </w:r>
    </w:p>
    <w:p w14:paraId="5B7182B5"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lastRenderedPageBreak/>
        <w:t xml:space="preserve">Ghaye, A. and Robinson, E. (1989) Concept maps and childrens thinking; a constructivist approach in Slater, F. ed </w:t>
      </w:r>
      <w:r w:rsidRPr="0084307B">
        <w:rPr>
          <w:rFonts w:asciiTheme="minorHAnsi" w:hAnsiTheme="minorHAnsi" w:cstheme="minorHAnsi"/>
          <w:i/>
          <w:color w:val="000000" w:themeColor="text1"/>
          <w:szCs w:val="24"/>
        </w:rPr>
        <w:t>language and learning in the teaching of geography</w:t>
      </w:r>
      <w:r w:rsidRPr="0084307B">
        <w:rPr>
          <w:rFonts w:asciiTheme="minorHAnsi" w:hAnsiTheme="minorHAnsi" w:cstheme="minorHAnsi"/>
          <w:color w:val="000000" w:themeColor="text1"/>
          <w:szCs w:val="24"/>
        </w:rPr>
        <w:t>. London:Routlegde.</w:t>
      </w:r>
    </w:p>
    <w:p w14:paraId="2CB03D8F"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Haston, W. (2007) </w:t>
      </w:r>
      <w:r w:rsidRPr="0084307B">
        <w:rPr>
          <w:rFonts w:asciiTheme="minorHAnsi" w:hAnsiTheme="minorHAnsi" w:cstheme="minorHAnsi"/>
          <w:i/>
          <w:color w:val="000000" w:themeColor="text1"/>
          <w:szCs w:val="24"/>
        </w:rPr>
        <w:t>Teacher Modelling as an Effective Teaching Strategy</w:t>
      </w:r>
      <w:r w:rsidRPr="0084307B">
        <w:rPr>
          <w:rFonts w:asciiTheme="minorHAnsi" w:hAnsiTheme="minorHAnsi" w:cstheme="minorHAnsi"/>
          <w:color w:val="000000" w:themeColor="text1"/>
          <w:szCs w:val="24"/>
        </w:rPr>
        <w:t xml:space="preserve">. </w:t>
      </w:r>
      <w:r w:rsidRPr="0084307B">
        <w:rPr>
          <w:rFonts w:asciiTheme="minorHAnsi" w:hAnsiTheme="minorHAnsi" w:cstheme="minorHAnsi"/>
          <w:bCs/>
          <w:color w:val="000000" w:themeColor="text1"/>
          <w:szCs w:val="24"/>
        </w:rPr>
        <w:t xml:space="preserve">Music Educators Journal. </w:t>
      </w:r>
      <w:r w:rsidRPr="0084307B">
        <w:rPr>
          <w:rFonts w:asciiTheme="minorHAnsi" w:hAnsiTheme="minorHAnsi" w:cstheme="minorHAnsi"/>
          <w:color w:val="000000" w:themeColor="text1"/>
          <w:szCs w:val="24"/>
        </w:rPr>
        <w:t>93 (4): 26.</w:t>
      </w:r>
    </w:p>
    <w:p w14:paraId="00366EB2"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Heggart Keith. (2015). </w:t>
      </w:r>
      <w:r w:rsidRPr="0084307B">
        <w:rPr>
          <w:rFonts w:asciiTheme="minorHAnsi" w:hAnsiTheme="minorHAnsi" w:cstheme="minorHAnsi"/>
          <w:i/>
          <w:iCs/>
          <w:color w:val="000000" w:themeColor="text1"/>
        </w:rPr>
        <w:t>Developing a Growth Mindset in Teachers and Staff.</w:t>
      </w:r>
      <w:r w:rsidRPr="0084307B">
        <w:rPr>
          <w:rFonts w:asciiTheme="minorHAnsi" w:hAnsiTheme="minorHAnsi" w:cstheme="minorHAnsi"/>
          <w:color w:val="000000" w:themeColor="text1"/>
        </w:rPr>
        <w:t xml:space="preserve"> Available: </w:t>
      </w:r>
      <w:hyperlink r:id="rId10" w:history="1">
        <w:r w:rsidRPr="0084307B">
          <w:rPr>
            <w:rStyle w:val="Hyperlink"/>
            <w:rFonts w:asciiTheme="minorHAnsi" w:hAnsiTheme="minorHAnsi" w:cstheme="minorHAnsi"/>
            <w:color w:val="000000" w:themeColor="text1"/>
            <w:u w:val="none"/>
          </w:rPr>
          <w:t>https://www.edutopia.org/discussion/developing-growth-mindset-teachers-and-staff. Last accessed 12/05/20</w:t>
        </w:r>
      </w:hyperlink>
    </w:p>
    <w:p w14:paraId="43414AAD"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Jacobson, D., Eggen, P. and Kauchak, D. (1981) </w:t>
      </w:r>
      <w:r w:rsidRPr="0084307B">
        <w:rPr>
          <w:rFonts w:asciiTheme="minorHAnsi" w:hAnsiTheme="minorHAnsi" w:cstheme="minorHAnsi"/>
          <w:i/>
          <w:color w:val="000000" w:themeColor="text1"/>
          <w:szCs w:val="24"/>
        </w:rPr>
        <w:t>Methods for teaching a skills approach</w:t>
      </w:r>
      <w:r w:rsidRPr="0084307B">
        <w:rPr>
          <w:rFonts w:asciiTheme="minorHAnsi" w:hAnsiTheme="minorHAnsi" w:cstheme="minorHAnsi"/>
          <w:color w:val="000000" w:themeColor="text1"/>
          <w:szCs w:val="24"/>
        </w:rPr>
        <w:t>. Columbus OH: Merrill Publishing.</w:t>
      </w:r>
    </w:p>
    <w:p w14:paraId="3ADAA88A"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John Gardnet (2006). </w:t>
      </w:r>
      <w:r w:rsidRPr="0084307B">
        <w:rPr>
          <w:rFonts w:asciiTheme="minorHAnsi" w:hAnsiTheme="minorHAnsi" w:cstheme="minorHAnsi"/>
          <w:i/>
          <w:iCs/>
          <w:color w:val="000000" w:themeColor="text1"/>
        </w:rPr>
        <w:t>Assessment and Learning.</w:t>
      </w:r>
      <w:r w:rsidRPr="0084307B">
        <w:rPr>
          <w:rFonts w:asciiTheme="minorHAnsi" w:hAnsiTheme="minorHAnsi" w:cstheme="minorHAnsi"/>
          <w:color w:val="000000" w:themeColor="text1"/>
        </w:rPr>
        <w:t xml:space="preserve"> New Delhii: SAGE Publishers.</w:t>
      </w:r>
    </w:p>
    <w:p w14:paraId="71808840"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i/>
          <w:iCs/>
          <w:color w:val="000000" w:themeColor="text1"/>
        </w:rPr>
        <w:t>Journal of Science Education and Technology,</w:t>
      </w:r>
      <w:r w:rsidRPr="0084307B">
        <w:rPr>
          <w:rFonts w:asciiTheme="minorHAnsi" w:hAnsiTheme="minorHAnsi" w:cstheme="minorHAnsi"/>
          <w:bCs/>
          <w:color w:val="000000" w:themeColor="text1"/>
        </w:rPr>
        <w:t xml:space="preserve"> Model-Based Teaching and Learning With BioLogica: What Do They Learn? How Do They Learn? How Do We Know?</w:t>
      </w:r>
      <w:r w:rsidRPr="0084307B">
        <w:rPr>
          <w:rFonts w:asciiTheme="minorHAnsi" w:hAnsiTheme="minorHAnsi" w:cstheme="minorHAnsi"/>
          <w:i/>
          <w:iCs/>
          <w:color w:val="000000" w:themeColor="text1"/>
        </w:rPr>
        <w:t xml:space="preserve"> Vol. 13, No. 1, March 2004.  </w:t>
      </w:r>
    </w:p>
    <w:p w14:paraId="6AF80272"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Joyce, B. and Weil, M. (1980) </w:t>
      </w:r>
      <w:r w:rsidRPr="0084307B">
        <w:rPr>
          <w:rFonts w:asciiTheme="minorHAnsi" w:hAnsiTheme="minorHAnsi" w:cstheme="minorHAnsi"/>
          <w:i/>
          <w:color w:val="000000" w:themeColor="text1"/>
          <w:szCs w:val="24"/>
        </w:rPr>
        <w:t>Models of teaching</w:t>
      </w:r>
      <w:r w:rsidRPr="0084307B">
        <w:rPr>
          <w:rFonts w:asciiTheme="minorHAnsi" w:hAnsiTheme="minorHAnsi" w:cstheme="minorHAnsi"/>
          <w:color w:val="000000" w:themeColor="text1"/>
          <w:szCs w:val="24"/>
        </w:rPr>
        <w:t>. New Jersey: Prentice Hall.</w:t>
      </w:r>
    </w:p>
    <w:p w14:paraId="4782D1B7"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Lambert, D. and Balderstone, D. (2010) </w:t>
      </w:r>
      <w:r w:rsidRPr="0084307B">
        <w:rPr>
          <w:rFonts w:asciiTheme="minorHAnsi" w:hAnsiTheme="minorHAnsi" w:cstheme="minorHAnsi"/>
          <w:bCs/>
          <w:i/>
          <w:color w:val="000000" w:themeColor="text1"/>
          <w:szCs w:val="24"/>
        </w:rPr>
        <w:t>Learning to Teach Geography in the Secondary School, a Companion to School Experience</w:t>
      </w:r>
      <w:r w:rsidRPr="0084307B">
        <w:rPr>
          <w:rFonts w:asciiTheme="minorHAnsi" w:hAnsiTheme="minorHAnsi" w:cstheme="minorHAnsi"/>
          <w:bCs/>
          <w:color w:val="000000" w:themeColor="text1"/>
          <w:szCs w:val="24"/>
        </w:rPr>
        <w:t>.</w:t>
      </w:r>
      <w:r w:rsidRPr="0084307B">
        <w:rPr>
          <w:rFonts w:asciiTheme="minorHAnsi" w:hAnsiTheme="minorHAnsi" w:cstheme="minorHAnsi"/>
          <w:color w:val="000000" w:themeColor="text1"/>
          <w:szCs w:val="24"/>
        </w:rPr>
        <w:t> (2</w:t>
      </w:r>
      <w:r w:rsidRPr="0084307B">
        <w:rPr>
          <w:rFonts w:asciiTheme="minorHAnsi" w:hAnsiTheme="minorHAnsi" w:cstheme="minorHAnsi"/>
          <w:color w:val="000000" w:themeColor="text1"/>
          <w:szCs w:val="24"/>
          <w:vertAlign w:val="superscript"/>
        </w:rPr>
        <w:t>nd</w:t>
      </w:r>
      <w:r w:rsidRPr="0084307B">
        <w:rPr>
          <w:rFonts w:asciiTheme="minorHAnsi" w:hAnsiTheme="minorHAnsi" w:cstheme="minorHAnsi"/>
          <w:color w:val="000000" w:themeColor="text1"/>
          <w:szCs w:val="24"/>
        </w:rPr>
        <w:t> ed) New York: Routledge.</w:t>
      </w:r>
    </w:p>
    <w:p w14:paraId="00B42E87"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 xml:space="preserve">McCormick, J. and Leask, M. Teaching styles in Capel, S., Leask, M. and Turner, T. (2005) </w:t>
      </w:r>
      <w:r w:rsidRPr="0084307B">
        <w:rPr>
          <w:rFonts w:asciiTheme="minorHAnsi" w:hAnsiTheme="minorHAnsi" w:cstheme="minorHAnsi"/>
          <w:i/>
          <w:color w:val="000000" w:themeColor="text1"/>
          <w:szCs w:val="24"/>
        </w:rPr>
        <w:t>Learning to teach in the secondary school, a companion to school experi</w:t>
      </w:r>
      <w:r w:rsidRPr="0084307B">
        <w:rPr>
          <w:rFonts w:asciiTheme="minorHAnsi" w:hAnsiTheme="minorHAnsi" w:cstheme="minorHAnsi"/>
          <w:color w:val="000000" w:themeColor="text1"/>
          <w:szCs w:val="24"/>
        </w:rPr>
        <w:t>ence. London: Routledge.</w:t>
      </w:r>
    </w:p>
    <w:p w14:paraId="1B69AABE" w14:textId="77777777" w:rsidR="00A95A1D" w:rsidRPr="0084307B" w:rsidRDefault="00A95A1D" w:rsidP="0084307B">
      <w:pPr>
        <w:pStyle w:val="NormalWeb"/>
        <w:numPr>
          <w:ilvl w:val="0"/>
          <w:numId w:val="7"/>
        </w:numPr>
        <w:spacing w:beforeAutospacing="1" w:afterAutospacing="1" w:line="276" w:lineRule="auto"/>
        <w:rPr>
          <w:rFonts w:asciiTheme="minorHAnsi" w:hAnsiTheme="minorHAnsi" w:cstheme="minorHAnsi"/>
          <w:color w:val="000000" w:themeColor="text1"/>
          <w:szCs w:val="24"/>
        </w:rPr>
      </w:pPr>
      <w:r w:rsidRPr="0084307B">
        <w:rPr>
          <w:rFonts w:asciiTheme="minorHAnsi" w:hAnsiTheme="minorHAnsi" w:cstheme="minorHAnsi"/>
          <w:color w:val="000000" w:themeColor="text1"/>
          <w:szCs w:val="24"/>
        </w:rPr>
        <w:t>Novak, J. and Gowin, D. (1984) </w:t>
      </w:r>
      <w:r w:rsidRPr="0084307B">
        <w:rPr>
          <w:rFonts w:asciiTheme="minorHAnsi" w:hAnsiTheme="minorHAnsi" w:cstheme="minorHAnsi"/>
          <w:bCs/>
          <w:i/>
          <w:color w:val="000000" w:themeColor="text1"/>
          <w:szCs w:val="24"/>
        </w:rPr>
        <w:t>Learning how to Learn</w:t>
      </w:r>
      <w:r w:rsidRPr="0084307B">
        <w:rPr>
          <w:rFonts w:asciiTheme="minorHAnsi" w:hAnsiTheme="minorHAnsi" w:cstheme="minorHAnsi"/>
          <w:bCs/>
          <w:color w:val="000000" w:themeColor="text1"/>
          <w:szCs w:val="24"/>
        </w:rPr>
        <w:t>.</w:t>
      </w:r>
      <w:r w:rsidRPr="0084307B">
        <w:rPr>
          <w:rFonts w:asciiTheme="minorHAnsi" w:hAnsiTheme="minorHAnsi" w:cstheme="minorHAnsi"/>
          <w:color w:val="000000" w:themeColor="text1"/>
          <w:szCs w:val="24"/>
        </w:rPr>
        <w:t> Cambridge: Cambridge University Press.</w:t>
      </w:r>
    </w:p>
    <w:p w14:paraId="3FC7E941"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Phil Wood; Joan Smith (2016). </w:t>
      </w:r>
      <w:r w:rsidRPr="0084307B">
        <w:rPr>
          <w:rFonts w:asciiTheme="minorHAnsi" w:hAnsiTheme="minorHAnsi" w:cstheme="minorHAnsi"/>
          <w:i/>
          <w:iCs/>
          <w:color w:val="000000" w:themeColor="text1"/>
        </w:rPr>
        <w:t>Educational Research</w:t>
      </w:r>
      <w:r w:rsidRPr="0084307B">
        <w:rPr>
          <w:rFonts w:asciiTheme="minorHAnsi" w:hAnsiTheme="minorHAnsi" w:cstheme="minorHAnsi"/>
          <w:color w:val="000000" w:themeColor="text1"/>
        </w:rPr>
        <w:t>. Carmarthen: Independent Thinking Press. </w:t>
      </w:r>
    </w:p>
    <w:p w14:paraId="734C4AB9"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Salisu</w:t>
      </w:r>
      <w:r>
        <w:rPr>
          <w:rFonts w:asciiTheme="minorHAnsi" w:hAnsiTheme="minorHAnsi" w:cstheme="minorHAnsi"/>
          <w:color w:val="000000" w:themeColor="text1"/>
        </w:rPr>
        <w:t xml:space="preserve"> </w:t>
      </w:r>
      <w:r w:rsidRPr="0084307B">
        <w:rPr>
          <w:rFonts w:asciiTheme="minorHAnsi" w:hAnsiTheme="minorHAnsi" w:cstheme="minorHAnsi"/>
          <w:color w:val="000000" w:themeColor="text1"/>
        </w:rPr>
        <w:t>Abdullahi; Emmanuel N. Ransom. (2014). The role of modelling towards impacting quality education. </w:t>
      </w:r>
      <w:r w:rsidRPr="0084307B">
        <w:rPr>
          <w:rFonts w:asciiTheme="minorHAnsi" w:hAnsiTheme="minorHAnsi" w:cstheme="minorHAnsi"/>
          <w:i/>
          <w:iCs/>
          <w:color w:val="000000" w:themeColor="text1"/>
        </w:rPr>
        <w:t>International Letters of Social and Humanistic Sciences</w:t>
      </w:r>
      <w:r w:rsidRPr="0084307B">
        <w:rPr>
          <w:rFonts w:asciiTheme="minorHAnsi" w:hAnsiTheme="minorHAnsi" w:cstheme="minorHAnsi"/>
          <w:color w:val="000000" w:themeColor="text1"/>
        </w:rPr>
        <w:t>. 32, 54-61.</w:t>
      </w:r>
    </w:p>
    <w:p w14:paraId="50DB9723"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TES Professionals. (2015). </w:t>
      </w:r>
      <w:r w:rsidRPr="0084307B">
        <w:rPr>
          <w:rFonts w:asciiTheme="minorHAnsi" w:hAnsiTheme="minorHAnsi" w:cstheme="minorHAnsi"/>
          <w:i/>
          <w:iCs/>
          <w:color w:val="000000" w:themeColor="text1"/>
        </w:rPr>
        <w:t>How to use modelling successfully in the classroom.</w:t>
      </w:r>
      <w:r w:rsidRPr="0084307B">
        <w:rPr>
          <w:rFonts w:asciiTheme="minorHAnsi" w:hAnsiTheme="minorHAnsi" w:cstheme="minorHAnsi"/>
          <w:color w:val="000000" w:themeColor="text1"/>
        </w:rPr>
        <w:t> Available: https://www.tes.com/news/how-use-modelling-successfully-classroom. Last accessed 12/05/2019.</w:t>
      </w:r>
    </w:p>
    <w:p w14:paraId="13420457"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Tom Sherrington. (2017). </w:t>
      </w:r>
      <w:r w:rsidRPr="0084307B">
        <w:rPr>
          <w:rFonts w:asciiTheme="minorHAnsi" w:hAnsiTheme="minorHAnsi" w:cstheme="minorHAnsi"/>
          <w:i/>
          <w:iCs/>
          <w:color w:val="000000" w:themeColor="text1"/>
        </w:rPr>
        <w:t xml:space="preserve">Teaching to the Top: Attitudes and strategies for delivering real challenge. </w:t>
      </w:r>
      <w:r w:rsidRPr="0084307B">
        <w:rPr>
          <w:rFonts w:asciiTheme="minorHAnsi" w:hAnsiTheme="minorHAnsi" w:cstheme="minorHAnsi"/>
          <w:color w:val="000000" w:themeColor="text1"/>
        </w:rPr>
        <w:t>Available: https://teacherhead.com/2013/05/12/raising-the-bar/. Last accessed 12/05/2019.</w:t>
      </w:r>
    </w:p>
    <w:p w14:paraId="66AD4349"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Unknown. (2007). </w:t>
      </w:r>
      <w:r w:rsidRPr="0084307B">
        <w:rPr>
          <w:rFonts w:asciiTheme="minorHAnsi" w:hAnsiTheme="minorHAnsi" w:cstheme="minorHAnsi"/>
          <w:i/>
          <w:iCs/>
          <w:color w:val="000000" w:themeColor="text1"/>
        </w:rPr>
        <w:t>Modelling and Demonstrating.</w:t>
      </w:r>
      <w:r w:rsidRPr="0084307B">
        <w:rPr>
          <w:rFonts w:asciiTheme="minorHAnsi" w:hAnsiTheme="minorHAnsi" w:cstheme="minorHAnsi"/>
          <w:color w:val="000000" w:themeColor="text1"/>
        </w:rPr>
        <w:t xml:space="preserve"> Available: https://bso.bradford.gov.uk/userfiles/file/ISP/pdm%20modelling%20and%20demonstrating.pdf. Last accessed 12/05/2019. </w:t>
      </w:r>
    </w:p>
    <w:p w14:paraId="1FFB44E0" w14:textId="77777777" w:rsidR="00A95A1D" w:rsidRPr="0084307B" w:rsidRDefault="00A95A1D" w:rsidP="0084307B">
      <w:pPr>
        <w:pStyle w:val="ListParagraph"/>
        <w:numPr>
          <w:ilvl w:val="0"/>
          <w:numId w:val="7"/>
        </w:numPr>
        <w:spacing w:line="276" w:lineRule="auto"/>
        <w:rPr>
          <w:rFonts w:asciiTheme="minorHAnsi" w:hAnsiTheme="minorHAnsi" w:cstheme="minorHAnsi"/>
          <w:color w:val="000000" w:themeColor="text1"/>
        </w:rPr>
      </w:pPr>
      <w:r w:rsidRPr="0084307B">
        <w:rPr>
          <w:rFonts w:asciiTheme="minorHAnsi" w:hAnsiTheme="minorHAnsi" w:cstheme="minorHAnsi"/>
          <w:color w:val="000000" w:themeColor="text1"/>
        </w:rPr>
        <w:t>Valsa Koshy (2010). </w:t>
      </w:r>
      <w:r w:rsidRPr="0084307B">
        <w:rPr>
          <w:rFonts w:asciiTheme="minorHAnsi" w:hAnsiTheme="minorHAnsi" w:cstheme="minorHAnsi"/>
          <w:i/>
          <w:iCs/>
          <w:color w:val="000000" w:themeColor="text1"/>
        </w:rPr>
        <w:t>Action Research</w:t>
      </w:r>
      <w:r w:rsidRPr="0084307B">
        <w:rPr>
          <w:rFonts w:asciiTheme="minorHAnsi" w:hAnsiTheme="minorHAnsi" w:cstheme="minorHAnsi"/>
          <w:color w:val="000000" w:themeColor="text1"/>
        </w:rPr>
        <w:t>. 2nd ed. London: SAGE Publishers.</w:t>
      </w:r>
    </w:p>
    <w:p w14:paraId="749F2A8D" w14:textId="77777777" w:rsidR="00F80469" w:rsidRPr="0084307B" w:rsidRDefault="00F80469" w:rsidP="0084307B">
      <w:pPr>
        <w:ind w:left="360"/>
      </w:pPr>
    </w:p>
    <w:p w14:paraId="04A1358C" w14:textId="77777777" w:rsidR="00F80469" w:rsidRPr="00D85437" w:rsidRDefault="009B1744" w:rsidP="00F80469">
      <w:pPr>
        <w:pStyle w:val="NormalWeb"/>
        <w:spacing w:line="276" w:lineRule="auto"/>
        <w:rPr>
          <w:rFonts w:asciiTheme="minorHAnsi" w:hAnsiTheme="minorHAnsi" w:cstheme="minorHAnsi"/>
          <w:color w:val="000000" w:themeColor="text1"/>
          <w:u w:val="single"/>
        </w:rPr>
      </w:pPr>
      <w:bookmarkStart w:id="0" w:name="_GoBack"/>
      <w:bookmarkEnd w:id="0"/>
      <w:r>
        <w:rPr>
          <w:rFonts w:cstheme="minorHAnsi"/>
          <w:noProof/>
          <w:color w:val="000000" w:themeColor="text1"/>
          <w:u w:val="single"/>
        </w:rPr>
        <w:lastRenderedPageBreak/>
        <w:object w:dxaOrig="1440" w:dyaOrig="1440" w14:anchorId="30A5FC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0;margin-top:0;width:451pt;height:698pt;z-index:251665408;mso-wrap-edited:f;mso-width-percent:0;mso-height-percent:0;mso-position-horizontal-relative:text;mso-position-vertical-relative:text;mso-width-percent:0;mso-height-percent:0" wrapcoords="3055 1438 -36 1462 -36 1763 10782 1810 10782 2552 -36 2854 -36 3063 467 3295 -36 3295 36 3550 10782 3666 0 3666 0 4385 10782 4408 0 4501 -36 4756 252 4779 -36 4965 0 5151 791 5151 144 5359 -36 5452 -36 6055 6361 6264 10782 6264 0 6589 0 6775 503 7007 -36 7030 -36 8074 3846 8120 0 8260 0 8492 4996 8561 9848 8863 10782 8863 -36 9072 -36 10208 4349 10348 10782 10348 10782 11090 -36 11299 36 11577 7727 11832 10782 11832 611 12018 -36 12018 -36 12227 3091 12227 3091 12204 10746 11832 1761 11461 10782 11090 10746 10348 9560 9976 13082 9976 19731 9744 19695 9605 20306 9512 20917 9304 20917 9048 20306 9048 10746 8863 7224 8492 8302 8492 14628 8167 19839 8120 19803 7795 20558 7726 20558 7401 20809 7308 20917 7053 19336 7007 20522 6867 20558 6635 19947 6589 17683 6519 13657 5986 13549 5893 15203 5893 21025 5615 21025 5522 21205 5383 20809 5336 17036 5151 19480 5151 19408 4895 14268 4779 18869 4756 18833 4501 10782 4408 20055 4385 20055 4060 21133 3991 21133 3666 10782 3666 20378 3550 20630 3295 19408 3295 20809 3063 20809 2854 18222 2761 10782 2552 10782 1810 6972 1485 6254 1438 3199 1438 3055 1438">
            <v:imagedata r:id="rId11" o:title=""/>
            <w10:wrap type="tight"/>
          </v:shape>
          <o:OLEObject Type="Embed" ProgID="Word.Document.12" ShapeID="_x0000_s1026" DrawAspect="Content" ObjectID="_1619274113" r:id="rId12">
            <o:FieldCodes>\s</o:FieldCodes>
          </o:OLEObject>
        </w:object>
      </w:r>
      <w:r w:rsidR="00F80469" w:rsidRPr="00D85437">
        <w:rPr>
          <w:rFonts w:asciiTheme="minorHAnsi" w:hAnsiTheme="minorHAnsi" w:cstheme="minorHAnsi"/>
          <w:color w:val="000000" w:themeColor="text1"/>
          <w:u w:val="single"/>
        </w:rPr>
        <w:t xml:space="preserve">Atodiad 1: </w:t>
      </w:r>
    </w:p>
    <w:p w14:paraId="691F3517" w14:textId="77777777" w:rsidR="00F80469" w:rsidRPr="00F80469" w:rsidRDefault="00F80469">
      <w:pPr>
        <w:rPr>
          <w:rFonts w:asciiTheme="minorHAnsi" w:hAnsiTheme="minorHAnsi" w:cstheme="minorHAnsi"/>
          <w:sz w:val="24"/>
        </w:rPr>
      </w:pPr>
    </w:p>
    <w:sectPr w:rsidR="00F80469" w:rsidRPr="00F80469" w:rsidSect="00E349A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93593"/>
    <w:multiLevelType w:val="hybridMultilevel"/>
    <w:tmpl w:val="1FC64DDE"/>
    <w:lvl w:ilvl="0" w:tplc="0409000F">
      <w:start w:val="1"/>
      <w:numFmt w:val="decimal"/>
      <w:lvlText w:val="%1."/>
      <w:lvlJc w:val="left"/>
      <w:pPr>
        <w:ind w:left="720" w:hanging="360"/>
      </w:pPr>
      <w:rPr>
        <w:rFonts w:hint="default"/>
      </w:rPr>
    </w:lvl>
    <w:lvl w:ilvl="1" w:tplc="330E2B7C" w:tentative="1">
      <w:start w:val="1"/>
      <w:numFmt w:val="bullet"/>
      <w:lvlText w:val="•"/>
      <w:lvlJc w:val="left"/>
      <w:pPr>
        <w:tabs>
          <w:tab w:val="num" w:pos="1440"/>
        </w:tabs>
        <w:ind w:left="1440" w:hanging="360"/>
      </w:pPr>
      <w:rPr>
        <w:rFonts w:ascii="Arial" w:hAnsi="Arial" w:hint="default"/>
      </w:rPr>
    </w:lvl>
    <w:lvl w:ilvl="2" w:tplc="9CCE11FA" w:tentative="1">
      <w:start w:val="1"/>
      <w:numFmt w:val="bullet"/>
      <w:lvlText w:val="•"/>
      <w:lvlJc w:val="left"/>
      <w:pPr>
        <w:tabs>
          <w:tab w:val="num" w:pos="2160"/>
        </w:tabs>
        <w:ind w:left="2160" w:hanging="360"/>
      </w:pPr>
      <w:rPr>
        <w:rFonts w:ascii="Arial" w:hAnsi="Arial" w:hint="default"/>
      </w:rPr>
    </w:lvl>
    <w:lvl w:ilvl="3" w:tplc="2B54A79E" w:tentative="1">
      <w:start w:val="1"/>
      <w:numFmt w:val="bullet"/>
      <w:lvlText w:val="•"/>
      <w:lvlJc w:val="left"/>
      <w:pPr>
        <w:tabs>
          <w:tab w:val="num" w:pos="2880"/>
        </w:tabs>
        <w:ind w:left="2880" w:hanging="360"/>
      </w:pPr>
      <w:rPr>
        <w:rFonts w:ascii="Arial" w:hAnsi="Arial" w:hint="default"/>
      </w:rPr>
    </w:lvl>
    <w:lvl w:ilvl="4" w:tplc="C954297C" w:tentative="1">
      <w:start w:val="1"/>
      <w:numFmt w:val="bullet"/>
      <w:lvlText w:val="•"/>
      <w:lvlJc w:val="left"/>
      <w:pPr>
        <w:tabs>
          <w:tab w:val="num" w:pos="3600"/>
        </w:tabs>
        <w:ind w:left="3600" w:hanging="360"/>
      </w:pPr>
      <w:rPr>
        <w:rFonts w:ascii="Arial" w:hAnsi="Arial" w:hint="default"/>
      </w:rPr>
    </w:lvl>
    <w:lvl w:ilvl="5" w:tplc="FE1E881E" w:tentative="1">
      <w:start w:val="1"/>
      <w:numFmt w:val="bullet"/>
      <w:lvlText w:val="•"/>
      <w:lvlJc w:val="left"/>
      <w:pPr>
        <w:tabs>
          <w:tab w:val="num" w:pos="4320"/>
        </w:tabs>
        <w:ind w:left="4320" w:hanging="360"/>
      </w:pPr>
      <w:rPr>
        <w:rFonts w:ascii="Arial" w:hAnsi="Arial" w:hint="default"/>
      </w:rPr>
    </w:lvl>
    <w:lvl w:ilvl="6" w:tplc="6084FFE0" w:tentative="1">
      <w:start w:val="1"/>
      <w:numFmt w:val="bullet"/>
      <w:lvlText w:val="•"/>
      <w:lvlJc w:val="left"/>
      <w:pPr>
        <w:tabs>
          <w:tab w:val="num" w:pos="5040"/>
        </w:tabs>
        <w:ind w:left="5040" w:hanging="360"/>
      </w:pPr>
      <w:rPr>
        <w:rFonts w:ascii="Arial" w:hAnsi="Arial" w:hint="default"/>
      </w:rPr>
    </w:lvl>
    <w:lvl w:ilvl="7" w:tplc="CE3C893E" w:tentative="1">
      <w:start w:val="1"/>
      <w:numFmt w:val="bullet"/>
      <w:lvlText w:val="•"/>
      <w:lvlJc w:val="left"/>
      <w:pPr>
        <w:tabs>
          <w:tab w:val="num" w:pos="5760"/>
        </w:tabs>
        <w:ind w:left="5760" w:hanging="360"/>
      </w:pPr>
      <w:rPr>
        <w:rFonts w:ascii="Arial" w:hAnsi="Arial" w:hint="default"/>
      </w:rPr>
    </w:lvl>
    <w:lvl w:ilvl="8" w:tplc="8040B2A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9C4EBB"/>
    <w:multiLevelType w:val="hybridMultilevel"/>
    <w:tmpl w:val="25D85086"/>
    <w:lvl w:ilvl="0" w:tplc="0409000F">
      <w:start w:val="1"/>
      <w:numFmt w:val="decimal"/>
      <w:lvlText w:val="%1."/>
      <w:lvlJc w:val="left"/>
      <w:pPr>
        <w:ind w:left="1143" w:hanging="360"/>
      </w:pPr>
    </w:lvl>
    <w:lvl w:ilvl="1" w:tplc="04090019" w:tentative="1">
      <w:start w:val="1"/>
      <w:numFmt w:val="lowerLetter"/>
      <w:lvlText w:val="%2."/>
      <w:lvlJc w:val="left"/>
      <w:pPr>
        <w:ind w:left="1863" w:hanging="360"/>
      </w:pPr>
    </w:lvl>
    <w:lvl w:ilvl="2" w:tplc="0409001B" w:tentative="1">
      <w:start w:val="1"/>
      <w:numFmt w:val="lowerRoman"/>
      <w:lvlText w:val="%3."/>
      <w:lvlJc w:val="right"/>
      <w:pPr>
        <w:ind w:left="2583" w:hanging="180"/>
      </w:pPr>
    </w:lvl>
    <w:lvl w:ilvl="3" w:tplc="0409000F" w:tentative="1">
      <w:start w:val="1"/>
      <w:numFmt w:val="decimal"/>
      <w:lvlText w:val="%4."/>
      <w:lvlJc w:val="left"/>
      <w:pPr>
        <w:ind w:left="3303" w:hanging="360"/>
      </w:pPr>
    </w:lvl>
    <w:lvl w:ilvl="4" w:tplc="04090019" w:tentative="1">
      <w:start w:val="1"/>
      <w:numFmt w:val="lowerLetter"/>
      <w:lvlText w:val="%5."/>
      <w:lvlJc w:val="left"/>
      <w:pPr>
        <w:ind w:left="4023" w:hanging="360"/>
      </w:pPr>
    </w:lvl>
    <w:lvl w:ilvl="5" w:tplc="0409001B" w:tentative="1">
      <w:start w:val="1"/>
      <w:numFmt w:val="lowerRoman"/>
      <w:lvlText w:val="%6."/>
      <w:lvlJc w:val="right"/>
      <w:pPr>
        <w:ind w:left="4743" w:hanging="180"/>
      </w:pPr>
    </w:lvl>
    <w:lvl w:ilvl="6" w:tplc="0409000F" w:tentative="1">
      <w:start w:val="1"/>
      <w:numFmt w:val="decimal"/>
      <w:lvlText w:val="%7."/>
      <w:lvlJc w:val="left"/>
      <w:pPr>
        <w:ind w:left="5463" w:hanging="360"/>
      </w:pPr>
    </w:lvl>
    <w:lvl w:ilvl="7" w:tplc="04090019" w:tentative="1">
      <w:start w:val="1"/>
      <w:numFmt w:val="lowerLetter"/>
      <w:lvlText w:val="%8."/>
      <w:lvlJc w:val="left"/>
      <w:pPr>
        <w:ind w:left="6183" w:hanging="360"/>
      </w:pPr>
    </w:lvl>
    <w:lvl w:ilvl="8" w:tplc="0409001B" w:tentative="1">
      <w:start w:val="1"/>
      <w:numFmt w:val="lowerRoman"/>
      <w:lvlText w:val="%9."/>
      <w:lvlJc w:val="right"/>
      <w:pPr>
        <w:ind w:left="6903" w:hanging="180"/>
      </w:pPr>
    </w:lvl>
  </w:abstractNum>
  <w:abstractNum w:abstractNumId="2" w15:restartNumberingAfterBreak="0">
    <w:nsid w:val="3F4208D3"/>
    <w:multiLevelType w:val="hybridMultilevel"/>
    <w:tmpl w:val="85103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63327D"/>
    <w:multiLevelType w:val="hybridMultilevel"/>
    <w:tmpl w:val="60D654DE"/>
    <w:lvl w:ilvl="0" w:tplc="4622EA2C">
      <w:start w:val="1"/>
      <w:numFmt w:val="bullet"/>
      <w:lvlText w:val="•"/>
      <w:lvlJc w:val="left"/>
      <w:pPr>
        <w:tabs>
          <w:tab w:val="num" w:pos="720"/>
        </w:tabs>
        <w:ind w:left="720" w:hanging="360"/>
      </w:pPr>
      <w:rPr>
        <w:rFonts w:ascii="Arial" w:hAnsi="Arial" w:hint="default"/>
      </w:rPr>
    </w:lvl>
    <w:lvl w:ilvl="1" w:tplc="330E2B7C" w:tentative="1">
      <w:start w:val="1"/>
      <w:numFmt w:val="bullet"/>
      <w:lvlText w:val="•"/>
      <w:lvlJc w:val="left"/>
      <w:pPr>
        <w:tabs>
          <w:tab w:val="num" w:pos="1440"/>
        </w:tabs>
        <w:ind w:left="1440" w:hanging="360"/>
      </w:pPr>
      <w:rPr>
        <w:rFonts w:ascii="Arial" w:hAnsi="Arial" w:hint="default"/>
      </w:rPr>
    </w:lvl>
    <w:lvl w:ilvl="2" w:tplc="9CCE11FA" w:tentative="1">
      <w:start w:val="1"/>
      <w:numFmt w:val="bullet"/>
      <w:lvlText w:val="•"/>
      <w:lvlJc w:val="left"/>
      <w:pPr>
        <w:tabs>
          <w:tab w:val="num" w:pos="2160"/>
        </w:tabs>
        <w:ind w:left="2160" w:hanging="360"/>
      </w:pPr>
      <w:rPr>
        <w:rFonts w:ascii="Arial" w:hAnsi="Arial" w:hint="default"/>
      </w:rPr>
    </w:lvl>
    <w:lvl w:ilvl="3" w:tplc="2B54A79E" w:tentative="1">
      <w:start w:val="1"/>
      <w:numFmt w:val="bullet"/>
      <w:lvlText w:val="•"/>
      <w:lvlJc w:val="left"/>
      <w:pPr>
        <w:tabs>
          <w:tab w:val="num" w:pos="2880"/>
        </w:tabs>
        <w:ind w:left="2880" w:hanging="360"/>
      </w:pPr>
      <w:rPr>
        <w:rFonts w:ascii="Arial" w:hAnsi="Arial" w:hint="default"/>
      </w:rPr>
    </w:lvl>
    <w:lvl w:ilvl="4" w:tplc="C954297C" w:tentative="1">
      <w:start w:val="1"/>
      <w:numFmt w:val="bullet"/>
      <w:lvlText w:val="•"/>
      <w:lvlJc w:val="left"/>
      <w:pPr>
        <w:tabs>
          <w:tab w:val="num" w:pos="3600"/>
        </w:tabs>
        <w:ind w:left="3600" w:hanging="360"/>
      </w:pPr>
      <w:rPr>
        <w:rFonts w:ascii="Arial" w:hAnsi="Arial" w:hint="default"/>
      </w:rPr>
    </w:lvl>
    <w:lvl w:ilvl="5" w:tplc="FE1E881E" w:tentative="1">
      <w:start w:val="1"/>
      <w:numFmt w:val="bullet"/>
      <w:lvlText w:val="•"/>
      <w:lvlJc w:val="left"/>
      <w:pPr>
        <w:tabs>
          <w:tab w:val="num" w:pos="4320"/>
        </w:tabs>
        <w:ind w:left="4320" w:hanging="360"/>
      </w:pPr>
      <w:rPr>
        <w:rFonts w:ascii="Arial" w:hAnsi="Arial" w:hint="default"/>
      </w:rPr>
    </w:lvl>
    <w:lvl w:ilvl="6" w:tplc="6084FFE0" w:tentative="1">
      <w:start w:val="1"/>
      <w:numFmt w:val="bullet"/>
      <w:lvlText w:val="•"/>
      <w:lvlJc w:val="left"/>
      <w:pPr>
        <w:tabs>
          <w:tab w:val="num" w:pos="5040"/>
        </w:tabs>
        <w:ind w:left="5040" w:hanging="360"/>
      </w:pPr>
      <w:rPr>
        <w:rFonts w:ascii="Arial" w:hAnsi="Arial" w:hint="default"/>
      </w:rPr>
    </w:lvl>
    <w:lvl w:ilvl="7" w:tplc="CE3C893E" w:tentative="1">
      <w:start w:val="1"/>
      <w:numFmt w:val="bullet"/>
      <w:lvlText w:val="•"/>
      <w:lvlJc w:val="left"/>
      <w:pPr>
        <w:tabs>
          <w:tab w:val="num" w:pos="5760"/>
        </w:tabs>
        <w:ind w:left="5760" w:hanging="360"/>
      </w:pPr>
      <w:rPr>
        <w:rFonts w:ascii="Arial" w:hAnsi="Arial" w:hint="default"/>
      </w:rPr>
    </w:lvl>
    <w:lvl w:ilvl="8" w:tplc="8040B2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835EB9"/>
    <w:multiLevelType w:val="hybridMultilevel"/>
    <w:tmpl w:val="728CD578"/>
    <w:lvl w:ilvl="0" w:tplc="0409000F">
      <w:start w:val="1"/>
      <w:numFmt w:val="decimal"/>
      <w:lvlText w:val="%1."/>
      <w:lvlJc w:val="left"/>
      <w:pPr>
        <w:ind w:left="783" w:hanging="360"/>
      </w:pPr>
    </w:lvl>
    <w:lvl w:ilvl="1" w:tplc="04090019" w:tentative="1">
      <w:start w:val="1"/>
      <w:numFmt w:val="lowerLetter"/>
      <w:lvlText w:val="%2."/>
      <w:lvlJc w:val="left"/>
      <w:pPr>
        <w:ind w:left="1503" w:hanging="360"/>
      </w:pPr>
    </w:lvl>
    <w:lvl w:ilvl="2" w:tplc="0409001B" w:tentative="1">
      <w:start w:val="1"/>
      <w:numFmt w:val="lowerRoman"/>
      <w:lvlText w:val="%3."/>
      <w:lvlJc w:val="right"/>
      <w:pPr>
        <w:ind w:left="2223" w:hanging="180"/>
      </w:pPr>
    </w:lvl>
    <w:lvl w:ilvl="3" w:tplc="0409000F" w:tentative="1">
      <w:start w:val="1"/>
      <w:numFmt w:val="decimal"/>
      <w:lvlText w:val="%4."/>
      <w:lvlJc w:val="left"/>
      <w:pPr>
        <w:ind w:left="2943" w:hanging="360"/>
      </w:pPr>
    </w:lvl>
    <w:lvl w:ilvl="4" w:tplc="04090019" w:tentative="1">
      <w:start w:val="1"/>
      <w:numFmt w:val="lowerLetter"/>
      <w:lvlText w:val="%5."/>
      <w:lvlJc w:val="left"/>
      <w:pPr>
        <w:ind w:left="3663" w:hanging="360"/>
      </w:pPr>
    </w:lvl>
    <w:lvl w:ilvl="5" w:tplc="0409001B" w:tentative="1">
      <w:start w:val="1"/>
      <w:numFmt w:val="lowerRoman"/>
      <w:lvlText w:val="%6."/>
      <w:lvlJc w:val="right"/>
      <w:pPr>
        <w:ind w:left="4383" w:hanging="180"/>
      </w:pPr>
    </w:lvl>
    <w:lvl w:ilvl="6" w:tplc="0409000F" w:tentative="1">
      <w:start w:val="1"/>
      <w:numFmt w:val="decimal"/>
      <w:lvlText w:val="%7."/>
      <w:lvlJc w:val="left"/>
      <w:pPr>
        <w:ind w:left="5103" w:hanging="360"/>
      </w:pPr>
    </w:lvl>
    <w:lvl w:ilvl="7" w:tplc="04090019" w:tentative="1">
      <w:start w:val="1"/>
      <w:numFmt w:val="lowerLetter"/>
      <w:lvlText w:val="%8."/>
      <w:lvlJc w:val="left"/>
      <w:pPr>
        <w:ind w:left="5823" w:hanging="360"/>
      </w:pPr>
    </w:lvl>
    <w:lvl w:ilvl="8" w:tplc="0409001B" w:tentative="1">
      <w:start w:val="1"/>
      <w:numFmt w:val="lowerRoman"/>
      <w:lvlText w:val="%9."/>
      <w:lvlJc w:val="right"/>
      <w:pPr>
        <w:ind w:left="6543" w:hanging="180"/>
      </w:pPr>
    </w:lvl>
  </w:abstractNum>
  <w:abstractNum w:abstractNumId="5" w15:restartNumberingAfterBreak="0">
    <w:nsid w:val="5B57537B"/>
    <w:multiLevelType w:val="hybridMultilevel"/>
    <w:tmpl w:val="977CF016"/>
    <w:lvl w:ilvl="0" w:tplc="04090001">
      <w:start w:val="1"/>
      <w:numFmt w:val="bullet"/>
      <w:lvlText w:val=""/>
      <w:lvlJc w:val="left"/>
      <w:pPr>
        <w:ind w:left="720" w:hanging="360"/>
      </w:pPr>
      <w:rPr>
        <w:rFonts w:ascii="Symbol" w:hAnsi="Symbol" w:hint="default"/>
      </w:rPr>
    </w:lvl>
    <w:lvl w:ilvl="1" w:tplc="330E2B7C" w:tentative="1">
      <w:start w:val="1"/>
      <w:numFmt w:val="bullet"/>
      <w:lvlText w:val="•"/>
      <w:lvlJc w:val="left"/>
      <w:pPr>
        <w:tabs>
          <w:tab w:val="num" w:pos="1440"/>
        </w:tabs>
        <w:ind w:left="1440" w:hanging="360"/>
      </w:pPr>
      <w:rPr>
        <w:rFonts w:ascii="Arial" w:hAnsi="Arial" w:hint="default"/>
      </w:rPr>
    </w:lvl>
    <w:lvl w:ilvl="2" w:tplc="9CCE11FA" w:tentative="1">
      <w:start w:val="1"/>
      <w:numFmt w:val="bullet"/>
      <w:lvlText w:val="•"/>
      <w:lvlJc w:val="left"/>
      <w:pPr>
        <w:tabs>
          <w:tab w:val="num" w:pos="2160"/>
        </w:tabs>
        <w:ind w:left="2160" w:hanging="360"/>
      </w:pPr>
      <w:rPr>
        <w:rFonts w:ascii="Arial" w:hAnsi="Arial" w:hint="default"/>
      </w:rPr>
    </w:lvl>
    <w:lvl w:ilvl="3" w:tplc="2B54A79E" w:tentative="1">
      <w:start w:val="1"/>
      <w:numFmt w:val="bullet"/>
      <w:lvlText w:val="•"/>
      <w:lvlJc w:val="left"/>
      <w:pPr>
        <w:tabs>
          <w:tab w:val="num" w:pos="2880"/>
        </w:tabs>
        <w:ind w:left="2880" w:hanging="360"/>
      </w:pPr>
      <w:rPr>
        <w:rFonts w:ascii="Arial" w:hAnsi="Arial" w:hint="default"/>
      </w:rPr>
    </w:lvl>
    <w:lvl w:ilvl="4" w:tplc="C954297C" w:tentative="1">
      <w:start w:val="1"/>
      <w:numFmt w:val="bullet"/>
      <w:lvlText w:val="•"/>
      <w:lvlJc w:val="left"/>
      <w:pPr>
        <w:tabs>
          <w:tab w:val="num" w:pos="3600"/>
        </w:tabs>
        <w:ind w:left="3600" w:hanging="360"/>
      </w:pPr>
      <w:rPr>
        <w:rFonts w:ascii="Arial" w:hAnsi="Arial" w:hint="default"/>
      </w:rPr>
    </w:lvl>
    <w:lvl w:ilvl="5" w:tplc="FE1E881E" w:tentative="1">
      <w:start w:val="1"/>
      <w:numFmt w:val="bullet"/>
      <w:lvlText w:val="•"/>
      <w:lvlJc w:val="left"/>
      <w:pPr>
        <w:tabs>
          <w:tab w:val="num" w:pos="4320"/>
        </w:tabs>
        <w:ind w:left="4320" w:hanging="360"/>
      </w:pPr>
      <w:rPr>
        <w:rFonts w:ascii="Arial" w:hAnsi="Arial" w:hint="default"/>
      </w:rPr>
    </w:lvl>
    <w:lvl w:ilvl="6" w:tplc="6084FFE0" w:tentative="1">
      <w:start w:val="1"/>
      <w:numFmt w:val="bullet"/>
      <w:lvlText w:val="•"/>
      <w:lvlJc w:val="left"/>
      <w:pPr>
        <w:tabs>
          <w:tab w:val="num" w:pos="5040"/>
        </w:tabs>
        <w:ind w:left="5040" w:hanging="360"/>
      </w:pPr>
      <w:rPr>
        <w:rFonts w:ascii="Arial" w:hAnsi="Arial" w:hint="default"/>
      </w:rPr>
    </w:lvl>
    <w:lvl w:ilvl="7" w:tplc="CE3C893E" w:tentative="1">
      <w:start w:val="1"/>
      <w:numFmt w:val="bullet"/>
      <w:lvlText w:val="•"/>
      <w:lvlJc w:val="left"/>
      <w:pPr>
        <w:tabs>
          <w:tab w:val="num" w:pos="5760"/>
        </w:tabs>
        <w:ind w:left="5760" w:hanging="360"/>
      </w:pPr>
      <w:rPr>
        <w:rFonts w:ascii="Arial" w:hAnsi="Arial" w:hint="default"/>
      </w:rPr>
    </w:lvl>
    <w:lvl w:ilvl="8" w:tplc="8040B2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F663E7C"/>
    <w:multiLevelType w:val="hybridMultilevel"/>
    <w:tmpl w:val="B1C08B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026F"/>
    <w:rsid w:val="0010026F"/>
    <w:rsid w:val="003A7484"/>
    <w:rsid w:val="00504D95"/>
    <w:rsid w:val="005860E5"/>
    <w:rsid w:val="0084307B"/>
    <w:rsid w:val="008811B7"/>
    <w:rsid w:val="009B1744"/>
    <w:rsid w:val="00A95A1D"/>
    <w:rsid w:val="00B86385"/>
    <w:rsid w:val="00D10285"/>
    <w:rsid w:val="00DB1668"/>
    <w:rsid w:val="00E349A9"/>
    <w:rsid w:val="00E92120"/>
    <w:rsid w:val="00F80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6BAF21"/>
  <w14:defaultImageDpi w14:val="32767"/>
  <w15:chartTrackingRefBased/>
  <w15:docId w15:val="{ADF14A6B-AFE8-6545-B6DD-876119661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26F"/>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10026F"/>
    <w:pPr>
      <w:keepNext/>
      <w:jc w:val="both"/>
      <w:outlineLvl w:val="1"/>
    </w:pPr>
    <w:rPr>
      <w:b/>
      <w:sz w:val="24"/>
    </w:rPr>
  </w:style>
  <w:style w:type="paragraph" w:styleId="Heading4">
    <w:name w:val="heading 4"/>
    <w:basedOn w:val="Normal"/>
    <w:next w:val="Normal"/>
    <w:link w:val="Heading4Char"/>
    <w:qFormat/>
    <w:rsid w:val="0010026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0026F"/>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0026F"/>
    <w:rPr>
      <w:rFonts w:ascii="Times New Roman" w:eastAsia="Times New Roman" w:hAnsi="Times New Roman" w:cs="Times New Roman"/>
      <w:sz w:val="40"/>
      <w:szCs w:val="20"/>
      <w:lang w:eastAsia="en-GB"/>
    </w:rPr>
  </w:style>
  <w:style w:type="paragraph" w:styleId="Header">
    <w:name w:val="header"/>
    <w:basedOn w:val="Normal"/>
    <w:link w:val="HeaderChar"/>
    <w:rsid w:val="0010026F"/>
    <w:pPr>
      <w:tabs>
        <w:tab w:val="center" w:pos="4153"/>
        <w:tab w:val="right" w:pos="8306"/>
      </w:tabs>
    </w:pPr>
  </w:style>
  <w:style w:type="character" w:customStyle="1" w:styleId="HeaderChar">
    <w:name w:val="Header Char"/>
    <w:basedOn w:val="DefaultParagraphFont"/>
    <w:link w:val="Header"/>
    <w:rsid w:val="0010026F"/>
    <w:rPr>
      <w:rFonts w:ascii="Times New Roman" w:eastAsia="Times New Roman" w:hAnsi="Times New Roman" w:cs="Times New Roman"/>
      <w:sz w:val="20"/>
      <w:szCs w:val="20"/>
      <w:lang w:eastAsia="en-GB"/>
    </w:rPr>
  </w:style>
  <w:style w:type="paragraph" w:styleId="NormalWeb">
    <w:name w:val="Normal (Web)"/>
    <w:basedOn w:val="Normal"/>
    <w:uiPriority w:val="99"/>
    <w:rsid w:val="0010026F"/>
    <w:pPr>
      <w:spacing w:before="100" w:after="100"/>
    </w:pPr>
    <w:rPr>
      <w:sz w:val="24"/>
      <w:lang w:eastAsia="en-US"/>
    </w:rPr>
  </w:style>
  <w:style w:type="paragraph" w:styleId="ListParagraph">
    <w:name w:val="List Paragraph"/>
    <w:basedOn w:val="Normal"/>
    <w:uiPriority w:val="34"/>
    <w:qFormat/>
    <w:rsid w:val="00F80469"/>
    <w:pPr>
      <w:ind w:left="720"/>
      <w:contextualSpacing/>
    </w:pPr>
    <w:rPr>
      <w:sz w:val="24"/>
      <w:szCs w:val="24"/>
      <w:lang w:eastAsia="en-US"/>
    </w:rPr>
  </w:style>
  <w:style w:type="character" w:styleId="Hyperlink">
    <w:name w:val="Hyperlink"/>
    <w:basedOn w:val="DefaultParagraphFont"/>
    <w:uiPriority w:val="99"/>
    <w:unhideWhenUsed/>
    <w:rsid w:val="00F80469"/>
    <w:rPr>
      <w:color w:val="0563C1" w:themeColor="hyperlink"/>
      <w:u w:val="single"/>
    </w:rPr>
  </w:style>
  <w:style w:type="character" w:customStyle="1" w:styleId="apple-converted-space">
    <w:name w:val="apple-converted-space"/>
    <w:basedOn w:val="DefaultParagraphFont"/>
    <w:rsid w:val="008430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933766">
      <w:bodyDiv w:val="1"/>
      <w:marLeft w:val="0"/>
      <w:marRight w:val="0"/>
      <w:marTop w:val="0"/>
      <w:marBottom w:val="0"/>
      <w:divBdr>
        <w:top w:val="none" w:sz="0" w:space="0" w:color="auto"/>
        <w:left w:val="none" w:sz="0" w:space="0" w:color="auto"/>
        <w:bottom w:val="none" w:sz="0" w:space="0" w:color="auto"/>
        <w:right w:val="none" w:sz="0" w:space="0" w:color="auto"/>
      </w:divBdr>
    </w:div>
    <w:div w:id="1274509201">
      <w:bodyDiv w:val="1"/>
      <w:marLeft w:val="0"/>
      <w:marRight w:val="0"/>
      <w:marTop w:val="0"/>
      <w:marBottom w:val="0"/>
      <w:divBdr>
        <w:top w:val="none" w:sz="0" w:space="0" w:color="auto"/>
        <w:left w:val="none" w:sz="0" w:space="0" w:color="auto"/>
        <w:bottom w:val="none" w:sz="0" w:space="0" w:color="auto"/>
        <w:right w:val="none" w:sz="0" w:space="0" w:color="auto"/>
      </w:divBdr>
    </w:div>
    <w:div w:id="1984461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package" Target="embeddings/Microsoft_Word_Document.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hyperlink" Target="https://www.edutopia.org/discussion/developing-growth-mindset-teachers-and-staff.%20Last%20accessed%2012/05/20"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FDC87-3093-7B47-99F7-A32A41DAA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7618</Words>
  <Characters>43426</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Denny</dc:creator>
  <cp:keywords/>
  <dc:description/>
  <cp:lastModifiedBy>Eleri Smith (1500151)</cp:lastModifiedBy>
  <cp:revision>2</cp:revision>
  <cp:lastPrinted>2019-05-13T16:35:00Z</cp:lastPrinted>
  <dcterms:created xsi:type="dcterms:W3CDTF">2019-05-13T16:35:00Z</dcterms:created>
  <dcterms:modified xsi:type="dcterms:W3CDTF">2019-05-13T16:35:00Z</dcterms:modified>
</cp:coreProperties>
</file>