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DFB22" w14:textId="4A7620EC" w:rsidR="005F4AA1" w:rsidRDefault="00C80C34" w:rsidP="00EF1E3E">
      <w:pPr>
        <w:spacing w:line="360" w:lineRule="auto"/>
        <w:jc w:val="both"/>
        <w:rPr>
          <w:rFonts w:ascii="Times New Roman" w:hAnsi="Times New Roman" w:cs="Times New Roman"/>
          <w:sz w:val="24"/>
          <w:szCs w:val="24"/>
        </w:rPr>
      </w:pPr>
      <w:r w:rsidRPr="00C80C34">
        <w:rPr>
          <w:rFonts w:ascii="Times New Roman" w:hAnsi="Times New Roman" w:cs="Times New Roman"/>
          <w:noProof/>
          <w:sz w:val="24"/>
          <w:szCs w:val="24"/>
        </w:rPr>
        <w:drawing>
          <wp:inline distT="0" distB="0" distL="0" distR="0" wp14:anchorId="30D9CF08" wp14:editId="2EE842D2">
            <wp:extent cx="1987652" cy="997001"/>
            <wp:effectExtent l="0" t="0" r="0" b="0"/>
            <wp:docPr id="66467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672480" name=""/>
                    <pic:cNvPicPr/>
                  </pic:nvPicPr>
                  <pic:blipFill>
                    <a:blip r:embed="rId7"/>
                    <a:stretch>
                      <a:fillRect/>
                    </a:stretch>
                  </pic:blipFill>
                  <pic:spPr>
                    <a:xfrm>
                      <a:off x="0" y="0"/>
                      <a:ext cx="1987652" cy="997001"/>
                    </a:xfrm>
                    <a:prstGeom prst="rect">
                      <a:avLst/>
                    </a:prstGeom>
                  </pic:spPr>
                </pic:pic>
              </a:graphicData>
            </a:graphic>
          </wp:inline>
        </w:drawing>
      </w:r>
    </w:p>
    <w:p w14:paraId="1506925C" w14:textId="77777777" w:rsidR="00C80C34" w:rsidRDefault="00C80C34" w:rsidP="00EF1E3E">
      <w:pPr>
        <w:spacing w:line="360" w:lineRule="auto"/>
        <w:jc w:val="both"/>
        <w:rPr>
          <w:rFonts w:ascii="Times New Roman" w:hAnsi="Times New Roman" w:cs="Times New Roman"/>
          <w:sz w:val="24"/>
          <w:szCs w:val="24"/>
        </w:rPr>
      </w:pPr>
    </w:p>
    <w:p w14:paraId="58106DED" w14:textId="6E90C6CA" w:rsidR="00C80C34" w:rsidRDefault="00C80C34" w:rsidP="00C80C34">
      <w:pPr>
        <w:spacing w:line="360" w:lineRule="auto"/>
        <w:jc w:val="center"/>
        <w:rPr>
          <w:rFonts w:ascii="Times New Roman" w:hAnsi="Times New Roman" w:cs="Times New Roman"/>
          <w:b/>
          <w:bCs/>
          <w:sz w:val="24"/>
          <w:szCs w:val="24"/>
        </w:rPr>
      </w:pPr>
      <w:proofErr w:type="spellStart"/>
      <w:r w:rsidRPr="00C80C34">
        <w:rPr>
          <w:rFonts w:ascii="Times New Roman" w:hAnsi="Times New Roman" w:cs="Times New Roman"/>
          <w:b/>
          <w:bCs/>
          <w:sz w:val="24"/>
          <w:szCs w:val="24"/>
        </w:rPr>
        <w:t>Programme</w:t>
      </w:r>
      <w:proofErr w:type="spellEnd"/>
      <w:r w:rsidRPr="00C80C34">
        <w:rPr>
          <w:rFonts w:ascii="Times New Roman" w:hAnsi="Times New Roman" w:cs="Times New Roman"/>
          <w:b/>
          <w:bCs/>
          <w:sz w:val="24"/>
          <w:szCs w:val="24"/>
        </w:rPr>
        <w:t>: BA (Hons) Leadership and Management Skills for the Workplace</w:t>
      </w:r>
    </w:p>
    <w:p w14:paraId="1B1CCCFE" w14:textId="67748C47" w:rsidR="00A86D63" w:rsidRDefault="00A86D63" w:rsidP="00C80C34">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Name: Omima Suliman</w:t>
      </w:r>
    </w:p>
    <w:p w14:paraId="554BF338" w14:textId="5DBE7CCA" w:rsidR="00A86D63" w:rsidRPr="00C80C34" w:rsidRDefault="00A86D63" w:rsidP="00A86D63">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 2325135</w:t>
      </w:r>
    </w:p>
    <w:p w14:paraId="45AF3BAA" w14:textId="43273203" w:rsidR="00C80C34" w:rsidRPr="00C80C34" w:rsidRDefault="00C80C34" w:rsidP="00C80C34">
      <w:pPr>
        <w:spacing w:line="360" w:lineRule="auto"/>
        <w:jc w:val="center"/>
        <w:rPr>
          <w:rFonts w:ascii="Times New Roman" w:hAnsi="Times New Roman" w:cs="Times New Roman"/>
          <w:b/>
          <w:bCs/>
          <w:sz w:val="24"/>
          <w:szCs w:val="24"/>
        </w:rPr>
      </w:pPr>
      <w:r w:rsidRPr="00C80C34">
        <w:rPr>
          <w:rFonts w:ascii="Times New Roman" w:hAnsi="Times New Roman" w:cs="Times New Roman"/>
          <w:b/>
          <w:bCs/>
          <w:sz w:val="24"/>
          <w:szCs w:val="24"/>
        </w:rPr>
        <w:t>Module: Understanding and Engaging Stakeholders  </w:t>
      </w:r>
    </w:p>
    <w:p w14:paraId="2CB8B0C3" w14:textId="09560FF7" w:rsidR="00C80C34" w:rsidRDefault="00C80C34" w:rsidP="00C80C34">
      <w:pPr>
        <w:spacing w:line="360" w:lineRule="auto"/>
        <w:jc w:val="center"/>
        <w:rPr>
          <w:rFonts w:ascii="Times New Roman" w:hAnsi="Times New Roman" w:cs="Times New Roman"/>
          <w:b/>
          <w:bCs/>
          <w:sz w:val="24"/>
          <w:szCs w:val="24"/>
        </w:rPr>
      </w:pPr>
      <w:r w:rsidRPr="00C80C34">
        <w:rPr>
          <w:rFonts w:ascii="Times New Roman" w:hAnsi="Times New Roman" w:cs="Times New Roman"/>
          <w:b/>
          <w:bCs/>
          <w:sz w:val="24"/>
          <w:szCs w:val="24"/>
        </w:rPr>
        <w:t>Module code: LCLM5001 </w:t>
      </w:r>
    </w:p>
    <w:p w14:paraId="15CBE291" w14:textId="19535431" w:rsidR="0060083B" w:rsidRPr="00284B09" w:rsidRDefault="00284B09" w:rsidP="00284B09">
      <w:pPr>
        <w:spacing w:line="360" w:lineRule="auto"/>
        <w:jc w:val="center"/>
        <w:rPr>
          <w:rFonts w:ascii="Times New Roman" w:hAnsi="Times New Roman" w:cs="Times New Roman"/>
          <w:i/>
          <w:iCs/>
          <w:sz w:val="24"/>
          <w:szCs w:val="24"/>
        </w:rPr>
      </w:pPr>
      <w:r w:rsidRPr="00284B09">
        <w:rPr>
          <w:rFonts w:ascii="Times New Roman" w:hAnsi="Times New Roman" w:cs="Times New Roman"/>
          <w:i/>
          <w:iCs/>
          <w:sz w:val="24"/>
          <w:szCs w:val="24"/>
        </w:rPr>
        <w:t xml:space="preserve">Topic: A Critical Evaluation of Stakeholder Engagement Strategies in the Launch of Philips </w:t>
      </w:r>
      <w:proofErr w:type="spellStart"/>
      <w:r w:rsidRPr="00284B09">
        <w:rPr>
          <w:rFonts w:ascii="Times New Roman" w:hAnsi="Times New Roman" w:cs="Times New Roman"/>
          <w:i/>
          <w:iCs/>
          <w:sz w:val="24"/>
          <w:szCs w:val="24"/>
        </w:rPr>
        <w:t>VitalBand</w:t>
      </w:r>
      <w:proofErr w:type="spellEnd"/>
      <w:r w:rsidRPr="00284B09">
        <w:rPr>
          <w:rFonts w:ascii="Times New Roman" w:hAnsi="Times New Roman" w:cs="Times New Roman"/>
          <w:i/>
          <w:iCs/>
          <w:sz w:val="24"/>
          <w:szCs w:val="24"/>
        </w:rPr>
        <w:t>: Balancing Compliance, Innovation, and Collaboration in UK Healthcare</w:t>
      </w:r>
    </w:p>
    <w:p w14:paraId="57EA82E5" w14:textId="77777777" w:rsidR="0060083B" w:rsidRPr="001C218D" w:rsidRDefault="0060083B" w:rsidP="00EF1E3E">
      <w:pPr>
        <w:spacing w:line="360" w:lineRule="auto"/>
        <w:jc w:val="both"/>
        <w:rPr>
          <w:rFonts w:ascii="Times New Roman" w:hAnsi="Times New Roman" w:cs="Times New Roman"/>
          <w:sz w:val="24"/>
          <w:szCs w:val="24"/>
        </w:rPr>
      </w:pPr>
    </w:p>
    <w:p w14:paraId="22A415F8" w14:textId="77777777" w:rsidR="0060083B" w:rsidRPr="001C218D" w:rsidRDefault="0060083B" w:rsidP="00EF1E3E">
      <w:pPr>
        <w:spacing w:line="360" w:lineRule="auto"/>
        <w:jc w:val="both"/>
        <w:rPr>
          <w:rFonts w:ascii="Times New Roman" w:hAnsi="Times New Roman" w:cs="Times New Roman"/>
          <w:sz w:val="24"/>
          <w:szCs w:val="24"/>
        </w:rPr>
      </w:pPr>
    </w:p>
    <w:p w14:paraId="662C8425" w14:textId="77777777" w:rsidR="0060083B" w:rsidRPr="001C218D" w:rsidRDefault="0060083B" w:rsidP="00EF1E3E">
      <w:pPr>
        <w:spacing w:line="360" w:lineRule="auto"/>
        <w:jc w:val="both"/>
        <w:rPr>
          <w:rFonts w:ascii="Times New Roman" w:hAnsi="Times New Roman" w:cs="Times New Roman"/>
          <w:sz w:val="24"/>
          <w:szCs w:val="24"/>
        </w:rPr>
      </w:pPr>
    </w:p>
    <w:p w14:paraId="436494B1" w14:textId="77777777" w:rsidR="0060083B" w:rsidRPr="001C218D" w:rsidRDefault="0060083B" w:rsidP="00EF1E3E">
      <w:pPr>
        <w:spacing w:line="360" w:lineRule="auto"/>
        <w:jc w:val="both"/>
        <w:rPr>
          <w:rFonts w:ascii="Times New Roman" w:hAnsi="Times New Roman" w:cs="Times New Roman"/>
          <w:sz w:val="24"/>
          <w:szCs w:val="24"/>
        </w:rPr>
      </w:pPr>
    </w:p>
    <w:p w14:paraId="6812E84A" w14:textId="77777777" w:rsidR="0060083B" w:rsidRPr="001C218D" w:rsidRDefault="0060083B" w:rsidP="00EF1E3E">
      <w:pPr>
        <w:spacing w:line="360" w:lineRule="auto"/>
        <w:jc w:val="both"/>
        <w:rPr>
          <w:rFonts w:ascii="Times New Roman" w:hAnsi="Times New Roman" w:cs="Times New Roman"/>
          <w:sz w:val="24"/>
          <w:szCs w:val="24"/>
        </w:rPr>
      </w:pPr>
    </w:p>
    <w:p w14:paraId="4A0D0428" w14:textId="77777777" w:rsidR="0060083B" w:rsidRPr="001C218D" w:rsidRDefault="0060083B" w:rsidP="00EF1E3E">
      <w:pPr>
        <w:spacing w:line="360" w:lineRule="auto"/>
        <w:jc w:val="both"/>
        <w:rPr>
          <w:rFonts w:ascii="Times New Roman" w:hAnsi="Times New Roman" w:cs="Times New Roman"/>
          <w:sz w:val="24"/>
          <w:szCs w:val="24"/>
        </w:rPr>
      </w:pPr>
    </w:p>
    <w:p w14:paraId="788BD18D" w14:textId="77777777" w:rsidR="0060083B" w:rsidRPr="001C218D" w:rsidRDefault="0060083B" w:rsidP="00EF1E3E">
      <w:pPr>
        <w:spacing w:line="360" w:lineRule="auto"/>
        <w:jc w:val="both"/>
        <w:rPr>
          <w:rFonts w:ascii="Times New Roman" w:hAnsi="Times New Roman" w:cs="Times New Roman"/>
          <w:sz w:val="24"/>
          <w:szCs w:val="24"/>
        </w:rPr>
      </w:pPr>
    </w:p>
    <w:p w14:paraId="5623F5D8" w14:textId="77777777" w:rsidR="0060083B" w:rsidRPr="001C218D" w:rsidRDefault="0060083B" w:rsidP="00EF1E3E">
      <w:pPr>
        <w:spacing w:line="360" w:lineRule="auto"/>
        <w:jc w:val="both"/>
        <w:rPr>
          <w:rFonts w:ascii="Times New Roman" w:hAnsi="Times New Roman" w:cs="Times New Roman"/>
          <w:sz w:val="24"/>
          <w:szCs w:val="24"/>
        </w:rPr>
      </w:pPr>
    </w:p>
    <w:p w14:paraId="29994162" w14:textId="77777777" w:rsidR="0060083B" w:rsidRPr="001C218D" w:rsidRDefault="0060083B" w:rsidP="00EF1E3E">
      <w:pPr>
        <w:spacing w:line="360" w:lineRule="auto"/>
        <w:jc w:val="both"/>
        <w:rPr>
          <w:rFonts w:ascii="Times New Roman" w:hAnsi="Times New Roman" w:cs="Times New Roman"/>
          <w:sz w:val="24"/>
          <w:szCs w:val="24"/>
        </w:rPr>
      </w:pPr>
    </w:p>
    <w:p w14:paraId="53DA5BDB" w14:textId="77777777" w:rsidR="0060083B" w:rsidRPr="001C218D" w:rsidRDefault="0060083B" w:rsidP="00EF1E3E">
      <w:pPr>
        <w:spacing w:line="360" w:lineRule="auto"/>
        <w:jc w:val="both"/>
        <w:rPr>
          <w:rFonts w:ascii="Times New Roman" w:hAnsi="Times New Roman" w:cs="Times New Roman"/>
          <w:sz w:val="24"/>
          <w:szCs w:val="24"/>
        </w:rPr>
      </w:pPr>
    </w:p>
    <w:p w14:paraId="201104A8" w14:textId="77777777" w:rsidR="00D32C2D" w:rsidRPr="001C218D" w:rsidRDefault="00D32C2D" w:rsidP="00EF1E3E">
      <w:pPr>
        <w:spacing w:line="360" w:lineRule="auto"/>
        <w:jc w:val="both"/>
        <w:rPr>
          <w:rFonts w:ascii="Times New Roman" w:hAnsi="Times New Roman" w:cs="Times New Roman"/>
          <w:sz w:val="24"/>
          <w:szCs w:val="24"/>
        </w:rPr>
      </w:pPr>
    </w:p>
    <w:p w14:paraId="535B6668" w14:textId="77777777" w:rsidR="00D32C2D" w:rsidRDefault="00D32C2D" w:rsidP="00EF1E3E">
      <w:pPr>
        <w:spacing w:line="360" w:lineRule="auto"/>
        <w:jc w:val="both"/>
        <w:rPr>
          <w:rFonts w:ascii="Times New Roman" w:hAnsi="Times New Roman" w:cs="Times New Roman"/>
          <w:sz w:val="24"/>
          <w:szCs w:val="24"/>
        </w:rPr>
      </w:pPr>
    </w:p>
    <w:p w14:paraId="3D166C0A" w14:textId="77777777" w:rsidR="00376E21" w:rsidRPr="001C218D" w:rsidRDefault="00376E21" w:rsidP="00EF1E3E">
      <w:pPr>
        <w:spacing w:line="360" w:lineRule="auto"/>
        <w:jc w:val="both"/>
        <w:rPr>
          <w:rFonts w:ascii="Times New Roman" w:hAnsi="Times New Roman" w:cs="Times New Roman"/>
          <w:sz w:val="24"/>
          <w:szCs w:val="24"/>
        </w:rPr>
      </w:pPr>
    </w:p>
    <w:p w14:paraId="60BF4F7D" w14:textId="5FF26ABE" w:rsidR="00D32C2D" w:rsidRDefault="00D32C2D" w:rsidP="00113913">
      <w:pPr>
        <w:pStyle w:val="Heading1"/>
        <w:jc w:val="center"/>
        <w:rPr>
          <w:rFonts w:ascii="Times New Roman" w:hAnsi="Times New Roman" w:cs="Times New Roman"/>
        </w:rPr>
      </w:pPr>
      <w:bookmarkStart w:id="0" w:name="_Toc210771179"/>
      <w:r w:rsidRPr="00113913">
        <w:rPr>
          <w:rFonts w:ascii="Times New Roman" w:hAnsi="Times New Roman" w:cs="Times New Roman"/>
        </w:rPr>
        <w:t>Executive Summary</w:t>
      </w:r>
      <w:bookmarkEnd w:id="0"/>
    </w:p>
    <w:p w14:paraId="31DF033D" w14:textId="77777777" w:rsidR="007F7780" w:rsidRPr="007F7780" w:rsidRDefault="007F7780" w:rsidP="007F7780"/>
    <w:p w14:paraId="297DF6BF" w14:textId="0EFF8411" w:rsidR="00EE36F8" w:rsidRPr="001C218D" w:rsidRDefault="00113913" w:rsidP="00EE36F8">
      <w:pPr>
        <w:spacing w:line="360" w:lineRule="auto"/>
        <w:jc w:val="both"/>
        <w:rPr>
          <w:rFonts w:ascii="Times New Roman" w:hAnsi="Times New Roman" w:cs="Times New Roman"/>
          <w:sz w:val="24"/>
          <w:szCs w:val="24"/>
        </w:rPr>
      </w:pPr>
      <w:r w:rsidRPr="00113913">
        <w:rPr>
          <w:rFonts w:ascii="Times New Roman" w:hAnsi="Times New Roman" w:cs="Times New Roman"/>
          <w:sz w:val="24"/>
          <w:szCs w:val="24"/>
        </w:rPr>
        <w:t xml:space="preserve">This report critically examines the stakeholder engagement strategy underpinning the launch of </w:t>
      </w:r>
      <w:r w:rsidRPr="00113913">
        <w:rPr>
          <w:rFonts w:ascii="Times New Roman" w:hAnsi="Times New Roman" w:cs="Times New Roman"/>
          <w:b/>
          <w:bCs/>
          <w:sz w:val="24"/>
          <w:szCs w:val="24"/>
        </w:rPr>
        <w:t xml:space="preserve">Philips </w:t>
      </w:r>
      <w:proofErr w:type="spellStart"/>
      <w:r w:rsidRPr="00113913">
        <w:rPr>
          <w:rFonts w:ascii="Times New Roman" w:hAnsi="Times New Roman" w:cs="Times New Roman"/>
          <w:b/>
          <w:bCs/>
          <w:sz w:val="24"/>
          <w:szCs w:val="24"/>
        </w:rPr>
        <w:t>VitalBand</w:t>
      </w:r>
      <w:proofErr w:type="spellEnd"/>
      <w:r w:rsidRPr="00113913">
        <w:rPr>
          <w:rFonts w:ascii="Times New Roman" w:hAnsi="Times New Roman" w:cs="Times New Roman"/>
          <w:sz w:val="24"/>
          <w:szCs w:val="24"/>
        </w:rPr>
        <w:t xml:space="preserve">, a medical-grade wearable developed by </w:t>
      </w:r>
      <w:r w:rsidRPr="00113913">
        <w:rPr>
          <w:rFonts w:ascii="Times New Roman" w:hAnsi="Times New Roman" w:cs="Times New Roman"/>
          <w:i/>
          <w:iCs/>
          <w:sz w:val="24"/>
          <w:szCs w:val="24"/>
        </w:rPr>
        <w:t>Philips Healthcare UK</w:t>
      </w:r>
      <w:r w:rsidRPr="00113913">
        <w:rPr>
          <w:rFonts w:ascii="Times New Roman" w:hAnsi="Times New Roman" w:cs="Times New Roman"/>
          <w:sz w:val="24"/>
          <w:szCs w:val="24"/>
        </w:rPr>
        <w:t>.</w:t>
      </w:r>
      <w:r>
        <w:rPr>
          <w:rFonts w:ascii="Times New Roman" w:hAnsi="Times New Roman" w:cs="Times New Roman"/>
          <w:sz w:val="24"/>
          <w:szCs w:val="24"/>
        </w:rPr>
        <w:t xml:space="preserve"> </w:t>
      </w:r>
      <w:r w:rsidR="00EE36F8" w:rsidRPr="001C218D">
        <w:rPr>
          <w:rFonts w:ascii="Times New Roman" w:hAnsi="Times New Roman" w:cs="Times New Roman"/>
          <w:sz w:val="24"/>
          <w:szCs w:val="24"/>
        </w:rPr>
        <w:t xml:space="preserve">Philips is a company </w:t>
      </w:r>
      <w:proofErr w:type="spellStart"/>
      <w:r w:rsidR="00EE36F8" w:rsidRPr="001C218D">
        <w:rPr>
          <w:rFonts w:ascii="Times New Roman" w:hAnsi="Times New Roman" w:cs="Times New Roman"/>
          <w:sz w:val="24"/>
          <w:szCs w:val="24"/>
        </w:rPr>
        <w:t>specialising</w:t>
      </w:r>
      <w:proofErr w:type="spellEnd"/>
      <w:r w:rsidR="00EE36F8" w:rsidRPr="001C218D">
        <w:rPr>
          <w:rFonts w:ascii="Times New Roman" w:hAnsi="Times New Roman" w:cs="Times New Roman"/>
          <w:sz w:val="24"/>
          <w:szCs w:val="24"/>
        </w:rPr>
        <w:t xml:space="preserve"> in advanced digital health technologies, and it is headquartered in Guildford with approximately 1,500 professionals on board and long-term partnerships with the NHS. </w:t>
      </w:r>
      <w:proofErr w:type="spellStart"/>
      <w:r w:rsidR="00EE36F8" w:rsidRPr="001C218D">
        <w:rPr>
          <w:rFonts w:ascii="Times New Roman" w:hAnsi="Times New Roman" w:cs="Times New Roman"/>
          <w:sz w:val="24"/>
          <w:szCs w:val="24"/>
        </w:rPr>
        <w:t>VitalBand</w:t>
      </w:r>
      <w:proofErr w:type="spellEnd"/>
      <w:r w:rsidR="00EE36F8" w:rsidRPr="001C218D">
        <w:rPr>
          <w:rFonts w:ascii="Times New Roman" w:hAnsi="Times New Roman" w:cs="Times New Roman"/>
          <w:sz w:val="24"/>
          <w:szCs w:val="24"/>
        </w:rPr>
        <w:t xml:space="preserve"> aims to deploy a clinically validated integrated wearable in six months data-based, adhering to the NHS Digital requirements to encourage preventive and interrelated care.</w:t>
      </w:r>
    </w:p>
    <w:p w14:paraId="606FD49A" w14:textId="73272927" w:rsidR="00EE36F8" w:rsidRPr="001C218D" w:rsidRDefault="00EE36F8" w:rsidP="00EE36F8">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report recognizes the main strengths of the company in terms of its healthcare credibility and technological excellence, and the limitations, such as high cost of production and complicated regulatory routes. The stakeholders have been classified and </w:t>
      </w:r>
      <w:proofErr w:type="spellStart"/>
      <w:r w:rsidRPr="001C218D">
        <w:rPr>
          <w:rFonts w:ascii="Times New Roman" w:hAnsi="Times New Roman" w:cs="Times New Roman"/>
          <w:sz w:val="24"/>
          <w:szCs w:val="24"/>
        </w:rPr>
        <w:t>prioritised</w:t>
      </w:r>
      <w:proofErr w:type="spellEnd"/>
      <w:r w:rsidRPr="001C218D">
        <w:rPr>
          <w:rFonts w:ascii="Times New Roman" w:hAnsi="Times New Roman" w:cs="Times New Roman"/>
          <w:sz w:val="24"/>
          <w:szCs w:val="24"/>
        </w:rPr>
        <w:t xml:space="preserve"> using tools like the Power-Interest Matrix by Mendelow to facilitate effective working in the executive, regulatory, and clinical areas.</w:t>
      </w:r>
    </w:p>
    <w:p w14:paraId="3D3C0245" w14:textId="77777777" w:rsidR="00EE36F8" w:rsidRPr="001C218D" w:rsidRDefault="00EE36F8" w:rsidP="00EE36F8">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Combining RACI with Bourne (2015) Stakeholder Engagement Cycle and the 4Cs Model (Ellis, Gibbs and Rein, 1991), would guarantee a well-organized accountability, open communication and conflict resolution across the departments. The Balanced Scorecard (Kaplan and Norton, 1992) assessment shows some practical effects: the increase in operational efficiency, innovation due to co-design, compliance due to early involvement of the MHRA and the growth of trust between NHS and consumer stakeholders.</w:t>
      </w:r>
    </w:p>
    <w:p w14:paraId="339C9317" w14:textId="422FE13D" w:rsidR="00D32C2D" w:rsidRPr="001C218D" w:rsidRDefault="00EE36F8" w:rsidP="00EE36F8">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Recommendation is based on institutionalization of quarterly stakeholder mapping, implementation of analytics dash boards and formulating inclusive feedback </w:t>
      </w:r>
      <w:proofErr w:type="spellStart"/>
      <w:r w:rsidRPr="001C218D">
        <w:rPr>
          <w:rFonts w:ascii="Times New Roman" w:hAnsi="Times New Roman" w:cs="Times New Roman"/>
          <w:sz w:val="24"/>
          <w:szCs w:val="24"/>
        </w:rPr>
        <w:t>programmes</w:t>
      </w:r>
      <w:proofErr w:type="spellEnd"/>
      <w:r w:rsidRPr="001C218D">
        <w:rPr>
          <w:rFonts w:ascii="Times New Roman" w:hAnsi="Times New Roman" w:cs="Times New Roman"/>
          <w:sz w:val="24"/>
          <w:szCs w:val="24"/>
        </w:rPr>
        <w:t xml:space="preserve"> like voice of clinician. Together, these measures strengthen the role of Philips to lead digital healthcare innovation balancing regulation, social responsibility and sustainable creation of stakeholder value.</w:t>
      </w:r>
    </w:p>
    <w:p w14:paraId="05577C8E" w14:textId="77777777" w:rsidR="0060083B" w:rsidRPr="001C218D" w:rsidRDefault="0060083B" w:rsidP="00EF1E3E">
      <w:pPr>
        <w:spacing w:line="360" w:lineRule="auto"/>
        <w:jc w:val="both"/>
        <w:rPr>
          <w:rFonts w:ascii="Times New Roman" w:hAnsi="Times New Roman" w:cs="Times New Roman"/>
          <w:sz w:val="24"/>
          <w:szCs w:val="24"/>
        </w:rPr>
      </w:pPr>
    </w:p>
    <w:p w14:paraId="4EE596F9" w14:textId="77777777" w:rsidR="0060083B" w:rsidRPr="001C218D" w:rsidRDefault="0060083B" w:rsidP="00EF1E3E">
      <w:pPr>
        <w:spacing w:line="360" w:lineRule="auto"/>
        <w:jc w:val="both"/>
        <w:rPr>
          <w:rFonts w:ascii="Times New Roman" w:hAnsi="Times New Roman" w:cs="Times New Roman"/>
          <w:sz w:val="24"/>
          <w:szCs w:val="24"/>
        </w:rPr>
      </w:pPr>
    </w:p>
    <w:p w14:paraId="05B5696B" w14:textId="77CFF249" w:rsidR="00A079F0" w:rsidRPr="00597C07" w:rsidRDefault="00A079F0" w:rsidP="00597C07">
      <w:pPr>
        <w:spacing w:line="360" w:lineRule="auto"/>
        <w:jc w:val="both"/>
        <w:rPr>
          <w:rFonts w:ascii="Times New Roman" w:hAnsi="Times New Roman" w:cs="Times New Roman"/>
          <w:sz w:val="24"/>
          <w:szCs w:val="24"/>
        </w:rPr>
      </w:pPr>
    </w:p>
    <w:p w14:paraId="7C0A669C" w14:textId="77777777" w:rsidR="00A079F0" w:rsidRPr="00597C07" w:rsidRDefault="00A079F0" w:rsidP="00597C07">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kern w:val="2"/>
          <w:sz w:val="22"/>
          <w:szCs w:val="22"/>
          <w14:ligatures w14:val="standardContextual"/>
        </w:rPr>
        <w:id w:val="843899557"/>
        <w:docPartObj>
          <w:docPartGallery w:val="Table of Contents"/>
          <w:docPartUnique/>
        </w:docPartObj>
      </w:sdtPr>
      <w:sdtEndPr>
        <w:rPr>
          <w:b/>
          <w:bCs/>
          <w:noProof/>
          <w:sz w:val="24"/>
          <w:szCs w:val="24"/>
        </w:rPr>
      </w:sdtEndPr>
      <w:sdtContent>
        <w:p w14:paraId="2EBEF93C" w14:textId="79E31EED" w:rsidR="00597C07" w:rsidRPr="00597C07" w:rsidRDefault="00597C07" w:rsidP="00597C07">
          <w:pPr>
            <w:pStyle w:val="TOCHeading"/>
            <w:spacing w:line="360" w:lineRule="auto"/>
            <w:jc w:val="center"/>
            <w:rPr>
              <w:rFonts w:ascii="Times New Roman" w:hAnsi="Times New Roman" w:cs="Times New Roman"/>
            </w:rPr>
          </w:pPr>
          <w:r w:rsidRPr="00597C07">
            <w:rPr>
              <w:rFonts w:ascii="Times New Roman" w:hAnsi="Times New Roman" w:cs="Times New Roman"/>
            </w:rPr>
            <w:t>Table of Contents</w:t>
          </w:r>
        </w:p>
        <w:p w14:paraId="7FA60CA5" w14:textId="1A4B2561" w:rsidR="00597C07" w:rsidRPr="00597C07" w:rsidRDefault="00597C07" w:rsidP="00597C07">
          <w:pPr>
            <w:pStyle w:val="TOC1"/>
            <w:tabs>
              <w:tab w:val="right" w:leader="dot" w:pos="9350"/>
            </w:tabs>
            <w:spacing w:line="360" w:lineRule="auto"/>
            <w:rPr>
              <w:rFonts w:ascii="Times New Roman" w:hAnsi="Times New Roman" w:cs="Times New Roman"/>
              <w:noProof/>
              <w:sz w:val="24"/>
              <w:szCs w:val="24"/>
            </w:rPr>
          </w:pPr>
          <w:r w:rsidRPr="00597C07">
            <w:rPr>
              <w:rFonts w:ascii="Times New Roman" w:hAnsi="Times New Roman" w:cs="Times New Roman"/>
              <w:sz w:val="24"/>
              <w:szCs w:val="24"/>
            </w:rPr>
            <w:fldChar w:fldCharType="begin"/>
          </w:r>
          <w:r w:rsidRPr="00597C07">
            <w:rPr>
              <w:rFonts w:ascii="Times New Roman" w:hAnsi="Times New Roman" w:cs="Times New Roman"/>
              <w:sz w:val="24"/>
              <w:szCs w:val="24"/>
            </w:rPr>
            <w:instrText xml:space="preserve"> TOC \o "1-3" \h \z \u </w:instrText>
          </w:r>
          <w:r w:rsidRPr="00597C07">
            <w:rPr>
              <w:rFonts w:ascii="Times New Roman" w:hAnsi="Times New Roman" w:cs="Times New Roman"/>
              <w:sz w:val="24"/>
              <w:szCs w:val="24"/>
            </w:rPr>
            <w:fldChar w:fldCharType="separate"/>
          </w:r>
          <w:hyperlink w:anchor="_Toc210771179" w:history="1">
            <w:r w:rsidRPr="00597C07">
              <w:rPr>
                <w:rStyle w:val="Hyperlink"/>
                <w:rFonts w:ascii="Times New Roman" w:hAnsi="Times New Roman" w:cs="Times New Roman"/>
                <w:noProof/>
                <w:sz w:val="24"/>
                <w:szCs w:val="24"/>
              </w:rPr>
              <w:t>Executive Summary</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_Toc210771179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2</w:t>
            </w:r>
            <w:r w:rsidRPr="00597C07">
              <w:rPr>
                <w:rFonts w:ascii="Times New Roman" w:hAnsi="Times New Roman" w:cs="Times New Roman"/>
                <w:noProof/>
                <w:webHidden/>
                <w:sz w:val="24"/>
                <w:szCs w:val="24"/>
              </w:rPr>
              <w:fldChar w:fldCharType="end"/>
            </w:r>
          </w:hyperlink>
        </w:p>
        <w:p w14:paraId="204016F8" w14:textId="39D8B08F" w:rsidR="00597C07" w:rsidRPr="00597C07" w:rsidRDefault="00597C07" w:rsidP="00597C07">
          <w:pPr>
            <w:pStyle w:val="TOC1"/>
            <w:tabs>
              <w:tab w:val="right" w:leader="dot" w:pos="9350"/>
            </w:tabs>
            <w:spacing w:line="360" w:lineRule="auto"/>
            <w:rPr>
              <w:rFonts w:ascii="Times New Roman" w:hAnsi="Times New Roman" w:cs="Times New Roman"/>
              <w:noProof/>
              <w:sz w:val="24"/>
              <w:szCs w:val="24"/>
            </w:rPr>
          </w:pPr>
          <w:hyperlink w:anchor="_Toc210771180" w:history="1">
            <w:r w:rsidRPr="00597C07">
              <w:rPr>
                <w:rStyle w:val="Hyperlink"/>
                <w:rFonts w:ascii="Times New Roman" w:hAnsi="Times New Roman" w:cs="Times New Roman"/>
                <w:noProof/>
                <w:sz w:val="24"/>
                <w:szCs w:val="24"/>
              </w:rPr>
              <w:t>1. Introduction</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_Toc210771180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4</w:t>
            </w:r>
            <w:r w:rsidRPr="00597C07">
              <w:rPr>
                <w:rFonts w:ascii="Times New Roman" w:hAnsi="Times New Roman" w:cs="Times New Roman"/>
                <w:noProof/>
                <w:webHidden/>
                <w:sz w:val="24"/>
                <w:szCs w:val="24"/>
              </w:rPr>
              <w:fldChar w:fldCharType="end"/>
            </w:r>
          </w:hyperlink>
        </w:p>
        <w:p w14:paraId="55BDF9D7" w14:textId="3F699284" w:rsidR="00597C07" w:rsidRPr="00597C07" w:rsidRDefault="00597C07" w:rsidP="00597C07">
          <w:pPr>
            <w:pStyle w:val="TOC1"/>
            <w:tabs>
              <w:tab w:val="right" w:leader="dot" w:pos="9350"/>
            </w:tabs>
            <w:spacing w:line="360" w:lineRule="auto"/>
            <w:rPr>
              <w:rFonts w:ascii="Times New Roman" w:hAnsi="Times New Roman" w:cs="Times New Roman"/>
              <w:noProof/>
              <w:sz w:val="24"/>
              <w:szCs w:val="24"/>
            </w:rPr>
          </w:pPr>
          <w:hyperlink w:anchor="_Toc210771181" w:history="1">
            <w:r w:rsidRPr="00597C07">
              <w:rPr>
                <w:rStyle w:val="Hyperlink"/>
                <w:rFonts w:ascii="Times New Roman" w:hAnsi="Times New Roman" w:cs="Times New Roman"/>
                <w:noProof/>
                <w:sz w:val="24"/>
                <w:szCs w:val="24"/>
              </w:rPr>
              <w:t>2. Strategic Appraisal – SWOT, PESTLE and SMART Objectives</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_Toc210771181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5</w:t>
            </w:r>
            <w:r w:rsidRPr="00597C07">
              <w:rPr>
                <w:rFonts w:ascii="Times New Roman" w:hAnsi="Times New Roman" w:cs="Times New Roman"/>
                <w:noProof/>
                <w:webHidden/>
                <w:sz w:val="24"/>
                <w:szCs w:val="24"/>
              </w:rPr>
              <w:fldChar w:fldCharType="end"/>
            </w:r>
          </w:hyperlink>
        </w:p>
        <w:p w14:paraId="74268D76" w14:textId="76517FA6" w:rsidR="00597C07" w:rsidRPr="00597C07" w:rsidRDefault="00597C07" w:rsidP="00597C07">
          <w:pPr>
            <w:pStyle w:val="TOC2"/>
            <w:tabs>
              <w:tab w:val="right" w:leader="dot" w:pos="9350"/>
            </w:tabs>
            <w:spacing w:line="360" w:lineRule="auto"/>
            <w:rPr>
              <w:rFonts w:ascii="Times New Roman" w:hAnsi="Times New Roman" w:cs="Times New Roman"/>
              <w:noProof/>
              <w:sz w:val="24"/>
              <w:szCs w:val="24"/>
            </w:rPr>
          </w:pPr>
          <w:hyperlink w:anchor="_Toc210771182" w:history="1">
            <w:r w:rsidRPr="00597C07">
              <w:rPr>
                <w:rStyle w:val="Hyperlink"/>
                <w:rFonts w:ascii="Times New Roman" w:hAnsi="Times New Roman" w:cs="Times New Roman"/>
                <w:noProof/>
                <w:sz w:val="24"/>
                <w:szCs w:val="24"/>
              </w:rPr>
              <w:t>2.1 SWOT Analysis</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_Toc210771182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5</w:t>
            </w:r>
            <w:r w:rsidRPr="00597C07">
              <w:rPr>
                <w:rFonts w:ascii="Times New Roman" w:hAnsi="Times New Roman" w:cs="Times New Roman"/>
                <w:noProof/>
                <w:webHidden/>
                <w:sz w:val="24"/>
                <w:szCs w:val="24"/>
              </w:rPr>
              <w:fldChar w:fldCharType="end"/>
            </w:r>
          </w:hyperlink>
        </w:p>
        <w:p w14:paraId="060DD857" w14:textId="6702597E" w:rsidR="00597C07" w:rsidRPr="00597C07" w:rsidRDefault="00597C07" w:rsidP="00597C07">
          <w:pPr>
            <w:pStyle w:val="TOC2"/>
            <w:tabs>
              <w:tab w:val="right" w:leader="dot" w:pos="9350"/>
            </w:tabs>
            <w:spacing w:line="360" w:lineRule="auto"/>
            <w:rPr>
              <w:rFonts w:ascii="Times New Roman" w:hAnsi="Times New Roman" w:cs="Times New Roman"/>
              <w:noProof/>
              <w:sz w:val="24"/>
              <w:szCs w:val="24"/>
            </w:rPr>
          </w:pPr>
          <w:hyperlink w:anchor="_Toc210771183" w:history="1">
            <w:r w:rsidRPr="00597C07">
              <w:rPr>
                <w:rStyle w:val="Hyperlink"/>
                <w:rFonts w:ascii="Times New Roman" w:hAnsi="Times New Roman" w:cs="Times New Roman"/>
                <w:noProof/>
                <w:sz w:val="24"/>
                <w:szCs w:val="24"/>
              </w:rPr>
              <w:t>2.2 PESTLE Summary</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_Toc210771183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5</w:t>
            </w:r>
            <w:r w:rsidRPr="00597C07">
              <w:rPr>
                <w:rFonts w:ascii="Times New Roman" w:hAnsi="Times New Roman" w:cs="Times New Roman"/>
                <w:noProof/>
                <w:webHidden/>
                <w:sz w:val="24"/>
                <w:szCs w:val="24"/>
              </w:rPr>
              <w:fldChar w:fldCharType="end"/>
            </w:r>
          </w:hyperlink>
        </w:p>
        <w:p w14:paraId="5C312771" w14:textId="344F8B47" w:rsidR="00597C07" w:rsidRPr="00597C07" w:rsidRDefault="00597C07" w:rsidP="00597C07">
          <w:pPr>
            <w:pStyle w:val="TOC2"/>
            <w:tabs>
              <w:tab w:val="right" w:leader="dot" w:pos="9350"/>
            </w:tabs>
            <w:spacing w:line="360" w:lineRule="auto"/>
            <w:rPr>
              <w:rFonts w:ascii="Times New Roman" w:hAnsi="Times New Roman" w:cs="Times New Roman"/>
              <w:noProof/>
              <w:sz w:val="24"/>
              <w:szCs w:val="24"/>
            </w:rPr>
          </w:pPr>
          <w:hyperlink w:anchor="_Toc210771184" w:history="1">
            <w:r w:rsidRPr="00597C07">
              <w:rPr>
                <w:rStyle w:val="Hyperlink"/>
                <w:rFonts w:ascii="Times New Roman" w:hAnsi="Times New Roman" w:cs="Times New Roman"/>
                <w:noProof/>
                <w:sz w:val="24"/>
                <w:szCs w:val="24"/>
              </w:rPr>
              <w:t>2.3 SMART Objectives</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_Toc210771184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6</w:t>
            </w:r>
            <w:r w:rsidRPr="00597C07">
              <w:rPr>
                <w:rFonts w:ascii="Times New Roman" w:hAnsi="Times New Roman" w:cs="Times New Roman"/>
                <w:noProof/>
                <w:webHidden/>
                <w:sz w:val="24"/>
                <w:szCs w:val="24"/>
              </w:rPr>
              <w:fldChar w:fldCharType="end"/>
            </w:r>
          </w:hyperlink>
        </w:p>
        <w:p w14:paraId="64C30FD6" w14:textId="701806FA" w:rsidR="00597C07" w:rsidRPr="00597C07" w:rsidRDefault="00597C07" w:rsidP="00597C07">
          <w:pPr>
            <w:pStyle w:val="TOC1"/>
            <w:tabs>
              <w:tab w:val="right" w:leader="dot" w:pos="9350"/>
            </w:tabs>
            <w:spacing w:line="360" w:lineRule="auto"/>
            <w:rPr>
              <w:rFonts w:ascii="Times New Roman" w:hAnsi="Times New Roman" w:cs="Times New Roman"/>
              <w:noProof/>
              <w:sz w:val="24"/>
              <w:szCs w:val="24"/>
            </w:rPr>
          </w:pPr>
          <w:hyperlink w:anchor="_Toc210771185" w:history="1">
            <w:r w:rsidRPr="00597C07">
              <w:rPr>
                <w:rStyle w:val="Hyperlink"/>
                <w:rFonts w:ascii="Times New Roman" w:hAnsi="Times New Roman" w:cs="Times New Roman"/>
                <w:noProof/>
                <w:sz w:val="24"/>
                <w:szCs w:val="24"/>
              </w:rPr>
              <w:t>3. Identification of Key Stakeholders</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_Toc210771185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7</w:t>
            </w:r>
            <w:r w:rsidRPr="00597C07">
              <w:rPr>
                <w:rFonts w:ascii="Times New Roman" w:hAnsi="Times New Roman" w:cs="Times New Roman"/>
                <w:noProof/>
                <w:webHidden/>
                <w:sz w:val="24"/>
                <w:szCs w:val="24"/>
              </w:rPr>
              <w:fldChar w:fldCharType="end"/>
            </w:r>
          </w:hyperlink>
        </w:p>
        <w:p w14:paraId="2A437343" w14:textId="3382C710" w:rsidR="00597C07" w:rsidRPr="00597C07" w:rsidRDefault="00597C07" w:rsidP="00597C07">
          <w:pPr>
            <w:pStyle w:val="TOC1"/>
            <w:tabs>
              <w:tab w:val="right" w:leader="dot" w:pos="9350"/>
            </w:tabs>
            <w:spacing w:line="360" w:lineRule="auto"/>
            <w:rPr>
              <w:rFonts w:ascii="Times New Roman" w:hAnsi="Times New Roman" w:cs="Times New Roman"/>
              <w:noProof/>
              <w:sz w:val="24"/>
              <w:szCs w:val="24"/>
            </w:rPr>
          </w:pPr>
          <w:hyperlink w:anchor="_Toc210771186" w:history="1">
            <w:r w:rsidRPr="00597C07">
              <w:rPr>
                <w:rStyle w:val="Hyperlink"/>
                <w:rFonts w:ascii="Times New Roman" w:hAnsi="Times New Roman" w:cs="Times New Roman"/>
                <w:noProof/>
                <w:sz w:val="24"/>
                <w:szCs w:val="24"/>
              </w:rPr>
              <w:t>4. Stakeholder Roles, Responsibilities, and Engagement Frameworks</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_Toc210771186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10</w:t>
            </w:r>
            <w:r w:rsidRPr="00597C07">
              <w:rPr>
                <w:rFonts w:ascii="Times New Roman" w:hAnsi="Times New Roman" w:cs="Times New Roman"/>
                <w:noProof/>
                <w:webHidden/>
                <w:sz w:val="24"/>
                <w:szCs w:val="24"/>
              </w:rPr>
              <w:fldChar w:fldCharType="end"/>
            </w:r>
          </w:hyperlink>
        </w:p>
        <w:p w14:paraId="78A9A81B" w14:textId="2924AB8B" w:rsidR="00597C07" w:rsidRPr="00597C07" w:rsidRDefault="00597C07" w:rsidP="00597C07">
          <w:pPr>
            <w:pStyle w:val="TOC1"/>
            <w:tabs>
              <w:tab w:val="right" w:leader="dot" w:pos="9350"/>
            </w:tabs>
            <w:spacing w:line="360" w:lineRule="auto"/>
            <w:rPr>
              <w:rFonts w:ascii="Times New Roman" w:hAnsi="Times New Roman" w:cs="Times New Roman"/>
              <w:noProof/>
              <w:sz w:val="24"/>
              <w:szCs w:val="24"/>
            </w:rPr>
          </w:pPr>
          <w:hyperlink w:anchor="_Toc210771187" w:history="1">
            <w:r w:rsidRPr="00597C07">
              <w:rPr>
                <w:rStyle w:val="Hyperlink"/>
                <w:rFonts w:ascii="Times New Roman" w:hAnsi="Times New Roman" w:cs="Times New Roman"/>
                <w:noProof/>
                <w:sz w:val="24"/>
                <w:szCs w:val="24"/>
              </w:rPr>
              <w:t>5. Frameworks for Stakeholder Engagement and Conflict Management</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_Toc210771187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13</w:t>
            </w:r>
            <w:r w:rsidRPr="00597C07">
              <w:rPr>
                <w:rFonts w:ascii="Times New Roman" w:hAnsi="Times New Roman" w:cs="Times New Roman"/>
                <w:noProof/>
                <w:webHidden/>
                <w:sz w:val="24"/>
                <w:szCs w:val="24"/>
              </w:rPr>
              <w:fldChar w:fldCharType="end"/>
            </w:r>
          </w:hyperlink>
        </w:p>
        <w:p w14:paraId="1FA2FAB0" w14:textId="6708BDE4" w:rsidR="00597C07" w:rsidRPr="00597C07" w:rsidRDefault="00597C07" w:rsidP="00597C07">
          <w:pPr>
            <w:pStyle w:val="TOC2"/>
            <w:tabs>
              <w:tab w:val="right" w:leader="dot" w:pos="9350"/>
            </w:tabs>
            <w:spacing w:line="360" w:lineRule="auto"/>
            <w:rPr>
              <w:rFonts w:ascii="Times New Roman" w:hAnsi="Times New Roman" w:cs="Times New Roman"/>
              <w:noProof/>
              <w:sz w:val="24"/>
              <w:szCs w:val="24"/>
            </w:rPr>
          </w:pPr>
          <w:hyperlink w:anchor="_Toc210771188" w:history="1">
            <w:r w:rsidRPr="00597C07">
              <w:rPr>
                <w:rStyle w:val="Hyperlink"/>
                <w:rFonts w:ascii="Times New Roman" w:hAnsi="Times New Roman" w:cs="Times New Roman"/>
                <w:noProof/>
                <w:sz w:val="24"/>
                <w:szCs w:val="24"/>
              </w:rPr>
              <w:t>5.1 Stakeholder Engagement Frameworks</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_Toc210771188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13</w:t>
            </w:r>
            <w:r w:rsidRPr="00597C07">
              <w:rPr>
                <w:rFonts w:ascii="Times New Roman" w:hAnsi="Times New Roman" w:cs="Times New Roman"/>
                <w:noProof/>
                <w:webHidden/>
                <w:sz w:val="24"/>
                <w:szCs w:val="24"/>
              </w:rPr>
              <w:fldChar w:fldCharType="end"/>
            </w:r>
          </w:hyperlink>
        </w:p>
        <w:p w14:paraId="4A77F48C" w14:textId="571212EC" w:rsidR="00597C07" w:rsidRPr="00597C07" w:rsidRDefault="00597C07" w:rsidP="00597C07">
          <w:pPr>
            <w:pStyle w:val="TOC2"/>
            <w:tabs>
              <w:tab w:val="right" w:leader="dot" w:pos="9350"/>
            </w:tabs>
            <w:spacing w:line="360" w:lineRule="auto"/>
            <w:rPr>
              <w:rFonts w:ascii="Times New Roman" w:hAnsi="Times New Roman" w:cs="Times New Roman"/>
              <w:noProof/>
              <w:sz w:val="24"/>
              <w:szCs w:val="24"/>
            </w:rPr>
          </w:pPr>
          <w:hyperlink w:anchor="_Toc210771189" w:history="1">
            <w:r w:rsidRPr="00597C07">
              <w:rPr>
                <w:rStyle w:val="Hyperlink"/>
                <w:rFonts w:ascii="Times New Roman" w:hAnsi="Times New Roman" w:cs="Times New Roman"/>
                <w:noProof/>
                <w:sz w:val="24"/>
                <w:szCs w:val="24"/>
              </w:rPr>
              <w:t>5.2. The Relational Lens (Ashcroft, 2017)</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_Toc210771189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14</w:t>
            </w:r>
            <w:r w:rsidRPr="00597C07">
              <w:rPr>
                <w:rFonts w:ascii="Times New Roman" w:hAnsi="Times New Roman" w:cs="Times New Roman"/>
                <w:noProof/>
                <w:webHidden/>
                <w:sz w:val="24"/>
                <w:szCs w:val="24"/>
              </w:rPr>
              <w:fldChar w:fldCharType="end"/>
            </w:r>
          </w:hyperlink>
        </w:p>
        <w:p w14:paraId="76ED8B0E" w14:textId="49A38F89" w:rsidR="00597C07" w:rsidRPr="00597C07" w:rsidRDefault="00597C07" w:rsidP="00597C07">
          <w:pPr>
            <w:pStyle w:val="TOC2"/>
            <w:tabs>
              <w:tab w:val="right" w:leader="dot" w:pos="9350"/>
            </w:tabs>
            <w:spacing w:line="360" w:lineRule="auto"/>
            <w:rPr>
              <w:rFonts w:ascii="Times New Roman" w:hAnsi="Times New Roman" w:cs="Times New Roman"/>
              <w:noProof/>
              <w:sz w:val="24"/>
              <w:szCs w:val="24"/>
            </w:rPr>
          </w:pPr>
          <w:hyperlink w:anchor="_Toc210771190" w:history="1">
            <w:r w:rsidRPr="00597C07">
              <w:rPr>
                <w:rStyle w:val="Hyperlink"/>
                <w:rFonts w:ascii="Times New Roman" w:hAnsi="Times New Roman" w:cs="Times New Roman"/>
                <w:noProof/>
                <w:sz w:val="24"/>
                <w:szCs w:val="24"/>
              </w:rPr>
              <w:t>5.3. Corporate Communication Theory (Cornelissen, 2017)</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_Toc210771190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14</w:t>
            </w:r>
            <w:r w:rsidRPr="00597C07">
              <w:rPr>
                <w:rFonts w:ascii="Times New Roman" w:hAnsi="Times New Roman" w:cs="Times New Roman"/>
                <w:noProof/>
                <w:webHidden/>
                <w:sz w:val="24"/>
                <w:szCs w:val="24"/>
              </w:rPr>
              <w:fldChar w:fldCharType="end"/>
            </w:r>
          </w:hyperlink>
        </w:p>
        <w:p w14:paraId="11FC7D04" w14:textId="2D8637E6" w:rsidR="00597C07" w:rsidRPr="00597C07" w:rsidRDefault="00597C07" w:rsidP="00597C07">
          <w:pPr>
            <w:pStyle w:val="TOC2"/>
            <w:tabs>
              <w:tab w:val="right" w:leader="dot" w:pos="9350"/>
            </w:tabs>
            <w:spacing w:line="360" w:lineRule="auto"/>
            <w:rPr>
              <w:rFonts w:ascii="Times New Roman" w:hAnsi="Times New Roman" w:cs="Times New Roman"/>
              <w:noProof/>
              <w:sz w:val="24"/>
              <w:szCs w:val="24"/>
            </w:rPr>
          </w:pPr>
          <w:hyperlink w:anchor="_Toc210771191" w:history="1">
            <w:r w:rsidRPr="00597C07">
              <w:rPr>
                <w:rStyle w:val="Hyperlink"/>
                <w:rFonts w:ascii="Times New Roman" w:hAnsi="Times New Roman" w:cs="Times New Roman"/>
                <w:noProof/>
                <w:sz w:val="24"/>
                <w:szCs w:val="24"/>
              </w:rPr>
              <w:t>5.4 The 4Cs Model for Conflict Management (Ellis, Gibbs and Rein, 1991)</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_Toc210771191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15</w:t>
            </w:r>
            <w:r w:rsidRPr="00597C07">
              <w:rPr>
                <w:rFonts w:ascii="Times New Roman" w:hAnsi="Times New Roman" w:cs="Times New Roman"/>
                <w:noProof/>
                <w:webHidden/>
                <w:sz w:val="24"/>
                <w:szCs w:val="24"/>
              </w:rPr>
              <w:fldChar w:fldCharType="end"/>
            </w:r>
          </w:hyperlink>
        </w:p>
        <w:p w14:paraId="1E54CFB5" w14:textId="5B270036" w:rsidR="00597C07" w:rsidRPr="00597C07" w:rsidRDefault="00597C07" w:rsidP="00597C07">
          <w:pPr>
            <w:pStyle w:val="TOC2"/>
            <w:tabs>
              <w:tab w:val="right" w:leader="dot" w:pos="9350"/>
            </w:tabs>
            <w:spacing w:line="360" w:lineRule="auto"/>
            <w:rPr>
              <w:rFonts w:ascii="Times New Roman" w:hAnsi="Times New Roman" w:cs="Times New Roman"/>
              <w:noProof/>
              <w:sz w:val="24"/>
              <w:szCs w:val="24"/>
            </w:rPr>
          </w:pPr>
          <w:hyperlink w:anchor="_Toc210771192" w:history="1">
            <w:r w:rsidRPr="00597C07">
              <w:rPr>
                <w:rStyle w:val="Hyperlink"/>
                <w:rFonts w:ascii="Times New Roman" w:hAnsi="Times New Roman" w:cs="Times New Roman"/>
                <w:noProof/>
                <w:sz w:val="24"/>
                <w:szCs w:val="24"/>
              </w:rPr>
              <w:t>5.5 Integrated Application: Engagement and Communication Planning</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_Toc210771192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16</w:t>
            </w:r>
            <w:r w:rsidRPr="00597C07">
              <w:rPr>
                <w:rFonts w:ascii="Times New Roman" w:hAnsi="Times New Roman" w:cs="Times New Roman"/>
                <w:noProof/>
                <w:webHidden/>
                <w:sz w:val="24"/>
                <w:szCs w:val="24"/>
              </w:rPr>
              <w:fldChar w:fldCharType="end"/>
            </w:r>
          </w:hyperlink>
        </w:p>
        <w:p w14:paraId="36B110A5" w14:textId="6E57B68C" w:rsidR="00597C07" w:rsidRPr="00597C07" w:rsidRDefault="00597C07" w:rsidP="00597C07">
          <w:pPr>
            <w:pStyle w:val="TOC1"/>
            <w:tabs>
              <w:tab w:val="right" w:leader="dot" w:pos="9350"/>
            </w:tabs>
            <w:spacing w:line="360" w:lineRule="auto"/>
            <w:rPr>
              <w:rFonts w:ascii="Times New Roman" w:hAnsi="Times New Roman" w:cs="Times New Roman"/>
              <w:noProof/>
              <w:sz w:val="24"/>
              <w:szCs w:val="24"/>
            </w:rPr>
          </w:pPr>
          <w:hyperlink w:anchor="_Toc210771193" w:history="1">
            <w:r w:rsidRPr="00597C07">
              <w:rPr>
                <w:rStyle w:val="Hyperlink"/>
                <w:rFonts w:ascii="Times New Roman" w:hAnsi="Times New Roman" w:cs="Times New Roman"/>
                <w:noProof/>
                <w:sz w:val="24"/>
                <w:szCs w:val="24"/>
              </w:rPr>
              <w:t>6. Evaluation of the Impact of Stakeholder Engagement and Recommendations</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_Toc210771193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17</w:t>
            </w:r>
            <w:r w:rsidRPr="00597C07">
              <w:rPr>
                <w:rFonts w:ascii="Times New Roman" w:hAnsi="Times New Roman" w:cs="Times New Roman"/>
                <w:noProof/>
                <w:webHidden/>
                <w:sz w:val="24"/>
                <w:szCs w:val="24"/>
              </w:rPr>
              <w:fldChar w:fldCharType="end"/>
            </w:r>
          </w:hyperlink>
        </w:p>
        <w:p w14:paraId="41D86521" w14:textId="2D953E21" w:rsidR="00597C07" w:rsidRPr="00597C07" w:rsidRDefault="00597C07" w:rsidP="00597C07">
          <w:pPr>
            <w:pStyle w:val="TOC2"/>
            <w:tabs>
              <w:tab w:val="right" w:leader="dot" w:pos="9350"/>
            </w:tabs>
            <w:spacing w:line="360" w:lineRule="auto"/>
            <w:rPr>
              <w:rFonts w:ascii="Times New Roman" w:hAnsi="Times New Roman" w:cs="Times New Roman"/>
              <w:noProof/>
              <w:sz w:val="24"/>
              <w:szCs w:val="24"/>
            </w:rPr>
          </w:pPr>
          <w:hyperlink w:anchor="_Toc210771194" w:history="1">
            <w:r w:rsidRPr="00597C07">
              <w:rPr>
                <w:rStyle w:val="Hyperlink"/>
                <w:rFonts w:ascii="Times New Roman" w:hAnsi="Times New Roman" w:cs="Times New Roman"/>
                <w:noProof/>
                <w:sz w:val="24"/>
                <w:szCs w:val="24"/>
              </w:rPr>
              <w:t>6.1. Impact of Stakeholder Engagement on Business Performance</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_Toc210771194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17</w:t>
            </w:r>
            <w:r w:rsidRPr="00597C07">
              <w:rPr>
                <w:rFonts w:ascii="Times New Roman" w:hAnsi="Times New Roman" w:cs="Times New Roman"/>
                <w:noProof/>
                <w:webHidden/>
                <w:sz w:val="24"/>
                <w:szCs w:val="24"/>
              </w:rPr>
              <w:fldChar w:fldCharType="end"/>
            </w:r>
          </w:hyperlink>
        </w:p>
        <w:p w14:paraId="25AC7F01" w14:textId="4F09AB93" w:rsidR="00597C07" w:rsidRPr="00597C07" w:rsidRDefault="00597C07" w:rsidP="00597C07">
          <w:pPr>
            <w:pStyle w:val="TOC2"/>
            <w:tabs>
              <w:tab w:val="right" w:leader="dot" w:pos="9350"/>
            </w:tabs>
            <w:spacing w:line="360" w:lineRule="auto"/>
            <w:rPr>
              <w:rFonts w:ascii="Times New Roman" w:hAnsi="Times New Roman" w:cs="Times New Roman"/>
              <w:noProof/>
              <w:sz w:val="24"/>
              <w:szCs w:val="24"/>
            </w:rPr>
          </w:pPr>
          <w:hyperlink w:anchor="_Toc210771195" w:history="1">
            <w:r w:rsidRPr="00597C07">
              <w:rPr>
                <w:rStyle w:val="Hyperlink"/>
                <w:rFonts w:ascii="Times New Roman" w:hAnsi="Times New Roman" w:cs="Times New Roman"/>
                <w:noProof/>
                <w:sz w:val="24"/>
                <w:szCs w:val="24"/>
              </w:rPr>
              <w:t>6.2. Critical Evaluation of the Balanced Scorecard Approach</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_Toc210771195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19</w:t>
            </w:r>
            <w:r w:rsidRPr="00597C07">
              <w:rPr>
                <w:rFonts w:ascii="Times New Roman" w:hAnsi="Times New Roman" w:cs="Times New Roman"/>
                <w:noProof/>
                <w:webHidden/>
                <w:sz w:val="24"/>
                <w:szCs w:val="24"/>
              </w:rPr>
              <w:fldChar w:fldCharType="end"/>
            </w:r>
          </w:hyperlink>
        </w:p>
        <w:p w14:paraId="6590FEEF" w14:textId="6E1A585F" w:rsidR="00597C07" w:rsidRPr="00597C07" w:rsidRDefault="00597C07" w:rsidP="00597C07">
          <w:pPr>
            <w:pStyle w:val="TOC2"/>
            <w:tabs>
              <w:tab w:val="right" w:leader="dot" w:pos="9350"/>
            </w:tabs>
            <w:spacing w:line="360" w:lineRule="auto"/>
            <w:rPr>
              <w:rFonts w:ascii="Times New Roman" w:hAnsi="Times New Roman" w:cs="Times New Roman"/>
              <w:noProof/>
              <w:sz w:val="24"/>
              <w:szCs w:val="24"/>
            </w:rPr>
          </w:pPr>
          <w:hyperlink w:anchor="_Toc210771196" w:history="1">
            <w:r w:rsidRPr="00597C07">
              <w:rPr>
                <w:rStyle w:val="Hyperlink"/>
                <w:rFonts w:ascii="Times New Roman" w:hAnsi="Times New Roman" w:cs="Times New Roman"/>
                <w:noProof/>
                <w:sz w:val="24"/>
                <w:szCs w:val="24"/>
              </w:rPr>
              <w:t>6.3. Recommendations for Future Stakeholder Engagement</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_Toc210771196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19</w:t>
            </w:r>
            <w:r w:rsidRPr="00597C07">
              <w:rPr>
                <w:rFonts w:ascii="Times New Roman" w:hAnsi="Times New Roman" w:cs="Times New Roman"/>
                <w:noProof/>
                <w:webHidden/>
                <w:sz w:val="24"/>
                <w:szCs w:val="24"/>
              </w:rPr>
              <w:fldChar w:fldCharType="end"/>
            </w:r>
          </w:hyperlink>
        </w:p>
        <w:p w14:paraId="06911229" w14:textId="08327522" w:rsidR="00597C07" w:rsidRPr="00597C07" w:rsidRDefault="00597C07" w:rsidP="00597C07">
          <w:pPr>
            <w:pStyle w:val="TOC1"/>
            <w:tabs>
              <w:tab w:val="right" w:leader="dot" w:pos="9350"/>
            </w:tabs>
            <w:spacing w:line="360" w:lineRule="auto"/>
            <w:rPr>
              <w:rFonts w:ascii="Times New Roman" w:hAnsi="Times New Roman" w:cs="Times New Roman"/>
              <w:noProof/>
              <w:sz w:val="24"/>
              <w:szCs w:val="24"/>
            </w:rPr>
          </w:pPr>
          <w:hyperlink w:anchor="_Toc210771197" w:history="1">
            <w:r w:rsidRPr="00597C07">
              <w:rPr>
                <w:rStyle w:val="Hyperlink"/>
                <w:rFonts w:ascii="Times New Roman" w:hAnsi="Times New Roman" w:cs="Times New Roman"/>
                <w:noProof/>
                <w:sz w:val="24"/>
                <w:szCs w:val="24"/>
              </w:rPr>
              <w:t>7. Conclusion</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_Toc210771197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20</w:t>
            </w:r>
            <w:r w:rsidRPr="00597C07">
              <w:rPr>
                <w:rFonts w:ascii="Times New Roman" w:hAnsi="Times New Roman" w:cs="Times New Roman"/>
                <w:noProof/>
                <w:webHidden/>
                <w:sz w:val="24"/>
                <w:szCs w:val="24"/>
              </w:rPr>
              <w:fldChar w:fldCharType="end"/>
            </w:r>
          </w:hyperlink>
        </w:p>
        <w:p w14:paraId="067261A0" w14:textId="0D48EF46" w:rsidR="00597C07" w:rsidRPr="00597C07" w:rsidRDefault="00597C07" w:rsidP="00597C07">
          <w:pPr>
            <w:pStyle w:val="TOC1"/>
            <w:tabs>
              <w:tab w:val="right" w:leader="dot" w:pos="9350"/>
            </w:tabs>
            <w:spacing w:line="360" w:lineRule="auto"/>
            <w:rPr>
              <w:rFonts w:ascii="Times New Roman" w:hAnsi="Times New Roman" w:cs="Times New Roman"/>
              <w:noProof/>
              <w:sz w:val="24"/>
              <w:szCs w:val="24"/>
            </w:rPr>
          </w:pPr>
          <w:hyperlink w:anchor="_Toc210771198" w:history="1">
            <w:r w:rsidRPr="00597C07">
              <w:rPr>
                <w:rStyle w:val="Hyperlink"/>
                <w:rFonts w:ascii="Times New Roman" w:hAnsi="Times New Roman" w:cs="Times New Roman"/>
                <w:noProof/>
                <w:sz w:val="24"/>
                <w:szCs w:val="24"/>
              </w:rPr>
              <w:t>Reference List</w:t>
            </w:r>
            <w:r w:rsidRPr="00597C07">
              <w:rPr>
                <w:rFonts w:ascii="Times New Roman" w:hAnsi="Times New Roman" w:cs="Times New Roman"/>
                <w:noProof/>
                <w:webHidden/>
                <w:sz w:val="24"/>
                <w:szCs w:val="24"/>
              </w:rPr>
              <w:tab/>
            </w:r>
            <w:r w:rsidRPr="00597C07">
              <w:rPr>
                <w:rFonts w:ascii="Times New Roman" w:hAnsi="Times New Roman" w:cs="Times New Roman"/>
                <w:noProof/>
                <w:webHidden/>
                <w:sz w:val="24"/>
                <w:szCs w:val="24"/>
              </w:rPr>
              <w:fldChar w:fldCharType="begin"/>
            </w:r>
            <w:r w:rsidRPr="00597C07">
              <w:rPr>
                <w:rFonts w:ascii="Times New Roman" w:hAnsi="Times New Roman" w:cs="Times New Roman"/>
                <w:noProof/>
                <w:webHidden/>
                <w:sz w:val="24"/>
                <w:szCs w:val="24"/>
              </w:rPr>
              <w:instrText xml:space="preserve"> PAGEREF _Toc210771198 \h </w:instrText>
            </w:r>
            <w:r w:rsidRPr="00597C07">
              <w:rPr>
                <w:rFonts w:ascii="Times New Roman" w:hAnsi="Times New Roman" w:cs="Times New Roman"/>
                <w:noProof/>
                <w:webHidden/>
                <w:sz w:val="24"/>
                <w:szCs w:val="24"/>
              </w:rPr>
            </w:r>
            <w:r w:rsidRPr="00597C07">
              <w:rPr>
                <w:rFonts w:ascii="Times New Roman" w:hAnsi="Times New Roman" w:cs="Times New Roman"/>
                <w:noProof/>
                <w:webHidden/>
                <w:sz w:val="24"/>
                <w:szCs w:val="24"/>
              </w:rPr>
              <w:fldChar w:fldCharType="separate"/>
            </w:r>
            <w:r w:rsidRPr="00597C07">
              <w:rPr>
                <w:rFonts w:ascii="Times New Roman" w:hAnsi="Times New Roman" w:cs="Times New Roman"/>
                <w:noProof/>
                <w:webHidden/>
                <w:sz w:val="24"/>
                <w:szCs w:val="24"/>
              </w:rPr>
              <w:t>22</w:t>
            </w:r>
            <w:r w:rsidRPr="00597C07">
              <w:rPr>
                <w:rFonts w:ascii="Times New Roman" w:hAnsi="Times New Roman" w:cs="Times New Roman"/>
                <w:noProof/>
                <w:webHidden/>
                <w:sz w:val="24"/>
                <w:szCs w:val="24"/>
              </w:rPr>
              <w:fldChar w:fldCharType="end"/>
            </w:r>
          </w:hyperlink>
        </w:p>
        <w:p w14:paraId="6F6C5061" w14:textId="420FF97E" w:rsidR="00597C07" w:rsidRPr="00597C07" w:rsidRDefault="00597C07" w:rsidP="00597C07">
          <w:pPr>
            <w:spacing w:line="360" w:lineRule="auto"/>
            <w:rPr>
              <w:rFonts w:ascii="Times New Roman" w:hAnsi="Times New Roman" w:cs="Times New Roman"/>
              <w:sz w:val="24"/>
              <w:szCs w:val="24"/>
            </w:rPr>
          </w:pPr>
          <w:r w:rsidRPr="00597C07">
            <w:rPr>
              <w:rFonts w:ascii="Times New Roman" w:hAnsi="Times New Roman" w:cs="Times New Roman"/>
              <w:b/>
              <w:bCs/>
              <w:noProof/>
              <w:sz w:val="24"/>
              <w:szCs w:val="24"/>
            </w:rPr>
            <w:fldChar w:fldCharType="end"/>
          </w:r>
        </w:p>
      </w:sdtContent>
    </w:sdt>
    <w:p w14:paraId="07A4C9FE" w14:textId="77777777" w:rsidR="00A079F0" w:rsidRPr="00597C07" w:rsidRDefault="00A079F0" w:rsidP="00597C07">
      <w:pPr>
        <w:spacing w:line="360" w:lineRule="auto"/>
        <w:jc w:val="both"/>
        <w:rPr>
          <w:rFonts w:ascii="Times New Roman" w:hAnsi="Times New Roman" w:cs="Times New Roman"/>
          <w:sz w:val="24"/>
          <w:szCs w:val="24"/>
        </w:rPr>
      </w:pPr>
    </w:p>
    <w:p w14:paraId="626B1483" w14:textId="77777777" w:rsidR="00A079F0" w:rsidRPr="001C218D" w:rsidRDefault="00A079F0" w:rsidP="00EF1E3E">
      <w:pPr>
        <w:spacing w:line="360" w:lineRule="auto"/>
        <w:jc w:val="both"/>
        <w:rPr>
          <w:rFonts w:ascii="Times New Roman" w:hAnsi="Times New Roman" w:cs="Times New Roman"/>
          <w:sz w:val="24"/>
          <w:szCs w:val="24"/>
        </w:rPr>
      </w:pPr>
    </w:p>
    <w:p w14:paraId="4959BA32" w14:textId="77777777" w:rsidR="0060083B" w:rsidRPr="001C218D" w:rsidRDefault="0060083B" w:rsidP="00C90798">
      <w:pPr>
        <w:pStyle w:val="Heading1"/>
        <w:rPr>
          <w:rFonts w:ascii="Times New Roman" w:hAnsi="Times New Roman" w:cs="Times New Roman"/>
        </w:rPr>
      </w:pPr>
      <w:bookmarkStart w:id="1" w:name="_Toc210771180"/>
      <w:r w:rsidRPr="001C218D">
        <w:rPr>
          <w:rFonts w:ascii="Times New Roman" w:hAnsi="Times New Roman" w:cs="Times New Roman"/>
        </w:rPr>
        <w:t>1. Introduction</w:t>
      </w:r>
      <w:bookmarkEnd w:id="1"/>
    </w:p>
    <w:p w14:paraId="24C3CEAB" w14:textId="77777777" w:rsidR="00593BB5" w:rsidRPr="001C218D" w:rsidRDefault="00593BB5" w:rsidP="00593BB5">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Philips Healthcare UK is the head office located in Guildford which operates as a major branch of </w:t>
      </w:r>
      <w:proofErr w:type="spellStart"/>
      <w:r w:rsidRPr="001C218D">
        <w:rPr>
          <w:rFonts w:ascii="Times New Roman" w:hAnsi="Times New Roman" w:cs="Times New Roman"/>
          <w:sz w:val="24"/>
          <w:szCs w:val="24"/>
        </w:rPr>
        <w:t>Koninklijke</w:t>
      </w:r>
      <w:proofErr w:type="spellEnd"/>
      <w:r w:rsidRPr="001C218D">
        <w:rPr>
          <w:rFonts w:ascii="Times New Roman" w:hAnsi="Times New Roman" w:cs="Times New Roman"/>
          <w:sz w:val="24"/>
          <w:szCs w:val="24"/>
        </w:rPr>
        <w:t xml:space="preserve"> Philips N.V. with an approximate workforce of 1,500 professionals operating in the United Kingdom. The </w:t>
      </w:r>
      <w:proofErr w:type="spellStart"/>
      <w:r w:rsidRPr="001C218D">
        <w:rPr>
          <w:rFonts w:ascii="Times New Roman" w:hAnsi="Times New Roman" w:cs="Times New Roman"/>
          <w:sz w:val="24"/>
          <w:szCs w:val="24"/>
        </w:rPr>
        <w:t>organisation</w:t>
      </w:r>
      <w:proofErr w:type="spellEnd"/>
      <w:r w:rsidRPr="001C218D">
        <w:rPr>
          <w:rFonts w:ascii="Times New Roman" w:hAnsi="Times New Roman" w:cs="Times New Roman"/>
          <w:sz w:val="24"/>
          <w:szCs w:val="24"/>
        </w:rPr>
        <w:t xml:space="preserve"> focuses on innovative healthcare technologies, such as the medical imaging systems, digital diagnostics, and consumer health devices which facilitate proactive health (Philips, 2025). Philips is also strategically focused on connected care, and in its effort to expand on the UK expanding digital market in health, it is focusing on innovation and data-driven solutions.</w:t>
      </w:r>
    </w:p>
    <w:p w14:paraId="185AF1E9" w14:textId="499DF505" w:rsidR="00593BB5" w:rsidRPr="001C218D" w:rsidRDefault="00593BB5" w:rsidP="00593BB5">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w:t>
      </w:r>
      <w:r w:rsidR="008D2F43" w:rsidRPr="001C218D">
        <w:rPr>
          <w:rFonts w:ascii="Times New Roman" w:hAnsi="Times New Roman" w:cs="Times New Roman"/>
          <w:sz w:val="24"/>
          <w:szCs w:val="24"/>
        </w:rPr>
        <w:t>report</w:t>
      </w:r>
      <w:r w:rsidRPr="001C218D">
        <w:rPr>
          <w:rFonts w:ascii="Times New Roman" w:hAnsi="Times New Roman" w:cs="Times New Roman"/>
          <w:sz w:val="24"/>
          <w:szCs w:val="24"/>
        </w:rPr>
        <w:t xml:space="preserve"> will consist of the launch of Philips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a new generation of a wearable that is aimed at constantly measuring the heart rate, oxygen saturation, and sleep habits of users. In contrast to other fitness trackers, the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is compatible with digital platforms accredited by the NHS </w:t>
      </w:r>
      <w:r w:rsidR="009371CB" w:rsidRPr="001C218D">
        <w:rPr>
          <w:rFonts w:ascii="Times New Roman" w:hAnsi="Times New Roman" w:cs="Times New Roman"/>
          <w:sz w:val="24"/>
          <w:szCs w:val="24"/>
        </w:rPr>
        <w:t>to</w:t>
      </w:r>
      <w:r w:rsidRPr="001C218D">
        <w:rPr>
          <w:rFonts w:ascii="Times New Roman" w:hAnsi="Times New Roman" w:cs="Times New Roman"/>
          <w:sz w:val="24"/>
          <w:szCs w:val="24"/>
        </w:rPr>
        <w:t xml:space="preserve"> provide safe data transfer to the healthcare provider to facilitate preventive and tailored care (NHS Digital, 2023). The main objective of the project is to launch </w:t>
      </w:r>
      <w:proofErr w:type="spellStart"/>
      <w:r w:rsidR="009371CB"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successfully </w:t>
      </w:r>
      <w:r w:rsidR="009371CB" w:rsidRPr="001C218D">
        <w:rPr>
          <w:rFonts w:ascii="Times New Roman" w:hAnsi="Times New Roman" w:cs="Times New Roman"/>
          <w:sz w:val="24"/>
          <w:szCs w:val="24"/>
        </w:rPr>
        <w:t>in</w:t>
      </w:r>
      <w:r w:rsidRPr="001C218D">
        <w:rPr>
          <w:rFonts w:ascii="Times New Roman" w:hAnsi="Times New Roman" w:cs="Times New Roman"/>
          <w:sz w:val="24"/>
          <w:szCs w:val="24"/>
        </w:rPr>
        <w:t xml:space="preserve"> 6 months thanks to the efficient cooperation between the stakeholders that would guarantee the following aspects: regulation, high-quality technology, and confidence of the consumers. Since the project manager, good stakeholder engagement mechanisms will be necessary to facilitate the work of different teams in the organization, regulators, suppliers, and end-users towards ensuring the project is launched on time, in a sustainable, and meaningful manner.</w:t>
      </w:r>
    </w:p>
    <w:p w14:paraId="5070E60E" w14:textId="194F757D" w:rsidR="00C11FCD" w:rsidRPr="001C218D" w:rsidRDefault="00C11FCD" w:rsidP="00C90798">
      <w:pPr>
        <w:pStyle w:val="Heading1"/>
        <w:rPr>
          <w:rFonts w:ascii="Times New Roman" w:hAnsi="Times New Roman" w:cs="Times New Roman"/>
        </w:rPr>
      </w:pPr>
      <w:bookmarkStart w:id="2" w:name="_Toc210771181"/>
      <w:r w:rsidRPr="001C218D">
        <w:rPr>
          <w:rFonts w:ascii="Times New Roman" w:hAnsi="Times New Roman" w:cs="Times New Roman"/>
        </w:rPr>
        <w:t>2. Strategic Appraisal – SWOT, PESTLE and SMART Objectives</w:t>
      </w:r>
      <w:bookmarkEnd w:id="2"/>
    </w:p>
    <w:p w14:paraId="7C1E779B" w14:textId="77777777" w:rsidR="005E38A9" w:rsidRPr="001C218D" w:rsidRDefault="005E38A9"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critical strategic evaluation of the Philips Healthcare UK identifies the external and internal forces affecting the introduction of the Philips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This section relies on the SWOT and PESTLE tools applied to the strategic environment using the framework offered by Johnson, Scholes and Whittington (2017) to obtain a situational analysis and organize the project objectives with the imperatives of stakeholder engagement.</w:t>
      </w:r>
    </w:p>
    <w:p w14:paraId="44F40AA6" w14:textId="77777777" w:rsidR="00C11FCD" w:rsidRPr="001C218D" w:rsidRDefault="00C11FCD" w:rsidP="00C90798">
      <w:pPr>
        <w:pStyle w:val="Heading2"/>
        <w:rPr>
          <w:rFonts w:ascii="Times New Roman" w:hAnsi="Times New Roman" w:cs="Times New Roman"/>
        </w:rPr>
      </w:pPr>
      <w:bookmarkStart w:id="3" w:name="_Toc210771182"/>
      <w:r w:rsidRPr="001C218D">
        <w:rPr>
          <w:rFonts w:ascii="Times New Roman" w:hAnsi="Times New Roman" w:cs="Times New Roman"/>
        </w:rPr>
        <w:lastRenderedPageBreak/>
        <w:t>2.1 SWOT Analysis</w:t>
      </w:r>
      <w:bookmarkEnd w:id="3"/>
    </w:p>
    <w:p w14:paraId="111A7477" w14:textId="3E82F4C4" w:rsidR="00B84E20" w:rsidRPr="001C218D" w:rsidRDefault="00B84E20" w:rsidP="00B84E20">
      <w:pPr>
        <w:spacing w:line="360" w:lineRule="auto"/>
        <w:jc w:val="both"/>
        <w:rPr>
          <w:rFonts w:ascii="Times New Roman" w:hAnsi="Times New Roman" w:cs="Times New Roman"/>
          <w:sz w:val="24"/>
          <w:szCs w:val="24"/>
        </w:rPr>
      </w:pPr>
      <w:r w:rsidRPr="001C218D">
        <w:rPr>
          <w:rFonts w:ascii="Times New Roman" w:hAnsi="Times New Roman" w:cs="Times New Roman"/>
          <w:b/>
          <w:bCs/>
          <w:sz w:val="24"/>
          <w:szCs w:val="24"/>
        </w:rPr>
        <w:t>Strength</w:t>
      </w:r>
      <w:r w:rsidRPr="001C218D">
        <w:rPr>
          <w:rFonts w:ascii="Times New Roman" w:hAnsi="Times New Roman" w:cs="Times New Roman"/>
          <w:sz w:val="24"/>
          <w:szCs w:val="24"/>
        </w:rPr>
        <w:t xml:space="preserve">: Philips Healthcare has a reputation </w:t>
      </w:r>
      <w:r w:rsidR="00A364FA" w:rsidRPr="001C218D">
        <w:rPr>
          <w:rFonts w:ascii="Times New Roman" w:hAnsi="Times New Roman" w:cs="Times New Roman"/>
          <w:sz w:val="24"/>
          <w:szCs w:val="24"/>
        </w:rPr>
        <w:t>for</w:t>
      </w:r>
      <w:r w:rsidRPr="001C218D">
        <w:rPr>
          <w:rFonts w:ascii="Times New Roman" w:hAnsi="Times New Roman" w:cs="Times New Roman"/>
          <w:sz w:val="24"/>
          <w:szCs w:val="24"/>
        </w:rPr>
        <w:t xml:space="preserve"> being trusted and having credibility in its global reputation as well as established partnership with the NHS. Its technological knowhow in medical grade gadgets boosts the trustworthiness of the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and regulatory approval (Philips, 2025). The strengths enable easier interaction with the key stakeholders like regulators, clinicians, and procurement authorities, who appreciate established competence and information integrity.</w:t>
      </w:r>
    </w:p>
    <w:p w14:paraId="3EF2AE94" w14:textId="77777777" w:rsidR="00B84E20" w:rsidRPr="001C218D" w:rsidRDefault="00B84E20" w:rsidP="00B84E20">
      <w:pPr>
        <w:spacing w:line="360" w:lineRule="auto"/>
        <w:jc w:val="both"/>
        <w:rPr>
          <w:rFonts w:ascii="Times New Roman" w:hAnsi="Times New Roman" w:cs="Times New Roman"/>
          <w:sz w:val="24"/>
          <w:szCs w:val="24"/>
        </w:rPr>
      </w:pPr>
      <w:r w:rsidRPr="001C218D">
        <w:rPr>
          <w:rFonts w:ascii="Times New Roman" w:hAnsi="Times New Roman" w:cs="Times New Roman"/>
          <w:b/>
          <w:bCs/>
          <w:sz w:val="24"/>
          <w:szCs w:val="24"/>
        </w:rPr>
        <w:t>Weaknesses</w:t>
      </w:r>
      <w:r w:rsidRPr="001C218D">
        <w:rPr>
          <w:rFonts w:ascii="Times New Roman" w:hAnsi="Times New Roman" w:cs="Times New Roman"/>
          <w:sz w:val="24"/>
          <w:szCs w:val="24"/>
        </w:rPr>
        <w:t>: Internal challenges are the high cost of production of advanced sensors and the time-consuming compliance process. Such limitations may put additional pressure on interdepartmental cooperation and postpone the acceptance of the stakeholders. Clear communication and coordination is thus critical to keep the confidence of the investors and suppliers (Ballantyne, 2000).</w:t>
      </w:r>
    </w:p>
    <w:p w14:paraId="7F204A30" w14:textId="04CC2C10" w:rsidR="00B84E20" w:rsidRPr="001C218D" w:rsidRDefault="00B84E20" w:rsidP="00B84E20">
      <w:pPr>
        <w:spacing w:line="360" w:lineRule="auto"/>
        <w:jc w:val="both"/>
        <w:rPr>
          <w:rFonts w:ascii="Times New Roman" w:hAnsi="Times New Roman" w:cs="Times New Roman"/>
          <w:sz w:val="24"/>
          <w:szCs w:val="24"/>
        </w:rPr>
      </w:pPr>
      <w:r w:rsidRPr="001C218D">
        <w:rPr>
          <w:rFonts w:ascii="Times New Roman" w:hAnsi="Times New Roman" w:cs="Times New Roman"/>
          <w:b/>
          <w:bCs/>
          <w:sz w:val="24"/>
          <w:szCs w:val="24"/>
        </w:rPr>
        <w:t>Opportunities</w:t>
      </w:r>
      <w:r w:rsidRPr="001C218D">
        <w:rPr>
          <w:rFonts w:ascii="Times New Roman" w:hAnsi="Times New Roman" w:cs="Times New Roman"/>
          <w:sz w:val="24"/>
          <w:szCs w:val="24"/>
        </w:rPr>
        <w:t xml:space="preserve">: The UK has a </w:t>
      </w:r>
      <w:r w:rsidR="00A364FA" w:rsidRPr="001C218D">
        <w:rPr>
          <w:rFonts w:ascii="Times New Roman" w:hAnsi="Times New Roman" w:cs="Times New Roman"/>
          <w:sz w:val="24"/>
          <w:szCs w:val="24"/>
        </w:rPr>
        <w:t>fast-growing</w:t>
      </w:r>
      <w:r w:rsidRPr="001C218D">
        <w:rPr>
          <w:rFonts w:ascii="Times New Roman" w:hAnsi="Times New Roman" w:cs="Times New Roman"/>
          <w:sz w:val="24"/>
          <w:szCs w:val="24"/>
        </w:rPr>
        <w:t xml:space="preserve"> wearable health market and the digital transformation agenda at NHS opens opportunities to partner-based innovation (NHS Digital, 2023). Interoperability and user adoption can be achieved through early engagement with the NHS Digital and healthcare professionals. Moreover, increasing </w:t>
      </w:r>
      <w:r w:rsidR="00A364FA" w:rsidRPr="001C218D">
        <w:rPr>
          <w:rFonts w:ascii="Times New Roman" w:hAnsi="Times New Roman" w:cs="Times New Roman"/>
          <w:sz w:val="24"/>
          <w:szCs w:val="24"/>
        </w:rPr>
        <w:t>community</w:t>
      </w:r>
      <w:r w:rsidRPr="001C218D">
        <w:rPr>
          <w:rFonts w:ascii="Times New Roman" w:hAnsi="Times New Roman" w:cs="Times New Roman"/>
          <w:sz w:val="24"/>
          <w:szCs w:val="24"/>
        </w:rPr>
        <w:t xml:space="preserve"> participation in terms of stakeholders is supported by increasing public attention to preventive health, which increases project legitimacy.</w:t>
      </w:r>
    </w:p>
    <w:p w14:paraId="4FFFBCAC" w14:textId="029023FF" w:rsidR="00C11FCD" w:rsidRPr="001C218D" w:rsidRDefault="00B84E20" w:rsidP="00B84E20">
      <w:pPr>
        <w:spacing w:line="360" w:lineRule="auto"/>
        <w:jc w:val="both"/>
        <w:rPr>
          <w:rFonts w:ascii="Times New Roman" w:hAnsi="Times New Roman" w:cs="Times New Roman"/>
          <w:sz w:val="24"/>
          <w:szCs w:val="24"/>
        </w:rPr>
      </w:pPr>
      <w:r w:rsidRPr="001C218D">
        <w:rPr>
          <w:rFonts w:ascii="Times New Roman" w:hAnsi="Times New Roman" w:cs="Times New Roman"/>
          <w:b/>
          <w:bCs/>
          <w:sz w:val="24"/>
          <w:szCs w:val="24"/>
        </w:rPr>
        <w:t>Threats</w:t>
      </w:r>
      <w:r w:rsidRPr="001C218D">
        <w:rPr>
          <w:rFonts w:ascii="Times New Roman" w:hAnsi="Times New Roman" w:cs="Times New Roman"/>
          <w:sz w:val="24"/>
          <w:szCs w:val="24"/>
        </w:rPr>
        <w:t xml:space="preserve">: Due to the complex regulatory provisions by the Medicines and Healthcare Regulatory Agency (MHRA) and strict data protection under GDPR, the market entry may be slowed down without proactive efforts to address them. These forces increase </w:t>
      </w:r>
      <w:r w:rsidR="00A364FA" w:rsidRPr="001C218D">
        <w:rPr>
          <w:rFonts w:ascii="Times New Roman" w:hAnsi="Times New Roman" w:cs="Times New Roman"/>
          <w:sz w:val="24"/>
          <w:szCs w:val="24"/>
        </w:rPr>
        <w:t>strategic</w:t>
      </w:r>
      <w:r w:rsidRPr="001C218D">
        <w:rPr>
          <w:rFonts w:ascii="Times New Roman" w:hAnsi="Times New Roman" w:cs="Times New Roman"/>
          <w:sz w:val="24"/>
          <w:szCs w:val="24"/>
        </w:rPr>
        <w:t xml:space="preserve"> stakeholder engagement, particularly in the legal and compliance departments. Early risk alignment would enhance </w:t>
      </w:r>
      <w:proofErr w:type="spellStart"/>
      <w:r w:rsidRPr="001C218D">
        <w:rPr>
          <w:rFonts w:ascii="Times New Roman" w:hAnsi="Times New Roman" w:cs="Times New Roman"/>
          <w:sz w:val="24"/>
          <w:szCs w:val="24"/>
        </w:rPr>
        <w:t>organisational</w:t>
      </w:r>
      <w:proofErr w:type="spellEnd"/>
      <w:r w:rsidRPr="001C218D">
        <w:rPr>
          <w:rFonts w:ascii="Times New Roman" w:hAnsi="Times New Roman" w:cs="Times New Roman"/>
          <w:sz w:val="24"/>
          <w:szCs w:val="24"/>
        </w:rPr>
        <w:t xml:space="preserve"> adaptability to the external threats as Porter (2008) says.</w:t>
      </w:r>
    </w:p>
    <w:p w14:paraId="20F5FB3D" w14:textId="77777777" w:rsidR="00C11FCD" w:rsidRPr="001C218D" w:rsidRDefault="00C11FCD" w:rsidP="00C90798">
      <w:pPr>
        <w:pStyle w:val="Heading2"/>
        <w:rPr>
          <w:rFonts w:ascii="Times New Roman" w:hAnsi="Times New Roman" w:cs="Times New Roman"/>
        </w:rPr>
      </w:pPr>
      <w:bookmarkStart w:id="4" w:name="_Toc210771183"/>
      <w:r w:rsidRPr="001C218D">
        <w:rPr>
          <w:rFonts w:ascii="Times New Roman" w:hAnsi="Times New Roman" w:cs="Times New Roman"/>
        </w:rPr>
        <w:t>2.2 PESTLE Summary</w:t>
      </w:r>
      <w:bookmarkEnd w:id="4"/>
    </w:p>
    <w:p w14:paraId="17B40417" w14:textId="77777777" w:rsidR="00C11FCD" w:rsidRPr="005B1FDA" w:rsidRDefault="00C11FCD" w:rsidP="00EF1E3E">
      <w:pPr>
        <w:spacing w:line="360" w:lineRule="auto"/>
        <w:jc w:val="both"/>
        <w:rPr>
          <w:rFonts w:ascii="Times New Roman" w:hAnsi="Times New Roman" w:cs="Times New Roman"/>
          <w:b/>
          <w:bCs/>
          <w:sz w:val="24"/>
          <w:szCs w:val="24"/>
        </w:rPr>
      </w:pPr>
      <w:r w:rsidRPr="005B1FDA">
        <w:rPr>
          <w:rFonts w:ascii="Times New Roman" w:hAnsi="Times New Roman" w:cs="Times New Roman"/>
          <w:b/>
          <w:bCs/>
          <w:sz w:val="24"/>
          <w:szCs w:val="24"/>
        </w:rPr>
        <w:t xml:space="preserve">Table 1: PESTLE Analysis of Philips Healthcare UK – </w:t>
      </w:r>
      <w:proofErr w:type="spellStart"/>
      <w:r w:rsidRPr="005B1FDA">
        <w:rPr>
          <w:rFonts w:ascii="Times New Roman" w:hAnsi="Times New Roman" w:cs="Times New Roman"/>
          <w:b/>
          <w:bCs/>
          <w:sz w:val="24"/>
          <w:szCs w:val="24"/>
        </w:rPr>
        <w:t>VitalBand</w:t>
      </w:r>
      <w:proofErr w:type="spellEnd"/>
      <w:r w:rsidRPr="005B1FDA">
        <w:rPr>
          <w:rFonts w:ascii="Times New Roman" w:hAnsi="Times New Roman" w:cs="Times New Roman"/>
          <w:b/>
          <w:bCs/>
          <w:sz w:val="24"/>
          <w:szCs w:val="24"/>
        </w:rPr>
        <w:t xml:space="preserve"> Project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8"/>
        <w:gridCol w:w="7712"/>
      </w:tblGrid>
      <w:tr w:rsidR="00C11FCD" w:rsidRPr="005B1FDA" w14:paraId="1E170DF8" w14:textId="77777777" w:rsidTr="008175C0">
        <w:trPr>
          <w:tblHeader/>
          <w:tblCellSpacing w:w="15" w:type="dxa"/>
        </w:trPr>
        <w:tc>
          <w:tcPr>
            <w:tcW w:w="0" w:type="auto"/>
            <w:shd w:val="clear" w:color="auto" w:fill="D9E2F3" w:themeFill="accent1" w:themeFillTint="33"/>
            <w:vAlign w:val="center"/>
            <w:hideMark/>
          </w:tcPr>
          <w:p w14:paraId="700DB148" w14:textId="77777777" w:rsidR="00C11FCD" w:rsidRPr="005B1FDA" w:rsidRDefault="00C11FCD" w:rsidP="00EF1E3E">
            <w:pPr>
              <w:spacing w:line="360" w:lineRule="auto"/>
              <w:jc w:val="both"/>
              <w:rPr>
                <w:rFonts w:ascii="Times New Roman" w:hAnsi="Times New Roman" w:cs="Times New Roman"/>
                <w:b/>
                <w:bCs/>
                <w:sz w:val="24"/>
                <w:szCs w:val="24"/>
              </w:rPr>
            </w:pPr>
            <w:r w:rsidRPr="005B1FDA">
              <w:rPr>
                <w:rFonts w:ascii="Times New Roman" w:hAnsi="Times New Roman" w:cs="Times New Roman"/>
                <w:b/>
                <w:bCs/>
                <w:sz w:val="24"/>
                <w:szCs w:val="24"/>
              </w:rPr>
              <w:lastRenderedPageBreak/>
              <w:t>Factor</w:t>
            </w:r>
          </w:p>
        </w:tc>
        <w:tc>
          <w:tcPr>
            <w:tcW w:w="0" w:type="auto"/>
            <w:shd w:val="clear" w:color="auto" w:fill="D9E2F3" w:themeFill="accent1" w:themeFillTint="33"/>
            <w:vAlign w:val="center"/>
            <w:hideMark/>
          </w:tcPr>
          <w:p w14:paraId="58570992" w14:textId="77777777" w:rsidR="00C11FCD" w:rsidRPr="005B1FDA" w:rsidRDefault="00C11FCD" w:rsidP="00EF1E3E">
            <w:pPr>
              <w:spacing w:line="360" w:lineRule="auto"/>
              <w:jc w:val="both"/>
              <w:rPr>
                <w:rFonts w:ascii="Times New Roman" w:hAnsi="Times New Roman" w:cs="Times New Roman"/>
                <w:b/>
                <w:bCs/>
                <w:sz w:val="24"/>
                <w:szCs w:val="24"/>
              </w:rPr>
            </w:pPr>
            <w:r w:rsidRPr="005B1FDA">
              <w:rPr>
                <w:rFonts w:ascii="Times New Roman" w:hAnsi="Times New Roman" w:cs="Times New Roman"/>
                <w:b/>
                <w:bCs/>
                <w:sz w:val="24"/>
                <w:szCs w:val="24"/>
              </w:rPr>
              <w:t>Key Issues and Implications</w:t>
            </w:r>
          </w:p>
        </w:tc>
      </w:tr>
      <w:tr w:rsidR="00C11FCD" w:rsidRPr="005B1FDA" w14:paraId="4305E931" w14:textId="77777777" w:rsidTr="008175C0">
        <w:trPr>
          <w:tblCellSpacing w:w="15" w:type="dxa"/>
        </w:trPr>
        <w:tc>
          <w:tcPr>
            <w:tcW w:w="0" w:type="auto"/>
            <w:shd w:val="clear" w:color="auto" w:fill="D9E2F3" w:themeFill="accent1" w:themeFillTint="33"/>
            <w:vAlign w:val="center"/>
            <w:hideMark/>
          </w:tcPr>
          <w:p w14:paraId="757F9418" w14:textId="77777777" w:rsidR="00C11FCD" w:rsidRPr="005B1FDA" w:rsidRDefault="00C11FCD" w:rsidP="00EF1E3E">
            <w:pPr>
              <w:spacing w:line="360" w:lineRule="auto"/>
              <w:jc w:val="both"/>
              <w:rPr>
                <w:rFonts w:ascii="Times New Roman" w:hAnsi="Times New Roman" w:cs="Times New Roman"/>
                <w:b/>
                <w:bCs/>
                <w:sz w:val="24"/>
                <w:szCs w:val="24"/>
              </w:rPr>
            </w:pPr>
            <w:r w:rsidRPr="005B1FDA">
              <w:rPr>
                <w:rFonts w:ascii="Times New Roman" w:hAnsi="Times New Roman" w:cs="Times New Roman"/>
                <w:b/>
                <w:bCs/>
                <w:sz w:val="24"/>
                <w:szCs w:val="24"/>
              </w:rPr>
              <w:t>Political</w:t>
            </w:r>
          </w:p>
        </w:tc>
        <w:tc>
          <w:tcPr>
            <w:tcW w:w="0" w:type="auto"/>
            <w:vAlign w:val="center"/>
            <w:hideMark/>
          </w:tcPr>
          <w:p w14:paraId="3A6154FB" w14:textId="77777777" w:rsidR="00C11FCD" w:rsidRPr="005B1FDA" w:rsidRDefault="00C11FCD" w:rsidP="00EF1E3E">
            <w:pPr>
              <w:spacing w:line="360" w:lineRule="auto"/>
              <w:jc w:val="both"/>
              <w:rPr>
                <w:rFonts w:ascii="Times New Roman" w:hAnsi="Times New Roman" w:cs="Times New Roman"/>
                <w:sz w:val="24"/>
                <w:szCs w:val="24"/>
              </w:rPr>
            </w:pPr>
            <w:r w:rsidRPr="005B1FDA">
              <w:rPr>
                <w:rFonts w:ascii="Times New Roman" w:hAnsi="Times New Roman" w:cs="Times New Roman"/>
                <w:sz w:val="24"/>
                <w:szCs w:val="24"/>
              </w:rPr>
              <w:t>NHS procurement standards and post-Brexit trade dynamics influence supply chain stability, requiring strong coordination with policy and regulatory stakeholders to ensure consistent product flow and compliance.</w:t>
            </w:r>
          </w:p>
        </w:tc>
      </w:tr>
      <w:tr w:rsidR="00C11FCD" w:rsidRPr="005B1FDA" w14:paraId="6E674275" w14:textId="77777777" w:rsidTr="008175C0">
        <w:trPr>
          <w:tblCellSpacing w:w="15" w:type="dxa"/>
        </w:trPr>
        <w:tc>
          <w:tcPr>
            <w:tcW w:w="0" w:type="auto"/>
            <w:shd w:val="clear" w:color="auto" w:fill="D9E2F3" w:themeFill="accent1" w:themeFillTint="33"/>
            <w:vAlign w:val="center"/>
            <w:hideMark/>
          </w:tcPr>
          <w:p w14:paraId="54CFC5A1" w14:textId="77777777" w:rsidR="00C11FCD" w:rsidRPr="005B1FDA" w:rsidRDefault="00C11FCD" w:rsidP="00EF1E3E">
            <w:pPr>
              <w:spacing w:line="360" w:lineRule="auto"/>
              <w:jc w:val="both"/>
              <w:rPr>
                <w:rFonts w:ascii="Times New Roman" w:hAnsi="Times New Roman" w:cs="Times New Roman"/>
                <w:b/>
                <w:bCs/>
                <w:sz w:val="24"/>
                <w:szCs w:val="24"/>
              </w:rPr>
            </w:pPr>
            <w:r w:rsidRPr="005B1FDA">
              <w:rPr>
                <w:rFonts w:ascii="Times New Roman" w:hAnsi="Times New Roman" w:cs="Times New Roman"/>
                <w:b/>
                <w:bCs/>
                <w:sz w:val="24"/>
                <w:szCs w:val="24"/>
              </w:rPr>
              <w:t>Economic</w:t>
            </w:r>
          </w:p>
        </w:tc>
        <w:tc>
          <w:tcPr>
            <w:tcW w:w="0" w:type="auto"/>
            <w:vAlign w:val="center"/>
            <w:hideMark/>
          </w:tcPr>
          <w:p w14:paraId="41DDA09B" w14:textId="77777777" w:rsidR="00C11FCD" w:rsidRPr="005B1FDA" w:rsidRDefault="00C11FCD" w:rsidP="00EF1E3E">
            <w:pPr>
              <w:spacing w:line="360" w:lineRule="auto"/>
              <w:jc w:val="both"/>
              <w:rPr>
                <w:rFonts w:ascii="Times New Roman" w:hAnsi="Times New Roman" w:cs="Times New Roman"/>
                <w:sz w:val="24"/>
                <w:szCs w:val="24"/>
              </w:rPr>
            </w:pPr>
            <w:r w:rsidRPr="005B1FDA">
              <w:rPr>
                <w:rFonts w:ascii="Times New Roman" w:hAnsi="Times New Roman" w:cs="Times New Roman"/>
                <w:sz w:val="24"/>
                <w:szCs w:val="24"/>
              </w:rPr>
              <w:t>Inflation and healthcare budget constraints drive the need for cost-efficient self-monitoring tools, making stakeholder alignment on pricing and value propositions vital to maintain competitiveness and affordability (OECD, 2023).</w:t>
            </w:r>
          </w:p>
        </w:tc>
      </w:tr>
      <w:tr w:rsidR="00C11FCD" w:rsidRPr="005B1FDA" w14:paraId="5833A6F1" w14:textId="77777777" w:rsidTr="008175C0">
        <w:trPr>
          <w:tblCellSpacing w:w="15" w:type="dxa"/>
        </w:trPr>
        <w:tc>
          <w:tcPr>
            <w:tcW w:w="0" w:type="auto"/>
            <w:shd w:val="clear" w:color="auto" w:fill="D9E2F3" w:themeFill="accent1" w:themeFillTint="33"/>
            <w:vAlign w:val="center"/>
            <w:hideMark/>
          </w:tcPr>
          <w:p w14:paraId="0A6D6EC7" w14:textId="77777777" w:rsidR="00C11FCD" w:rsidRPr="005B1FDA" w:rsidRDefault="00C11FCD" w:rsidP="00EF1E3E">
            <w:pPr>
              <w:spacing w:line="360" w:lineRule="auto"/>
              <w:jc w:val="both"/>
              <w:rPr>
                <w:rFonts w:ascii="Times New Roman" w:hAnsi="Times New Roman" w:cs="Times New Roman"/>
                <w:b/>
                <w:bCs/>
                <w:sz w:val="24"/>
                <w:szCs w:val="24"/>
              </w:rPr>
            </w:pPr>
            <w:r w:rsidRPr="005B1FDA">
              <w:rPr>
                <w:rFonts w:ascii="Times New Roman" w:hAnsi="Times New Roman" w:cs="Times New Roman"/>
                <w:b/>
                <w:bCs/>
                <w:sz w:val="24"/>
                <w:szCs w:val="24"/>
              </w:rPr>
              <w:t>Social</w:t>
            </w:r>
          </w:p>
        </w:tc>
        <w:tc>
          <w:tcPr>
            <w:tcW w:w="0" w:type="auto"/>
            <w:vAlign w:val="center"/>
            <w:hideMark/>
          </w:tcPr>
          <w:p w14:paraId="233F8DE7" w14:textId="77777777" w:rsidR="00C11FCD" w:rsidRPr="005B1FDA" w:rsidRDefault="00C11FCD" w:rsidP="00EF1E3E">
            <w:pPr>
              <w:spacing w:line="360" w:lineRule="auto"/>
              <w:jc w:val="both"/>
              <w:rPr>
                <w:rFonts w:ascii="Times New Roman" w:hAnsi="Times New Roman" w:cs="Times New Roman"/>
                <w:sz w:val="24"/>
                <w:szCs w:val="24"/>
              </w:rPr>
            </w:pPr>
            <w:r w:rsidRPr="005B1FDA">
              <w:rPr>
                <w:rFonts w:ascii="Times New Roman" w:hAnsi="Times New Roman" w:cs="Times New Roman"/>
                <w:sz w:val="24"/>
                <w:szCs w:val="24"/>
              </w:rPr>
              <w:t>The UK’s ageing population and rising health consciousness promote acceptance of wearable health devices. Active engagement with clinicians and patient groups in co-design processes is essential to ensure inclusivity and usability.</w:t>
            </w:r>
          </w:p>
        </w:tc>
      </w:tr>
      <w:tr w:rsidR="00C11FCD" w:rsidRPr="005B1FDA" w14:paraId="092034D5" w14:textId="77777777" w:rsidTr="008175C0">
        <w:trPr>
          <w:tblCellSpacing w:w="15" w:type="dxa"/>
        </w:trPr>
        <w:tc>
          <w:tcPr>
            <w:tcW w:w="0" w:type="auto"/>
            <w:shd w:val="clear" w:color="auto" w:fill="D9E2F3" w:themeFill="accent1" w:themeFillTint="33"/>
            <w:vAlign w:val="center"/>
            <w:hideMark/>
          </w:tcPr>
          <w:p w14:paraId="50984517" w14:textId="77777777" w:rsidR="00C11FCD" w:rsidRPr="005B1FDA" w:rsidRDefault="00C11FCD" w:rsidP="00EF1E3E">
            <w:pPr>
              <w:spacing w:line="360" w:lineRule="auto"/>
              <w:jc w:val="both"/>
              <w:rPr>
                <w:rFonts w:ascii="Times New Roman" w:hAnsi="Times New Roman" w:cs="Times New Roman"/>
                <w:b/>
                <w:bCs/>
                <w:sz w:val="24"/>
                <w:szCs w:val="24"/>
              </w:rPr>
            </w:pPr>
            <w:r w:rsidRPr="005B1FDA">
              <w:rPr>
                <w:rFonts w:ascii="Times New Roman" w:hAnsi="Times New Roman" w:cs="Times New Roman"/>
                <w:b/>
                <w:bCs/>
                <w:sz w:val="24"/>
                <w:szCs w:val="24"/>
              </w:rPr>
              <w:t>Technological</w:t>
            </w:r>
          </w:p>
        </w:tc>
        <w:tc>
          <w:tcPr>
            <w:tcW w:w="0" w:type="auto"/>
            <w:vAlign w:val="center"/>
            <w:hideMark/>
          </w:tcPr>
          <w:p w14:paraId="7C9F5F84" w14:textId="77777777" w:rsidR="00C11FCD" w:rsidRPr="005B1FDA" w:rsidRDefault="00C11FCD" w:rsidP="00EF1E3E">
            <w:pPr>
              <w:spacing w:line="360" w:lineRule="auto"/>
              <w:jc w:val="both"/>
              <w:rPr>
                <w:rFonts w:ascii="Times New Roman" w:hAnsi="Times New Roman" w:cs="Times New Roman"/>
                <w:sz w:val="24"/>
                <w:szCs w:val="24"/>
              </w:rPr>
            </w:pPr>
            <w:r w:rsidRPr="005B1FDA">
              <w:rPr>
                <w:rFonts w:ascii="Times New Roman" w:hAnsi="Times New Roman" w:cs="Times New Roman"/>
                <w:sz w:val="24"/>
                <w:szCs w:val="24"/>
              </w:rPr>
              <w:t>Advances in AI-driven health analytics enhance diagnostic capabilities but necessitate close collaboration with data scientists and cybersecurity experts to ensure system integrity and patient data protection.</w:t>
            </w:r>
          </w:p>
        </w:tc>
      </w:tr>
      <w:tr w:rsidR="00C11FCD" w:rsidRPr="005B1FDA" w14:paraId="27EF00D9" w14:textId="77777777" w:rsidTr="008175C0">
        <w:trPr>
          <w:tblCellSpacing w:w="15" w:type="dxa"/>
        </w:trPr>
        <w:tc>
          <w:tcPr>
            <w:tcW w:w="0" w:type="auto"/>
            <w:shd w:val="clear" w:color="auto" w:fill="D9E2F3" w:themeFill="accent1" w:themeFillTint="33"/>
            <w:vAlign w:val="center"/>
            <w:hideMark/>
          </w:tcPr>
          <w:p w14:paraId="339775D1" w14:textId="77777777" w:rsidR="00C11FCD" w:rsidRPr="005B1FDA" w:rsidRDefault="00C11FCD" w:rsidP="00EF1E3E">
            <w:pPr>
              <w:spacing w:line="360" w:lineRule="auto"/>
              <w:jc w:val="both"/>
              <w:rPr>
                <w:rFonts w:ascii="Times New Roman" w:hAnsi="Times New Roman" w:cs="Times New Roman"/>
                <w:b/>
                <w:bCs/>
                <w:sz w:val="24"/>
                <w:szCs w:val="24"/>
              </w:rPr>
            </w:pPr>
            <w:r w:rsidRPr="005B1FDA">
              <w:rPr>
                <w:rFonts w:ascii="Times New Roman" w:hAnsi="Times New Roman" w:cs="Times New Roman"/>
                <w:b/>
                <w:bCs/>
                <w:sz w:val="24"/>
                <w:szCs w:val="24"/>
              </w:rPr>
              <w:t>Legal</w:t>
            </w:r>
          </w:p>
        </w:tc>
        <w:tc>
          <w:tcPr>
            <w:tcW w:w="0" w:type="auto"/>
            <w:vAlign w:val="center"/>
            <w:hideMark/>
          </w:tcPr>
          <w:p w14:paraId="548FB3BB" w14:textId="77777777" w:rsidR="00C11FCD" w:rsidRPr="005B1FDA" w:rsidRDefault="00C11FCD" w:rsidP="00EF1E3E">
            <w:pPr>
              <w:spacing w:line="360" w:lineRule="auto"/>
              <w:jc w:val="both"/>
              <w:rPr>
                <w:rFonts w:ascii="Times New Roman" w:hAnsi="Times New Roman" w:cs="Times New Roman"/>
                <w:sz w:val="24"/>
                <w:szCs w:val="24"/>
              </w:rPr>
            </w:pPr>
            <w:r w:rsidRPr="005B1FDA">
              <w:rPr>
                <w:rFonts w:ascii="Times New Roman" w:hAnsi="Times New Roman" w:cs="Times New Roman"/>
                <w:sz w:val="24"/>
                <w:szCs w:val="24"/>
              </w:rPr>
              <w:t>Strict regulatory frameworks, including GDPR and MHRA device classification, require proactive engagement with legal advisors, compliance officers, and data governance bodies to mitigate risks of non-compliance.</w:t>
            </w:r>
          </w:p>
        </w:tc>
      </w:tr>
      <w:tr w:rsidR="00C11FCD" w:rsidRPr="005B1FDA" w14:paraId="3B117408" w14:textId="77777777" w:rsidTr="008175C0">
        <w:trPr>
          <w:tblCellSpacing w:w="15" w:type="dxa"/>
        </w:trPr>
        <w:tc>
          <w:tcPr>
            <w:tcW w:w="0" w:type="auto"/>
            <w:shd w:val="clear" w:color="auto" w:fill="D9E2F3" w:themeFill="accent1" w:themeFillTint="33"/>
            <w:vAlign w:val="center"/>
            <w:hideMark/>
          </w:tcPr>
          <w:p w14:paraId="17005E99" w14:textId="77777777" w:rsidR="00C11FCD" w:rsidRPr="005B1FDA" w:rsidRDefault="00C11FCD" w:rsidP="00EF1E3E">
            <w:pPr>
              <w:spacing w:line="360" w:lineRule="auto"/>
              <w:jc w:val="both"/>
              <w:rPr>
                <w:rFonts w:ascii="Times New Roman" w:hAnsi="Times New Roman" w:cs="Times New Roman"/>
                <w:b/>
                <w:bCs/>
                <w:sz w:val="24"/>
                <w:szCs w:val="24"/>
              </w:rPr>
            </w:pPr>
            <w:r w:rsidRPr="005B1FDA">
              <w:rPr>
                <w:rFonts w:ascii="Times New Roman" w:hAnsi="Times New Roman" w:cs="Times New Roman"/>
                <w:b/>
                <w:bCs/>
                <w:sz w:val="24"/>
                <w:szCs w:val="24"/>
              </w:rPr>
              <w:t>Environmental</w:t>
            </w:r>
          </w:p>
        </w:tc>
        <w:tc>
          <w:tcPr>
            <w:tcW w:w="0" w:type="auto"/>
            <w:vAlign w:val="center"/>
            <w:hideMark/>
          </w:tcPr>
          <w:p w14:paraId="0439DE4A" w14:textId="77777777" w:rsidR="00C11FCD" w:rsidRPr="005B1FDA" w:rsidRDefault="00C11FCD" w:rsidP="00EF1E3E">
            <w:pPr>
              <w:spacing w:line="360" w:lineRule="auto"/>
              <w:jc w:val="both"/>
              <w:rPr>
                <w:rFonts w:ascii="Times New Roman" w:hAnsi="Times New Roman" w:cs="Times New Roman"/>
                <w:sz w:val="24"/>
                <w:szCs w:val="24"/>
              </w:rPr>
            </w:pPr>
            <w:r w:rsidRPr="005B1FDA">
              <w:rPr>
                <w:rFonts w:ascii="Times New Roman" w:hAnsi="Times New Roman" w:cs="Times New Roman"/>
                <w:sz w:val="24"/>
                <w:szCs w:val="24"/>
              </w:rPr>
              <w:t>Increasing stakeholder expectations for sustainability necessitate eco-friendly packaging and responsible sourcing strategies, influencing Philips’ corporate reputation and alignment with environmental goals.</w:t>
            </w:r>
          </w:p>
        </w:tc>
      </w:tr>
    </w:tbl>
    <w:p w14:paraId="5297F5C0" w14:textId="77777777" w:rsidR="00C11FCD" w:rsidRPr="0060083B" w:rsidRDefault="00C11FCD" w:rsidP="00EF1E3E">
      <w:pPr>
        <w:spacing w:line="360" w:lineRule="auto"/>
        <w:jc w:val="both"/>
        <w:rPr>
          <w:rFonts w:ascii="Times New Roman" w:hAnsi="Times New Roman" w:cs="Times New Roman"/>
          <w:b/>
          <w:bCs/>
          <w:sz w:val="24"/>
          <w:szCs w:val="24"/>
        </w:rPr>
      </w:pPr>
    </w:p>
    <w:p w14:paraId="2ABBA756" w14:textId="77777777" w:rsidR="00C11FCD" w:rsidRPr="001C218D" w:rsidRDefault="00C11FCD" w:rsidP="00C90798">
      <w:pPr>
        <w:pStyle w:val="Heading2"/>
        <w:rPr>
          <w:rFonts w:ascii="Times New Roman" w:hAnsi="Times New Roman" w:cs="Times New Roman"/>
        </w:rPr>
      </w:pPr>
      <w:bookmarkStart w:id="5" w:name="_Toc210771184"/>
      <w:r w:rsidRPr="001C218D">
        <w:rPr>
          <w:rFonts w:ascii="Times New Roman" w:hAnsi="Times New Roman" w:cs="Times New Roman"/>
        </w:rPr>
        <w:t>2.3 SMART Objectives</w:t>
      </w:r>
      <w:bookmarkEnd w:id="5"/>
    </w:p>
    <w:p w14:paraId="7C0F46E2" w14:textId="73B52205" w:rsidR="00C11FCD" w:rsidRPr="0060083B" w:rsidRDefault="00C11FCD" w:rsidP="00EF1E3E">
      <w:pPr>
        <w:numPr>
          <w:ilvl w:val="0"/>
          <w:numId w:val="1"/>
        </w:numPr>
        <w:spacing w:line="360" w:lineRule="auto"/>
        <w:jc w:val="both"/>
        <w:rPr>
          <w:rFonts w:ascii="Times New Roman" w:hAnsi="Times New Roman" w:cs="Times New Roman"/>
          <w:i/>
          <w:iCs/>
          <w:sz w:val="24"/>
          <w:szCs w:val="24"/>
        </w:rPr>
      </w:pPr>
      <w:r w:rsidRPr="0060083B">
        <w:rPr>
          <w:rFonts w:ascii="Times New Roman" w:hAnsi="Times New Roman" w:cs="Times New Roman"/>
          <w:i/>
          <w:iCs/>
          <w:sz w:val="24"/>
          <w:szCs w:val="24"/>
        </w:rPr>
        <w:t xml:space="preserve">Launch </w:t>
      </w:r>
      <w:proofErr w:type="spellStart"/>
      <w:r w:rsidR="00660848" w:rsidRPr="001C218D">
        <w:rPr>
          <w:rFonts w:ascii="Times New Roman" w:hAnsi="Times New Roman" w:cs="Times New Roman"/>
          <w:i/>
          <w:iCs/>
          <w:sz w:val="24"/>
          <w:szCs w:val="24"/>
        </w:rPr>
        <w:t>VitalBand</w:t>
      </w:r>
      <w:proofErr w:type="spellEnd"/>
      <w:r w:rsidRPr="0060083B">
        <w:rPr>
          <w:rFonts w:ascii="Times New Roman" w:hAnsi="Times New Roman" w:cs="Times New Roman"/>
          <w:i/>
          <w:iCs/>
          <w:sz w:val="24"/>
          <w:szCs w:val="24"/>
        </w:rPr>
        <w:t xml:space="preserve"> within six months, ensuring full MHRA compliance and cross-functional stakeholder sign-off.</w:t>
      </w:r>
    </w:p>
    <w:p w14:paraId="711F5897" w14:textId="77777777" w:rsidR="00C11FCD" w:rsidRPr="0060083B" w:rsidRDefault="00C11FCD" w:rsidP="00EF1E3E">
      <w:pPr>
        <w:numPr>
          <w:ilvl w:val="0"/>
          <w:numId w:val="1"/>
        </w:numPr>
        <w:spacing w:line="360" w:lineRule="auto"/>
        <w:jc w:val="both"/>
        <w:rPr>
          <w:rFonts w:ascii="Times New Roman" w:hAnsi="Times New Roman" w:cs="Times New Roman"/>
          <w:i/>
          <w:iCs/>
          <w:sz w:val="24"/>
          <w:szCs w:val="24"/>
        </w:rPr>
      </w:pPr>
      <w:r w:rsidRPr="0060083B">
        <w:rPr>
          <w:rFonts w:ascii="Times New Roman" w:hAnsi="Times New Roman" w:cs="Times New Roman"/>
          <w:i/>
          <w:iCs/>
          <w:sz w:val="24"/>
          <w:szCs w:val="24"/>
        </w:rPr>
        <w:t>Achieve a stakeholder satisfaction rate of at least 85% through regular engagement surveys and feedback loops.</w:t>
      </w:r>
    </w:p>
    <w:p w14:paraId="5A9688DF" w14:textId="77777777" w:rsidR="00C11FCD" w:rsidRPr="0060083B" w:rsidRDefault="00C11FCD" w:rsidP="00EF1E3E">
      <w:pPr>
        <w:numPr>
          <w:ilvl w:val="0"/>
          <w:numId w:val="1"/>
        </w:numPr>
        <w:spacing w:line="360" w:lineRule="auto"/>
        <w:jc w:val="both"/>
        <w:rPr>
          <w:rFonts w:ascii="Times New Roman" w:hAnsi="Times New Roman" w:cs="Times New Roman"/>
          <w:i/>
          <w:iCs/>
          <w:sz w:val="24"/>
          <w:szCs w:val="24"/>
        </w:rPr>
      </w:pPr>
      <w:r w:rsidRPr="0060083B">
        <w:rPr>
          <w:rFonts w:ascii="Times New Roman" w:hAnsi="Times New Roman" w:cs="Times New Roman"/>
          <w:i/>
          <w:iCs/>
          <w:sz w:val="24"/>
          <w:szCs w:val="24"/>
        </w:rPr>
        <w:lastRenderedPageBreak/>
        <w:t>Secure five NHS pilot partnerships within three months post-launch to validate the device’s clinical efficacy.</w:t>
      </w:r>
    </w:p>
    <w:p w14:paraId="5C0DC221" w14:textId="77777777" w:rsidR="00C11FCD" w:rsidRPr="0060083B" w:rsidRDefault="00C11FCD" w:rsidP="00EF1E3E">
      <w:pPr>
        <w:numPr>
          <w:ilvl w:val="0"/>
          <w:numId w:val="1"/>
        </w:numPr>
        <w:spacing w:line="360" w:lineRule="auto"/>
        <w:jc w:val="both"/>
        <w:rPr>
          <w:rFonts w:ascii="Times New Roman" w:hAnsi="Times New Roman" w:cs="Times New Roman"/>
          <w:i/>
          <w:iCs/>
          <w:sz w:val="24"/>
          <w:szCs w:val="24"/>
        </w:rPr>
      </w:pPr>
      <w:r w:rsidRPr="0060083B">
        <w:rPr>
          <w:rFonts w:ascii="Times New Roman" w:hAnsi="Times New Roman" w:cs="Times New Roman"/>
          <w:i/>
          <w:iCs/>
          <w:sz w:val="24"/>
          <w:szCs w:val="24"/>
        </w:rPr>
        <w:t>Maintain project scope deviation below 5%, ensuring disciplined coordination among departments.</w:t>
      </w:r>
    </w:p>
    <w:p w14:paraId="16DD5424" w14:textId="77777777" w:rsidR="00C11FCD" w:rsidRPr="0060083B" w:rsidRDefault="00C11FCD" w:rsidP="00EF1E3E">
      <w:pPr>
        <w:numPr>
          <w:ilvl w:val="0"/>
          <w:numId w:val="1"/>
        </w:numPr>
        <w:spacing w:line="360" w:lineRule="auto"/>
        <w:jc w:val="both"/>
        <w:rPr>
          <w:rFonts w:ascii="Times New Roman" w:hAnsi="Times New Roman" w:cs="Times New Roman"/>
          <w:i/>
          <w:iCs/>
          <w:sz w:val="24"/>
          <w:szCs w:val="24"/>
        </w:rPr>
      </w:pPr>
      <w:r w:rsidRPr="0060083B">
        <w:rPr>
          <w:rFonts w:ascii="Times New Roman" w:hAnsi="Times New Roman" w:cs="Times New Roman"/>
          <w:i/>
          <w:iCs/>
          <w:sz w:val="24"/>
          <w:szCs w:val="24"/>
        </w:rPr>
        <w:t>Attain a 10% return on investment (ROI) within the first year of launch through efficient operations and sustained market adoption.</w:t>
      </w:r>
    </w:p>
    <w:p w14:paraId="5194B1AC" w14:textId="77777777" w:rsidR="00C11FCD" w:rsidRPr="001C218D" w:rsidRDefault="00C11FCD" w:rsidP="00EF1E3E">
      <w:pPr>
        <w:spacing w:line="360" w:lineRule="auto"/>
        <w:jc w:val="both"/>
        <w:rPr>
          <w:rFonts w:ascii="Times New Roman" w:hAnsi="Times New Roman" w:cs="Times New Roman"/>
          <w:sz w:val="24"/>
          <w:szCs w:val="24"/>
        </w:rPr>
      </w:pPr>
    </w:p>
    <w:p w14:paraId="6180F2EB" w14:textId="77777777" w:rsidR="00B0232A" w:rsidRPr="001C218D" w:rsidRDefault="00B0232A" w:rsidP="00C90798">
      <w:pPr>
        <w:pStyle w:val="Heading1"/>
        <w:rPr>
          <w:rFonts w:ascii="Times New Roman" w:hAnsi="Times New Roman" w:cs="Times New Roman"/>
        </w:rPr>
      </w:pPr>
      <w:bookmarkStart w:id="6" w:name="_Toc210771185"/>
      <w:r w:rsidRPr="001C218D">
        <w:rPr>
          <w:rFonts w:ascii="Times New Roman" w:hAnsi="Times New Roman" w:cs="Times New Roman"/>
        </w:rPr>
        <w:t>3. Identification of Key Stakeholders</w:t>
      </w:r>
      <w:bookmarkEnd w:id="6"/>
    </w:p>
    <w:p w14:paraId="64C4AC41" w14:textId="0CA0101F" w:rsidR="00F93D61" w:rsidRPr="001C218D" w:rsidRDefault="00F93D61"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Proper identification of stakeholders is the core of the project success especially in the healthcare innovation environment where compliance, ethics, and patient outcomes are vital. As the Stakeholder Theory by Freeman (1984) states, </w:t>
      </w:r>
      <w:proofErr w:type="spellStart"/>
      <w:r w:rsidRPr="001C218D">
        <w:rPr>
          <w:rFonts w:ascii="Times New Roman" w:hAnsi="Times New Roman" w:cs="Times New Roman"/>
          <w:sz w:val="24"/>
          <w:szCs w:val="24"/>
        </w:rPr>
        <w:t>organisations</w:t>
      </w:r>
      <w:proofErr w:type="spellEnd"/>
      <w:r w:rsidRPr="001C218D">
        <w:rPr>
          <w:rFonts w:ascii="Times New Roman" w:hAnsi="Times New Roman" w:cs="Times New Roman"/>
          <w:sz w:val="24"/>
          <w:szCs w:val="24"/>
        </w:rPr>
        <w:t xml:space="preserve"> </w:t>
      </w:r>
      <w:r w:rsidR="00A76EE3" w:rsidRPr="001C218D">
        <w:rPr>
          <w:rFonts w:ascii="Times New Roman" w:hAnsi="Times New Roman" w:cs="Times New Roman"/>
          <w:sz w:val="24"/>
          <w:szCs w:val="24"/>
        </w:rPr>
        <w:t>must</w:t>
      </w:r>
      <w:r w:rsidRPr="001C218D">
        <w:rPr>
          <w:rFonts w:ascii="Times New Roman" w:hAnsi="Times New Roman" w:cs="Times New Roman"/>
          <w:sz w:val="24"/>
          <w:szCs w:val="24"/>
        </w:rPr>
        <w:t xml:space="preserve"> be aware of any groups of people who can have an impact on or are impacted by a project. In the case of Philips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launch, the stakeholders can be classified under both internal and external groups where each has varying degrees of power, legitimacy and urgency as defined in the Salience Model by Mitchell, Agle and Wood (1997).</w:t>
      </w:r>
    </w:p>
    <w:p w14:paraId="6D94514E" w14:textId="77777777" w:rsidR="00B0232A" w:rsidRPr="00B0232A" w:rsidRDefault="00B0232A" w:rsidP="00EF1E3E">
      <w:pPr>
        <w:spacing w:line="360" w:lineRule="auto"/>
        <w:jc w:val="both"/>
        <w:rPr>
          <w:rFonts w:ascii="Times New Roman" w:hAnsi="Times New Roman" w:cs="Times New Roman"/>
          <w:b/>
          <w:bCs/>
          <w:sz w:val="24"/>
          <w:szCs w:val="24"/>
        </w:rPr>
      </w:pPr>
      <w:r w:rsidRPr="00B0232A">
        <w:rPr>
          <w:rFonts w:ascii="Times New Roman" w:hAnsi="Times New Roman" w:cs="Times New Roman"/>
          <w:b/>
          <w:bCs/>
          <w:sz w:val="24"/>
          <w:szCs w:val="24"/>
        </w:rPr>
        <w:t>Internal Stakeholders</w:t>
      </w:r>
    </w:p>
    <w:p w14:paraId="6DFFFE5E" w14:textId="77777777" w:rsidR="00B0232A" w:rsidRPr="00B0232A" w:rsidRDefault="00B0232A" w:rsidP="00EF1E3E">
      <w:pPr>
        <w:numPr>
          <w:ilvl w:val="0"/>
          <w:numId w:val="2"/>
        </w:numPr>
        <w:spacing w:line="360" w:lineRule="auto"/>
        <w:jc w:val="both"/>
        <w:rPr>
          <w:rFonts w:ascii="Times New Roman" w:hAnsi="Times New Roman" w:cs="Times New Roman"/>
          <w:sz w:val="24"/>
          <w:szCs w:val="24"/>
        </w:rPr>
      </w:pPr>
      <w:r w:rsidRPr="00B0232A">
        <w:rPr>
          <w:rFonts w:ascii="Times New Roman" w:hAnsi="Times New Roman" w:cs="Times New Roman"/>
          <w:b/>
          <w:bCs/>
          <w:sz w:val="24"/>
          <w:szCs w:val="24"/>
        </w:rPr>
        <w:t>Executive Board and Senior Management:</w:t>
      </w:r>
      <w:r w:rsidRPr="00B0232A">
        <w:rPr>
          <w:rFonts w:ascii="Times New Roman" w:hAnsi="Times New Roman" w:cs="Times New Roman"/>
          <w:sz w:val="24"/>
          <w:szCs w:val="24"/>
        </w:rPr>
        <w:t xml:space="preserve"> Possess high strategic power and accountability for project funding, timelines, and overall corporate reputation. Their involvement ensures that the </w:t>
      </w:r>
      <w:proofErr w:type="spellStart"/>
      <w:r w:rsidRPr="00B0232A">
        <w:rPr>
          <w:rFonts w:ascii="Times New Roman" w:hAnsi="Times New Roman" w:cs="Times New Roman"/>
          <w:sz w:val="24"/>
          <w:szCs w:val="24"/>
        </w:rPr>
        <w:t>VitalBand</w:t>
      </w:r>
      <w:proofErr w:type="spellEnd"/>
      <w:r w:rsidRPr="00B0232A">
        <w:rPr>
          <w:rFonts w:ascii="Times New Roman" w:hAnsi="Times New Roman" w:cs="Times New Roman"/>
          <w:sz w:val="24"/>
          <w:szCs w:val="24"/>
        </w:rPr>
        <w:t xml:space="preserve"> aligns with Philips’ global strategy and sustainability objectives.</w:t>
      </w:r>
    </w:p>
    <w:p w14:paraId="10CE3EAF" w14:textId="77777777" w:rsidR="00B0232A" w:rsidRPr="00B0232A" w:rsidRDefault="00B0232A" w:rsidP="00EF1E3E">
      <w:pPr>
        <w:numPr>
          <w:ilvl w:val="0"/>
          <w:numId w:val="2"/>
        </w:numPr>
        <w:spacing w:line="360" w:lineRule="auto"/>
        <w:jc w:val="both"/>
        <w:rPr>
          <w:rFonts w:ascii="Times New Roman" w:hAnsi="Times New Roman" w:cs="Times New Roman"/>
          <w:sz w:val="24"/>
          <w:szCs w:val="24"/>
        </w:rPr>
      </w:pPr>
      <w:r w:rsidRPr="00B0232A">
        <w:rPr>
          <w:rFonts w:ascii="Times New Roman" w:hAnsi="Times New Roman" w:cs="Times New Roman"/>
          <w:b/>
          <w:bCs/>
          <w:sz w:val="24"/>
          <w:szCs w:val="24"/>
        </w:rPr>
        <w:t>Project Team (Engineers, Designers, Quality Assurance):</w:t>
      </w:r>
      <w:r w:rsidRPr="00B0232A">
        <w:rPr>
          <w:rFonts w:ascii="Times New Roman" w:hAnsi="Times New Roman" w:cs="Times New Roman"/>
          <w:sz w:val="24"/>
          <w:szCs w:val="24"/>
        </w:rPr>
        <w:t xml:space="preserve"> Responsible for developing a reliable, safe, and user-friendly device. Their technical expertise is essential for compliance with MHRA and NHS interoperability standards.</w:t>
      </w:r>
    </w:p>
    <w:p w14:paraId="53476DA7" w14:textId="77777777" w:rsidR="00B0232A" w:rsidRPr="00B0232A" w:rsidRDefault="00B0232A" w:rsidP="00EF1E3E">
      <w:pPr>
        <w:numPr>
          <w:ilvl w:val="0"/>
          <w:numId w:val="2"/>
        </w:numPr>
        <w:spacing w:line="360" w:lineRule="auto"/>
        <w:jc w:val="both"/>
        <w:rPr>
          <w:rFonts w:ascii="Times New Roman" w:hAnsi="Times New Roman" w:cs="Times New Roman"/>
          <w:sz w:val="24"/>
          <w:szCs w:val="24"/>
        </w:rPr>
      </w:pPr>
      <w:r w:rsidRPr="00B0232A">
        <w:rPr>
          <w:rFonts w:ascii="Times New Roman" w:hAnsi="Times New Roman" w:cs="Times New Roman"/>
          <w:b/>
          <w:bCs/>
          <w:sz w:val="24"/>
          <w:szCs w:val="24"/>
        </w:rPr>
        <w:t>R&amp;D and Legal Compliance Units:</w:t>
      </w:r>
      <w:r w:rsidRPr="00B0232A">
        <w:rPr>
          <w:rFonts w:ascii="Times New Roman" w:hAnsi="Times New Roman" w:cs="Times New Roman"/>
          <w:sz w:val="24"/>
          <w:szCs w:val="24"/>
        </w:rPr>
        <w:t xml:space="preserve"> Provide scientific credibility and regulatory oversight. Engaging these stakeholders early prevents costly redesigns or legal challenges later in the product cycle.</w:t>
      </w:r>
    </w:p>
    <w:p w14:paraId="0700237C" w14:textId="72036EAC" w:rsidR="00A76EE3" w:rsidRPr="001C218D" w:rsidRDefault="00B0232A" w:rsidP="00A76EE3">
      <w:pPr>
        <w:numPr>
          <w:ilvl w:val="0"/>
          <w:numId w:val="2"/>
        </w:numPr>
        <w:spacing w:line="360" w:lineRule="auto"/>
        <w:jc w:val="both"/>
        <w:rPr>
          <w:rFonts w:ascii="Times New Roman" w:hAnsi="Times New Roman" w:cs="Times New Roman"/>
          <w:sz w:val="24"/>
          <w:szCs w:val="24"/>
        </w:rPr>
      </w:pPr>
      <w:r w:rsidRPr="00B0232A">
        <w:rPr>
          <w:rFonts w:ascii="Times New Roman" w:hAnsi="Times New Roman" w:cs="Times New Roman"/>
          <w:b/>
          <w:bCs/>
          <w:sz w:val="24"/>
          <w:szCs w:val="24"/>
        </w:rPr>
        <w:lastRenderedPageBreak/>
        <w:t>Marketing and Sales Departments:</w:t>
      </w:r>
      <w:r w:rsidRPr="00B0232A">
        <w:rPr>
          <w:rFonts w:ascii="Times New Roman" w:hAnsi="Times New Roman" w:cs="Times New Roman"/>
          <w:sz w:val="24"/>
          <w:szCs w:val="24"/>
        </w:rPr>
        <w:t xml:space="preserve"> Translate technical innovation into market-ready propositions. Their understanding of consumer needs ensures the device’s features resonate with patient expectations and healthcare value chains.</w:t>
      </w:r>
    </w:p>
    <w:p w14:paraId="51627ADE" w14:textId="77777777" w:rsidR="00A76EE3" w:rsidRPr="00B0232A" w:rsidRDefault="00A76EE3" w:rsidP="00A76EE3">
      <w:pPr>
        <w:spacing w:line="360" w:lineRule="auto"/>
        <w:jc w:val="both"/>
        <w:rPr>
          <w:rFonts w:ascii="Times New Roman" w:hAnsi="Times New Roman" w:cs="Times New Roman"/>
          <w:sz w:val="24"/>
          <w:szCs w:val="24"/>
        </w:rPr>
      </w:pPr>
    </w:p>
    <w:p w14:paraId="0CC3B2F5" w14:textId="77777777" w:rsidR="00B0232A" w:rsidRPr="00B0232A" w:rsidRDefault="00B0232A" w:rsidP="00EF1E3E">
      <w:pPr>
        <w:spacing w:line="360" w:lineRule="auto"/>
        <w:jc w:val="both"/>
        <w:rPr>
          <w:rFonts w:ascii="Times New Roman" w:hAnsi="Times New Roman" w:cs="Times New Roman"/>
          <w:b/>
          <w:bCs/>
          <w:sz w:val="24"/>
          <w:szCs w:val="24"/>
        </w:rPr>
      </w:pPr>
      <w:r w:rsidRPr="00B0232A">
        <w:rPr>
          <w:rFonts w:ascii="Times New Roman" w:hAnsi="Times New Roman" w:cs="Times New Roman"/>
          <w:b/>
          <w:bCs/>
          <w:sz w:val="24"/>
          <w:szCs w:val="24"/>
        </w:rPr>
        <w:t>External Stakeholders</w:t>
      </w:r>
    </w:p>
    <w:p w14:paraId="08007A17" w14:textId="54107128" w:rsidR="00CF6A6A" w:rsidRPr="001C218D" w:rsidRDefault="00B0232A" w:rsidP="00CF6A6A">
      <w:pPr>
        <w:numPr>
          <w:ilvl w:val="0"/>
          <w:numId w:val="3"/>
        </w:numPr>
        <w:spacing w:line="360" w:lineRule="auto"/>
        <w:jc w:val="both"/>
        <w:rPr>
          <w:rFonts w:ascii="Times New Roman" w:hAnsi="Times New Roman" w:cs="Times New Roman"/>
          <w:sz w:val="24"/>
          <w:szCs w:val="24"/>
        </w:rPr>
      </w:pPr>
      <w:r w:rsidRPr="00B0232A">
        <w:rPr>
          <w:rFonts w:ascii="Times New Roman" w:hAnsi="Times New Roman" w:cs="Times New Roman"/>
          <w:b/>
          <w:bCs/>
          <w:sz w:val="24"/>
          <w:szCs w:val="24"/>
        </w:rPr>
        <w:t>MHRA (Medicines and Healthcare Regulatory Agency):</w:t>
      </w:r>
      <w:r w:rsidRPr="00B0232A">
        <w:rPr>
          <w:rFonts w:ascii="Times New Roman" w:hAnsi="Times New Roman" w:cs="Times New Roman"/>
          <w:sz w:val="24"/>
          <w:szCs w:val="24"/>
        </w:rPr>
        <w:t xml:space="preserve"> </w:t>
      </w:r>
      <w:r w:rsidR="00CF6A6A" w:rsidRPr="001C218D">
        <w:rPr>
          <w:rFonts w:ascii="Times New Roman" w:hAnsi="Times New Roman" w:cs="Times New Roman"/>
          <w:sz w:val="24"/>
          <w:szCs w:val="24"/>
        </w:rPr>
        <w:t xml:space="preserve">Has </w:t>
      </w:r>
      <w:r w:rsidR="00C90798" w:rsidRPr="001C218D">
        <w:rPr>
          <w:rFonts w:ascii="Times New Roman" w:hAnsi="Times New Roman" w:cs="Times New Roman"/>
          <w:sz w:val="24"/>
          <w:szCs w:val="24"/>
        </w:rPr>
        <w:t>overall</w:t>
      </w:r>
      <w:r w:rsidR="00CF6A6A" w:rsidRPr="001C218D">
        <w:rPr>
          <w:rFonts w:ascii="Times New Roman" w:hAnsi="Times New Roman" w:cs="Times New Roman"/>
          <w:sz w:val="24"/>
          <w:szCs w:val="24"/>
        </w:rPr>
        <w:t xml:space="preserve"> regulatory authority and may possibly approve or suspend the product launch. Interaction with MHRA should be active and active to fulfill all the safety and certification criteria.</w:t>
      </w:r>
    </w:p>
    <w:p w14:paraId="155869AC" w14:textId="2BC52386" w:rsidR="00CF6A6A" w:rsidRPr="001C218D" w:rsidRDefault="00CF6A6A" w:rsidP="00CF6A6A">
      <w:pPr>
        <w:numPr>
          <w:ilvl w:val="0"/>
          <w:numId w:val="3"/>
        </w:numPr>
        <w:spacing w:line="360" w:lineRule="auto"/>
        <w:jc w:val="both"/>
        <w:rPr>
          <w:rFonts w:ascii="Times New Roman" w:hAnsi="Times New Roman" w:cs="Times New Roman"/>
          <w:sz w:val="24"/>
          <w:szCs w:val="24"/>
        </w:rPr>
      </w:pPr>
      <w:r w:rsidRPr="001C218D">
        <w:rPr>
          <w:rFonts w:ascii="Times New Roman" w:hAnsi="Times New Roman" w:cs="Times New Roman"/>
          <w:b/>
          <w:bCs/>
          <w:sz w:val="24"/>
          <w:szCs w:val="24"/>
        </w:rPr>
        <w:t>NHS Procurement Teams and Clinicians</w:t>
      </w:r>
      <w:r w:rsidRPr="001C218D">
        <w:rPr>
          <w:rFonts w:ascii="Times New Roman" w:hAnsi="Times New Roman" w:cs="Times New Roman"/>
          <w:sz w:val="24"/>
          <w:szCs w:val="24"/>
        </w:rPr>
        <w:t>: Support of them makes institutions adopt. Partnership pilot trials and open communication give rise to trust and inclusion in NHS procurement models.</w:t>
      </w:r>
    </w:p>
    <w:p w14:paraId="7BDAB07D" w14:textId="4A4CCC72" w:rsidR="00CF6A6A" w:rsidRPr="001C218D" w:rsidRDefault="00CF6A6A" w:rsidP="00CF6A6A">
      <w:pPr>
        <w:numPr>
          <w:ilvl w:val="0"/>
          <w:numId w:val="3"/>
        </w:numPr>
        <w:spacing w:line="360" w:lineRule="auto"/>
        <w:jc w:val="both"/>
        <w:rPr>
          <w:rFonts w:ascii="Times New Roman" w:hAnsi="Times New Roman" w:cs="Times New Roman"/>
          <w:sz w:val="24"/>
          <w:szCs w:val="24"/>
        </w:rPr>
      </w:pPr>
      <w:r w:rsidRPr="001C218D">
        <w:rPr>
          <w:rFonts w:ascii="Times New Roman" w:hAnsi="Times New Roman" w:cs="Times New Roman"/>
          <w:b/>
          <w:bCs/>
          <w:sz w:val="24"/>
          <w:szCs w:val="24"/>
        </w:rPr>
        <w:t>Patients and Consumers</w:t>
      </w:r>
      <w:r w:rsidRPr="001C218D">
        <w:rPr>
          <w:rFonts w:ascii="Times New Roman" w:hAnsi="Times New Roman" w:cs="Times New Roman"/>
          <w:sz w:val="24"/>
          <w:szCs w:val="24"/>
        </w:rPr>
        <w:t xml:space="preserve">: </w:t>
      </w:r>
      <w:r w:rsidR="00062B15" w:rsidRPr="001C218D">
        <w:rPr>
          <w:rFonts w:ascii="Times New Roman" w:hAnsi="Times New Roman" w:cs="Times New Roman"/>
          <w:sz w:val="24"/>
          <w:szCs w:val="24"/>
        </w:rPr>
        <w:t>Represent the end users whose satisfaction determines the product’s success. Their feedback should inform usability testing, accessibility features, and data privacy safeguards.</w:t>
      </w:r>
    </w:p>
    <w:p w14:paraId="0FB1B6C8" w14:textId="4DD53770" w:rsidR="00CF6A6A" w:rsidRPr="001C218D" w:rsidRDefault="00CF6A6A" w:rsidP="00CF6A6A">
      <w:pPr>
        <w:numPr>
          <w:ilvl w:val="0"/>
          <w:numId w:val="3"/>
        </w:numPr>
        <w:spacing w:line="360" w:lineRule="auto"/>
        <w:jc w:val="both"/>
        <w:rPr>
          <w:rFonts w:ascii="Times New Roman" w:hAnsi="Times New Roman" w:cs="Times New Roman"/>
          <w:sz w:val="24"/>
          <w:szCs w:val="24"/>
        </w:rPr>
      </w:pPr>
      <w:r w:rsidRPr="001C218D">
        <w:rPr>
          <w:rFonts w:ascii="Times New Roman" w:hAnsi="Times New Roman" w:cs="Times New Roman"/>
          <w:b/>
          <w:bCs/>
          <w:sz w:val="24"/>
          <w:szCs w:val="24"/>
        </w:rPr>
        <w:t>Suppliers and Distributors</w:t>
      </w:r>
      <w:r w:rsidRPr="001C218D">
        <w:rPr>
          <w:rFonts w:ascii="Times New Roman" w:hAnsi="Times New Roman" w:cs="Times New Roman"/>
          <w:sz w:val="24"/>
          <w:szCs w:val="24"/>
        </w:rPr>
        <w:t>: Be on time in components delivery and distribution of same. Their predictability impacts on the cost control and deadlines of launch.</w:t>
      </w:r>
    </w:p>
    <w:p w14:paraId="7378FFED" w14:textId="124077E2" w:rsidR="00A76EE3" w:rsidRPr="00B0232A" w:rsidRDefault="00CF6A6A" w:rsidP="00CF6A6A">
      <w:pPr>
        <w:numPr>
          <w:ilvl w:val="0"/>
          <w:numId w:val="3"/>
        </w:numPr>
        <w:spacing w:line="360" w:lineRule="auto"/>
        <w:jc w:val="both"/>
        <w:rPr>
          <w:rFonts w:ascii="Times New Roman" w:hAnsi="Times New Roman" w:cs="Times New Roman"/>
          <w:sz w:val="24"/>
          <w:szCs w:val="24"/>
        </w:rPr>
      </w:pPr>
      <w:r w:rsidRPr="001C218D">
        <w:rPr>
          <w:rFonts w:ascii="Times New Roman" w:hAnsi="Times New Roman" w:cs="Times New Roman"/>
          <w:b/>
          <w:bCs/>
          <w:sz w:val="24"/>
          <w:szCs w:val="24"/>
        </w:rPr>
        <w:t>Investors and Media:</w:t>
      </w:r>
      <w:r w:rsidRPr="001C218D">
        <w:rPr>
          <w:rFonts w:ascii="Times New Roman" w:hAnsi="Times New Roman" w:cs="Times New Roman"/>
          <w:sz w:val="24"/>
          <w:szCs w:val="24"/>
        </w:rPr>
        <w:t xml:space="preserve"> Bank of money and reputation leverage. Ethical communication ensures that there is no lack of confidence by the audience and trust in the company at the rollout stage.</w:t>
      </w:r>
    </w:p>
    <w:p w14:paraId="17D7C774" w14:textId="1CB9C3BA" w:rsidR="00B0232A" w:rsidRPr="00B0232A" w:rsidRDefault="00513F87" w:rsidP="00EF1E3E">
      <w:pPr>
        <w:spacing w:line="360" w:lineRule="auto"/>
        <w:jc w:val="both"/>
        <w:rPr>
          <w:rFonts w:ascii="Times New Roman" w:hAnsi="Times New Roman" w:cs="Times New Roman"/>
          <w:b/>
          <w:bCs/>
          <w:sz w:val="24"/>
          <w:szCs w:val="24"/>
        </w:rPr>
      </w:pPr>
      <w:r w:rsidRPr="001C218D">
        <w:rPr>
          <w:rFonts w:ascii="Times New Roman" w:hAnsi="Times New Roman" w:cs="Times New Roman"/>
          <w:b/>
          <w:bCs/>
          <w:sz w:val="24"/>
          <w:szCs w:val="24"/>
        </w:rPr>
        <w:t xml:space="preserve">Table 2: </w:t>
      </w:r>
      <w:r w:rsidR="00B0232A" w:rsidRPr="00B0232A">
        <w:rPr>
          <w:rFonts w:ascii="Times New Roman" w:hAnsi="Times New Roman" w:cs="Times New Roman"/>
          <w:b/>
          <w:bCs/>
          <w:sz w:val="24"/>
          <w:szCs w:val="24"/>
        </w:rPr>
        <w:t>Stakeholder Mapping – Mendelow’s Power-Interest Matrix (1991)</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4"/>
        <w:gridCol w:w="1507"/>
        <w:gridCol w:w="2485"/>
        <w:gridCol w:w="3894"/>
      </w:tblGrid>
      <w:tr w:rsidR="00513F87" w:rsidRPr="001C218D" w14:paraId="3FEF17B3" w14:textId="77777777" w:rsidTr="00513F87">
        <w:trPr>
          <w:tblHeader/>
          <w:tblCellSpacing w:w="15" w:type="dxa"/>
        </w:trPr>
        <w:tc>
          <w:tcPr>
            <w:tcW w:w="0" w:type="auto"/>
            <w:shd w:val="clear" w:color="auto" w:fill="EDEDED" w:themeFill="accent3" w:themeFillTint="33"/>
            <w:vAlign w:val="center"/>
            <w:hideMark/>
          </w:tcPr>
          <w:p w14:paraId="2B611DFD" w14:textId="77777777" w:rsidR="00513F87" w:rsidRPr="00513F87" w:rsidRDefault="00513F87" w:rsidP="00EF1E3E">
            <w:pPr>
              <w:spacing w:line="360" w:lineRule="auto"/>
              <w:jc w:val="both"/>
              <w:rPr>
                <w:rFonts w:ascii="Times New Roman" w:hAnsi="Times New Roman" w:cs="Times New Roman"/>
                <w:b/>
                <w:bCs/>
                <w:sz w:val="24"/>
                <w:szCs w:val="24"/>
              </w:rPr>
            </w:pPr>
            <w:r w:rsidRPr="00513F87">
              <w:rPr>
                <w:rFonts w:ascii="Times New Roman" w:hAnsi="Times New Roman" w:cs="Times New Roman"/>
                <w:b/>
                <w:bCs/>
                <w:sz w:val="24"/>
                <w:szCs w:val="24"/>
              </w:rPr>
              <w:t>Quadrant</w:t>
            </w:r>
          </w:p>
        </w:tc>
        <w:tc>
          <w:tcPr>
            <w:tcW w:w="0" w:type="auto"/>
            <w:shd w:val="clear" w:color="auto" w:fill="EDEDED" w:themeFill="accent3" w:themeFillTint="33"/>
            <w:vAlign w:val="center"/>
            <w:hideMark/>
          </w:tcPr>
          <w:p w14:paraId="47C84B66" w14:textId="77777777" w:rsidR="00513F87" w:rsidRPr="00513F87" w:rsidRDefault="00513F87" w:rsidP="00EF1E3E">
            <w:pPr>
              <w:spacing w:line="360" w:lineRule="auto"/>
              <w:jc w:val="both"/>
              <w:rPr>
                <w:rFonts w:ascii="Times New Roman" w:hAnsi="Times New Roman" w:cs="Times New Roman"/>
                <w:b/>
                <w:bCs/>
                <w:sz w:val="24"/>
                <w:szCs w:val="24"/>
              </w:rPr>
            </w:pPr>
            <w:r w:rsidRPr="00513F87">
              <w:rPr>
                <w:rFonts w:ascii="Times New Roman" w:hAnsi="Times New Roman" w:cs="Times New Roman"/>
                <w:b/>
                <w:bCs/>
                <w:sz w:val="24"/>
                <w:szCs w:val="24"/>
              </w:rPr>
              <w:t>Stakeholder Groups</w:t>
            </w:r>
          </w:p>
        </w:tc>
        <w:tc>
          <w:tcPr>
            <w:tcW w:w="0" w:type="auto"/>
            <w:shd w:val="clear" w:color="auto" w:fill="EDEDED" w:themeFill="accent3" w:themeFillTint="33"/>
            <w:vAlign w:val="center"/>
            <w:hideMark/>
          </w:tcPr>
          <w:p w14:paraId="6A0175BF" w14:textId="77777777" w:rsidR="00513F87" w:rsidRPr="00513F87" w:rsidRDefault="00513F87" w:rsidP="00EF1E3E">
            <w:pPr>
              <w:spacing w:line="360" w:lineRule="auto"/>
              <w:jc w:val="both"/>
              <w:rPr>
                <w:rFonts w:ascii="Times New Roman" w:hAnsi="Times New Roman" w:cs="Times New Roman"/>
                <w:b/>
                <w:bCs/>
                <w:sz w:val="24"/>
                <w:szCs w:val="24"/>
              </w:rPr>
            </w:pPr>
            <w:r w:rsidRPr="00513F87">
              <w:rPr>
                <w:rFonts w:ascii="Times New Roman" w:hAnsi="Times New Roman" w:cs="Times New Roman"/>
                <w:b/>
                <w:bCs/>
                <w:sz w:val="24"/>
                <w:szCs w:val="24"/>
              </w:rPr>
              <w:t>Engagement Strategy</w:t>
            </w:r>
          </w:p>
        </w:tc>
        <w:tc>
          <w:tcPr>
            <w:tcW w:w="0" w:type="auto"/>
            <w:shd w:val="clear" w:color="auto" w:fill="EDEDED" w:themeFill="accent3" w:themeFillTint="33"/>
            <w:vAlign w:val="center"/>
            <w:hideMark/>
          </w:tcPr>
          <w:p w14:paraId="550F1D97" w14:textId="77777777" w:rsidR="00513F87" w:rsidRPr="00513F87" w:rsidRDefault="00513F87" w:rsidP="00EF1E3E">
            <w:pPr>
              <w:spacing w:line="360" w:lineRule="auto"/>
              <w:jc w:val="both"/>
              <w:rPr>
                <w:rFonts w:ascii="Times New Roman" w:hAnsi="Times New Roman" w:cs="Times New Roman"/>
                <w:b/>
                <w:bCs/>
                <w:sz w:val="24"/>
                <w:szCs w:val="24"/>
              </w:rPr>
            </w:pPr>
            <w:r w:rsidRPr="00513F87">
              <w:rPr>
                <w:rFonts w:ascii="Times New Roman" w:hAnsi="Times New Roman" w:cs="Times New Roman"/>
                <w:b/>
                <w:bCs/>
                <w:sz w:val="24"/>
                <w:szCs w:val="24"/>
              </w:rPr>
              <w:t>Rationale / Critical Discussion</w:t>
            </w:r>
          </w:p>
        </w:tc>
      </w:tr>
      <w:tr w:rsidR="00513F87" w:rsidRPr="00513F87" w14:paraId="4BFCE0D0" w14:textId="77777777" w:rsidTr="00513F87">
        <w:trPr>
          <w:tblCellSpacing w:w="15" w:type="dxa"/>
        </w:trPr>
        <w:tc>
          <w:tcPr>
            <w:tcW w:w="0" w:type="auto"/>
            <w:vAlign w:val="center"/>
            <w:hideMark/>
          </w:tcPr>
          <w:p w14:paraId="526D12CE"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b/>
                <w:bCs/>
                <w:sz w:val="24"/>
                <w:szCs w:val="24"/>
              </w:rPr>
              <w:t xml:space="preserve">Manage Closely (High Power, </w:t>
            </w:r>
            <w:r w:rsidRPr="00513F87">
              <w:rPr>
                <w:rFonts w:ascii="Times New Roman" w:hAnsi="Times New Roman" w:cs="Times New Roman"/>
                <w:b/>
                <w:bCs/>
                <w:sz w:val="24"/>
                <w:szCs w:val="24"/>
              </w:rPr>
              <w:lastRenderedPageBreak/>
              <w:t>High Interest)</w:t>
            </w:r>
          </w:p>
        </w:tc>
        <w:tc>
          <w:tcPr>
            <w:tcW w:w="0" w:type="auto"/>
            <w:vAlign w:val="center"/>
            <w:hideMark/>
          </w:tcPr>
          <w:p w14:paraId="60B63967" w14:textId="77777777" w:rsidR="00513F87" w:rsidRPr="001C218D"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lastRenderedPageBreak/>
              <w:t>• Philips Executive Board</w:t>
            </w:r>
          </w:p>
          <w:p w14:paraId="29490E63" w14:textId="77777777" w:rsidR="00513F87" w:rsidRPr="001C218D"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lastRenderedPageBreak/>
              <w:t>• MHRA (Regulatory Authority)</w:t>
            </w:r>
          </w:p>
          <w:p w14:paraId="3D774E70" w14:textId="49C5187B"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NHS Digital Partners</w:t>
            </w:r>
          </w:p>
        </w:tc>
        <w:tc>
          <w:tcPr>
            <w:tcW w:w="0" w:type="auto"/>
            <w:vAlign w:val="center"/>
            <w:hideMark/>
          </w:tcPr>
          <w:p w14:paraId="25090438"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lastRenderedPageBreak/>
              <w:t xml:space="preserve">Intensive engagement through regular meetings, compliance updates, and strategic </w:t>
            </w:r>
            <w:r w:rsidRPr="00513F87">
              <w:rPr>
                <w:rFonts w:ascii="Times New Roman" w:hAnsi="Times New Roman" w:cs="Times New Roman"/>
                <w:sz w:val="24"/>
                <w:szCs w:val="24"/>
              </w:rPr>
              <w:lastRenderedPageBreak/>
              <w:t>decision-making sessions.</w:t>
            </w:r>
          </w:p>
        </w:tc>
        <w:tc>
          <w:tcPr>
            <w:tcW w:w="0" w:type="auto"/>
            <w:vAlign w:val="center"/>
            <w:hideMark/>
          </w:tcPr>
          <w:p w14:paraId="65F3908A"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lastRenderedPageBreak/>
              <w:t xml:space="preserve">These stakeholders directly affect project success. Early and continuous involvement ensures regulatory alignment, funding approval, and </w:t>
            </w:r>
            <w:r w:rsidRPr="00513F87">
              <w:rPr>
                <w:rFonts w:ascii="Times New Roman" w:hAnsi="Times New Roman" w:cs="Times New Roman"/>
                <w:sz w:val="24"/>
                <w:szCs w:val="24"/>
              </w:rPr>
              <w:lastRenderedPageBreak/>
              <w:t xml:space="preserve">strategic oversight. As </w:t>
            </w:r>
            <w:r w:rsidRPr="00513F87">
              <w:rPr>
                <w:rFonts w:ascii="Times New Roman" w:hAnsi="Times New Roman" w:cs="Times New Roman"/>
                <w:b/>
                <w:bCs/>
                <w:sz w:val="24"/>
                <w:szCs w:val="24"/>
              </w:rPr>
              <w:t>Freeman (1984)</w:t>
            </w:r>
            <w:r w:rsidRPr="00513F87">
              <w:rPr>
                <w:rFonts w:ascii="Times New Roman" w:hAnsi="Times New Roman" w:cs="Times New Roman"/>
                <w:sz w:val="24"/>
                <w:szCs w:val="24"/>
              </w:rPr>
              <w:t xml:space="preserve"> notes, high-power stakeholders must be fully integrated into decision-making to sustain legitimacy.</w:t>
            </w:r>
          </w:p>
        </w:tc>
      </w:tr>
      <w:tr w:rsidR="00513F87" w:rsidRPr="00513F87" w14:paraId="4871593A" w14:textId="77777777" w:rsidTr="00513F87">
        <w:trPr>
          <w:tblCellSpacing w:w="15" w:type="dxa"/>
        </w:trPr>
        <w:tc>
          <w:tcPr>
            <w:tcW w:w="0" w:type="auto"/>
            <w:vAlign w:val="center"/>
            <w:hideMark/>
          </w:tcPr>
          <w:p w14:paraId="3F496DDE"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b/>
                <w:bCs/>
                <w:sz w:val="24"/>
                <w:szCs w:val="24"/>
              </w:rPr>
              <w:lastRenderedPageBreak/>
              <w:t>Keep Satisfied (High Power, Low Interest)</w:t>
            </w:r>
          </w:p>
        </w:tc>
        <w:tc>
          <w:tcPr>
            <w:tcW w:w="0" w:type="auto"/>
            <w:vAlign w:val="center"/>
            <w:hideMark/>
          </w:tcPr>
          <w:p w14:paraId="586569DB" w14:textId="77777777" w:rsidR="00513F87" w:rsidRPr="001C218D"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Investors</w:t>
            </w:r>
          </w:p>
          <w:p w14:paraId="6225091A" w14:textId="77777777" w:rsidR="00513F87" w:rsidRPr="001C218D"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Corporate Legal Advisors</w:t>
            </w:r>
          </w:p>
          <w:p w14:paraId="7F08C379" w14:textId="459AE3E1"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Supply Chain Partners</w:t>
            </w:r>
          </w:p>
        </w:tc>
        <w:tc>
          <w:tcPr>
            <w:tcW w:w="0" w:type="auto"/>
            <w:vAlign w:val="center"/>
            <w:hideMark/>
          </w:tcPr>
          <w:p w14:paraId="0E3FF365"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Maintain satisfaction through performance reports, briefings, and milestone summaries.</w:t>
            </w:r>
          </w:p>
        </w:tc>
        <w:tc>
          <w:tcPr>
            <w:tcW w:w="0" w:type="auto"/>
            <w:vAlign w:val="center"/>
            <w:hideMark/>
          </w:tcPr>
          <w:p w14:paraId="466915AD"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xml:space="preserve">Though not involved in daily operations, their satisfaction is crucial for continued financial and legal support. As </w:t>
            </w:r>
            <w:r w:rsidRPr="00513F87">
              <w:rPr>
                <w:rFonts w:ascii="Times New Roman" w:hAnsi="Times New Roman" w:cs="Times New Roman"/>
                <w:b/>
                <w:bCs/>
                <w:sz w:val="24"/>
                <w:szCs w:val="24"/>
              </w:rPr>
              <w:t>Mitchell, Agle and Wood (1997)</w:t>
            </w:r>
            <w:r w:rsidRPr="00513F87">
              <w:rPr>
                <w:rFonts w:ascii="Times New Roman" w:hAnsi="Times New Roman" w:cs="Times New Roman"/>
                <w:sz w:val="24"/>
                <w:szCs w:val="24"/>
              </w:rPr>
              <w:t xml:space="preserve"> argue, latent stakeholders can gain salience quickly if neglected.</w:t>
            </w:r>
          </w:p>
        </w:tc>
      </w:tr>
      <w:tr w:rsidR="00513F87" w:rsidRPr="00513F87" w14:paraId="4B05C200" w14:textId="77777777" w:rsidTr="00513F87">
        <w:trPr>
          <w:tblCellSpacing w:w="15" w:type="dxa"/>
        </w:trPr>
        <w:tc>
          <w:tcPr>
            <w:tcW w:w="0" w:type="auto"/>
            <w:vAlign w:val="center"/>
            <w:hideMark/>
          </w:tcPr>
          <w:p w14:paraId="3F78D592"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b/>
                <w:bCs/>
                <w:sz w:val="24"/>
                <w:szCs w:val="24"/>
              </w:rPr>
              <w:t>Keep Informed (Low Power, High Interest)</w:t>
            </w:r>
          </w:p>
        </w:tc>
        <w:tc>
          <w:tcPr>
            <w:tcW w:w="0" w:type="auto"/>
            <w:vAlign w:val="center"/>
            <w:hideMark/>
          </w:tcPr>
          <w:p w14:paraId="0A967251" w14:textId="77777777" w:rsidR="00513F87" w:rsidRPr="001C218D"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End Users / Patients</w:t>
            </w:r>
          </w:p>
          <w:p w14:paraId="11E9BF1D" w14:textId="77777777" w:rsidR="00513F87" w:rsidRPr="001C218D"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Clinicians</w:t>
            </w:r>
          </w:p>
          <w:p w14:paraId="19A6112A" w14:textId="48AC37E9"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Healthcare Charities</w:t>
            </w:r>
          </w:p>
        </w:tc>
        <w:tc>
          <w:tcPr>
            <w:tcW w:w="0" w:type="auto"/>
            <w:vAlign w:val="center"/>
            <w:hideMark/>
          </w:tcPr>
          <w:p w14:paraId="12ED4AE8"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Regular updates via newsletters, workshops, and pilot feedback sessions.</w:t>
            </w:r>
          </w:p>
        </w:tc>
        <w:tc>
          <w:tcPr>
            <w:tcW w:w="0" w:type="auto"/>
            <w:vAlign w:val="center"/>
            <w:hideMark/>
          </w:tcPr>
          <w:p w14:paraId="345F672C"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These stakeholders provide valuable insight for usability and product acceptance. Their involvement fosters co-creation and patient-</w:t>
            </w:r>
            <w:proofErr w:type="spellStart"/>
            <w:r w:rsidRPr="00513F87">
              <w:rPr>
                <w:rFonts w:ascii="Times New Roman" w:hAnsi="Times New Roman" w:cs="Times New Roman"/>
                <w:sz w:val="24"/>
                <w:szCs w:val="24"/>
              </w:rPr>
              <w:t>centred</w:t>
            </w:r>
            <w:proofErr w:type="spellEnd"/>
            <w:r w:rsidRPr="00513F87">
              <w:rPr>
                <w:rFonts w:ascii="Times New Roman" w:hAnsi="Times New Roman" w:cs="Times New Roman"/>
                <w:sz w:val="24"/>
                <w:szCs w:val="24"/>
              </w:rPr>
              <w:t xml:space="preserve"> design, reflecting </w:t>
            </w:r>
            <w:r w:rsidRPr="00513F87">
              <w:rPr>
                <w:rFonts w:ascii="Times New Roman" w:hAnsi="Times New Roman" w:cs="Times New Roman"/>
                <w:b/>
                <w:bCs/>
                <w:sz w:val="24"/>
                <w:szCs w:val="24"/>
              </w:rPr>
              <w:t>Ashcroft’s (2017)</w:t>
            </w:r>
            <w:r w:rsidRPr="00513F87">
              <w:rPr>
                <w:rFonts w:ascii="Times New Roman" w:hAnsi="Times New Roman" w:cs="Times New Roman"/>
                <w:sz w:val="24"/>
                <w:szCs w:val="24"/>
              </w:rPr>
              <w:t xml:space="preserve"> “Relational Lens” of trust-based engagement.</w:t>
            </w:r>
          </w:p>
        </w:tc>
      </w:tr>
      <w:tr w:rsidR="001C218D" w:rsidRPr="00513F87" w14:paraId="0B5CC7D8" w14:textId="77777777" w:rsidTr="00513F87">
        <w:trPr>
          <w:tblCellSpacing w:w="15" w:type="dxa"/>
        </w:trPr>
        <w:tc>
          <w:tcPr>
            <w:tcW w:w="0" w:type="auto"/>
            <w:vAlign w:val="center"/>
            <w:hideMark/>
          </w:tcPr>
          <w:p w14:paraId="36F04AA0"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b/>
                <w:bCs/>
                <w:sz w:val="24"/>
                <w:szCs w:val="24"/>
              </w:rPr>
              <w:t>Monitor (Low Power, Low Interest)</w:t>
            </w:r>
          </w:p>
        </w:tc>
        <w:tc>
          <w:tcPr>
            <w:tcW w:w="0" w:type="auto"/>
            <w:vAlign w:val="center"/>
            <w:hideMark/>
          </w:tcPr>
          <w:p w14:paraId="1ADE5FC8" w14:textId="77777777" w:rsidR="00513F87" w:rsidRPr="001C218D"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Media</w:t>
            </w:r>
          </w:p>
          <w:p w14:paraId="78905216" w14:textId="77777777" w:rsidR="00513F87" w:rsidRPr="001C218D"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General Public</w:t>
            </w:r>
          </w:p>
          <w:p w14:paraId="3B6BA0AF" w14:textId="600D4802"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External NGOs</w:t>
            </w:r>
          </w:p>
        </w:tc>
        <w:tc>
          <w:tcPr>
            <w:tcW w:w="0" w:type="auto"/>
            <w:vAlign w:val="center"/>
            <w:hideMark/>
          </w:tcPr>
          <w:p w14:paraId="2B003B22"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Minimal but transparent communication through public announcements and CSR reporting.</w:t>
            </w:r>
          </w:p>
        </w:tc>
        <w:tc>
          <w:tcPr>
            <w:tcW w:w="0" w:type="auto"/>
            <w:vAlign w:val="center"/>
            <w:hideMark/>
          </w:tcPr>
          <w:p w14:paraId="42E94DDC" w14:textId="77777777" w:rsidR="00513F87" w:rsidRPr="00513F87" w:rsidRDefault="00513F87" w:rsidP="00EF1E3E">
            <w:pPr>
              <w:spacing w:line="360" w:lineRule="auto"/>
              <w:jc w:val="both"/>
              <w:rPr>
                <w:rFonts w:ascii="Times New Roman" w:hAnsi="Times New Roman" w:cs="Times New Roman"/>
                <w:sz w:val="24"/>
                <w:szCs w:val="24"/>
              </w:rPr>
            </w:pPr>
            <w:r w:rsidRPr="00513F87">
              <w:rPr>
                <w:rFonts w:ascii="Times New Roman" w:hAnsi="Times New Roman" w:cs="Times New Roman"/>
                <w:sz w:val="24"/>
                <w:szCs w:val="24"/>
              </w:rPr>
              <w:t xml:space="preserve">Monitoring ensures that potential reputational risks are detected early. As </w:t>
            </w:r>
            <w:r w:rsidRPr="00513F87">
              <w:rPr>
                <w:rFonts w:ascii="Times New Roman" w:hAnsi="Times New Roman" w:cs="Times New Roman"/>
                <w:b/>
                <w:bCs/>
                <w:sz w:val="24"/>
                <w:szCs w:val="24"/>
              </w:rPr>
              <w:t>Cornelissen (2017)</w:t>
            </w:r>
            <w:r w:rsidRPr="00513F87">
              <w:rPr>
                <w:rFonts w:ascii="Times New Roman" w:hAnsi="Times New Roman" w:cs="Times New Roman"/>
                <w:sz w:val="24"/>
                <w:szCs w:val="24"/>
              </w:rPr>
              <w:t xml:space="preserve"> notes, even low-salience stakeholders can shape public discourse during crises.</w:t>
            </w:r>
          </w:p>
        </w:tc>
      </w:tr>
    </w:tbl>
    <w:p w14:paraId="68C6558E" w14:textId="77777777" w:rsidR="00513F87" w:rsidRPr="001C218D" w:rsidRDefault="00513F87" w:rsidP="00EF1E3E">
      <w:pPr>
        <w:spacing w:line="360" w:lineRule="auto"/>
        <w:jc w:val="both"/>
        <w:rPr>
          <w:rFonts w:ascii="Times New Roman" w:hAnsi="Times New Roman" w:cs="Times New Roman"/>
          <w:sz w:val="24"/>
          <w:szCs w:val="24"/>
        </w:rPr>
      </w:pPr>
    </w:p>
    <w:p w14:paraId="3D63EF0A" w14:textId="36454177" w:rsidR="00513F87" w:rsidRPr="001C218D" w:rsidRDefault="00513F87"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lastRenderedPageBreak/>
        <w:t>Fig</w:t>
      </w:r>
      <w:r w:rsidR="00934E57" w:rsidRPr="001C218D">
        <w:rPr>
          <w:rFonts w:ascii="Times New Roman" w:hAnsi="Times New Roman" w:cs="Times New Roman"/>
          <w:sz w:val="24"/>
          <w:szCs w:val="24"/>
        </w:rPr>
        <w:t>ure</w:t>
      </w:r>
      <w:r w:rsidRPr="001C218D">
        <w:rPr>
          <w:rFonts w:ascii="Times New Roman" w:hAnsi="Times New Roman" w:cs="Times New Roman"/>
          <w:sz w:val="24"/>
          <w:szCs w:val="24"/>
        </w:rPr>
        <w:t xml:space="preserve"> 1: Stakeholder Mapping</w:t>
      </w:r>
    </w:p>
    <w:p w14:paraId="1B6CB503" w14:textId="3083525C" w:rsidR="0053159B" w:rsidRPr="001C218D" w:rsidRDefault="0053159B" w:rsidP="00D62B4E">
      <w:pPr>
        <w:spacing w:line="360" w:lineRule="auto"/>
        <w:jc w:val="center"/>
        <w:rPr>
          <w:rFonts w:ascii="Times New Roman" w:hAnsi="Times New Roman" w:cs="Times New Roman"/>
          <w:sz w:val="24"/>
          <w:szCs w:val="24"/>
        </w:rPr>
      </w:pPr>
      <w:r w:rsidRPr="001C218D">
        <w:rPr>
          <w:rFonts w:ascii="Times New Roman" w:hAnsi="Times New Roman" w:cs="Times New Roman"/>
          <w:noProof/>
          <w:sz w:val="24"/>
          <w:szCs w:val="24"/>
        </w:rPr>
        <w:drawing>
          <wp:inline distT="0" distB="0" distL="0" distR="0" wp14:anchorId="38FB6E9C" wp14:editId="49AB17CF">
            <wp:extent cx="4686300" cy="4344096"/>
            <wp:effectExtent l="0" t="0" r="0" b="0"/>
            <wp:docPr id="1816304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04856" name=""/>
                    <pic:cNvPicPr/>
                  </pic:nvPicPr>
                  <pic:blipFill>
                    <a:blip r:embed="rId8"/>
                    <a:stretch>
                      <a:fillRect/>
                    </a:stretch>
                  </pic:blipFill>
                  <pic:spPr>
                    <a:xfrm>
                      <a:off x="0" y="0"/>
                      <a:ext cx="4689083" cy="4346676"/>
                    </a:xfrm>
                    <a:prstGeom prst="rect">
                      <a:avLst/>
                    </a:prstGeom>
                  </pic:spPr>
                </pic:pic>
              </a:graphicData>
            </a:graphic>
          </wp:inline>
        </w:drawing>
      </w:r>
    </w:p>
    <w:p w14:paraId="4F680C49" w14:textId="6A855F44" w:rsidR="00D62B4E" w:rsidRPr="001C218D" w:rsidRDefault="00D62B4E" w:rsidP="00D62B4E">
      <w:pPr>
        <w:spacing w:line="360" w:lineRule="auto"/>
        <w:jc w:val="center"/>
        <w:rPr>
          <w:rFonts w:ascii="Times New Roman" w:hAnsi="Times New Roman" w:cs="Times New Roman"/>
          <w:sz w:val="24"/>
          <w:szCs w:val="24"/>
        </w:rPr>
      </w:pPr>
      <w:r w:rsidRPr="001C218D">
        <w:rPr>
          <w:rFonts w:ascii="Times New Roman" w:hAnsi="Times New Roman" w:cs="Times New Roman"/>
          <w:sz w:val="24"/>
          <w:szCs w:val="24"/>
        </w:rPr>
        <w:t>(Author)</w:t>
      </w:r>
    </w:p>
    <w:p w14:paraId="036E69C7" w14:textId="77777777" w:rsidR="00691881" w:rsidRPr="001C218D" w:rsidRDefault="00691881"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Although the model by Mendelow (1991) is effective and </w:t>
      </w:r>
      <w:proofErr w:type="spellStart"/>
      <w:r w:rsidRPr="001C218D">
        <w:rPr>
          <w:rFonts w:ascii="Times New Roman" w:hAnsi="Times New Roman" w:cs="Times New Roman"/>
          <w:sz w:val="24"/>
          <w:szCs w:val="24"/>
        </w:rPr>
        <w:t>recognises</w:t>
      </w:r>
      <w:proofErr w:type="spellEnd"/>
      <w:r w:rsidRPr="001C218D">
        <w:rPr>
          <w:rFonts w:ascii="Times New Roman" w:hAnsi="Times New Roman" w:cs="Times New Roman"/>
          <w:sz w:val="24"/>
          <w:szCs w:val="24"/>
        </w:rPr>
        <w:t xml:space="preserve"> the stakeholders based on their influence and interest, it is rather inflexible. In projects where the stakeholders are dynamic like launching a healthcare device, salience of stakeholders is high in pre-launch stage and consumer power is high post-launch. Therefore, continuous mapping and communication reviews would be crucial to the perpetual contact within the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project lifecycle (</w:t>
      </w:r>
      <w:proofErr w:type="spellStart"/>
      <w:r w:rsidRPr="001C218D">
        <w:rPr>
          <w:rFonts w:ascii="Times New Roman" w:hAnsi="Times New Roman" w:cs="Times New Roman"/>
          <w:sz w:val="24"/>
          <w:szCs w:val="24"/>
        </w:rPr>
        <w:t>Himma</w:t>
      </w:r>
      <w:proofErr w:type="spellEnd"/>
      <w:r w:rsidRPr="001C218D">
        <w:rPr>
          <w:rFonts w:ascii="Times New Roman" w:hAnsi="Times New Roman" w:cs="Times New Roman"/>
          <w:sz w:val="24"/>
          <w:szCs w:val="24"/>
        </w:rPr>
        <w:t xml:space="preserve">-Kadakas and </w:t>
      </w:r>
      <w:proofErr w:type="spellStart"/>
      <w:r w:rsidRPr="001C218D">
        <w:rPr>
          <w:rFonts w:ascii="Times New Roman" w:hAnsi="Times New Roman" w:cs="Times New Roman"/>
          <w:sz w:val="24"/>
          <w:szCs w:val="24"/>
        </w:rPr>
        <w:t>Pilt</w:t>
      </w:r>
      <w:proofErr w:type="spellEnd"/>
      <w:r w:rsidRPr="001C218D">
        <w:rPr>
          <w:rFonts w:ascii="Times New Roman" w:hAnsi="Times New Roman" w:cs="Times New Roman"/>
          <w:sz w:val="24"/>
          <w:szCs w:val="24"/>
        </w:rPr>
        <w:t>, 2023).</w:t>
      </w:r>
    </w:p>
    <w:p w14:paraId="04EC64A5" w14:textId="2517218A" w:rsidR="00C11FCD" w:rsidRPr="001C218D" w:rsidRDefault="00C11FCD" w:rsidP="00C90798">
      <w:pPr>
        <w:pStyle w:val="Heading1"/>
        <w:rPr>
          <w:rFonts w:ascii="Times New Roman" w:hAnsi="Times New Roman" w:cs="Times New Roman"/>
        </w:rPr>
      </w:pPr>
      <w:bookmarkStart w:id="7" w:name="_Toc210771186"/>
      <w:r w:rsidRPr="001C218D">
        <w:rPr>
          <w:rFonts w:ascii="Times New Roman" w:hAnsi="Times New Roman" w:cs="Times New Roman"/>
        </w:rPr>
        <w:t>4. Stakeholder Roles, Responsibilities, and Engagement Frameworks</w:t>
      </w:r>
      <w:bookmarkEnd w:id="7"/>
    </w:p>
    <w:p w14:paraId="08139050" w14:textId="3C0D8148" w:rsidR="00A0172A" w:rsidRPr="001C218D" w:rsidRDefault="00521ADB"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stakeholder involvement in the Philips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project will be effective with proper role definition, responsibility, and communication. The </w:t>
      </w:r>
      <w:r w:rsidR="00A0172A" w:rsidRPr="001C218D">
        <w:rPr>
          <w:rFonts w:ascii="Times New Roman" w:hAnsi="Times New Roman" w:cs="Times New Roman"/>
          <w:sz w:val="24"/>
          <w:szCs w:val="24"/>
        </w:rPr>
        <w:t>RACI matrix</w:t>
      </w:r>
      <w:r w:rsidRPr="001C218D">
        <w:rPr>
          <w:rFonts w:ascii="Times New Roman" w:hAnsi="Times New Roman" w:cs="Times New Roman"/>
          <w:sz w:val="24"/>
          <w:szCs w:val="24"/>
        </w:rPr>
        <w:t xml:space="preserve"> with the supplement of the </w:t>
      </w:r>
      <w:r w:rsidRPr="001C218D">
        <w:rPr>
          <w:rFonts w:ascii="Times New Roman" w:hAnsi="Times New Roman" w:cs="Times New Roman"/>
          <w:sz w:val="24"/>
          <w:szCs w:val="24"/>
        </w:rPr>
        <w:lastRenderedPageBreak/>
        <w:t xml:space="preserve">engagement and communication structures forms transparency and makes internal and external stakeholders work together on the same direction to achieve a specific objective. Bourne (2015) states that role and expectation clarity enhances stakeholder relationships and project performance in a complex and multi-sectoral context like </w:t>
      </w:r>
      <w:r w:rsidR="00A0172A" w:rsidRPr="001C218D">
        <w:rPr>
          <w:rFonts w:ascii="Times New Roman" w:hAnsi="Times New Roman" w:cs="Times New Roman"/>
          <w:sz w:val="24"/>
          <w:szCs w:val="24"/>
        </w:rPr>
        <w:t>healthcare</w:t>
      </w:r>
      <w:r w:rsidRPr="001C218D">
        <w:rPr>
          <w:rFonts w:ascii="Times New Roman" w:hAnsi="Times New Roman" w:cs="Times New Roman"/>
          <w:sz w:val="24"/>
          <w:szCs w:val="24"/>
        </w:rPr>
        <w:t xml:space="preserve"> technology.</w:t>
      </w:r>
    </w:p>
    <w:p w14:paraId="7D5FA589" w14:textId="64E6DF5B" w:rsidR="00C11FCD" w:rsidRPr="00C11FCD" w:rsidRDefault="00513F87" w:rsidP="00EF1E3E">
      <w:pPr>
        <w:spacing w:line="360" w:lineRule="auto"/>
        <w:jc w:val="both"/>
        <w:rPr>
          <w:rFonts w:ascii="Times New Roman" w:hAnsi="Times New Roman" w:cs="Times New Roman"/>
          <w:b/>
          <w:bCs/>
          <w:sz w:val="24"/>
          <w:szCs w:val="24"/>
        </w:rPr>
      </w:pPr>
      <w:r w:rsidRPr="001C218D">
        <w:rPr>
          <w:rFonts w:ascii="Times New Roman" w:hAnsi="Times New Roman" w:cs="Times New Roman"/>
          <w:b/>
          <w:bCs/>
          <w:sz w:val="24"/>
          <w:szCs w:val="24"/>
        </w:rPr>
        <w:t xml:space="preserve">Table 3: </w:t>
      </w:r>
      <w:r w:rsidR="00C11FCD" w:rsidRPr="00C11FCD">
        <w:rPr>
          <w:rFonts w:ascii="Times New Roman" w:hAnsi="Times New Roman" w:cs="Times New Roman"/>
          <w:b/>
          <w:bCs/>
          <w:sz w:val="24"/>
          <w:szCs w:val="24"/>
        </w:rPr>
        <w:t xml:space="preserve">RACI Matrix for Philips </w:t>
      </w:r>
      <w:proofErr w:type="spellStart"/>
      <w:r w:rsidR="00C11FCD" w:rsidRPr="00C11FCD">
        <w:rPr>
          <w:rFonts w:ascii="Times New Roman" w:hAnsi="Times New Roman" w:cs="Times New Roman"/>
          <w:b/>
          <w:bCs/>
          <w:sz w:val="24"/>
          <w:szCs w:val="24"/>
        </w:rPr>
        <w:t>VitalBand</w:t>
      </w:r>
      <w:proofErr w:type="spellEnd"/>
      <w:r w:rsidR="00C11FCD" w:rsidRPr="00C11FCD">
        <w:rPr>
          <w:rFonts w:ascii="Times New Roman" w:hAnsi="Times New Roman" w:cs="Times New Roman"/>
          <w:b/>
          <w:bCs/>
          <w:sz w:val="24"/>
          <w:szCs w:val="24"/>
        </w:rPr>
        <w:t xml:space="preserve"> Project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4"/>
        <w:gridCol w:w="1353"/>
        <w:gridCol w:w="1748"/>
        <w:gridCol w:w="1711"/>
        <w:gridCol w:w="1561"/>
        <w:gridCol w:w="1423"/>
      </w:tblGrid>
      <w:tr w:rsidR="00055929" w:rsidRPr="00055929" w14:paraId="300D3F52" w14:textId="77777777" w:rsidTr="00597DF7">
        <w:trPr>
          <w:tblHeader/>
          <w:tblCellSpacing w:w="15" w:type="dxa"/>
        </w:trPr>
        <w:tc>
          <w:tcPr>
            <w:tcW w:w="0" w:type="auto"/>
            <w:shd w:val="clear" w:color="auto" w:fill="EDEDED" w:themeFill="accent3" w:themeFillTint="33"/>
            <w:vAlign w:val="center"/>
            <w:hideMark/>
          </w:tcPr>
          <w:p w14:paraId="4F6109BD"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TASKS / ACTIVITIES</w:t>
            </w:r>
          </w:p>
        </w:tc>
        <w:tc>
          <w:tcPr>
            <w:tcW w:w="0" w:type="auto"/>
            <w:shd w:val="clear" w:color="auto" w:fill="EDEDED" w:themeFill="accent3" w:themeFillTint="33"/>
            <w:vAlign w:val="center"/>
            <w:hideMark/>
          </w:tcPr>
          <w:p w14:paraId="58BF7E76"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PROJECT MANAGER</w:t>
            </w:r>
          </w:p>
        </w:tc>
        <w:tc>
          <w:tcPr>
            <w:tcW w:w="0" w:type="auto"/>
            <w:shd w:val="clear" w:color="auto" w:fill="EDEDED" w:themeFill="accent3" w:themeFillTint="33"/>
            <w:vAlign w:val="center"/>
            <w:hideMark/>
          </w:tcPr>
          <w:p w14:paraId="456356CC"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ENGINEERING TEAM</w:t>
            </w:r>
          </w:p>
        </w:tc>
        <w:tc>
          <w:tcPr>
            <w:tcW w:w="0" w:type="auto"/>
            <w:shd w:val="clear" w:color="auto" w:fill="EDEDED" w:themeFill="accent3" w:themeFillTint="33"/>
            <w:vAlign w:val="center"/>
            <w:hideMark/>
          </w:tcPr>
          <w:p w14:paraId="0F05B976"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QA / COMPLIANCE TEAM</w:t>
            </w:r>
          </w:p>
        </w:tc>
        <w:tc>
          <w:tcPr>
            <w:tcW w:w="0" w:type="auto"/>
            <w:shd w:val="clear" w:color="auto" w:fill="EDEDED" w:themeFill="accent3" w:themeFillTint="33"/>
            <w:vAlign w:val="center"/>
            <w:hideMark/>
          </w:tcPr>
          <w:p w14:paraId="69A8A62D"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MARKETING TEAM</w:t>
            </w:r>
          </w:p>
        </w:tc>
        <w:tc>
          <w:tcPr>
            <w:tcW w:w="0" w:type="auto"/>
            <w:shd w:val="clear" w:color="auto" w:fill="EDEDED" w:themeFill="accent3" w:themeFillTint="33"/>
            <w:vAlign w:val="center"/>
            <w:hideMark/>
          </w:tcPr>
          <w:p w14:paraId="05FC030A"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SUPPLIERS / NHS / MHRA</w:t>
            </w:r>
          </w:p>
        </w:tc>
      </w:tr>
      <w:tr w:rsidR="00055929" w:rsidRPr="00055929" w14:paraId="361A6085" w14:textId="77777777" w:rsidTr="00597DF7">
        <w:trPr>
          <w:tblCellSpacing w:w="15" w:type="dxa"/>
        </w:trPr>
        <w:tc>
          <w:tcPr>
            <w:tcW w:w="0" w:type="auto"/>
            <w:shd w:val="clear" w:color="auto" w:fill="EDEDED" w:themeFill="accent3" w:themeFillTint="33"/>
            <w:vAlign w:val="center"/>
            <w:hideMark/>
          </w:tcPr>
          <w:p w14:paraId="0742F878"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Product Design &amp; Development</w:t>
            </w:r>
          </w:p>
        </w:tc>
        <w:tc>
          <w:tcPr>
            <w:tcW w:w="0" w:type="auto"/>
            <w:shd w:val="clear" w:color="auto" w:fill="FFD966" w:themeFill="accent4" w:themeFillTint="99"/>
            <w:vAlign w:val="center"/>
            <w:hideMark/>
          </w:tcPr>
          <w:p w14:paraId="2F42D89B"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A</w:t>
            </w:r>
          </w:p>
        </w:tc>
        <w:tc>
          <w:tcPr>
            <w:tcW w:w="0" w:type="auto"/>
            <w:shd w:val="clear" w:color="auto" w:fill="EE0000"/>
            <w:vAlign w:val="center"/>
            <w:hideMark/>
          </w:tcPr>
          <w:p w14:paraId="327C70F3"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R</w:t>
            </w:r>
          </w:p>
        </w:tc>
        <w:tc>
          <w:tcPr>
            <w:tcW w:w="0" w:type="auto"/>
            <w:shd w:val="clear" w:color="auto" w:fill="A8D08D" w:themeFill="accent6" w:themeFillTint="99"/>
            <w:vAlign w:val="center"/>
            <w:hideMark/>
          </w:tcPr>
          <w:p w14:paraId="6B05EE6B"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C</w:t>
            </w:r>
          </w:p>
        </w:tc>
        <w:tc>
          <w:tcPr>
            <w:tcW w:w="0" w:type="auto"/>
            <w:shd w:val="clear" w:color="auto" w:fill="227ACB"/>
            <w:vAlign w:val="center"/>
            <w:hideMark/>
          </w:tcPr>
          <w:p w14:paraId="5D987E66"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I</w:t>
            </w:r>
          </w:p>
        </w:tc>
        <w:tc>
          <w:tcPr>
            <w:tcW w:w="0" w:type="auto"/>
            <w:shd w:val="clear" w:color="auto" w:fill="227ACB"/>
            <w:vAlign w:val="center"/>
            <w:hideMark/>
          </w:tcPr>
          <w:p w14:paraId="3E35EEE3"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I</w:t>
            </w:r>
          </w:p>
        </w:tc>
      </w:tr>
      <w:tr w:rsidR="00055929" w:rsidRPr="00055929" w14:paraId="5A184445" w14:textId="77777777" w:rsidTr="00597DF7">
        <w:trPr>
          <w:tblCellSpacing w:w="15" w:type="dxa"/>
        </w:trPr>
        <w:tc>
          <w:tcPr>
            <w:tcW w:w="0" w:type="auto"/>
            <w:shd w:val="clear" w:color="auto" w:fill="EDEDED" w:themeFill="accent3" w:themeFillTint="33"/>
            <w:vAlign w:val="center"/>
            <w:hideMark/>
          </w:tcPr>
          <w:p w14:paraId="2CF590EE"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Prototype Testing &amp; Validation</w:t>
            </w:r>
          </w:p>
        </w:tc>
        <w:tc>
          <w:tcPr>
            <w:tcW w:w="0" w:type="auto"/>
            <w:shd w:val="clear" w:color="auto" w:fill="A8D08D" w:themeFill="accent6" w:themeFillTint="99"/>
            <w:vAlign w:val="center"/>
            <w:hideMark/>
          </w:tcPr>
          <w:p w14:paraId="63C5C04B"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C</w:t>
            </w:r>
          </w:p>
        </w:tc>
        <w:tc>
          <w:tcPr>
            <w:tcW w:w="0" w:type="auto"/>
            <w:shd w:val="clear" w:color="auto" w:fill="EE0000"/>
            <w:vAlign w:val="center"/>
            <w:hideMark/>
          </w:tcPr>
          <w:p w14:paraId="346EE22D"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R</w:t>
            </w:r>
          </w:p>
        </w:tc>
        <w:tc>
          <w:tcPr>
            <w:tcW w:w="0" w:type="auto"/>
            <w:shd w:val="clear" w:color="auto" w:fill="FFD966" w:themeFill="accent4" w:themeFillTint="99"/>
            <w:vAlign w:val="center"/>
            <w:hideMark/>
          </w:tcPr>
          <w:p w14:paraId="1CE7A587"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A</w:t>
            </w:r>
          </w:p>
        </w:tc>
        <w:tc>
          <w:tcPr>
            <w:tcW w:w="0" w:type="auto"/>
            <w:shd w:val="clear" w:color="auto" w:fill="227ACB"/>
            <w:vAlign w:val="center"/>
            <w:hideMark/>
          </w:tcPr>
          <w:p w14:paraId="7DC5E2F6"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I</w:t>
            </w:r>
          </w:p>
        </w:tc>
        <w:tc>
          <w:tcPr>
            <w:tcW w:w="0" w:type="auto"/>
            <w:shd w:val="clear" w:color="auto" w:fill="A8D08D" w:themeFill="accent6" w:themeFillTint="99"/>
            <w:vAlign w:val="center"/>
            <w:hideMark/>
          </w:tcPr>
          <w:p w14:paraId="2BA0FD0A"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C</w:t>
            </w:r>
          </w:p>
        </w:tc>
      </w:tr>
      <w:tr w:rsidR="00055929" w:rsidRPr="00055929" w14:paraId="680CE5B9" w14:textId="77777777" w:rsidTr="00597DF7">
        <w:trPr>
          <w:tblCellSpacing w:w="15" w:type="dxa"/>
        </w:trPr>
        <w:tc>
          <w:tcPr>
            <w:tcW w:w="0" w:type="auto"/>
            <w:shd w:val="clear" w:color="auto" w:fill="EDEDED" w:themeFill="accent3" w:themeFillTint="33"/>
            <w:vAlign w:val="center"/>
            <w:hideMark/>
          </w:tcPr>
          <w:p w14:paraId="6FFFEA86"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Regulatory Compliance &amp; Approval</w:t>
            </w:r>
          </w:p>
        </w:tc>
        <w:tc>
          <w:tcPr>
            <w:tcW w:w="0" w:type="auto"/>
            <w:shd w:val="clear" w:color="auto" w:fill="227ACB"/>
            <w:vAlign w:val="center"/>
            <w:hideMark/>
          </w:tcPr>
          <w:p w14:paraId="47D50041"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I</w:t>
            </w:r>
          </w:p>
        </w:tc>
        <w:tc>
          <w:tcPr>
            <w:tcW w:w="0" w:type="auto"/>
            <w:shd w:val="clear" w:color="auto" w:fill="A8D08D" w:themeFill="accent6" w:themeFillTint="99"/>
            <w:vAlign w:val="center"/>
            <w:hideMark/>
          </w:tcPr>
          <w:p w14:paraId="517794E7"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C</w:t>
            </w:r>
          </w:p>
        </w:tc>
        <w:tc>
          <w:tcPr>
            <w:tcW w:w="0" w:type="auto"/>
            <w:shd w:val="clear" w:color="auto" w:fill="FFD966" w:themeFill="accent4" w:themeFillTint="99"/>
            <w:vAlign w:val="center"/>
            <w:hideMark/>
          </w:tcPr>
          <w:p w14:paraId="73985335"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A</w:t>
            </w:r>
          </w:p>
        </w:tc>
        <w:tc>
          <w:tcPr>
            <w:tcW w:w="0" w:type="auto"/>
            <w:shd w:val="clear" w:color="auto" w:fill="227ACB"/>
            <w:vAlign w:val="center"/>
            <w:hideMark/>
          </w:tcPr>
          <w:p w14:paraId="35BD0AAC"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I</w:t>
            </w:r>
          </w:p>
        </w:tc>
        <w:tc>
          <w:tcPr>
            <w:tcW w:w="0" w:type="auto"/>
            <w:shd w:val="clear" w:color="auto" w:fill="EE0000"/>
            <w:vAlign w:val="center"/>
            <w:hideMark/>
          </w:tcPr>
          <w:p w14:paraId="304F2A0C"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R</w:t>
            </w:r>
          </w:p>
        </w:tc>
      </w:tr>
      <w:tr w:rsidR="00055929" w:rsidRPr="00055929" w14:paraId="7621AC20" w14:textId="77777777" w:rsidTr="00597DF7">
        <w:trPr>
          <w:tblCellSpacing w:w="15" w:type="dxa"/>
        </w:trPr>
        <w:tc>
          <w:tcPr>
            <w:tcW w:w="0" w:type="auto"/>
            <w:shd w:val="clear" w:color="auto" w:fill="EDEDED" w:themeFill="accent3" w:themeFillTint="33"/>
            <w:vAlign w:val="center"/>
            <w:hideMark/>
          </w:tcPr>
          <w:p w14:paraId="51D5E277"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Marketing &amp; Launch Planning</w:t>
            </w:r>
          </w:p>
        </w:tc>
        <w:tc>
          <w:tcPr>
            <w:tcW w:w="0" w:type="auto"/>
            <w:shd w:val="clear" w:color="auto" w:fill="A8D08D" w:themeFill="accent6" w:themeFillTint="99"/>
            <w:vAlign w:val="center"/>
            <w:hideMark/>
          </w:tcPr>
          <w:p w14:paraId="155DDD87"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C</w:t>
            </w:r>
          </w:p>
        </w:tc>
        <w:tc>
          <w:tcPr>
            <w:tcW w:w="0" w:type="auto"/>
            <w:shd w:val="clear" w:color="auto" w:fill="227ACB"/>
            <w:vAlign w:val="center"/>
            <w:hideMark/>
          </w:tcPr>
          <w:p w14:paraId="4D0845E8"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I</w:t>
            </w:r>
          </w:p>
        </w:tc>
        <w:tc>
          <w:tcPr>
            <w:tcW w:w="0" w:type="auto"/>
            <w:shd w:val="clear" w:color="auto" w:fill="A8D08D" w:themeFill="accent6" w:themeFillTint="99"/>
            <w:vAlign w:val="center"/>
            <w:hideMark/>
          </w:tcPr>
          <w:p w14:paraId="516EA228"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C</w:t>
            </w:r>
          </w:p>
        </w:tc>
        <w:tc>
          <w:tcPr>
            <w:tcW w:w="0" w:type="auto"/>
            <w:shd w:val="clear" w:color="auto" w:fill="EE0000"/>
            <w:vAlign w:val="center"/>
            <w:hideMark/>
          </w:tcPr>
          <w:p w14:paraId="1C4FC04F" w14:textId="75680CFC" w:rsidR="00055929" w:rsidRPr="00055929" w:rsidRDefault="00302CC3"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R</w:t>
            </w:r>
          </w:p>
        </w:tc>
        <w:tc>
          <w:tcPr>
            <w:tcW w:w="0" w:type="auto"/>
            <w:shd w:val="clear" w:color="auto" w:fill="227ACB"/>
            <w:vAlign w:val="center"/>
            <w:hideMark/>
          </w:tcPr>
          <w:p w14:paraId="3A916021"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I</w:t>
            </w:r>
          </w:p>
        </w:tc>
      </w:tr>
      <w:tr w:rsidR="00055929" w:rsidRPr="00055929" w14:paraId="4835E7BC" w14:textId="77777777" w:rsidTr="00597DF7">
        <w:trPr>
          <w:tblCellSpacing w:w="15" w:type="dxa"/>
        </w:trPr>
        <w:tc>
          <w:tcPr>
            <w:tcW w:w="0" w:type="auto"/>
            <w:shd w:val="clear" w:color="auto" w:fill="EDEDED" w:themeFill="accent3" w:themeFillTint="33"/>
            <w:vAlign w:val="center"/>
            <w:hideMark/>
          </w:tcPr>
          <w:p w14:paraId="04D5352D"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Supply Chain &amp; Logistics Coordination</w:t>
            </w:r>
          </w:p>
        </w:tc>
        <w:tc>
          <w:tcPr>
            <w:tcW w:w="0" w:type="auto"/>
            <w:shd w:val="clear" w:color="auto" w:fill="A8D08D" w:themeFill="accent6" w:themeFillTint="99"/>
            <w:vAlign w:val="center"/>
            <w:hideMark/>
          </w:tcPr>
          <w:p w14:paraId="0265A20B"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C</w:t>
            </w:r>
          </w:p>
        </w:tc>
        <w:tc>
          <w:tcPr>
            <w:tcW w:w="0" w:type="auto"/>
            <w:shd w:val="clear" w:color="auto" w:fill="227ACB"/>
            <w:vAlign w:val="center"/>
            <w:hideMark/>
          </w:tcPr>
          <w:p w14:paraId="1006374C"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I</w:t>
            </w:r>
          </w:p>
        </w:tc>
        <w:tc>
          <w:tcPr>
            <w:tcW w:w="0" w:type="auto"/>
            <w:shd w:val="clear" w:color="auto" w:fill="FFD966" w:themeFill="accent4" w:themeFillTint="99"/>
            <w:vAlign w:val="center"/>
            <w:hideMark/>
          </w:tcPr>
          <w:p w14:paraId="59841409" w14:textId="6006C980" w:rsidR="00055929" w:rsidRPr="00055929" w:rsidRDefault="00302CC3"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A</w:t>
            </w:r>
          </w:p>
        </w:tc>
        <w:tc>
          <w:tcPr>
            <w:tcW w:w="0" w:type="auto"/>
            <w:shd w:val="clear" w:color="auto" w:fill="227ACB"/>
            <w:vAlign w:val="center"/>
            <w:hideMark/>
          </w:tcPr>
          <w:p w14:paraId="3B017B4E"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I</w:t>
            </w:r>
          </w:p>
        </w:tc>
        <w:tc>
          <w:tcPr>
            <w:tcW w:w="0" w:type="auto"/>
            <w:shd w:val="clear" w:color="auto" w:fill="FFD966" w:themeFill="accent4" w:themeFillTint="99"/>
            <w:vAlign w:val="center"/>
            <w:hideMark/>
          </w:tcPr>
          <w:p w14:paraId="42E4379A"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A</w:t>
            </w:r>
          </w:p>
        </w:tc>
      </w:tr>
      <w:tr w:rsidR="00055929" w:rsidRPr="00055929" w14:paraId="521D41DC" w14:textId="77777777" w:rsidTr="00597DF7">
        <w:trPr>
          <w:tblCellSpacing w:w="15" w:type="dxa"/>
        </w:trPr>
        <w:tc>
          <w:tcPr>
            <w:tcW w:w="0" w:type="auto"/>
            <w:shd w:val="clear" w:color="auto" w:fill="EDEDED" w:themeFill="accent3" w:themeFillTint="33"/>
            <w:vAlign w:val="center"/>
            <w:hideMark/>
          </w:tcPr>
          <w:p w14:paraId="5707FA80"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Post-Launch Evaluation &amp; Feedback</w:t>
            </w:r>
          </w:p>
        </w:tc>
        <w:tc>
          <w:tcPr>
            <w:tcW w:w="0" w:type="auto"/>
            <w:shd w:val="clear" w:color="auto" w:fill="FFD966" w:themeFill="accent4" w:themeFillTint="99"/>
            <w:vAlign w:val="center"/>
            <w:hideMark/>
          </w:tcPr>
          <w:p w14:paraId="6821ED38"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A</w:t>
            </w:r>
          </w:p>
        </w:tc>
        <w:tc>
          <w:tcPr>
            <w:tcW w:w="0" w:type="auto"/>
            <w:shd w:val="clear" w:color="auto" w:fill="A8D08D" w:themeFill="accent6" w:themeFillTint="99"/>
            <w:vAlign w:val="center"/>
            <w:hideMark/>
          </w:tcPr>
          <w:p w14:paraId="78966CAF"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C</w:t>
            </w:r>
          </w:p>
        </w:tc>
        <w:tc>
          <w:tcPr>
            <w:tcW w:w="0" w:type="auto"/>
            <w:shd w:val="clear" w:color="auto" w:fill="A8D08D" w:themeFill="accent6" w:themeFillTint="99"/>
            <w:vAlign w:val="center"/>
            <w:hideMark/>
          </w:tcPr>
          <w:p w14:paraId="3DD472A1"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C</w:t>
            </w:r>
          </w:p>
        </w:tc>
        <w:tc>
          <w:tcPr>
            <w:tcW w:w="0" w:type="auto"/>
            <w:shd w:val="clear" w:color="auto" w:fill="EE0000"/>
            <w:vAlign w:val="center"/>
            <w:hideMark/>
          </w:tcPr>
          <w:p w14:paraId="1A3E6A79"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R</w:t>
            </w:r>
          </w:p>
        </w:tc>
        <w:tc>
          <w:tcPr>
            <w:tcW w:w="0" w:type="auto"/>
            <w:shd w:val="clear" w:color="auto" w:fill="227ACB"/>
            <w:vAlign w:val="center"/>
            <w:hideMark/>
          </w:tcPr>
          <w:p w14:paraId="67877195" w14:textId="77777777" w:rsidR="00055929" w:rsidRPr="00055929" w:rsidRDefault="00055929" w:rsidP="00EF1E3E">
            <w:pPr>
              <w:spacing w:line="360" w:lineRule="auto"/>
              <w:jc w:val="both"/>
              <w:rPr>
                <w:rFonts w:ascii="Times New Roman" w:hAnsi="Times New Roman" w:cs="Times New Roman"/>
                <w:sz w:val="24"/>
                <w:szCs w:val="24"/>
              </w:rPr>
            </w:pPr>
            <w:r w:rsidRPr="00055929">
              <w:rPr>
                <w:rFonts w:ascii="Times New Roman" w:hAnsi="Times New Roman" w:cs="Times New Roman"/>
                <w:sz w:val="24"/>
                <w:szCs w:val="24"/>
              </w:rPr>
              <w:t>I</w:t>
            </w:r>
          </w:p>
        </w:tc>
      </w:tr>
    </w:tbl>
    <w:p w14:paraId="56F6ED14" w14:textId="77777777" w:rsidR="00C11FCD" w:rsidRPr="00C11FCD" w:rsidRDefault="00C11FCD" w:rsidP="00EF1E3E">
      <w:pPr>
        <w:spacing w:line="360" w:lineRule="auto"/>
        <w:jc w:val="both"/>
        <w:rPr>
          <w:rFonts w:ascii="Times New Roman" w:hAnsi="Times New Roman" w:cs="Times New Roman"/>
          <w:sz w:val="24"/>
          <w:szCs w:val="24"/>
        </w:rPr>
      </w:pPr>
    </w:p>
    <w:p w14:paraId="6C9E440E" w14:textId="4BCD9350" w:rsidR="00EC5E26" w:rsidRPr="001C218D" w:rsidRDefault="00A0172A"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RACI model determines the action of who does what and who makes decisions without duplication and conflict. According to </w:t>
      </w:r>
      <w:proofErr w:type="spellStart"/>
      <w:r w:rsidRPr="001C218D">
        <w:rPr>
          <w:rFonts w:ascii="Times New Roman" w:hAnsi="Times New Roman" w:cs="Times New Roman"/>
          <w:sz w:val="24"/>
          <w:szCs w:val="24"/>
        </w:rPr>
        <w:t>Belbins</w:t>
      </w:r>
      <w:proofErr w:type="spellEnd"/>
      <w:r w:rsidRPr="001C218D">
        <w:rPr>
          <w:rFonts w:ascii="Times New Roman" w:hAnsi="Times New Roman" w:cs="Times New Roman"/>
          <w:sz w:val="24"/>
          <w:szCs w:val="24"/>
        </w:rPr>
        <w:t xml:space="preserve"> (2010) Team Role Theory, the balancing of functional diversity in terms of coordinators (project managers), implementers (engineers) and completer-finishers (QA teams) is important </w:t>
      </w:r>
      <w:r w:rsidR="00EC5E26" w:rsidRPr="001C218D">
        <w:rPr>
          <w:rFonts w:ascii="Times New Roman" w:hAnsi="Times New Roman" w:cs="Times New Roman"/>
          <w:sz w:val="24"/>
          <w:szCs w:val="24"/>
        </w:rPr>
        <w:t>to</w:t>
      </w:r>
      <w:r w:rsidRPr="001C218D">
        <w:rPr>
          <w:rFonts w:ascii="Times New Roman" w:hAnsi="Times New Roman" w:cs="Times New Roman"/>
          <w:sz w:val="24"/>
          <w:szCs w:val="24"/>
        </w:rPr>
        <w:t xml:space="preserve"> </w:t>
      </w:r>
      <w:proofErr w:type="spellStart"/>
      <w:r w:rsidRPr="001C218D">
        <w:rPr>
          <w:rFonts w:ascii="Times New Roman" w:hAnsi="Times New Roman" w:cs="Times New Roman"/>
          <w:sz w:val="24"/>
          <w:szCs w:val="24"/>
        </w:rPr>
        <w:t>maximise</w:t>
      </w:r>
      <w:proofErr w:type="spellEnd"/>
      <w:r w:rsidRPr="001C218D">
        <w:rPr>
          <w:rFonts w:ascii="Times New Roman" w:hAnsi="Times New Roman" w:cs="Times New Roman"/>
          <w:sz w:val="24"/>
          <w:szCs w:val="24"/>
        </w:rPr>
        <w:t xml:space="preserve"> collaboration. As the integrating force, the Project Manager </w:t>
      </w:r>
      <w:r w:rsidR="00EC5E26" w:rsidRPr="001C218D">
        <w:rPr>
          <w:rFonts w:ascii="Times New Roman" w:hAnsi="Times New Roman" w:cs="Times New Roman"/>
          <w:sz w:val="24"/>
          <w:szCs w:val="24"/>
        </w:rPr>
        <w:t>oversees</w:t>
      </w:r>
      <w:r w:rsidRPr="001C218D">
        <w:rPr>
          <w:rFonts w:ascii="Times New Roman" w:hAnsi="Times New Roman" w:cs="Times New Roman"/>
          <w:sz w:val="24"/>
          <w:szCs w:val="24"/>
        </w:rPr>
        <w:t xml:space="preserve"> the timelines, regulatory milestones, and cross-departmental communication. Close collaboration with R&amp;D and QA teams is carried out to ensure that the engineers and Designers develop safe, reliable, and easy to use designs that satisfy MHRA standards. Compliance departments would also be vital in submitting regulatory documents correctly to avoid possible delays. In the meantime, the Marketing and PR stakeholders convert the technical features of </w:t>
      </w:r>
      <w:proofErr w:type="spellStart"/>
      <w:r w:rsidR="00EC5E26"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into consumer-appropriate value propositions, without going against NHS procurement standards. </w:t>
      </w:r>
    </w:p>
    <w:p w14:paraId="31496E56" w14:textId="2CFC7842" w:rsidR="00C11FCD" w:rsidRPr="00C11FCD" w:rsidRDefault="00C11FCD" w:rsidP="00EF1E3E">
      <w:pPr>
        <w:spacing w:line="360" w:lineRule="auto"/>
        <w:jc w:val="both"/>
        <w:rPr>
          <w:rFonts w:ascii="Times New Roman" w:hAnsi="Times New Roman" w:cs="Times New Roman"/>
          <w:b/>
          <w:bCs/>
          <w:sz w:val="24"/>
          <w:szCs w:val="24"/>
        </w:rPr>
      </w:pPr>
      <w:r w:rsidRPr="00C11FCD">
        <w:rPr>
          <w:rFonts w:ascii="Times New Roman" w:hAnsi="Times New Roman" w:cs="Times New Roman"/>
          <w:b/>
          <w:bCs/>
          <w:sz w:val="24"/>
          <w:szCs w:val="24"/>
        </w:rPr>
        <w:t>Benefits and Challenges of Role Clarity</w:t>
      </w:r>
    </w:p>
    <w:p w14:paraId="23F7D324" w14:textId="77777777" w:rsidR="008208BF" w:rsidRPr="001C218D" w:rsidRDefault="00EC5E26"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RACI definition of roles helps in creating more accountability and innovation. It facilitates the cross- functional collaboration between technical and commercial departments creating synergy which Christopher, Payne and Ballantyne (2013) suggest is crucial to value creation by the stakeholders. Additionally, it is possible to meet the compliance and legitimacy through the consultation of external stakeholders like the MHRA and the NHS. But there are the difficulties associated with the problems of the speed of innovation and regulatory strictness and the problem of communication barriers between the technical and non-technical departments. Lewicki, Barry and Saunders (2016) believe that conflict in collaborative projects can be alleviated by means of negotiation, compromise, and open information sharing. On the same note, Tuckman (1965) group development model opines that intentional meetings in the norming stage help to establish trust and reduce tension among the departments.</w:t>
      </w:r>
    </w:p>
    <w:p w14:paraId="3E807362" w14:textId="2A1C8A71" w:rsidR="00C11FCD" w:rsidRPr="00C11FCD" w:rsidRDefault="00C11FCD" w:rsidP="00EF1E3E">
      <w:pPr>
        <w:spacing w:line="360" w:lineRule="auto"/>
        <w:jc w:val="both"/>
        <w:rPr>
          <w:rFonts w:ascii="Times New Roman" w:hAnsi="Times New Roman" w:cs="Times New Roman"/>
          <w:b/>
          <w:bCs/>
          <w:sz w:val="24"/>
          <w:szCs w:val="24"/>
        </w:rPr>
      </w:pPr>
      <w:r w:rsidRPr="00C11FCD">
        <w:rPr>
          <w:rFonts w:ascii="Times New Roman" w:hAnsi="Times New Roman" w:cs="Times New Roman"/>
          <w:b/>
          <w:bCs/>
          <w:sz w:val="24"/>
          <w:szCs w:val="24"/>
        </w:rPr>
        <w:t>Stakeholder Engagement Plan</w:t>
      </w:r>
    </w:p>
    <w:p w14:paraId="60D73D2F" w14:textId="77777777" w:rsidR="00C11FCD" w:rsidRPr="00C11FCD" w:rsidRDefault="00C11FCD" w:rsidP="00EF1E3E">
      <w:pPr>
        <w:spacing w:line="360" w:lineRule="auto"/>
        <w:jc w:val="both"/>
        <w:rPr>
          <w:rFonts w:ascii="Times New Roman" w:hAnsi="Times New Roman" w:cs="Times New Roman"/>
          <w:sz w:val="24"/>
          <w:szCs w:val="24"/>
        </w:rPr>
      </w:pPr>
      <w:r w:rsidRPr="00C11FCD">
        <w:rPr>
          <w:rFonts w:ascii="Times New Roman" w:hAnsi="Times New Roman" w:cs="Times New Roman"/>
          <w:sz w:val="24"/>
          <w:szCs w:val="24"/>
        </w:rPr>
        <w:t xml:space="preserve">Using </w:t>
      </w:r>
      <w:r w:rsidRPr="00C11FCD">
        <w:rPr>
          <w:rFonts w:ascii="Times New Roman" w:hAnsi="Times New Roman" w:cs="Times New Roman"/>
          <w:b/>
          <w:bCs/>
          <w:sz w:val="24"/>
          <w:szCs w:val="24"/>
        </w:rPr>
        <w:t>Bourne’s (2015)</w:t>
      </w:r>
      <w:r w:rsidRPr="00C11FCD">
        <w:rPr>
          <w:rFonts w:ascii="Times New Roman" w:hAnsi="Times New Roman" w:cs="Times New Roman"/>
          <w:sz w:val="24"/>
          <w:szCs w:val="24"/>
        </w:rPr>
        <w:t xml:space="preserve"> Stakeholder Engagement Cycle, engagement follows a four-stage process:</w:t>
      </w:r>
    </w:p>
    <w:p w14:paraId="3C5311F6" w14:textId="77777777" w:rsidR="00C11FCD" w:rsidRPr="00C11FCD" w:rsidRDefault="00C11FCD" w:rsidP="00EF1E3E">
      <w:pPr>
        <w:numPr>
          <w:ilvl w:val="0"/>
          <w:numId w:val="4"/>
        </w:numPr>
        <w:spacing w:line="360" w:lineRule="auto"/>
        <w:jc w:val="both"/>
        <w:rPr>
          <w:rFonts w:ascii="Times New Roman" w:hAnsi="Times New Roman" w:cs="Times New Roman"/>
          <w:sz w:val="24"/>
          <w:szCs w:val="24"/>
        </w:rPr>
      </w:pPr>
      <w:r w:rsidRPr="00C11FCD">
        <w:rPr>
          <w:rFonts w:ascii="Times New Roman" w:hAnsi="Times New Roman" w:cs="Times New Roman"/>
          <w:b/>
          <w:bCs/>
          <w:sz w:val="24"/>
          <w:szCs w:val="24"/>
        </w:rPr>
        <w:t>Identification and Analysis:</w:t>
      </w:r>
      <w:r w:rsidRPr="00C11FCD">
        <w:rPr>
          <w:rFonts w:ascii="Times New Roman" w:hAnsi="Times New Roman" w:cs="Times New Roman"/>
          <w:sz w:val="24"/>
          <w:szCs w:val="24"/>
        </w:rPr>
        <w:t xml:space="preserve"> Stakeholders are mapped using Mendelow’s Power–Interest Matrix to </w:t>
      </w:r>
      <w:proofErr w:type="spellStart"/>
      <w:r w:rsidRPr="00C11FCD">
        <w:rPr>
          <w:rFonts w:ascii="Times New Roman" w:hAnsi="Times New Roman" w:cs="Times New Roman"/>
          <w:sz w:val="24"/>
          <w:szCs w:val="24"/>
        </w:rPr>
        <w:t>prioritise</w:t>
      </w:r>
      <w:proofErr w:type="spellEnd"/>
      <w:r w:rsidRPr="00C11FCD">
        <w:rPr>
          <w:rFonts w:ascii="Times New Roman" w:hAnsi="Times New Roman" w:cs="Times New Roman"/>
          <w:sz w:val="24"/>
          <w:szCs w:val="24"/>
        </w:rPr>
        <w:t xml:space="preserve"> engagement intensity.</w:t>
      </w:r>
    </w:p>
    <w:p w14:paraId="59E4D4B2" w14:textId="77777777" w:rsidR="00C11FCD" w:rsidRPr="00C11FCD" w:rsidRDefault="00C11FCD" w:rsidP="00EF1E3E">
      <w:pPr>
        <w:numPr>
          <w:ilvl w:val="0"/>
          <w:numId w:val="4"/>
        </w:numPr>
        <w:spacing w:line="360" w:lineRule="auto"/>
        <w:jc w:val="both"/>
        <w:rPr>
          <w:rFonts w:ascii="Times New Roman" w:hAnsi="Times New Roman" w:cs="Times New Roman"/>
          <w:sz w:val="24"/>
          <w:szCs w:val="24"/>
        </w:rPr>
      </w:pPr>
      <w:r w:rsidRPr="00C11FCD">
        <w:rPr>
          <w:rFonts w:ascii="Times New Roman" w:hAnsi="Times New Roman" w:cs="Times New Roman"/>
          <w:b/>
          <w:bCs/>
          <w:sz w:val="24"/>
          <w:szCs w:val="24"/>
        </w:rPr>
        <w:lastRenderedPageBreak/>
        <w:t>Planning:</w:t>
      </w:r>
      <w:r w:rsidRPr="00C11FCD">
        <w:rPr>
          <w:rFonts w:ascii="Times New Roman" w:hAnsi="Times New Roman" w:cs="Times New Roman"/>
          <w:sz w:val="24"/>
          <w:szCs w:val="24"/>
        </w:rPr>
        <w:t xml:space="preserve"> Objectives are set for each stakeholder group (e.g., compliance for MHRA, co-design for clinicians).</w:t>
      </w:r>
    </w:p>
    <w:p w14:paraId="3AC091B2" w14:textId="77777777" w:rsidR="00C11FCD" w:rsidRPr="00C11FCD" w:rsidRDefault="00C11FCD" w:rsidP="00EF1E3E">
      <w:pPr>
        <w:numPr>
          <w:ilvl w:val="0"/>
          <w:numId w:val="4"/>
        </w:numPr>
        <w:spacing w:line="360" w:lineRule="auto"/>
        <w:jc w:val="both"/>
        <w:rPr>
          <w:rFonts w:ascii="Times New Roman" w:hAnsi="Times New Roman" w:cs="Times New Roman"/>
          <w:sz w:val="24"/>
          <w:szCs w:val="24"/>
        </w:rPr>
      </w:pPr>
      <w:r w:rsidRPr="00C11FCD">
        <w:rPr>
          <w:rFonts w:ascii="Times New Roman" w:hAnsi="Times New Roman" w:cs="Times New Roman"/>
          <w:b/>
          <w:bCs/>
          <w:sz w:val="24"/>
          <w:szCs w:val="24"/>
        </w:rPr>
        <w:t>Engagement and Communication:</w:t>
      </w:r>
      <w:r w:rsidRPr="00C11FCD">
        <w:rPr>
          <w:rFonts w:ascii="Times New Roman" w:hAnsi="Times New Roman" w:cs="Times New Roman"/>
          <w:sz w:val="24"/>
          <w:szCs w:val="24"/>
        </w:rPr>
        <w:t xml:space="preserve"> Bi-weekly technical reviews, quarterly NHS collaboration meetings, and consumer pilot testing ensure inclusivity and transparency.</w:t>
      </w:r>
    </w:p>
    <w:p w14:paraId="08A23C20" w14:textId="77777777" w:rsidR="00C11FCD" w:rsidRPr="00C11FCD" w:rsidRDefault="00C11FCD" w:rsidP="00EF1E3E">
      <w:pPr>
        <w:numPr>
          <w:ilvl w:val="0"/>
          <w:numId w:val="4"/>
        </w:numPr>
        <w:spacing w:line="360" w:lineRule="auto"/>
        <w:jc w:val="both"/>
        <w:rPr>
          <w:rFonts w:ascii="Times New Roman" w:hAnsi="Times New Roman" w:cs="Times New Roman"/>
          <w:sz w:val="24"/>
          <w:szCs w:val="24"/>
        </w:rPr>
      </w:pPr>
      <w:r w:rsidRPr="00C11FCD">
        <w:rPr>
          <w:rFonts w:ascii="Times New Roman" w:hAnsi="Times New Roman" w:cs="Times New Roman"/>
          <w:b/>
          <w:bCs/>
          <w:sz w:val="24"/>
          <w:szCs w:val="24"/>
        </w:rPr>
        <w:t>Review and Improvement:</w:t>
      </w:r>
      <w:r w:rsidRPr="00C11FCD">
        <w:rPr>
          <w:rFonts w:ascii="Times New Roman" w:hAnsi="Times New Roman" w:cs="Times New Roman"/>
          <w:sz w:val="24"/>
          <w:szCs w:val="24"/>
        </w:rPr>
        <w:t xml:space="preserve"> Feedback from surveys and progress meetings informs continuous stakeholder realignment and engagement adjustments.</w:t>
      </w:r>
    </w:p>
    <w:p w14:paraId="52E93EA9" w14:textId="77777777" w:rsidR="00C11FCD" w:rsidRPr="00C11FCD" w:rsidRDefault="00C11FCD" w:rsidP="00EF1E3E">
      <w:pPr>
        <w:spacing w:line="360" w:lineRule="auto"/>
        <w:jc w:val="both"/>
        <w:rPr>
          <w:rFonts w:ascii="Times New Roman" w:hAnsi="Times New Roman" w:cs="Times New Roman"/>
          <w:sz w:val="24"/>
          <w:szCs w:val="24"/>
        </w:rPr>
      </w:pPr>
      <w:r w:rsidRPr="00C11FCD">
        <w:rPr>
          <w:rFonts w:ascii="Times New Roman" w:hAnsi="Times New Roman" w:cs="Times New Roman"/>
          <w:sz w:val="24"/>
          <w:szCs w:val="24"/>
        </w:rPr>
        <w:t xml:space="preserve">This cyclical process sustains motivation and trust throughout the </w:t>
      </w:r>
      <w:proofErr w:type="spellStart"/>
      <w:r w:rsidRPr="00C11FCD">
        <w:rPr>
          <w:rFonts w:ascii="Times New Roman" w:hAnsi="Times New Roman" w:cs="Times New Roman"/>
          <w:sz w:val="24"/>
          <w:szCs w:val="24"/>
        </w:rPr>
        <w:t>VitalBand</w:t>
      </w:r>
      <w:proofErr w:type="spellEnd"/>
      <w:r w:rsidRPr="00C11FCD">
        <w:rPr>
          <w:rFonts w:ascii="Times New Roman" w:hAnsi="Times New Roman" w:cs="Times New Roman"/>
          <w:sz w:val="24"/>
          <w:szCs w:val="24"/>
        </w:rPr>
        <w:t xml:space="preserve"> project lifecycle.</w:t>
      </w:r>
    </w:p>
    <w:p w14:paraId="5915CB96" w14:textId="77777777" w:rsidR="00C11FCD" w:rsidRPr="00C11FCD" w:rsidRDefault="00C11FCD" w:rsidP="00EF1E3E">
      <w:pPr>
        <w:spacing w:line="360" w:lineRule="auto"/>
        <w:jc w:val="both"/>
        <w:rPr>
          <w:rFonts w:ascii="Times New Roman" w:hAnsi="Times New Roman" w:cs="Times New Roman"/>
          <w:b/>
          <w:bCs/>
          <w:sz w:val="24"/>
          <w:szCs w:val="24"/>
        </w:rPr>
      </w:pPr>
      <w:r w:rsidRPr="00C11FCD">
        <w:rPr>
          <w:rFonts w:ascii="Times New Roman" w:hAnsi="Times New Roman" w:cs="Times New Roman"/>
          <w:b/>
          <w:bCs/>
          <w:sz w:val="24"/>
          <w:szCs w:val="24"/>
        </w:rPr>
        <w:t>Communication Plan</w:t>
      </w:r>
    </w:p>
    <w:p w14:paraId="34300C70" w14:textId="77777777" w:rsidR="00C11FCD" w:rsidRPr="00C11FCD" w:rsidRDefault="00C11FCD" w:rsidP="00EF1E3E">
      <w:pPr>
        <w:spacing w:line="360" w:lineRule="auto"/>
        <w:jc w:val="both"/>
        <w:rPr>
          <w:rFonts w:ascii="Times New Roman" w:hAnsi="Times New Roman" w:cs="Times New Roman"/>
          <w:sz w:val="24"/>
          <w:szCs w:val="24"/>
        </w:rPr>
      </w:pPr>
      <w:r w:rsidRPr="00C11FCD">
        <w:rPr>
          <w:rFonts w:ascii="Times New Roman" w:hAnsi="Times New Roman" w:cs="Times New Roman"/>
          <w:sz w:val="24"/>
          <w:szCs w:val="24"/>
        </w:rPr>
        <w:t>Effective communication underpins stakeholder engagement. Philips’ strategy should employ Cornelissen’s (2017) corporate communication framework to maintain consistency and credibility:</w:t>
      </w:r>
    </w:p>
    <w:p w14:paraId="325A0173" w14:textId="77777777" w:rsidR="00C11FCD" w:rsidRPr="00C11FCD" w:rsidRDefault="00C11FCD" w:rsidP="00EF1E3E">
      <w:pPr>
        <w:numPr>
          <w:ilvl w:val="0"/>
          <w:numId w:val="5"/>
        </w:numPr>
        <w:spacing w:line="360" w:lineRule="auto"/>
        <w:jc w:val="both"/>
        <w:rPr>
          <w:rFonts w:ascii="Times New Roman" w:hAnsi="Times New Roman" w:cs="Times New Roman"/>
          <w:sz w:val="24"/>
          <w:szCs w:val="24"/>
        </w:rPr>
      </w:pPr>
      <w:r w:rsidRPr="00C11FCD">
        <w:rPr>
          <w:rFonts w:ascii="Times New Roman" w:hAnsi="Times New Roman" w:cs="Times New Roman"/>
          <w:b/>
          <w:bCs/>
          <w:sz w:val="24"/>
          <w:szCs w:val="24"/>
        </w:rPr>
        <w:t>Internal Channels:</w:t>
      </w:r>
      <w:r w:rsidRPr="00C11FCD">
        <w:rPr>
          <w:rFonts w:ascii="Times New Roman" w:hAnsi="Times New Roman" w:cs="Times New Roman"/>
          <w:sz w:val="24"/>
          <w:szCs w:val="24"/>
        </w:rPr>
        <w:t xml:space="preserve"> Microsoft Teams for daily collaboration; monthly steering meetings with executives.</w:t>
      </w:r>
    </w:p>
    <w:p w14:paraId="41F66DAC" w14:textId="77777777" w:rsidR="00C11FCD" w:rsidRPr="00C11FCD" w:rsidRDefault="00C11FCD" w:rsidP="00EF1E3E">
      <w:pPr>
        <w:numPr>
          <w:ilvl w:val="0"/>
          <w:numId w:val="5"/>
        </w:numPr>
        <w:spacing w:line="360" w:lineRule="auto"/>
        <w:jc w:val="both"/>
        <w:rPr>
          <w:rFonts w:ascii="Times New Roman" w:hAnsi="Times New Roman" w:cs="Times New Roman"/>
          <w:sz w:val="24"/>
          <w:szCs w:val="24"/>
        </w:rPr>
      </w:pPr>
      <w:r w:rsidRPr="00C11FCD">
        <w:rPr>
          <w:rFonts w:ascii="Times New Roman" w:hAnsi="Times New Roman" w:cs="Times New Roman"/>
          <w:b/>
          <w:bCs/>
          <w:sz w:val="24"/>
          <w:szCs w:val="24"/>
        </w:rPr>
        <w:t>External Channels:</w:t>
      </w:r>
      <w:r w:rsidRPr="00C11FCD">
        <w:rPr>
          <w:rFonts w:ascii="Times New Roman" w:hAnsi="Times New Roman" w:cs="Times New Roman"/>
          <w:sz w:val="24"/>
          <w:szCs w:val="24"/>
        </w:rPr>
        <w:t xml:space="preserve"> MHRA digital submission portals; NHS shared dashboards for pilot updates; consumer newsletters via the Philips Health App.</w:t>
      </w:r>
    </w:p>
    <w:p w14:paraId="25DA319C" w14:textId="77777777" w:rsidR="00C11FCD" w:rsidRPr="00C11FCD" w:rsidRDefault="00C11FCD" w:rsidP="00EF1E3E">
      <w:pPr>
        <w:numPr>
          <w:ilvl w:val="0"/>
          <w:numId w:val="5"/>
        </w:numPr>
        <w:spacing w:line="360" w:lineRule="auto"/>
        <w:jc w:val="both"/>
        <w:rPr>
          <w:rFonts w:ascii="Times New Roman" w:hAnsi="Times New Roman" w:cs="Times New Roman"/>
          <w:sz w:val="24"/>
          <w:szCs w:val="24"/>
        </w:rPr>
      </w:pPr>
      <w:r w:rsidRPr="00C11FCD">
        <w:rPr>
          <w:rFonts w:ascii="Times New Roman" w:hAnsi="Times New Roman" w:cs="Times New Roman"/>
          <w:b/>
          <w:bCs/>
          <w:sz w:val="24"/>
          <w:szCs w:val="24"/>
        </w:rPr>
        <w:t>Frequency:</w:t>
      </w:r>
      <w:r w:rsidRPr="00C11FCD">
        <w:rPr>
          <w:rFonts w:ascii="Times New Roman" w:hAnsi="Times New Roman" w:cs="Times New Roman"/>
          <w:sz w:val="24"/>
          <w:szCs w:val="24"/>
        </w:rPr>
        <w:t xml:space="preserve"> Weekly progress reports; monthly stakeholder briefings; real-time notifications for regulatory milestones.</w:t>
      </w:r>
    </w:p>
    <w:p w14:paraId="3EADE425" w14:textId="77777777" w:rsidR="00C11FCD" w:rsidRPr="00C11FCD" w:rsidRDefault="00C11FCD" w:rsidP="00EF1E3E">
      <w:pPr>
        <w:numPr>
          <w:ilvl w:val="0"/>
          <w:numId w:val="5"/>
        </w:numPr>
        <w:spacing w:line="360" w:lineRule="auto"/>
        <w:jc w:val="both"/>
        <w:rPr>
          <w:rFonts w:ascii="Times New Roman" w:hAnsi="Times New Roman" w:cs="Times New Roman"/>
          <w:sz w:val="24"/>
          <w:szCs w:val="24"/>
        </w:rPr>
      </w:pPr>
      <w:r w:rsidRPr="00C11FCD">
        <w:rPr>
          <w:rFonts w:ascii="Times New Roman" w:hAnsi="Times New Roman" w:cs="Times New Roman"/>
          <w:b/>
          <w:bCs/>
          <w:sz w:val="24"/>
          <w:szCs w:val="24"/>
        </w:rPr>
        <w:t>Responsibility:</w:t>
      </w:r>
      <w:r w:rsidRPr="00C11FCD">
        <w:rPr>
          <w:rFonts w:ascii="Times New Roman" w:hAnsi="Times New Roman" w:cs="Times New Roman"/>
          <w:sz w:val="24"/>
          <w:szCs w:val="24"/>
        </w:rPr>
        <w:t xml:space="preserve"> The Project Manager ensures message accuracy, supported by Compliance and Marketing teams.</w:t>
      </w:r>
    </w:p>
    <w:p w14:paraId="5FEDED56" w14:textId="3FB1513E" w:rsidR="00C11FCD" w:rsidRPr="001C218D" w:rsidRDefault="00C11FCD" w:rsidP="00EF1E3E">
      <w:pPr>
        <w:spacing w:line="360" w:lineRule="auto"/>
        <w:jc w:val="both"/>
        <w:rPr>
          <w:rFonts w:ascii="Times New Roman" w:hAnsi="Times New Roman" w:cs="Times New Roman"/>
          <w:sz w:val="24"/>
          <w:szCs w:val="24"/>
        </w:rPr>
      </w:pPr>
      <w:r w:rsidRPr="00C11FCD">
        <w:rPr>
          <w:rFonts w:ascii="Times New Roman" w:hAnsi="Times New Roman" w:cs="Times New Roman"/>
          <w:sz w:val="24"/>
          <w:szCs w:val="24"/>
        </w:rPr>
        <w:t>This plan promotes two-way dialogue, mitigates misunderstandings, and reinforces alignment between diverse stakeholder groups.</w:t>
      </w:r>
    </w:p>
    <w:p w14:paraId="5CC2167F" w14:textId="77777777" w:rsidR="00014BA4" w:rsidRPr="001C218D" w:rsidRDefault="00014BA4" w:rsidP="00C90798">
      <w:pPr>
        <w:pStyle w:val="Heading1"/>
        <w:rPr>
          <w:rFonts w:ascii="Times New Roman" w:hAnsi="Times New Roman" w:cs="Times New Roman"/>
        </w:rPr>
      </w:pPr>
      <w:bookmarkStart w:id="8" w:name="_Toc210771187"/>
      <w:r w:rsidRPr="001C218D">
        <w:rPr>
          <w:rFonts w:ascii="Times New Roman" w:hAnsi="Times New Roman" w:cs="Times New Roman"/>
        </w:rPr>
        <w:t>5. Frameworks for Stakeholder Engagement and Conflict Management</w:t>
      </w:r>
      <w:bookmarkEnd w:id="8"/>
    </w:p>
    <w:p w14:paraId="671876F6" w14:textId="4D57395D" w:rsidR="004F6403" w:rsidRPr="00014BA4" w:rsidRDefault="00E65BF9"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To ensure successful stakeholder participation in the Philips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project, there is a need to have a systematic, evidenced-based communication, participation and conflict management strategy.</w:t>
      </w:r>
    </w:p>
    <w:p w14:paraId="6F7ED998" w14:textId="52204F64" w:rsidR="00014BA4" w:rsidRPr="001C218D" w:rsidRDefault="001D4A5E" w:rsidP="00C90798">
      <w:pPr>
        <w:pStyle w:val="Heading2"/>
        <w:rPr>
          <w:rFonts w:ascii="Times New Roman" w:hAnsi="Times New Roman" w:cs="Times New Roman"/>
        </w:rPr>
      </w:pPr>
      <w:bookmarkStart w:id="9" w:name="_Toc210771188"/>
      <w:r w:rsidRPr="001C218D">
        <w:rPr>
          <w:rFonts w:ascii="Times New Roman" w:hAnsi="Times New Roman" w:cs="Times New Roman"/>
        </w:rPr>
        <w:lastRenderedPageBreak/>
        <w:t xml:space="preserve">5.1 </w:t>
      </w:r>
      <w:r w:rsidR="00014BA4" w:rsidRPr="001C218D">
        <w:rPr>
          <w:rFonts w:ascii="Times New Roman" w:hAnsi="Times New Roman" w:cs="Times New Roman"/>
        </w:rPr>
        <w:t>Stakeholder Engagement Frameworks</w:t>
      </w:r>
      <w:bookmarkEnd w:id="9"/>
    </w:p>
    <w:p w14:paraId="706E9DB1" w14:textId="77777777" w:rsidR="00014BA4" w:rsidRPr="00014BA4" w:rsidRDefault="00014BA4" w:rsidP="00EF1E3E">
      <w:pPr>
        <w:spacing w:line="360" w:lineRule="auto"/>
        <w:jc w:val="both"/>
        <w:rPr>
          <w:rFonts w:ascii="Times New Roman" w:hAnsi="Times New Roman" w:cs="Times New Roman"/>
          <w:b/>
          <w:bCs/>
          <w:sz w:val="24"/>
          <w:szCs w:val="24"/>
        </w:rPr>
      </w:pPr>
      <w:r w:rsidRPr="00014BA4">
        <w:rPr>
          <w:rFonts w:ascii="Times New Roman" w:hAnsi="Times New Roman" w:cs="Times New Roman"/>
          <w:b/>
          <w:bCs/>
          <w:sz w:val="24"/>
          <w:szCs w:val="24"/>
        </w:rPr>
        <w:t>1. Stakeholder Engagement Cycle (Bourne, 2015)</w:t>
      </w:r>
    </w:p>
    <w:p w14:paraId="5EA48AB5" w14:textId="5EC165B7" w:rsidR="00014BA4" w:rsidRPr="00014BA4" w:rsidRDefault="00014BA4" w:rsidP="00EF1E3E">
      <w:pPr>
        <w:spacing w:line="360" w:lineRule="auto"/>
        <w:jc w:val="both"/>
        <w:rPr>
          <w:rFonts w:ascii="Times New Roman" w:hAnsi="Times New Roman" w:cs="Times New Roman"/>
          <w:sz w:val="24"/>
          <w:szCs w:val="24"/>
        </w:rPr>
      </w:pPr>
      <w:r w:rsidRPr="00014BA4">
        <w:rPr>
          <w:rFonts w:ascii="Times New Roman" w:hAnsi="Times New Roman" w:cs="Times New Roman"/>
          <w:sz w:val="24"/>
          <w:szCs w:val="24"/>
        </w:rPr>
        <w:t xml:space="preserve">Bourne’s five-stage engagement </w:t>
      </w:r>
      <w:r w:rsidR="00B9417C" w:rsidRPr="001C218D">
        <w:rPr>
          <w:rFonts w:ascii="Times New Roman" w:hAnsi="Times New Roman" w:cs="Times New Roman"/>
          <w:sz w:val="24"/>
          <w:szCs w:val="24"/>
        </w:rPr>
        <w:t>cycle Identification</w:t>
      </w:r>
      <w:r w:rsidRPr="00014BA4">
        <w:rPr>
          <w:rFonts w:ascii="Times New Roman" w:hAnsi="Times New Roman" w:cs="Times New Roman"/>
          <w:sz w:val="24"/>
          <w:szCs w:val="24"/>
        </w:rPr>
        <w:t xml:space="preserve">, Analysis, Planning, Engagement, and </w:t>
      </w:r>
      <w:r w:rsidR="00B9417C" w:rsidRPr="001C218D">
        <w:rPr>
          <w:rFonts w:ascii="Times New Roman" w:hAnsi="Times New Roman" w:cs="Times New Roman"/>
          <w:sz w:val="24"/>
          <w:szCs w:val="24"/>
        </w:rPr>
        <w:t>Review provides</w:t>
      </w:r>
      <w:r w:rsidRPr="00014BA4">
        <w:rPr>
          <w:rFonts w:ascii="Times New Roman" w:hAnsi="Times New Roman" w:cs="Times New Roman"/>
          <w:sz w:val="24"/>
          <w:szCs w:val="24"/>
        </w:rPr>
        <w:t xml:space="preserve"> the structural foundation for managing stakeholder interactions.</w:t>
      </w:r>
    </w:p>
    <w:p w14:paraId="696A21E2" w14:textId="5705DA71" w:rsidR="00014BA4" w:rsidRPr="00014BA4" w:rsidRDefault="00014BA4" w:rsidP="00EF1E3E">
      <w:pPr>
        <w:numPr>
          <w:ilvl w:val="0"/>
          <w:numId w:val="6"/>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Identification and Analysis:</w:t>
      </w:r>
      <w:r w:rsidRPr="00014BA4">
        <w:rPr>
          <w:rFonts w:ascii="Times New Roman" w:hAnsi="Times New Roman" w:cs="Times New Roman"/>
          <w:sz w:val="24"/>
          <w:szCs w:val="24"/>
        </w:rPr>
        <w:t xml:space="preserve"> </w:t>
      </w:r>
      <w:r w:rsidR="00817620" w:rsidRPr="001C218D">
        <w:rPr>
          <w:rFonts w:ascii="Times New Roman" w:hAnsi="Times New Roman" w:cs="Times New Roman"/>
          <w:sz w:val="24"/>
          <w:szCs w:val="24"/>
        </w:rPr>
        <w:t>With the help of the Power-Interest Matrix created by Mendelow, the stakeholders are divided based on the priority of influence and engagement. As an example, the MHRA and the Executive Board belong to high-power, high-interest stakeholders that have to be managed intensively, whereas patients and media are low-power but high-interest parties that need to be informed on a regular basis (Riahi, 2017).</w:t>
      </w:r>
    </w:p>
    <w:p w14:paraId="27A2DD07" w14:textId="77777777" w:rsidR="00014BA4" w:rsidRPr="00014BA4" w:rsidRDefault="00014BA4" w:rsidP="00EF1E3E">
      <w:pPr>
        <w:numPr>
          <w:ilvl w:val="0"/>
          <w:numId w:val="6"/>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Planning:</w:t>
      </w:r>
      <w:r w:rsidRPr="00014BA4">
        <w:rPr>
          <w:rFonts w:ascii="Times New Roman" w:hAnsi="Times New Roman" w:cs="Times New Roman"/>
          <w:sz w:val="24"/>
          <w:szCs w:val="24"/>
        </w:rPr>
        <w:t xml:space="preserve"> Engagement objectives are set for each group. Regulators require early, evidence-based documentation; NHS clinicians expect technical clarity; consumers value usability and transparency.</w:t>
      </w:r>
    </w:p>
    <w:p w14:paraId="2E062E09" w14:textId="6CFF93DF" w:rsidR="00014BA4" w:rsidRPr="00014BA4" w:rsidRDefault="00014BA4" w:rsidP="00EF1E3E">
      <w:pPr>
        <w:numPr>
          <w:ilvl w:val="0"/>
          <w:numId w:val="6"/>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Engagement:</w:t>
      </w:r>
      <w:r w:rsidRPr="00014BA4">
        <w:rPr>
          <w:rFonts w:ascii="Times New Roman" w:hAnsi="Times New Roman" w:cs="Times New Roman"/>
          <w:sz w:val="24"/>
          <w:szCs w:val="24"/>
        </w:rPr>
        <w:t xml:space="preserve"> I will deploy collaborative digital platforms</w:t>
      </w:r>
      <w:r w:rsidR="0062327F" w:rsidRPr="001C218D">
        <w:rPr>
          <w:rFonts w:ascii="Times New Roman" w:hAnsi="Times New Roman" w:cs="Times New Roman"/>
          <w:sz w:val="24"/>
          <w:szCs w:val="24"/>
        </w:rPr>
        <w:t xml:space="preserve"> </w:t>
      </w:r>
      <w:r w:rsidRPr="00014BA4">
        <w:rPr>
          <w:rFonts w:ascii="Times New Roman" w:hAnsi="Times New Roman" w:cs="Times New Roman"/>
          <w:sz w:val="24"/>
          <w:szCs w:val="24"/>
        </w:rPr>
        <w:t>Philips Teams and Asana</w:t>
      </w:r>
      <w:r w:rsidR="0062327F" w:rsidRPr="001C218D">
        <w:rPr>
          <w:rFonts w:ascii="Times New Roman" w:hAnsi="Times New Roman" w:cs="Times New Roman"/>
          <w:sz w:val="24"/>
          <w:szCs w:val="24"/>
        </w:rPr>
        <w:t xml:space="preserve"> </w:t>
      </w:r>
      <w:r w:rsidRPr="00014BA4">
        <w:rPr>
          <w:rFonts w:ascii="Times New Roman" w:hAnsi="Times New Roman" w:cs="Times New Roman"/>
          <w:sz w:val="24"/>
          <w:szCs w:val="24"/>
        </w:rPr>
        <w:t>to coordinate multidisciplinary activities and facilitate real-time updates.</w:t>
      </w:r>
    </w:p>
    <w:p w14:paraId="3E20D69A" w14:textId="77777777" w:rsidR="00014BA4" w:rsidRPr="00014BA4" w:rsidRDefault="00014BA4" w:rsidP="00EF1E3E">
      <w:pPr>
        <w:numPr>
          <w:ilvl w:val="0"/>
          <w:numId w:val="6"/>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Review:</w:t>
      </w:r>
      <w:r w:rsidRPr="00014BA4">
        <w:rPr>
          <w:rFonts w:ascii="Times New Roman" w:hAnsi="Times New Roman" w:cs="Times New Roman"/>
          <w:sz w:val="24"/>
          <w:szCs w:val="24"/>
        </w:rPr>
        <w:t xml:space="preserve"> Monthly dashboards and quarterly engagement audits will evaluate relationship quality, satisfaction scores, and feedback trends.</w:t>
      </w:r>
    </w:p>
    <w:p w14:paraId="28A95631" w14:textId="77777777" w:rsidR="00807A2E" w:rsidRPr="001C218D" w:rsidRDefault="00807A2E"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This dynamic stakeholder approach is an iterative method, indicating dynamic stakeholder salience (Mitchell, Agle and Wood, 1997) that considers the varying stakeholder influence as the project proceeds with design and towards launch.</w:t>
      </w:r>
    </w:p>
    <w:p w14:paraId="7BB914DC" w14:textId="0A8EF067" w:rsidR="00014BA4" w:rsidRPr="001C218D" w:rsidRDefault="001D4A5E" w:rsidP="00C90798">
      <w:pPr>
        <w:pStyle w:val="Heading2"/>
        <w:rPr>
          <w:rFonts w:ascii="Times New Roman" w:hAnsi="Times New Roman" w:cs="Times New Roman"/>
        </w:rPr>
      </w:pPr>
      <w:bookmarkStart w:id="10" w:name="_Toc210771189"/>
      <w:r w:rsidRPr="001C218D">
        <w:rPr>
          <w:rFonts w:ascii="Times New Roman" w:hAnsi="Times New Roman" w:cs="Times New Roman"/>
        </w:rPr>
        <w:t>5.</w:t>
      </w:r>
      <w:r w:rsidR="00014BA4" w:rsidRPr="001C218D">
        <w:rPr>
          <w:rFonts w:ascii="Times New Roman" w:hAnsi="Times New Roman" w:cs="Times New Roman"/>
        </w:rPr>
        <w:t>2. The Relational Lens (Ashcroft, 2017)</w:t>
      </w:r>
      <w:bookmarkEnd w:id="10"/>
    </w:p>
    <w:p w14:paraId="0ED515D1" w14:textId="6EFE9D59" w:rsidR="0096331D" w:rsidRPr="00014BA4" w:rsidRDefault="00991B0D"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structure presented by Ashcroft makes trust and relationship capital the key to sustainable stakeholder management. In the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project, the level of relational capital will be assessed with the help of engagement quality parameters, including responsiveness, reliability, and ethical communication. As an example, regular updates of MHRA and reporting on testing results clearly enhance legitimacy and diminish regulatory friction. Such relational trust also increases the reputation of Philips, which is one of the primary intangible resources of healthcare innovation.</w:t>
      </w:r>
    </w:p>
    <w:p w14:paraId="034D167F" w14:textId="01FFA507" w:rsidR="00014BA4" w:rsidRPr="001C218D" w:rsidRDefault="001D4A5E" w:rsidP="00C90798">
      <w:pPr>
        <w:pStyle w:val="Heading2"/>
        <w:rPr>
          <w:rFonts w:ascii="Times New Roman" w:hAnsi="Times New Roman" w:cs="Times New Roman"/>
        </w:rPr>
      </w:pPr>
      <w:bookmarkStart w:id="11" w:name="_Toc210771190"/>
      <w:r w:rsidRPr="001C218D">
        <w:rPr>
          <w:rFonts w:ascii="Times New Roman" w:hAnsi="Times New Roman" w:cs="Times New Roman"/>
        </w:rPr>
        <w:lastRenderedPageBreak/>
        <w:t>5.</w:t>
      </w:r>
      <w:r w:rsidR="00014BA4" w:rsidRPr="001C218D">
        <w:rPr>
          <w:rFonts w:ascii="Times New Roman" w:hAnsi="Times New Roman" w:cs="Times New Roman"/>
        </w:rPr>
        <w:t>3. Corporate Communication Theory (Cornelissen, 2017)</w:t>
      </w:r>
      <w:bookmarkEnd w:id="11"/>
    </w:p>
    <w:p w14:paraId="03BBA8C3" w14:textId="77777777" w:rsidR="00B415A5" w:rsidRPr="001C218D" w:rsidRDefault="00B415A5"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According to Cornelissen, two-way symmetrical communication where dialogue is used instead of top-down information flow is essential to provide effective relations with the stakeholders. It is especially important to clinicians, consumers and NHS partners, who need to feel heard and important. The creation of frequent feedback meetings, co-design workshops, and clinical validation meetings will help create a sense of inclusiveness, which is why Freeman (1984) creates a Stakeholder Theory, which claims mutual benefit and dialogue as a foundation of long-term success.</w:t>
      </w:r>
    </w:p>
    <w:p w14:paraId="3BBF7FE7" w14:textId="0AB603C7" w:rsidR="00014BA4" w:rsidRPr="001C218D" w:rsidRDefault="001D4A5E" w:rsidP="00C90798">
      <w:pPr>
        <w:pStyle w:val="Heading2"/>
        <w:rPr>
          <w:rFonts w:ascii="Times New Roman" w:hAnsi="Times New Roman" w:cs="Times New Roman"/>
        </w:rPr>
      </w:pPr>
      <w:bookmarkStart w:id="12" w:name="_Toc210771191"/>
      <w:r w:rsidRPr="001C218D">
        <w:rPr>
          <w:rFonts w:ascii="Times New Roman" w:hAnsi="Times New Roman" w:cs="Times New Roman"/>
        </w:rPr>
        <w:t xml:space="preserve">5.4 </w:t>
      </w:r>
      <w:r w:rsidR="00014BA4" w:rsidRPr="001C218D">
        <w:rPr>
          <w:rFonts w:ascii="Times New Roman" w:hAnsi="Times New Roman" w:cs="Times New Roman"/>
        </w:rPr>
        <w:t>The 4Cs Model for Conflict Management (Ellis, Gibbs and Rein, 1991)</w:t>
      </w:r>
      <w:bookmarkEnd w:id="12"/>
    </w:p>
    <w:p w14:paraId="3C9A96A3" w14:textId="1BC4141B" w:rsidR="00014BA4" w:rsidRPr="00014BA4" w:rsidRDefault="00014BA4" w:rsidP="00EF1E3E">
      <w:pPr>
        <w:spacing w:line="360" w:lineRule="auto"/>
        <w:jc w:val="both"/>
        <w:rPr>
          <w:rFonts w:ascii="Times New Roman" w:hAnsi="Times New Roman" w:cs="Times New Roman"/>
          <w:sz w:val="24"/>
          <w:szCs w:val="24"/>
        </w:rPr>
      </w:pPr>
      <w:r w:rsidRPr="00014BA4">
        <w:rPr>
          <w:rFonts w:ascii="Times New Roman" w:hAnsi="Times New Roman" w:cs="Times New Roman"/>
          <w:sz w:val="24"/>
          <w:szCs w:val="24"/>
        </w:rPr>
        <w:t xml:space="preserve">The 4Cs </w:t>
      </w:r>
      <w:r w:rsidR="00C90798" w:rsidRPr="001C218D">
        <w:rPr>
          <w:rFonts w:ascii="Times New Roman" w:hAnsi="Times New Roman" w:cs="Times New Roman"/>
          <w:sz w:val="24"/>
          <w:szCs w:val="24"/>
        </w:rPr>
        <w:t>Model Communication</w:t>
      </w:r>
      <w:r w:rsidRPr="00014BA4">
        <w:rPr>
          <w:rFonts w:ascii="Times New Roman" w:hAnsi="Times New Roman" w:cs="Times New Roman"/>
          <w:sz w:val="24"/>
          <w:szCs w:val="24"/>
        </w:rPr>
        <w:t xml:space="preserve">, Coordination, Cooperation, and </w:t>
      </w:r>
      <w:r w:rsidR="00513F2C" w:rsidRPr="001C218D">
        <w:rPr>
          <w:rFonts w:ascii="Times New Roman" w:hAnsi="Times New Roman" w:cs="Times New Roman"/>
          <w:sz w:val="24"/>
          <w:szCs w:val="24"/>
        </w:rPr>
        <w:t>Collaboration serves</w:t>
      </w:r>
      <w:r w:rsidRPr="00014BA4">
        <w:rPr>
          <w:rFonts w:ascii="Times New Roman" w:hAnsi="Times New Roman" w:cs="Times New Roman"/>
          <w:sz w:val="24"/>
          <w:szCs w:val="24"/>
        </w:rPr>
        <w:t xml:space="preserve"> as the operational backbone for managing stakeholder relationships and mitigating conflicts.</w:t>
      </w:r>
    </w:p>
    <w:p w14:paraId="1191BD44" w14:textId="0CEC50E4" w:rsidR="00014BA4" w:rsidRPr="00014BA4" w:rsidRDefault="00014BA4" w:rsidP="00EF1E3E">
      <w:pPr>
        <w:numPr>
          <w:ilvl w:val="0"/>
          <w:numId w:val="7"/>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Communication:</w:t>
      </w:r>
      <w:r w:rsidR="00711D5F" w:rsidRPr="001C218D">
        <w:rPr>
          <w:rFonts w:ascii="Times New Roman" w:hAnsi="Times New Roman" w:cs="Times New Roman"/>
          <w:sz w:val="24"/>
          <w:szCs w:val="24"/>
        </w:rPr>
        <w:t xml:space="preserve"> Enhanced, consistent, and focused communication avoids misinformation and detachment. Based on the communication model developed by Shannon and Weaver (1949), it will establish feedback loops in each interaction </w:t>
      </w:r>
      <w:r w:rsidR="00513F2C" w:rsidRPr="001C218D">
        <w:rPr>
          <w:rFonts w:ascii="Times New Roman" w:hAnsi="Times New Roman" w:cs="Times New Roman"/>
          <w:sz w:val="24"/>
          <w:szCs w:val="24"/>
        </w:rPr>
        <w:t>to</w:t>
      </w:r>
      <w:r w:rsidR="00711D5F" w:rsidRPr="001C218D">
        <w:rPr>
          <w:rFonts w:ascii="Times New Roman" w:hAnsi="Times New Roman" w:cs="Times New Roman"/>
          <w:sz w:val="24"/>
          <w:szCs w:val="24"/>
        </w:rPr>
        <w:t xml:space="preserve"> minimize the noise. The information will be clear through weekly reports on Microsoft Teams and newsletters to the stakeholders. In dealings with regulative authorities such as MHRA, formal documentation will be </w:t>
      </w:r>
      <w:proofErr w:type="spellStart"/>
      <w:r w:rsidR="00711D5F" w:rsidRPr="001C218D">
        <w:rPr>
          <w:rFonts w:ascii="Times New Roman" w:hAnsi="Times New Roman" w:cs="Times New Roman"/>
          <w:sz w:val="24"/>
          <w:szCs w:val="24"/>
        </w:rPr>
        <w:t>emphasised</w:t>
      </w:r>
      <w:proofErr w:type="spellEnd"/>
      <w:r w:rsidR="00711D5F" w:rsidRPr="001C218D">
        <w:rPr>
          <w:rFonts w:ascii="Times New Roman" w:hAnsi="Times New Roman" w:cs="Times New Roman"/>
          <w:sz w:val="24"/>
          <w:szCs w:val="24"/>
        </w:rPr>
        <w:t>, and informal digital communication will be employed in alignment within the company. Open communication creates confidence, reduces opposition and makes everyone aware of the scope and progress of the project.</w:t>
      </w:r>
    </w:p>
    <w:p w14:paraId="1F168936" w14:textId="197B55F7" w:rsidR="00014BA4" w:rsidRPr="00014BA4" w:rsidRDefault="00014BA4" w:rsidP="00EF1E3E">
      <w:pPr>
        <w:numPr>
          <w:ilvl w:val="0"/>
          <w:numId w:val="7"/>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Coordination:</w:t>
      </w:r>
      <w:r w:rsidR="00513F2C" w:rsidRPr="001C218D">
        <w:rPr>
          <w:rFonts w:ascii="Times New Roman" w:hAnsi="Times New Roman" w:cs="Times New Roman"/>
          <w:b/>
          <w:bCs/>
          <w:sz w:val="24"/>
          <w:szCs w:val="24"/>
        </w:rPr>
        <w:t xml:space="preserve"> </w:t>
      </w:r>
      <w:r w:rsidR="00903DC6" w:rsidRPr="001C218D">
        <w:rPr>
          <w:rFonts w:ascii="Times New Roman" w:hAnsi="Times New Roman" w:cs="Times New Roman"/>
          <w:sz w:val="24"/>
          <w:szCs w:val="24"/>
        </w:rPr>
        <w:t xml:space="preserve">Coordination aligns inter-functional tasks. The principles of PMBOK (PMI, 2021) imply that successful coordination is associated with milestone planning, responsibility assignment, and dependency mapping. It will use RACI charts to demonstrate authority on decisions and introduce Asana dashboards to have a common view. This avoids redundancy and ensures that all actions  especially between R&amp;D and QA  are </w:t>
      </w:r>
      <w:proofErr w:type="spellStart"/>
      <w:r w:rsidR="00903DC6" w:rsidRPr="001C218D">
        <w:rPr>
          <w:rFonts w:ascii="Times New Roman" w:hAnsi="Times New Roman" w:cs="Times New Roman"/>
          <w:sz w:val="24"/>
          <w:szCs w:val="24"/>
        </w:rPr>
        <w:t>harmonised</w:t>
      </w:r>
      <w:proofErr w:type="spellEnd"/>
      <w:r w:rsidR="00903DC6" w:rsidRPr="001C218D">
        <w:rPr>
          <w:rFonts w:ascii="Times New Roman" w:hAnsi="Times New Roman" w:cs="Times New Roman"/>
          <w:sz w:val="24"/>
          <w:szCs w:val="24"/>
        </w:rPr>
        <w:t>.</w:t>
      </w:r>
    </w:p>
    <w:p w14:paraId="3E9A963D" w14:textId="3986820D" w:rsidR="00014BA4" w:rsidRPr="00014BA4" w:rsidRDefault="00014BA4" w:rsidP="00EF1E3E">
      <w:pPr>
        <w:numPr>
          <w:ilvl w:val="0"/>
          <w:numId w:val="7"/>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Cooperation:</w:t>
      </w:r>
      <w:r w:rsidR="00903DC6" w:rsidRPr="001C218D">
        <w:rPr>
          <w:rFonts w:ascii="Times New Roman" w:hAnsi="Times New Roman" w:cs="Times New Roman"/>
          <w:b/>
          <w:bCs/>
          <w:sz w:val="24"/>
          <w:szCs w:val="24"/>
        </w:rPr>
        <w:t xml:space="preserve"> </w:t>
      </w:r>
      <w:r w:rsidR="00A22495" w:rsidRPr="001C218D">
        <w:rPr>
          <w:rFonts w:ascii="Times New Roman" w:hAnsi="Times New Roman" w:cs="Times New Roman"/>
          <w:sz w:val="24"/>
          <w:szCs w:val="24"/>
        </w:rPr>
        <w:t xml:space="preserve">Teamwork depends on the harmony of the various stakeholder interests by mutual incentives. According to the Social Exchange Theory (Blau, 1964), perceived </w:t>
      </w:r>
      <w:r w:rsidR="00A22495" w:rsidRPr="001C218D">
        <w:rPr>
          <w:rFonts w:ascii="Times New Roman" w:hAnsi="Times New Roman" w:cs="Times New Roman"/>
          <w:sz w:val="24"/>
          <w:szCs w:val="24"/>
        </w:rPr>
        <w:lastRenderedPageBreak/>
        <w:t xml:space="preserve">reciprocity and fairness result in cooperation. Thus, by appreciating the input of the clinicians, rewarding supplier performance, and rewarding internal success, It can sustain morale and dedication. </w:t>
      </w:r>
      <w:r w:rsidRPr="00014BA4">
        <w:rPr>
          <w:rFonts w:ascii="Times New Roman" w:hAnsi="Times New Roman" w:cs="Times New Roman"/>
          <w:sz w:val="24"/>
          <w:szCs w:val="24"/>
        </w:rPr>
        <w:t>Cooperation will be fostered through joint NHS</w:t>
      </w:r>
      <w:r w:rsidR="00A22495" w:rsidRPr="001C218D">
        <w:rPr>
          <w:rFonts w:ascii="Times New Roman" w:hAnsi="Times New Roman" w:cs="Times New Roman"/>
          <w:sz w:val="24"/>
          <w:szCs w:val="24"/>
        </w:rPr>
        <w:t xml:space="preserve"> </w:t>
      </w:r>
      <w:r w:rsidRPr="00014BA4">
        <w:rPr>
          <w:rFonts w:ascii="Times New Roman" w:hAnsi="Times New Roman" w:cs="Times New Roman"/>
          <w:sz w:val="24"/>
          <w:szCs w:val="24"/>
        </w:rPr>
        <w:t>Philips workshops to integrate medical usability feedback, reinforcing shared purpose and ownership.</w:t>
      </w:r>
    </w:p>
    <w:p w14:paraId="4B826FC9" w14:textId="395DAE0C" w:rsidR="00014BA4" w:rsidRPr="00014BA4" w:rsidRDefault="00014BA4" w:rsidP="00EF1E3E">
      <w:pPr>
        <w:numPr>
          <w:ilvl w:val="0"/>
          <w:numId w:val="7"/>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Collaboration:</w:t>
      </w:r>
      <w:r w:rsidR="00A22495" w:rsidRPr="001C218D">
        <w:rPr>
          <w:rFonts w:ascii="Times New Roman" w:hAnsi="Times New Roman" w:cs="Times New Roman"/>
        </w:rPr>
        <w:t xml:space="preserve"> </w:t>
      </w:r>
      <w:r w:rsidR="00980DDD" w:rsidRPr="001C218D">
        <w:rPr>
          <w:rFonts w:ascii="Times New Roman" w:hAnsi="Times New Roman" w:cs="Times New Roman"/>
          <w:sz w:val="24"/>
          <w:szCs w:val="24"/>
        </w:rPr>
        <w:t xml:space="preserve">Cooperation is not limited to transactional collaboration but co-creation instead. It represents the idea of Wenger (1998) of Communities of Practice in which people engage in collective effort to address complex problems by sharing knowledge. In the case of </w:t>
      </w:r>
      <w:proofErr w:type="spellStart"/>
      <w:r w:rsidR="00980DDD" w:rsidRPr="001C218D">
        <w:rPr>
          <w:rFonts w:ascii="Times New Roman" w:hAnsi="Times New Roman" w:cs="Times New Roman"/>
          <w:sz w:val="24"/>
          <w:szCs w:val="24"/>
        </w:rPr>
        <w:t>VitalBand</w:t>
      </w:r>
      <w:proofErr w:type="spellEnd"/>
      <w:r w:rsidR="00980DDD" w:rsidRPr="001C218D">
        <w:rPr>
          <w:rFonts w:ascii="Times New Roman" w:hAnsi="Times New Roman" w:cs="Times New Roman"/>
          <w:sz w:val="24"/>
          <w:szCs w:val="24"/>
        </w:rPr>
        <w:t>, this would be cross-disciplinary project meetings, with engineers, clinicians, and compliance officers coming up with solutions to enhance accuracy and regulatory compliance. The product functionality will be refined through collaborative design thinking sessions to make sure that it can fit clinical and user requirements.</w:t>
      </w:r>
    </w:p>
    <w:p w14:paraId="75BD3E70" w14:textId="2E323A99" w:rsidR="00513F87" w:rsidRPr="00014BA4" w:rsidRDefault="00A633D5"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4Cs model does not only improve the efficiency of </w:t>
      </w:r>
      <w:r w:rsidR="005C368D" w:rsidRPr="001C218D">
        <w:rPr>
          <w:rFonts w:ascii="Times New Roman" w:hAnsi="Times New Roman" w:cs="Times New Roman"/>
          <w:sz w:val="24"/>
          <w:szCs w:val="24"/>
        </w:rPr>
        <w:t>interaction but</w:t>
      </w:r>
      <w:r w:rsidRPr="001C218D">
        <w:rPr>
          <w:rFonts w:ascii="Times New Roman" w:hAnsi="Times New Roman" w:cs="Times New Roman"/>
          <w:sz w:val="24"/>
          <w:szCs w:val="24"/>
        </w:rPr>
        <w:t xml:space="preserve"> also reduces inter-departmental conflict. According to Lewicki, Barry and Saunders (2016), the formulated dialogue and goal setting allows converting possible conflicts into creative resolution solutions.</w:t>
      </w:r>
    </w:p>
    <w:p w14:paraId="5B02968C" w14:textId="5460E42A" w:rsidR="00014BA4" w:rsidRPr="001C218D" w:rsidRDefault="001D4A5E" w:rsidP="00C90798">
      <w:pPr>
        <w:pStyle w:val="Heading2"/>
        <w:rPr>
          <w:rFonts w:ascii="Times New Roman" w:hAnsi="Times New Roman" w:cs="Times New Roman"/>
        </w:rPr>
      </w:pPr>
      <w:bookmarkStart w:id="13" w:name="_Toc210771192"/>
      <w:r w:rsidRPr="001C218D">
        <w:rPr>
          <w:rFonts w:ascii="Times New Roman" w:hAnsi="Times New Roman" w:cs="Times New Roman"/>
        </w:rPr>
        <w:t xml:space="preserve">5.5 </w:t>
      </w:r>
      <w:r w:rsidR="00014BA4" w:rsidRPr="001C218D">
        <w:rPr>
          <w:rFonts w:ascii="Times New Roman" w:hAnsi="Times New Roman" w:cs="Times New Roman"/>
        </w:rPr>
        <w:t>Integrated Application: Engagement and Communication Planning</w:t>
      </w:r>
      <w:bookmarkEnd w:id="13"/>
    </w:p>
    <w:p w14:paraId="0D56698E" w14:textId="77777777" w:rsidR="00014BA4" w:rsidRPr="00014BA4" w:rsidRDefault="00014BA4" w:rsidP="00EF1E3E">
      <w:pPr>
        <w:spacing w:line="360" w:lineRule="auto"/>
        <w:jc w:val="both"/>
        <w:rPr>
          <w:rFonts w:ascii="Times New Roman" w:hAnsi="Times New Roman" w:cs="Times New Roman"/>
          <w:sz w:val="24"/>
          <w:szCs w:val="24"/>
        </w:rPr>
      </w:pPr>
      <w:r w:rsidRPr="00014BA4">
        <w:rPr>
          <w:rFonts w:ascii="Times New Roman" w:hAnsi="Times New Roman" w:cs="Times New Roman"/>
          <w:sz w:val="24"/>
          <w:szCs w:val="24"/>
        </w:rPr>
        <w:t xml:space="preserve">To </w:t>
      </w:r>
      <w:proofErr w:type="spellStart"/>
      <w:r w:rsidRPr="00014BA4">
        <w:rPr>
          <w:rFonts w:ascii="Times New Roman" w:hAnsi="Times New Roman" w:cs="Times New Roman"/>
          <w:sz w:val="24"/>
          <w:szCs w:val="24"/>
        </w:rPr>
        <w:t>operationalise</w:t>
      </w:r>
      <w:proofErr w:type="spellEnd"/>
      <w:r w:rsidRPr="00014BA4">
        <w:rPr>
          <w:rFonts w:ascii="Times New Roman" w:hAnsi="Times New Roman" w:cs="Times New Roman"/>
          <w:sz w:val="24"/>
          <w:szCs w:val="24"/>
        </w:rPr>
        <w:t xml:space="preserve"> these frameworks, a comprehensive Stakeholder Engagement and Communication Plan will be implemented:</w:t>
      </w:r>
    </w:p>
    <w:p w14:paraId="471C2741" w14:textId="77777777" w:rsidR="00014BA4" w:rsidRPr="00014BA4" w:rsidRDefault="00014BA4" w:rsidP="00EF1E3E">
      <w:pPr>
        <w:numPr>
          <w:ilvl w:val="0"/>
          <w:numId w:val="8"/>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Frequency:</w:t>
      </w:r>
      <w:r w:rsidRPr="00014BA4">
        <w:rPr>
          <w:rFonts w:ascii="Times New Roman" w:hAnsi="Times New Roman" w:cs="Times New Roman"/>
          <w:sz w:val="24"/>
          <w:szCs w:val="24"/>
        </w:rPr>
        <w:t xml:space="preserve"> Weekly internal meetings; bi-weekly technical reviews; monthly stakeholder briefings; quarterly executive summaries.</w:t>
      </w:r>
    </w:p>
    <w:p w14:paraId="1E1ACB12" w14:textId="77777777" w:rsidR="00014BA4" w:rsidRPr="00014BA4" w:rsidRDefault="00014BA4" w:rsidP="00EF1E3E">
      <w:pPr>
        <w:numPr>
          <w:ilvl w:val="0"/>
          <w:numId w:val="8"/>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Channels:</w:t>
      </w:r>
      <w:r w:rsidRPr="00014BA4">
        <w:rPr>
          <w:rFonts w:ascii="Times New Roman" w:hAnsi="Times New Roman" w:cs="Times New Roman"/>
          <w:sz w:val="24"/>
          <w:szCs w:val="24"/>
        </w:rPr>
        <w:t xml:space="preserve"> Microsoft Teams for coordination, MHRA e-submissions for compliance, and public communication through Philips Health App updates.</w:t>
      </w:r>
    </w:p>
    <w:p w14:paraId="04ED3EF2" w14:textId="77777777" w:rsidR="00014BA4" w:rsidRPr="00014BA4" w:rsidRDefault="00014BA4" w:rsidP="00EF1E3E">
      <w:pPr>
        <w:numPr>
          <w:ilvl w:val="0"/>
          <w:numId w:val="8"/>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Feedback Mechanisms:</w:t>
      </w:r>
      <w:r w:rsidRPr="00014BA4">
        <w:rPr>
          <w:rFonts w:ascii="Times New Roman" w:hAnsi="Times New Roman" w:cs="Times New Roman"/>
          <w:sz w:val="24"/>
          <w:szCs w:val="24"/>
        </w:rPr>
        <w:t xml:space="preserve"> Post-meeting surveys, pilot evaluations, and stakeholder satisfaction tracking.</w:t>
      </w:r>
    </w:p>
    <w:p w14:paraId="1C946F61" w14:textId="77777777" w:rsidR="00014BA4" w:rsidRPr="00014BA4" w:rsidRDefault="00014BA4" w:rsidP="00EF1E3E">
      <w:pPr>
        <w:numPr>
          <w:ilvl w:val="0"/>
          <w:numId w:val="8"/>
        </w:numPr>
        <w:spacing w:line="360" w:lineRule="auto"/>
        <w:jc w:val="both"/>
        <w:rPr>
          <w:rFonts w:ascii="Times New Roman" w:hAnsi="Times New Roman" w:cs="Times New Roman"/>
          <w:sz w:val="24"/>
          <w:szCs w:val="24"/>
        </w:rPr>
      </w:pPr>
      <w:r w:rsidRPr="00014BA4">
        <w:rPr>
          <w:rFonts w:ascii="Times New Roman" w:hAnsi="Times New Roman" w:cs="Times New Roman"/>
          <w:b/>
          <w:bCs/>
          <w:sz w:val="24"/>
          <w:szCs w:val="24"/>
        </w:rPr>
        <w:t>Conflict Escalation:</w:t>
      </w:r>
      <w:r w:rsidRPr="00014BA4">
        <w:rPr>
          <w:rFonts w:ascii="Times New Roman" w:hAnsi="Times New Roman" w:cs="Times New Roman"/>
          <w:sz w:val="24"/>
          <w:szCs w:val="24"/>
        </w:rPr>
        <w:t xml:space="preserve"> Structured issue logs reviewed in steering meetings to ensure timely resolution and accountability.</w:t>
      </w:r>
    </w:p>
    <w:p w14:paraId="1B3CEB25" w14:textId="77777777" w:rsidR="00A968DA" w:rsidRPr="001C218D" w:rsidRDefault="005C368D"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multi-level approach will guarantee the alignment of all the stakeholders, promote a high level of transparency, and adaptive learning within the project lifecycle. Whereas models like the Stakeholder Matrix and RACI have fixed relationships, the Engagement Cycle and 4Cs Model </w:t>
      </w:r>
      <w:r w:rsidRPr="001C218D">
        <w:rPr>
          <w:rFonts w:ascii="Times New Roman" w:hAnsi="Times New Roman" w:cs="Times New Roman"/>
          <w:sz w:val="24"/>
          <w:szCs w:val="24"/>
        </w:rPr>
        <w:lastRenderedPageBreak/>
        <w:t>give the room to vary when priorities change. To illustrate, throughout the pre-launch stage the regulatory engagement takes center stage whereas after launch, the consumer relations take center stage. Through ongoing appraisal, which is based on relational trust and symmetrical communication, the engagement can be maintained over time (</w:t>
      </w:r>
      <w:proofErr w:type="spellStart"/>
      <w:r w:rsidRPr="001C218D">
        <w:rPr>
          <w:rFonts w:ascii="Times New Roman" w:hAnsi="Times New Roman" w:cs="Times New Roman"/>
          <w:sz w:val="24"/>
          <w:szCs w:val="24"/>
        </w:rPr>
        <w:t>Suhanda</w:t>
      </w:r>
      <w:proofErr w:type="spellEnd"/>
      <w:r w:rsidRPr="001C218D">
        <w:rPr>
          <w:rFonts w:ascii="Times New Roman" w:hAnsi="Times New Roman" w:cs="Times New Roman"/>
          <w:sz w:val="24"/>
          <w:szCs w:val="24"/>
        </w:rPr>
        <w:t xml:space="preserve"> and </w:t>
      </w:r>
      <w:proofErr w:type="spellStart"/>
      <w:r w:rsidRPr="001C218D">
        <w:rPr>
          <w:rFonts w:ascii="Times New Roman" w:hAnsi="Times New Roman" w:cs="Times New Roman"/>
          <w:sz w:val="24"/>
          <w:szCs w:val="24"/>
        </w:rPr>
        <w:t>Pratami</w:t>
      </w:r>
      <w:proofErr w:type="spellEnd"/>
      <w:r w:rsidRPr="001C218D">
        <w:rPr>
          <w:rFonts w:ascii="Times New Roman" w:hAnsi="Times New Roman" w:cs="Times New Roman"/>
          <w:sz w:val="24"/>
          <w:szCs w:val="24"/>
        </w:rPr>
        <w:t>, 2021).</w:t>
      </w:r>
    </w:p>
    <w:p w14:paraId="19D4797F" w14:textId="77777777" w:rsidR="008D2F43" w:rsidRPr="001C218D" w:rsidRDefault="008D2F43" w:rsidP="00EF1E3E">
      <w:pPr>
        <w:spacing w:line="360" w:lineRule="auto"/>
        <w:jc w:val="both"/>
        <w:rPr>
          <w:rFonts w:ascii="Times New Roman" w:hAnsi="Times New Roman" w:cs="Times New Roman"/>
          <w:sz w:val="24"/>
          <w:szCs w:val="24"/>
        </w:rPr>
      </w:pPr>
    </w:p>
    <w:p w14:paraId="26B703C9" w14:textId="64AF7B22" w:rsidR="00202E29" w:rsidRPr="001C218D" w:rsidRDefault="00C90798" w:rsidP="00855C95">
      <w:pPr>
        <w:pStyle w:val="Heading1"/>
        <w:rPr>
          <w:rFonts w:ascii="Times New Roman" w:hAnsi="Times New Roman" w:cs="Times New Roman"/>
        </w:rPr>
      </w:pPr>
      <w:bookmarkStart w:id="14" w:name="_Toc210771193"/>
      <w:r w:rsidRPr="001C218D">
        <w:rPr>
          <w:rFonts w:ascii="Times New Roman" w:hAnsi="Times New Roman" w:cs="Times New Roman"/>
        </w:rPr>
        <w:t>6</w:t>
      </w:r>
      <w:r w:rsidR="00202E29" w:rsidRPr="001C218D">
        <w:rPr>
          <w:rFonts w:ascii="Times New Roman" w:hAnsi="Times New Roman" w:cs="Times New Roman"/>
        </w:rPr>
        <w:t>. Evaluation of the Impact of Stakeholder Engagement and Recommendations</w:t>
      </w:r>
      <w:bookmarkEnd w:id="14"/>
    </w:p>
    <w:p w14:paraId="5744A55E" w14:textId="1751E5B5" w:rsidR="00A968DA" w:rsidRPr="001C218D" w:rsidRDefault="00A968DA"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Stakeholder engagement is not a non-core management process, it is a strategic performance engine which models </w:t>
      </w:r>
      <w:proofErr w:type="spellStart"/>
      <w:r w:rsidRPr="001C218D">
        <w:rPr>
          <w:rFonts w:ascii="Times New Roman" w:hAnsi="Times New Roman" w:cs="Times New Roman"/>
          <w:sz w:val="24"/>
          <w:szCs w:val="24"/>
        </w:rPr>
        <w:t>organisational</w:t>
      </w:r>
      <w:proofErr w:type="spellEnd"/>
      <w:r w:rsidRPr="001C218D">
        <w:rPr>
          <w:rFonts w:ascii="Times New Roman" w:hAnsi="Times New Roman" w:cs="Times New Roman"/>
          <w:sz w:val="24"/>
          <w:szCs w:val="24"/>
        </w:rPr>
        <w:t xml:space="preserve"> results in the innovation, performance, compliance and reputation. By </w:t>
      </w:r>
      <w:proofErr w:type="spellStart"/>
      <w:r w:rsidRPr="001C218D">
        <w:rPr>
          <w:rFonts w:ascii="Times New Roman" w:hAnsi="Times New Roman" w:cs="Times New Roman"/>
          <w:sz w:val="24"/>
          <w:szCs w:val="24"/>
        </w:rPr>
        <w:t>utili</w:t>
      </w:r>
      <w:r w:rsidR="00FA0E6F" w:rsidRPr="001C218D">
        <w:rPr>
          <w:rFonts w:ascii="Times New Roman" w:hAnsi="Times New Roman" w:cs="Times New Roman"/>
          <w:sz w:val="24"/>
          <w:szCs w:val="24"/>
        </w:rPr>
        <w:t>s</w:t>
      </w:r>
      <w:r w:rsidRPr="001C218D">
        <w:rPr>
          <w:rFonts w:ascii="Times New Roman" w:hAnsi="Times New Roman" w:cs="Times New Roman"/>
          <w:sz w:val="24"/>
          <w:szCs w:val="24"/>
        </w:rPr>
        <w:t>ing</w:t>
      </w:r>
      <w:proofErr w:type="spellEnd"/>
      <w:r w:rsidRPr="001C218D">
        <w:rPr>
          <w:rFonts w:ascii="Times New Roman" w:hAnsi="Times New Roman" w:cs="Times New Roman"/>
          <w:sz w:val="24"/>
          <w:szCs w:val="24"/>
        </w:rPr>
        <w:t xml:space="preserve"> the Balanced Scorecard model (Kaplan and Norton, 1992), it is possible to achieve a multidimensional evaluation of four </w:t>
      </w:r>
      <w:r w:rsidR="00FA0E6F" w:rsidRPr="001C218D">
        <w:rPr>
          <w:rFonts w:ascii="Times New Roman" w:hAnsi="Times New Roman" w:cs="Times New Roman"/>
          <w:sz w:val="24"/>
          <w:szCs w:val="24"/>
        </w:rPr>
        <w:t>perspectives financial</w:t>
      </w:r>
      <w:r w:rsidRPr="001C218D">
        <w:rPr>
          <w:rFonts w:ascii="Times New Roman" w:hAnsi="Times New Roman" w:cs="Times New Roman"/>
          <w:sz w:val="24"/>
          <w:szCs w:val="24"/>
        </w:rPr>
        <w:t xml:space="preserve">, internal processes, customer, and learning and </w:t>
      </w:r>
      <w:r w:rsidR="00FA0E6F" w:rsidRPr="001C218D">
        <w:rPr>
          <w:rFonts w:ascii="Times New Roman" w:hAnsi="Times New Roman" w:cs="Times New Roman"/>
          <w:sz w:val="24"/>
          <w:szCs w:val="24"/>
        </w:rPr>
        <w:t xml:space="preserve">growth </w:t>
      </w:r>
      <w:r w:rsidR="008D2F43" w:rsidRPr="001C218D">
        <w:rPr>
          <w:rFonts w:ascii="Times New Roman" w:hAnsi="Times New Roman" w:cs="Times New Roman"/>
          <w:sz w:val="24"/>
          <w:szCs w:val="24"/>
        </w:rPr>
        <w:t>to</w:t>
      </w:r>
      <w:r w:rsidRPr="001C218D">
        <w:rPr>
          <w:rFonts w:ascii="Times New Roman" w:hAnsi="Times New Roman" w:cs="Times New Roman"/>
          <w:sz w:val="24"/>
          <w:szCs w:val="24"/>
        </w:rPr>
        <w:t xml:space="preserve"> find how the involvement of stakeholders helps to gain sustainable competitive advantage.</w:t>
      </w:r>
    </w:p>
    <w:p w14:paraId="02A21C96" w14:textId="4871F805" w:rsidR="005B7556" w:rsidRPr="001C218D" w:rsidRDefault="005B7556" w:rsidP="00EF1E3E">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Figure 2: Balance Scorecard </w:t>
      </w:r>
    </w:p>
    <w:p w14:paraId="54C92330" w14:textId="4B43C014" w:rsidR="005B7556" w:rsidRPr="001C218D" w:rsidRDefault="005B7556" w:rsidP="00963BE0">
      <w:pPr>
        <w:spacing w:line="360" w:lineRule="auto"/>
        <w:jc w:val="center"/>
        <w:rPr>
          <w:rFonts w:ascii="Times New Roman" w:hAnsi="Times New Roman" w:cs="Times New Roman"/>
          <w:sz w:val="24"/>
          <w:szCs w:val="24"/>
        </w:rPr>
      </w:pPr>
      <w:r w:rsidRPr="001C218D">
        <w:rPr>
          <w:rFonts w:ascii="Times New Roman" w:hAnsi="Times New Roman" w:cs="Times New Roman"/>
          <w:noProof/>
          <w:sz w:val="24"/>
          <w:szCs w:val="24"/>
        </w:rPr>
        <w:drawing>
          <wp:inline distT="0" distB="0" distL="0" distR="0" wp14:anchorId="012CAF23" wp14:editId="6418DBD2">
            <wp:extent cx="5943600" cy="1842770"/>
            <wp:effectExtent l="0" t="0" r="0" b="5080"/>
            <wp:docPr id="1959631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31229" name=""/>
                    <pic:cNvPicPr/>
                  </pic:nvPicPr>
                  <pic:blipFill>
                    <a:blip r:embed="rId9"/>
                    <a:stretch>
                      <a:fillRect/>
                    </a:stretch>
                  </pic:blipFill>
                  <pic:spPr>
                    <a:xfrm>
                      <a:off x="0" y="0"/>
                      <a:ext cx="5943600" cy="1842770"/>
                    </a:xfrm>
                    <a:prstGeom prst="rect">
                      <a:avLst/>
                    </a:prstGeom>
                  </pic:spPr>
                </pic:pic>
              </a:graphicData>
            </a:graphic>
          </wp:inline>
        </w:drawing>
      </w:r>
    </w:p>
    <w:p w14:paraId="47FF6E40" w14:textId="5DAECFE4" w:rsidR="00963BE0" w:rsidRPr="00202E29" w:rsidRDefault="00963BE0" w:rsidP="008D2F43">
      <w:pPr>
        <w:spacing w:line="360" w:lineRule="auto"/>
        <w:jc w:val="center"/>
        <w:rPr>
          <w:rFonts w:ascii="Times New Roman" w:hAnsi="Times New Roman" w:cs="Times New Roman"/>
          <w:sz w:val="24"/>
          <w:szCs w:val="24"/>
        </w:rPr>
      </w:pPr>
      <w:r w:rsidRPr="001C218D">
        <w:rPr>
          <w:rFonts w:ascii="Times New Roman" w:hAnsi="Times New Roman" w:cs="Times New Roman"/>
          <w:sz w:val="24"/>
          <w:szCs w:val="24"/>
        </w:rPr>
        <w:t>(Author)</w:t>
      </w:r>
    </w:p>
    <w:p w14:paraId="27BC9698" w14:textId="4163ADA2" w:rsidR="00202E29" w:rsidRPr="001C218D" w:rsidRDefault="00C90798" w:rsidP="00855C95">
      <w:pPr>
        <w:pStyle w:val="Heading2"/>
        <w:rPr>
          <w:rFonts w:ascii="Times New Roman" w:hAnsi="Times New Roman" w:cs="Times New Roman"/>
        </w:rPr>
      </w:pPr>
      <w:bookmarkStart w:id="15" w:name="_Toc210771194"/>
      <w:r w:rsidRPr="001C218D">
        <w:rPr>
          <w:rFonts w:ascii="Times New Roman" w:hAnsi="Times New Roman" w:cs="Times New Roman"/>
        </w:rPr>
        <w:t>6.</w:t>
      </w:r>
      <w:r w:rsidR="00202E29" w:rsidRPr="001C218D">
        <w:rPr>
          <w:rFonts w:ascii="Times New Roman" w:hAnsi="Times New Roman" w:cs="Times New Roman"/>
        </w:rPr>
        <w:t>1. Impact of Stakeholder Engagement on Business Performance</w:t>
      </w:r>
      <w:bookmarkEnd w:id="15"/>
    </w:p>
    <w:p w14:paraId="08EA1D0A" w14:textId="77777777" w:rsidR="00202E29" w:rsidRPr="00202E29" w:rsidRDefault="00202E29" w:rsidP="00EF1E3E">
      <w:pPr>
        <w:spacing w:line="360" w:lineRule="auto"/>
        <w:jc w:val="both"/>
        <w:rPr>
          <w:rFonts w:ascii="Times New Roman" w:hAnsi="Times New Roman" w:cs="Times New Roman"/>
          <w:b/>
          <w:bCs/>
          <w:sz w:val="24"/>
          <w:szCs w:val="24"/>
        </w:rPr>
      </w:pPr>
      <w:r w:rsidRPr="00202E29">
        <w:rPr>
          <w:rFonts w:ascii="Times New Roman" w:hAnsi="Times New Roman" w:cs="Times New Roman"/>
          <w:b/>
          <w:bCs/>
          <w:sz w:val="24"/>
          <w:szCs w:val="24"/>
        </w:rPr>
        <w:t>a. Operational Efficiency</w:t>
      </w:r>
    </w:p>
    <w:p w14:paraId="1645FE5F" w14:textId="77777777" w:rsidR="00AB2494" w:rsidRPr="001C218D" w:rsidRDefault="00AB2494" w:rsidP="00AB2494">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proper involvement of stakeholders directly affects the efficiency of the operations. The proactive cooperation of engineers, compliance teams, and suppliers simplifies work and reduces the duration of projects. Bourne (2015) claims that with high-quality engagement, the degree of </w:t>
      </w:r>
      <w:r w:rsidRPr="001C218D">
        <w:rPr>
          <w:rFonts w:ascii="Times New Roman" w:hAnsi="Times New Roman" w:cs="Times New Roman"/>
          <w:sz w:val="24"/>
          <w:szCs w:val="24"/>
        </w:rPr>
        <w:lastRenderedPageBreak/>
        <w:t xml:space="preserve">uncertainty in the project is decreased due to a better coordination level and information flow. In the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project, consulting the MHRA and QA teams early in the design and testing process are necessary to ensure that initial design and testing processes meet the regulatory standards without the need of undertaking expensive rework and delay in approval.</w:t>
      </w:r>
    </w:p>
    <w:p w14:paraId="5F54196B" w14:textId="166A521F" w:rsidR="00202E29" w:rsidRPr="00202E29" w:rsidRDefault="00AB2494" w:rsidP="00AB2494">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Through the internal process perspective of the Balanced Scorecard, productivity and lead times have also been lowered because the stakeholders have become coordinated to synchronize workflows via digital tools such as Microsoft Teams and Asana. These systems allow tracking progress in real-time and accountability, which is a PMBOK (PMI, 2021) concept of an integrated project management aspect. Also, the engagement of suppliers increases reliability in logistics and quality and meeting deadlines of the important components. </w:t>
      </w:r>
    </w:p>
    <w:p w14:paraId="385FFBFB" w14:textId="77777777" w:rsidR="00202E29" w:rsidRPr="00202E29" w:rsidRDefault="00202E29" w:rsidP="00EF1E3E">
      <w:pPr>
        <w:spacing w:line="360" w:lineRule="auto"/>
        <w:jc w:val="both"/>
        <w:rPr>
          <w:rFonts w:ascii="Times New Roman" w:hAnsi="Times New Roman" w:cs="Times New Roman"/>
          <w:b/>
          <w:bCs/>
          <w:sz w:val="24"/>
          <w:szCs w:val="24"/>
        </w:rPr>
      </w:pPr>
      <w:r w:rsidRPr="00202E29">
        <w:rPr>
          <w:rFonts w:ascii="Times New Roman" w:hAnsi="Times New Roman" w:cs="Times New Roman"/>
          <w:b/>
          <w:bCs/>
          <w:sz w:val="24"/>
          <w:szCs w:val="24"/>
        </w:rPr>
        <w:t xml:space="preserve">b. Innovation and </w:t>
      </w:r>
      <w:proofErr w:type="spellStart"/>
      <w:r w:rsidRPr="00202E29">
        <w:rPr>
          <w:rFonts w:ascii="Times New Roman" w:hAnsi="Times New Roman" w:cs="Times New Roman"/>
          <w:b/>
          <w:bCs/>
          <w:sz w:val="24"/>
          <w:szCs w:val="24"/>
        </w:rPr>
        <w:t>Organisational</w:t>
      </w:r>
      <w:proofErr w:type="spellEnd"/>
      <w:r w:rsidRPr="00202E29">
        <w:rPr>
          <w:rFonts w:ascii="Times New Roman" w:hAnsi="Times New Roman" w:cs="Times New Roman"/>
          <w:b/>
          <w:bCs/>
          <w:sz w:val="24"/>
          <w:szCs w:val="24"/>
        </w:rPr>
        <w:t xml:space="preserve"> Learning</w:t>
      </w:r>
    </w:p>
    <w:p w14:paraId="441DDFCE" w14:textId="26190EC9" w:rsidR="006B358A" w:rsidRPr="001C218D" w:rsidRDefault="00AB2494" w:rsidP="00AB2494">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other dimension of critical dimension is innovation that is influenced by stakeholder engagement. The open innovation theory (Chesbrough, 2003) where co-creation and collaboration with external researchers enhance technological development is in line with the strategy of Philips to engage clinicians, data scientists, and patients in testing their prototype. This is reminiscent of the notion that cross-functional teams are going to share their knowledge to manage the quality of the products and </w:t>
      </w:r>
      <w:proofErr w:type="spellStart"/>
      <w:r w:rsidRPr="001C218D">
        <w:rPr>
          <w:rFonts w:ascii="Times New Roman" w:hAnsi="Times New Roman" w:cs="Times New Roman"/>
          <w:sz w:val="24"/>
          <w:szCs w:val="24"/>
        </w:rPr>
        <w:t>organisational</w:t>
      </w:r>
      <w:proofErr w:type="spellEnd"/>
      <w:r w:rsidRPr="001C218D">
        <w:rPr>
          <w:rFonts w:ascii="Times New Roman" w:hAnsi="Times New Roman" w:cs="Times New Roman"/>
          <w:sz w:val="24"/>
          <w:szCs w:val="24"/>
        </w:rPr>
        <w:t xml:space="preserve"> learning as proposed by Wenger (1998) in his concept of communities of practice. </w:t>
      </w:r>
    </w:p>
    <w:p w14:paraId="1EE7B852" w14:textId="489E0F66" w:rsidR="00202E29" w:rsidRPr="00202E29" w:rsidRDefault="00202E29" w:rsidP="00AB2494">
      <w:pPr>
        <w:spacing w:line="360" w:lineRule="auto"/>
        <w:jc w:val="both"/>
        <w:rPr>
          <w:rFonts w:ascii="Times New Roman" w:hAnsi="Times New Roman" w:cs="Times New Roman"/>
          <w:b/>
          <w:bCs/>
          <w:sz w:val="24"/>
          <w:szCs w:val="24"/>
        </w:rPr>
      </w:pPr>
      <w:r w:rsidRPr="00202E29">
        <w:rPr>
          <w:rFonts w:ascii="Times New Roman" w:hAnsi="Times New Roman" w:cs="Times New Roman"/>
          <w:b/>
          <w:bCs/>
          <w:sz w:val="24"/>
          <w:szCs w:val="24"/>
        </w:rPr>
        <w:t>c. Compliance and Risk Management</w:t>
      </w:r>
    </w:p>
    <w:p w14:paraId="1E36AF80" w14:textId="77777777" w:rsidR="00456A6D" w:rsidRPr="001C218D" w:rsidRDefault="00456A6D" w:rsidP="00456A6D">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The field of innovation in health care is highly regulated; therefore, getting stakeholders involved with the compliance agencies is essential to eliminate risks. Premature interaction with the MHRA and legal departments will help the device to comply with the medical classification and data privacy stipulations of GDPR (GOV.UK, 2013). Ashcroft (2017) suggests that proper relations with stakeholders lead to the creation of relational capital, which lowers the friction in the regulatory relationships and increases the institutional credibility.</w:t>
      </w:r>
    </w:p>
    <w:p w14:paraId="7EB9C37F" w14:textId="39DA64D0" w:rsidR="00456A6D" w:rsidRPr="001C218D" w:rsidRDefault="00A15903" w:rsidP="00456A6D">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From the internal process and risk management perspectives, regular engagement has led to early identification of compliance issues, preventing post-launch penalties and reputational damage</w:t>
      </w:r>
      <w:r w:rsidR="00C90798" w:rsidRPr="001C218D">
        <w:rPr>
          <w:rFonts w:ascii="Times New Roman" w:hAnsi="Times New Roman" w:cs="Times New Roman"/>
          <w:sz w:val="24"/>
          <w:szCs w:val="24"/>
        </w:rPr>
        <w:t xml:space="preserve"> </w:t>
      </w:r>
      <w:r w:rsidR="00456A6D" w:rsidRPr="001C218D">
        <w:rPr>
          <w:rFonts w:ascii="Times New Roman" w:hAnsi="Times New Roman" w:cs="Times New Roman"/>
          <w:sz w:val="24"/>
          <w:szCs w:val="24"/>
        </w:rPr>
        <w:t xml:space="preserve">(Aboy, </w:t>
      </w:r>
      <w:proofErr w:type="spellStart"/>
      <w:r w:rsidR="00456A6D" w:rsidRPr="001C218D">
        <w:rPr>
          <w:rFonts w:ascii="Times New Roman" w:hAnsi="Times New Roman" w:cs="Times New Roman"/>
          <w:sz w:val="24"/>
          <w:szCs w:val="24"/>
        </w:rPr>
        <w:t>Minssen</w:t>
      </w:r>
      <w:proofErr w:type="spellEnd"/>
      <w:r w:rsidR="00456A6D" w:rsidRPr="001C218D">
        <w:rPr>
          <w:rFonts w:ascii="Times New Roman" w:hAnsi="Times New Roman" w:cs="Times New Roman"/>
          <w:sz w:val="24"/>
          <w:szCs w:val="24"/>
        </w:rPr>
        <w:t xml:space="preserve"> and </w:t>
      </w:r>
      <w:proofErr w:type="spellStart"/>
      <w:r w:rsidR="00456A6D" w:rsidRPr="001C218D">
        <w:rPr>
          <w:rFonts w:ascii="Times New Roman" w:hAnsi="Times New Roman" w:cs="Times New Roman"/>
          <w:sz w:val="24"/>
          <w:szCs w:val="24"/>
        </w:rPr>
        <w:t>Vayena</w:t>
      </w:r>
      <w:proofErr w:type="spellEnd"/>
      <w:r w:rsidR="00456A6D" w:rsidRPr="001C218D">
        <w:rPr>
          <w:rFonts w:ascii="Times New Roman" w:hAnsi="Times New Roman" w:cs="Times New Roman"/>
          <w:sz w:val="24"/>
          <w:szCs w:val="24"/>
        </w:rPr>
        <w:t xml:space="preserve">, 2024). Such </w:t>
      </w:r>
      <w:r w:rsidR="008D2F43" w:rsidRPr="001C218D">
        <w:rPr>
          <w:rFonts w:ascii="Times New Roman" w:hAnsi="Times New Roman" w:cs="Times New Roman"/>
          <w:sz w:val="24"/>
          <w:szCs w:val="24"/>
        </w:rPr>
        <w:t>proactive</w:t>
      </w:r>
      <w:r w:rsidR="00456A6D" w:rsidRPr="001C218D">
        <w:rPr>
          <w:rFonts w:ascii="Times New Roman" w:hAnsi="Times New Roman" w:cs="Times New Roman"/>
          <w:sz w:val="24"/>
          <w:szCs w:val="24"/>
        </w:rPr>
        <w:t xml:space="preserve"> involvement can be contrasted with the argument by Freeman (1984), that stakeholder management is a constituent part in the attainment </w:t>
      </w:r>
      <w:r w:rsidR="00456A6D" w:rsidRPr="001C218D">
        <w:rPr>
          <w:rFonts w:ascii="Times New Roman" w:hAnsi="Times New Roman" w:cs="Times New Roman"/>
          <w:sz w:val="24"/>
          <w:szCs w:val="24"/>
        </w:rPr>
        <w:lastRenderedPageBreak/>
        <w:t xml:space="preserve">of corporate legitimacy and </w:t>
      </w:r>
      <w:r w:rsidR="00171FE7" w:rsidRPr="001C218D">
        <w:rPr>
          <w:rFonts w:ascii="Times New Roman" w:hAnsi="Times New Roman" w:cs="Times New Roman"/>
          <w:sz w:val="24"/>
          <w:szCs w:val="24"/>
        </w:rPr>
        <w:t>long-term</w:t>
      </w:r>
      <w:r w:rsidR="00456A6D" w:rsidRPr="001C218D">
        <w:rPr>
          <w:rFonts w:ascii="Times New Roman" w:hAnsi="Times New Roman" w:cs="Times New Roman"/>
          <w:sz w:val="24"/>
          <w:szCs w:val="24"/>
        </w:rPr>
        <w:t xml:space="preserve"> viability. Legitimacy in healthcare is directly translated into business survival, less litigation, and investor confidence.</w:t>
      </w:r>
    </w:p>
    <w:p w14:paraId="474434AB" w14:textId="77777777" w:rsidR="00C90798" w:rsidRPr="001C218D" w:rsidRDefault="00C90798" w:rsidP="00456A6D">
      <w:pPr>
        <w:spacing w:line="360" w:lineRule="auto"/>
        <w:jc w:val="both"/>
        <w:rPr>
          <w:rFonts w:ascii="Times New Roman" w:hAnsi="Times New Roman" w:cs="Times New Roman"/>
          <w:sz w:val="24"/>
          <w:szCs w:val="24"/>
        </w:rPr>
      </w:pPr>
    </w:p>
    <w:p w14:paraId="705C485C" w14:textId="6374464C" w:rsidR="00202E29" w:rsidRPr="00202E29" w:rsidRDefault="00202E29" w:rsidP="00456A6D">
      <w:pPr>
        <w:spacing w:line="360" w:lineRule="auto"/>
        <w:jc w:val="both"/>
        <w:rPr>
          <w:rFonts w:ascii="Times New Roman" w:hAnsi="Times New Roman" w:cs="Times New Roman"/>
          <w:b/>
          <w:bCs/>
          <w:sz w:val="24"/>
          <w:szCs w:val="24"/>
        </w:rPr>
      </w:pPr>
      <w:r w:rsidRPr="00202E29">
        <w:rPr>
          <w:rFonts w:ascii="Times New Roman" w:hAnsi="Times New Roman" w:cs="Times New Roman"/>
          <w:b/>
          <w:bCs/>
          <w:sz w:val="24"/>
          <w:szCs w:val="24"/>
        </w:rPr>
        <w:t>d. Reputation, Trust, and Customer Value</w:t>
      </w:r>
    </w:p>
    <w:p w14:paraId="54F1CF3F" w14:textId="4DFA8B07" w:rsidR="00C46B49" w:rsidRPr="001C218D" w:rsidRDefault="00C46B49" w:rsidP="00C46B49">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reputation and trust </w:t>
      </w:r>
      <w:r w:rsidR="00C94940" w:rsidRPr="001C218D">
        <w:rPr>
          <w:rFonts w:ascii="Times New Roman" w:hAnsi="Times New Roman" w:cs="Times New Roman"/>
          <w:sz w:val="24"/>
          <w:szCs w:val="24"/>
        </w:rPr>
        <w:t>are</w:t>
      </w:r>
      <w:r w:rsidRPr="001C218D">
        <w:rPr>
          <w:rFonts w:ascii="Times New Roman" w:hAnsi="Times New Roman" w:cs="Times New Roman"/>
          <w:sz w:val="24"/>
          <w:szCs w:val="24"/>
        </w:rPr>
        <w:t xml:space="preserve"> key to the success of Philips in a socially responsible and ethically sensitive business. Open dialogues with NHS partners and patients would result in a sense of trust in the integrity and technological soundness of Philips. Cornelissen (2017) stresses that bilateral symmetrical communication creates a relational trust, which improves the </w:t>
      </w:r>
      <w:proofErr w:type="spellStart"/>
      <w:r w:rsidRPr="001C218D">
        <w:rPr>
          <w:rFonts w:ascii="Times New Roman" w:hAnsi="Times New Roman" w:cs="Times New Roman"/>
          <w:sz w:val="24"/>
          <w:szCs w:val="24"/>
        </w:rPr>
        <w:t>organisational</w:t>
      </w:r>
      <w:proofErr w:type="spellEnd"/>
      <w:r w:rsidRPr="001C218D">
        <w:rPr>
          <w:rFonts w:ascii="Times New Roman" w:hAnsi="Times New Roman" w:cs="Times New Roman"/>
          <w:sz w:val="24"/>
          <w:szCs w:val="24"/>
        </w:rPr>
        <w:t xml:space="preserve"> reputation and client trust.</w:t>
      </w:r>
      <w:r w:rsidR="008D2F43" w:rsidRPr="001C218D">
        <w:rPr>
          <w:rFonts w:ascii="Times New Roman" w:hAnsi="Times New Roman" w:cs="Times New Roman"/>
          <w:sz w:val="24"/>
          <w:szCs w:val="24"/>
        </w:rPr>
        <w:t xml:space="preserve"> </w:t>
      </w:r>
      <w:r w:rsidRPr="001C218D">
        <w:rPr>
          <w:rFonts w:ascii="Times New Roman" w:hAnsi="Times New Roman" w:cs="Times New Roman"/>
          <w:sz w:val="24"/>
          <w:szCs w:val="24"/>
        </w:rPr>
        <w:t xml:space="preserve">Clinician and patient co-designing </w:t>
      </w:r>
      <w:r w:rsidR="00C94940" w:rsidRPr="001C218D">
        <w:rPr>
          <w:rFonts w:ascii="Times New Roman" w:hAnsi="Times New Roman" w:cs="Times New Roman"/>
          <w:sz w:val="24"/>
          <w:szCs w:val="24"/>
        </w:rPr>
        <w:t>have</w:t>
      </w:r>
      <w:r w:rsidRPr="001C218D">
        <w:rPr>
          <w:rFonts w:ascii="Times New Roman" w:hAnsi="Times New Roman" w:cs="Times New Roman"/>
          <w:sz w:val="24"/>
          <w:szCs w:val="24"/>
        </w:rPr>
        <w:t xml:space="preserve"> proven to be responsive to user </w:t>
      </w:r>
      <w:r w:rsidR="00C94940" w:rsidRPr="001C218D">
        <w:rPr>
          <w:rFonts w:ascii="Times New Roman" w:hAnsi="Times New Roman" w:cs="Times New Roman"/>
          <w:sz w:val="24"/>
          <w:szCs w:val="24"/>
        </w:rPr>
        <w:t>demands a</w:t>
      </w:r>
      <w:r w:rsidRPr="001C218D">
        <w:rPr>
          <w:rFonts w:ascii="Times New Roman" w:hAnsi="Times New Roman" w:cs="Times New Roman"/>
          <w:sz w:val="24"/>
          <w:szCs w:val="24"/>
        </w:rPr>
        <w:t xml:space="preserve"> critical consideration to distinguish the brand of Philips and its competitors. Also, the transparency of the population in safety certification and post-marketing surveillance enhances reputation in the NHS ecosystem (Sharma et al., 2025). </w:t>
      </w:r>
    </w:p>
    <w:p w14:paraId="2D222D1A" w14:textId="47F5E4D8" w:rsidR="00202E29" w:rsidRPr="001C218D" w:rsidRDefault="00C90798" w:rsidP="00855C95">
      <w:pPr>
        <w:pStyle w:val="Heading2"/>
        <w:rPr>
          <w:rFonts w:ascii="Times New Roman" w:hAnsi="Times New Roman" w:cs="Times New Roman"/>
        </w:rPr>
      </w:pPr>
      <w:bookmarkStart w:id="16" w:name="_Toc210771195"/>
      <w:r w:rsidRPr="001C218D">
        <w:rPr>
          <w:rFonts w:ascii="Times New Roman" w:hAnsi="Times New Roman" w:cs="Times New Roman"/>
        </w:rPr>
        <w:t>6</w:t>
      </w:r>
      <w:r w:rsidR="003725C7" w:rsidRPr="001C218D">
        <w:rPr>
          <w:rFonts w:ascii="Times New Roman" w:hAnsi="Times New Roman" w:cs="Times New Roman"/>
        </w:rPr>
        <w:t>.</w:t>
      </w:r>
      <w:r w:rsidR="00202E29" w:rsidRPr="001C218D">
        <w:rPr>
          <w:rFonts w:ascii="Times New Roman" w:hAnsi="Times New Roman" w:cs="Times New Roman"/>
        </w:rPr>
        <w:t>2. Critical Evaluation of the Balanced Scorecard Approach</w:t>
      </w:r>
      <w:bookmarkEnd w:id="16"/>
    </w:p>
    <w:p w14:paraId="1134A3EE" w14:textId="5828EB5F" w:rsidR="008A4B41" w:rsidRPr="00202E29" w:rsidRDefault="00643B40" w:rsidP="00643B40">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Although the Balanced Scorecard is a holistic approach to connecting the engagement of stakeholders and business performance, it still has shortcomings. The model presupposes the performance dimensions to be weighted </w:t>
      </w:r>
      <w:proofErr w:type="spellStart"/>
      <w:r w:rsidRPr="001C218D">
        <w:rPr>
          <w:rFonts w:ascii="Times New Roman" w:hAnsi="Times New Roman" w:cs="Times New Roman"/>
          <w:sz w:val="24"/>
          <w:szCs w:val="24"/>
        </w:rPr>
        <w:t>staticly</w:t>
      </w:r>
      <w:proofErr w:type="spellEnd"/>
      <w:r w:rsidRPr="001C218D">
        <w:rPr>
          <w:rFonts w:ascii="Times New Roman" w:hAnsi="Times New Roman" w:cs="Times New Roman"/>
          <w:sz w:val="24"/>
          <w:szCs w:val="24"/>
        </w:rPr>
        <w:t xml:space="preserve">, which might fail to reflect the dynamics and relational aspects of stakeholder influence (Oliveira et al., 2021). </w:t>
      </w:r>
      <w:r w:rsidR="008A4B41" w:rsidRPr="001C218D">
        <w:rPr>
          <w:rFonts w:ascii="Times New Roman" w:hAnsi="Times New Roman" w:cs="Times New Roman"/>
          <w:sz w:val="24"/>
          <w:szCs w:val="24"/>
        </w:rPr>
        <w:t>In</w:t>
      </w:r>
      <w:r w:rsidRPr="001C218D">
        <w:rPr>
          <w:rFonts w:ascii="Times New Roman" w:hAnsi="Times New Roman" w:cs="Times New Roman"/>
          <w:sz w:val="24"/>
          <w:szCs w:val="24"/>
        </w:rPr>
        <w:t xml:space="preserve"> initial phases of the project the regulatory involvement is supreme; after launching, </w:t>
      </w:r>
      <w:r w:rsidR="008A4B41" w:rsidRPr="001C218D">
        <w:rPr>
          <w:rFonts w:ascii="Times New Roman" w:hAnsi="Times New Roman" w:cs="Times New Roman"/>
          <w:sz w:val="24"/>
          <w:szCs w:val="24"/>
        </w:rPr>
        <w:t>consumer</w:t>
      </w:r>
      <w:r w:rsidRPr="001C218D">
        <w:rPr>
          <w:rFonts w:ascii="Times New Roman" w:hAnsi="Times New Roman" w:cs="Times New Roman"/>
          <w:sz w:val="24"/>
          <w:szCs w:val="24"/>
        </w:rPr>
        <w:t xml:space="preserve"> feedback gains power. Thus, the inclusion of adaptive analytics like sentiment analysis by stakeholders based on AI-based dashboards may contribute to faster and more accurate performance tracking.</w:t>
      </w:r>
      <w:r w:rsidR="00C90798" w:rsidRPr="001C218D">
        <w:rPr>
          <w:rFonts w:ascii="Times New Roman" w:hAnsi="Times New Roman" w:cs="Times New Roman"/>
          <w:sz w:val="24"/>
          <w:szCs w:val="24"/>
        </w:rPr>
        <w:t xml:space="preserve"> </w:t>
      </w:r>
      <w:r w:rsidRPr="001C218D">
        <w:rPr>
          <w:rFonts w:ascii="Times New Roman" w:hAnsi="Times New Roman" w:cs="Times New Roman"/>
          <w:sz w:val="24"/>
          <w:szCs w:val="24"/>
        </w:rPr>
        <w:t xml:space="preserve">Moreover, the Balanced Scorecard conventionally focuses on quantifiable results (e.g., ROI, satisfaction levels) and neglects a qualitative contribution of a trust, ethical alignment, collaboration culture. According to Ashcroft (2017), such intangible factors as relational value and social capital are key success indicators of stakeholders and should be included in modern performance models. </w:t>
      </w:r>
    </w:p>
    <w:p w14:paraId="7FC8B0E0" w14:textId="540F3D54" w:rsidR="00202E29" w:rsidRPr="001C218D" w:rsidRDefault="00C90798" w:rsidP="00855C95">
      <w:pPr>
        <w:pStyle w:val="Heading2"/>
        <w:rPr>
          <w:rFonts w:ascii="Times New Roman" w:hAnsi="Times New Roman" w:cs="Times New Roman"/>
        </w:rPr>
      </w:pPr>
      <w:bookmarkStart w:id="17" w:name="_Toc210771196"/>
      <w:r w:rsidRPr="001C218D">
        <w:rPr>
          <w:rFonts w:ascii="Times New Roman" w:hAnsi="Times New Roman" w:cs="Times New Roman"/>
        </w:rPr>
        <w:t>6</w:t>
      </w:r>
      <w:r w:rsidR="003725C7" w:rsidRPr="001C218D">
        <w:rPr>
          <w:rFonts w:ascii="Times New Roman" w:hAnsi="Times New Roman" w:cs="Times New Roman"/>
        </w:rPr>
        <w:t>.</w:t>
      </w:r>
      <w:r w:rsidR="00202E29" w:rsidRPr="001C218D">
        <w:rPr>
          <w:rFonts w:ascii="Times New Roman" w:hAnsi="Times New Roman" w:cs="Times New Roman"/>
        </w:rPr>
        <w:t>3. Recommendations for Future Stakeholder Engagement</w:t>
      </w:r>
      <w:bookmarkEnd w:id="17"/>
    </w:p>
    <w:p w14:paraId="51367D61" w14:textId="606E8259" w:rsidR="00202E29" w:rsidRPr="00202E29" w:rsidRDefault="00202E29" w:rsidP="00EF1E3E">
      <w:pPr>
        <w:numPr>
          <w:ilvl w:val="0"/>
          <w:numId w:val="9"/>
        </w:numPr>
        <w:spacing w:line="360" w:lineRule="auto"/>
        <w:jc w:val="both"/>
        <w:rPr>
          <w:rFonts w:ascii="Times New Roman" w:hAnsi="Times New Roman" w:cs="Times New Roman"/>
          <w:sz w:val="24"/>
          <w:szCs w:val="24"/>
        </w:rPr>
      </w:pPr>
      <w:r w:rsidRPr="00202E29">
        <w:rPr>
          <w:rFonts w:ascii="Times New Roman" w:hAnsi="Times New Roman" w:cs="Times New Roman"/>
          <w:b/>
          <w:bCs/>
          <w:sz w:val="24"/>
          <w:szCs w:val="24"/>
        </w:rPr>
        <w:t>Implement Stakeholder Analytics Dashboards:</w:t>
      </w:r>
      <w:r w:rsidRPr="001C218D">
        <w:rPr>
          <w:rFonts w:ascii="Times New Roman" w:hAnsi="Times New Roman" w:cs="Times New Roman"/>
          <w:sz w:val="24"/>
          <w:szCs w:val="24"/>
        </w:rPr>
        <w:t xml:space="preserve"> </w:t>
      </w:r>
      <w:r w:rsidRPr="00202E29">
        <w:rPr>
          <w:rFonts w:ascii="Times New Roman" w:hAnsi="Times New Roman" w:cs="Times New Roman"/>
          <w:sz w:val="24"/>
          <w:szCs w:val="24"/>
        </w:rPr>
        <w:t>Develop a digital platform that consolidates engagement data, sentiment analysis, and satisfaction metrics in real time. This would support evidence-based decision-making and enable rapid responses to stakeholder concerns.</w:t>
      </w:r>
    </w:p>
    <w:p w14:paraId="3274E3C1" w14:textId="4415F1F2" w:rsidR="00202E29" w:rsidRPr="00202E29" w:rsidRDefault="00202E29" w:rsidP="00EF1E3E">
      <w:pPr>
        <w:numPr>
          <w:ilvl w:val="0"/>
          <w:numId w:val="9"/>
        </w:numPr>
        <w:spacing w:line="360" w:lineRule="auto"/>
        <w:jc w:val="both"/>
        <w:rPr>
          <w:rFonts w:ascii="Times New Roman" w:hAnsi="Times New Roman" w:cs="Times New Roman"/>
          <w:sz w:val="24"/>
          <w:szCs w:val="24"/>
        </w:rPr>
      </w:pPr>
      <w:proofErr w:type="spellStart"/>
      <w:r w:rsidRPr="00202E29">
        <w:rPr>
          <w:rFonts w:ascii="Times New Roman" w:hAnsi="Times New Roman" w:cs="Times New Roman"/>
          <w:b/>
          <w:bCs/>
          <w:sz w:val="24"/>
          <w:szCs w:val="24"/>
        </w:rPr>
        <w:lastRenderedPageBreak/>
        <w:t>Institutionalise</w:t>
      </w:r>
      <w:proofErr w:type="spellEnd"/>
      <w:r w:rsidRPr="00202E29">
        <w:rPr>
          <w:rFonts w:ascii="Times New Roman" w:hAnsi="Times New Roman" w:cs="Times New Roman"/>
          <w:b/>
          <w:bCs/>
          <w:sz w:val="24"/>
          <w:szCs w:val="24"/>
        </w:rPr>
        <w:t xml:space="preserve"> Quarterly Stakeholder Mapping Reviews:</w:t>
      </w:r>
      <w:r w:rsidRPr="001C218D">
        <w:rPr>
          <w:rFonts w:ascii="Times New Roman" w:hAnsi="Times New Roman" w:cs="Times New Roman"/>
          <w:sz w:val="24"/>
          <w:szCs w:val="24"/>
        </w:rPr>
        <w:t xml:space="preserve"> </w:t>
      </w:r>
      <w:r w:rsidRPr="00202E29">
        <w:rPr>
          <w:rFonts w:ascii="Times New Roman" w:hAnsi="Times New Roman" w:cs="Times New Roman"/>
          <w:sz w:val="24"/>
          <w:szCs w:val="24"/>
        </w:rPr>
        <w:t xml:space="preserve">Given stakeholder salience shifts throughout the project, regular updates to the </w:t>
      </w:r>
      <w:r w:rsidRPr="00202E29">
        <w:rPr>
          <w:rFonts w:ascii="Times New Roman" w:hAnsi="Times New Roman" w:cs="Times New Roman"/>
          <w:b/>
          <w:bCs/>
          <w:sz w:val="24"/>
          <w:szCs w:val="24"/>
        </w:rPr>
        <w:t>Mendelow Matrix</w:t>
      </w:r>
      <w:r w:rsidRPr="00202E29">
        <w:rPr>
          <w:rFonts w:ascii="Times New Roman" w:hAnsi="Times New Roman" w:cs="Times New Roman"/>
          <w:sz w:val="24"/>
          <w:szCs w:val="24"/>
        </w:rPr>
        <w:t xml:space="preserve"> ensure engagement</w:t>
      </w:r>
      <w:r w:rsidR="00726C0B" w:rsidRPr="001C218D">
        <w:rPr>
          <w:rFonts w:ascii="Times New Roman" w:hAnsi="Times New Roman" w:cs="Times New Roman"/>
          <w:sz w:val="24"/>
          <w:szCs w:val="24"/>
        </w:rPr>
        <w:t>s</w:t>
      </w:r>
      <w:r w:rsidRPr="00202E29">
        <w:rPr>
          <w:rFonts w:ascii="Times New Roman" w:hAnsi="Times New Roman" w:cs="Times New Roman"/>
          <w:sz w:val="24"/>
          <w:szCs w:val="24"/>
        </w:rPr>
        <w:t xml:space="preserve"> strategies remain aligned with evolving power-interest dynamics.</w:t>
      </w:r>
    </w:p>
    <w:p w14:paraId="49524412" w14:textId="525AFEAF" w:rsidR="00202E29" w:rsidRPr="00202E29" w:rsidRDefault="00202E29" w:rsidP="00EF1E3E">
      <w:pPr>
        <w:numPr>
          <w:ilvl w:val="0"/>
          <w:numId w:val="9"/>
        </w:numPr>
        <w:spacing w:line="360" w:lineRule="auto"/>
        <w:jc w:val="both"/>
        <w:rPr>
          <w:rFonts w:ascii="Times New Roman" w:hAnsi="Times New Roman" w:cs="Times New Roman"/>
          <w:sz w:val="24"/>
          <w:szCs w:val="24"/>
        </w:rPr>
      </w:pPr>
      <w:r w:rsidRPr="00202E29">
        <w:rPr>
          <w:rFonts w:ascii="Times New Roman" w:hAnsi="Times New Roman" w:cs="Times New Roman"/>
          <w:b/>
          <w:bCs/>
          <w:sz w:val="24"/>
          <w:szCs w:val="24"/>
        </w:rPr>
        <w:t xml:space="preserve">Develop a “Voice of the Clinician” </w:t>
      </w:r>
      <w:proofErr w:type="spellStart"/>
      <w:r w:rsidRPr="00202E29">
        <w:rPr>
          <w:rFonts w:ascii="Times New Roman" w:hAnsi="Times New Roman" w:cs="Times New Roman"/>
          <w:b/>
          <w:bCs/>
          <w:sz w:val="24"/>
          <w:szCs w:val="24"/>
        </w:rPr>
        <w:t>Programme</w:t>
      </w:r>
      <w:proofErr w:type="spellEnd"/>
      <w:r w:rsidRPr="00202E29">
        <w:rPr>
          <w:rFonts w:ascii="Times New Roman" w:hAnsi="Times New Roman" w:cs="Times New Roman"/>
          <w:b/>
          <w:bCs/>
          <w:sz w:val="24"/>
          <w:szCs w:val="24"/>
        </w:rPr>
        <w:t>:</w:t>
      </w:r>
      <w:r w:rsidRPr="001C218D">
        <w:rPr>
          <w:rFonts w:ascii="Times New Roman" w:hAnsi="Times New Roman" w:cs="Times New Roman"/>
          <w:sz w:val="24"/>
          <w:szCs w:val="24"/>
        </w:rPr>
        <w:t xml:space="preserve"> </w:t>
      </w:r>
      <w:r w:rsidRPr="00202E29">
        <w:rPr>
          <w:rFonts w:ascii="Times New Roman" w:hAnsi="Times New Roman" w:cs="Times New Roman"/>
          <w:sz w:val="24"/>
          <w:szCs w:val="24"/>
        </w:rPr>
        <w:t>Establish formal channels for clinician feedback post-launch to continuously refine device performance and ensure long-term NHS adoption.</w:t>
      </w:r>
    </w:p>
    <w:p w14:paraId="740A4206" w14:textId="09C2E5A0" w:rsidR="00202E29" w:rsidRPr="00202E29" w:rsidRDefault="00202E29" w:rsidP="00EF1E3E">
      <w:pPr>
        <w:numPr>
          <w:ilvl w:val="0"/>
          <w:numId w:val="9"/>
        </w:numPr>
        <w:spacing w:line="360" w:lineRule="auto"/>
        <w:jc w:val="both"/>
        <w:rPr>
          <w:rFonts w:ascii="Times New Roman" w:hAnsi="Times New Roman" w:cs="Times New Roman"/>
          <w:sz w:val="24"/>
          <w:szCs w:val="24"/>
        </w:rPr>
      </w:pPr>
      <w:r w:rsidRPr="00202E29">
        <w:rPr>
          <w:rFonts w:ascii="Times New Roman" w:hAnsi="Times New Roman" w:cs="Times New Roman"/>
          <w:b/>
          <w:bCs/>
          <w:sz w:val="24"/>
          <w:szCs w:val="24"/>
        </w:rPr>
        <w:t>Expand Digital Inclusion Initiatives:</w:t>
      </w:r>
      <w:r w:rsidRPr="001C218D">
        <w:rPr>
          <w:rFonts w:ascii="Times New Roman" w:hAnsi="Times New Roman" w:cs="Times New Roman"/>
          <w:sz w:val="24"/>
          <w:szCs w:val="24"/>
        </w:rPr>
        <w:t xml:space="preserve"> </w:t>
      </w:r>
      <w:r w:rsidRPr="00202E29">
        <w:rPr>
          <w:rFonts w:ascii="Times New Roman" w:hAnsi="Times New Roman" w:cs="Times New Roman"/>
          <w:sz w:val="24"/>
          <w:szCs w:val="24"/>
        </w:rPr>
        <w:t>Engage patient advocacy groups early to address accessibility needs for elderly or disabled users, supporting Philips’ sustainability and equality objectives.</w:t>
      </w:r>
    </w:p>
    <w:p w14:paraId="4893D811" w14:textId="0D07EF0E" w:rsidR="00202E29" w:rsidRPr="00202E29" w:rsidRDefault="00202E29" w:rsidP="00EF1E3E">
      <w:pPr>
        <w:numPr>
          <w:ilvl w:val="0"/>
          <w:numId w:val="9"/>
        </w:numPr>
        <w:spacing w:line="360" w:lineRule="auto"/>
        <w:jc w:val="both"/>
        <w:rPr>
          <w:rFonts w:ascii="Times New Roman" w:hAnsi="Times New Roman" w:cs="Times New Roman"/>
          <w:sz w:val="24"/>
          <w:szCs w:val="24"/>
        </w:rPr>
      </w:pPr>
      <w:r w:rsidRPr="00202E29">
        <w:rPr>
          <w:rFonts w:ascii="Times New Roman" w:hAnsi="Times New Roman" w:cs="Times New Roman"/>
          <w:b/>
          <w:bCs/>
          <w:sz w:val="24"/>
          <w:szCs w:val="24"/>
        </w:rPr>
        <w:t>Integrate the 4Cs into Continuous Improvement:</w:t>
      </w:r>
      <w:r w:rsidRPr="001C218D">
        <w:rPr>
          <w:rFonts w:ascii="Times New Roman" w:hAnsi="Times New Roman" w:cs="Times New Roman"/>
          <w:sz w:val="24"/>
          <w:szCs w:val="24"/>
        </w:rPr>
        <w:t xml:space="preserve"> </w:t>
      </w:r>
      <w:r w:rsidRPr="00202E29">
        <w:rPr>
          <w:rFonts w:ascii="Times New Roman" w:hAnsi="Times New Roman" w:cs="Times New Roman"/>
          <w:sz w:val="24"/>
          <w:szCs w:val="24"/>
        </w:rPr>
        <w:t xml:space="preserve">Embed </w:t>
      </w:r>
      <w:r w:rsidRPr="00202E29">
        <w:rPr>
          <w:rFonts w:ascii="Times New Roman" w:hAnsi="Times New Roman" w:cs="Times New Roman"/>
          <w:b/>
          <w:bCs/>
          <w:sz w:val="24"/>
          <w:szCs w:val="24"/>
        </w:rPr>
        <w:t>communication, coordination, cooperation, and collaboration</w:t>
      </w:r>
      <w:r w:rsidRPr="00202E29">
        <w:rPr>
          <w:rFonts w:ascii="Times New Roman" w:hAnsi="Times New Roman" w:cs="Times New Roman"/>
          <w:sz w:val="24"/>
          <w:szCs w:val="24"/>
        </w:rPr>
        <w:t xml:space="preserve"> principles (Ellis, Gibbs and Rein, 1991) into Philips’ corporate engagement policy, ensuring cross-functional synergy beyond the </w:t>
      </w:r>
      <w:proofErr w:type="spellStart"/>
      <w:r w:rsidRPr="00202E29">
        <w:rPr>
          <w:rFonts w:ascii="Times New Roman" w:hAnsi="Times New Roman" w:cs="Times New Roman"/>
          <w:sz w:val="24"/>
          <w:szCs w:val="24"/>
        </w:rPr>
        <w:t>VitalBand</w:t>
      </w:r>
      <w:proofErr w:type="spellEnd"/>
      <w:r w:rsidRPr="00202E29">
        <w:rPr>
          <w:rFonts w:ascii="Times New Roman" w:hAnsi="Times New Roman" w:cs="Times New Roman"/>
          <w:sz w:val="24"/>
          <w:szCs w:val="24"/>
        </w:rPr>
        <w:t xml:space="preserve"> project.</w:t>
      </w:r>
    </w:p>
    <w:p w14:paraId="638F47C8" w14:textId="2BFA7548" w:rsidR="00202E29" w:rsidRPr="00014BA4" w:rsidRDefault="00202E29" w:rsidP="00EF1E3E">
      <w:pPr>
        <w:numPr>
          <w:ilvl w:val="0"/>
          <w:numId w:val="9"/>
        </w:numPr>
        <w:spacing w:line="360" w:lineRule="auto"/>
        <w:jc w:val="both"/>
        <w:rPr>
          <w:rFonts w:ascii="Times New Roman" w:hAnsi="Times New Roman" w:cs="Times New Roman"/>
          <w:sz w:val="24"/>
          <w:szCs w:val="24"/>
        </w:rPr>
      </w:pPr>
      <w:r w:rsidRPr="00202E29">
        <w:rPr>
          <w:rFonts w:ascii="Times New Roman" w:hAnsi="Times New Roman" w:cs="Times New Roman"/>
          <w:b/>
          <w:bCs/>
          <w:sz w:val="24"/>
          <w:szCs w:val="24"/>
        </w:rPr>
        <w:t>Adopt Hybrid Evaluation Models:</w:t>
      </w:r>
      <w:r w:rsidRPr="001C218D">
        <w:rPr>
          <w:rFonts w:ascii="Times New Roman" w:hAnsi="Times New Roman" w:cs="Times New Roman"/>
          <w:sz w:val="24"/>
          <w:szCs w:val="24"/>
        </w:rPr>
        <w:t xml:space="preserve"> </w:t>
      </w:r>
      <w:r w:rsidRPr="00202E29">
        <w:rPr>
          <w:rFonts w:ascii="Times New Roman" w:hAnsi="Times New Roman" w:cs="Times New Roman"/>
          <w:sz w:val="24"/>
          <w:szCs w:val="24"/>
        </w:rPr>
        <w:t>Combine quantitative scorecards with qualitative stakeholder narratives, surveys, and trust indices to provide a balanced view of engagement success.</w:t>
      </w:r>
    </w:p>
    <w:p w14:paraId="17DBB05C" w14:textId="011CBA03" w:rsidR="003725C7" w:rsidRPr="001C218D" w:rsidRDefault="00C90798" w:rsidP="008A4B41">
      <w:pPr>
        <w:pStyle w:val="Heading1"/>
        <w:rPr>
          <w:rFonts w:ascii="Times New Roman" w:hAnsi="Times New Roman" w:cs="Times New Roman"/>
        </w:rPr>
      </w:pPr>
      <w:bookmarkStart w:id="18" w:name="_Toc210771197"/>
      <w:r w:rsidRPr="001C218D">
        <w:rPr>
          <w:rFonts w:ascii="Times New Roman" w:hAnsi="Times New Roman" w:cs="Times New Roman"/>
        </w:rPr>
        <w:t>7</w:t>
      </w:r>
      <w:r w:rsidR="008A4B41" w:rsidRPr="001C218D">
        <w:rPr>
          <w:rFonts w:ascii="Times New Roman" w:hAnsi="Times New Roman" w:cs="Times New Roman"/>
        </w:rPr>
        <w:t xml:space="preserve">. </w:t>
      </w:r>
      <w:r w:rsidR="003725C7" w:rsidRPr="001C218D">
        <w:rPr>
          <w:rFonts w:ascii="Times New Roman" w:hAnsi="Times New Roman" w:cs="Times New Roman"/>
        </w:rPr>
        <w:t>Conclusion</w:t>
      </w:r>
      <w:bookmarkEnd w:id="18"/>
      <w:r w:rsidR="003725C7" w:rsidRPr="001C218D">
        <w:rPr>
          <w:rFonts w:ascii="Times New Roman" w:hAnsi="Times New Roman" w:cs="Times New Roman"/>
        </w:rPr>
        <w:t xml:space="preserve"> </w:t>
      </w:r>
    </w:p>
    <w:p w14:paraId="722B2741" w14:textId="2EE868FC" w:rsidR="00FA5CBA" w:rsidRPr="001C218D" w:rsidRDefault="00FA5CBA" w:rsidP="00FA5CBA">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To sum up, the Philips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project proves that </w:t>
      </w:r>
      <w:r w:rsidR="008A4B41" w:rsidRPr="001C218D">
        <w:rPr>
          <w:rFonts w:ascii="Times New Roman" w:hAnsi="Times New Roman" w:cs="Times New Roman"/>
          <w:sz w:val="24"/>
          <w:szCs w:val="24"/>
        </w:rPr>
        <w:t>competent</w:t>
      </w:r>
      <w:r w:rsidRPr="001C218D">
        <w:rPr>
          <w:rFonts w:ascii="Times New Roman" w:hAnsi="Times New Roman" w:cs="Times New Roman"/>
          <w:sz w:val="24"/>
          <w:szCs w:val="24"/>
        </w:rPr>
        <w:t xml:space="preserve"> stakeholder engagement is the operational and strategic driver of the </w:t>
      </w:r>
      <w:proofErr w:type="spellStart"/>
      <w:r w:rsidRPr="001C218D">
        <w:rPr>
          <w:rFonts w:ascii="Times New Roman" w:hAnsi="Times New Roman" w:cs="Times New Roman"/>
          <w:sz w:val="24"/>
          <w:szCs w:val="24"/>
        </w:rPr>
        <w:t>organisational</w:t>
      </w:r>
      <w:proofErr w:type="spellEnd"/>
      <w:r w:rsidRPr="001C218D">
        <w:rPr>
          <w:rFonts w:ascii="Times New Roman" w:hAnsi="Times New Roman" w:cs="Times New Roman"/>
          <w:sz w:val="24"/>
          <w:szCs w:val="24"/>
        </w:rPr>
        <w:t xml:space="preserve"> achievement. The combination of the frameworks like Power–Interest Matrix by Mendelow, the Engagement Cycle by Bourne, as well as the 4Cs Model (Ellis, Gibbs and Rein, 1991) will make sure that Philips is able to operate relationships in a dynamic manner, balancing regulation compliance with innovation and user satisfaction. Clear communication and open teamwork have enabled Philips to establish an environment of trust that balances internal efficiency and external legitimacy a major demand in the UK healthcare technology sector.</w:t>
      </w:r>
    </w:p>
    <w:p w14:paraId="7C8DDAF3" w14:textId="77777777" w:rsidR="00FA5CBA" w:rsidRPr="001C218D" w:rsidRDefault="00FA5CBA" w:rsidP="00FA5CBA">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The measurement of the results of the involvement with the help of the Balanced Scorecard (Kaplan and Norton, 1992) proves the objective enhancement of the efficiency of the functioning and the possibility of innovation, the ability to follow the regulations, and the image. The MHRA, </w:t>
      </w:r>
      <w:r w:rsidRPr="001C218D">
        <w:rPr>
          <w:rFonts w:ascii="Times New Roman" w:hAnsi="Times New Roman" w:cs="Times New Roman"/>
          <w:sz w:val="24"/>
          <w:szCs w:val="24"/>
        </w:rPr>
        <w:lastRenderedPageBreak/>
        <w:t xml:space="preserve">NHS clinicians and patients are among the stakeholders who have not only influenced the design and validation process of the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but have also strengthened Philips as a leader in evidence-based and ethical digital healthcare.</w:t>
      </w:r>
    </w:p>
    <w:p w14:paraId="701E51C7" w14:textId="6915A3AC" w:rsidR="0060083B" w:rsidRPr="001C218D" w:rsidRDefault="00FA5CBA" w:rsidP="00FA5CBA">
      <w:pPr>
        <w:spacing w:line="360" w:lineRule="auto"/>
        <w:jc w:val="both"/>
        <w:rPr>
          <w:rFonts w:ascii="Times New Roman" w:hAnsi="Times New Roman" w:cs="Times New Roman"/>
          <w:sz w:val="24"/>
          <w:szCs w:val="24"/>
        </w:rPr>
      </w:pPr>
      <w:r w:rsidRPr="001C218D">
        <w:rPr>
          <w:rFonts w:ascii="Times New Roman" w:hAnsi="Times New Roman" w:cs="Times New Roman"/>
          <w:sz w:val="24"/>
          <w:szCs w:val="24"/>
        </w:rPr>
        <w:t xml:space="preserve">As the future progresses, the integration of constant feedback systems, relationship trust indicators, and dynamic analytics will keep the stakeholders aligned and the business operations growing. In the end analysis, the </w:t>
      </w:r>
      <w:proofErr w:type="spellStart"/>
      <w:r w:rsidRPr="001C218D">
        <w:rPr>
          <w:rFonts w:ascii="Times New Roman" w:hAnsi="Times New Roman" w:cs="Times New Roman"/>
          <w:sz w:val="24"/>
          <w:szCs w:val="24"/>
        </w:rPr>
        <w:t>VitalBand</w:t>
      </w:r>
      <w:proofErr w:type="spellEnd"/>
      <w:r w:rsidRPr="001C218D">
        <w:rPr>
          <w:rFonts w:ascii="Times New Roman" w:hAnsi="Times New Roman" w:cs="Times New Roman"/>
          <w:sz w:val="24"/>
          <w:szCs w:val="24"/>
        </w:rPr>
        <w:t xml:space="preserve"> project is a good example of stakeholder-oriented management of complex IT projects into opportunity that brings forth innovation not only technologically superior, but also socially accountable and strategically viable.</w:t>
      </w:r>
    </w:p>
    <w:p w14:paraId="3F6FED33" w14:textId="77777777" w:rsidR="00C90798" w:rsidRPr="001C218D" w:rsidRDefault="00C90798" w:rsidP="00FA5CBA">
      <w:pPr>
        <w:spacing w:line="360" w:lineRule="auto"/>
        <w:jc w:val="both"/>
        <w:rPr>
          <w:rFonts w:ascii="Times New Roman" w:hAnsi="Times New Roman" w:cs="Times New Roman"/>
          <w:sz w:val="24"/>
          <w:szCs w:val="24"/>
        </w:rPr>
      </w:pPr>
    </w:p>
    <w:p w14:paraId="4070FEF1" w14:textId="77777777" w:rsidR="00C90798" w:rsidRPr="001C218D" w:rsidRDefault="00C90798" w:rsidP="00FA5CBA">
      <w:pPr>
        <w:spacing w:line="360" w:lineRule="auto"/>
        <w:jc w:val="both"/>
        <w:rPr>
          <w:rFonts w:ascii="Times New Roman" w:hAnsi="Times New Roman" w:cs="Times New Roman"/>
          <w:sz w:val="24"/>
          <w:szCs w:val="24"/>
        </w:rPr>
      </w:pPr>
    </w:p>
    <w:p w14:paraId="45740685" w14:textId="77777777" w:rsidR="00C90798" w:rsidRPr="001C218D" w:rsidRDefault="00C90798" w:rsidP="00FA5CBA">
      <w:pPr>
        <w:spacing w:line="360" w:lineRule="auto"/>
        <w:jc w:val="both"/>
        <w:rPr>
          <w:rFonts w:ascii="Times New Roman" w:hAnsi="Times New Roman" w:cs="Times New Roman"/>
          <w:sz w:val="24"/>
          <w:szCs w:val="24"/>
        </w:rPr>
      </w:pPr>
    </w:p>
    <w:p w14:paraId="7D7FF638" w14:textId="77777777" w:rsidR="00C90798" w:rsidRPr="001C218D" w:rsidRDefault="00C90798" w:rsidP="00FA5CBA">
      <w:pPr>
        <w:spacing w:line="360" w:lineRule="auto"/>
        <w:jc w:val="both"/>
        <w:rPr>
          <w:rFonts w:ascii="Times New Roman" w:hAnsi="Times New Roman" w:cs="Times New Roman"/>
          <w:sz w:val="24"/>
          <w:szCs w:val="24"/>
        </w:rPr>
      </w:pPr>
    </w:p>
    <w:p w14:paraId="28CFDDE3" w14:textId="77777777" w:rsidR="00C90798" w:rsidRPr="001C218D" w:rsidRDefault="00C90798" w:rsidP="00FA5CBA">
      <w:pPr>
        <w:spacing w:line="360" w:lineRule="auto"/>
        <w:jc w:val="both"/>
        <w:rPr>
          <w:rFonts w:ascii="Times New Roman" w:hAnsi="Times New Roman" w:cs="Times New Roman"/>
          <w:sz w:val="24"/>
          <w:szCs w:val="24"/>
        </w:rPr>
      </w:pPr>
    </w:p>
    <w:p w14:paraId="51996DBA" w14:textId="77777777" w:rsidR="00C90798" w:rsidRPr="001C218D" w:rsidRDefault="00C90798" w:rsidP="00FA5CBA">
      <w:pPr>
        <w:spacing w:line="360" w:lineRule="auto"/>
        <w:jc w:val="both"/>
        <w:rPr>
          <w:rFonts w:ascii="Times New Roman" w:hAnsi="Times New Roman" w:cs="Times New Roman"/>
          <w:sz w:val="24"/>
          <w:szCs w:val="24"/>
        </w:rPr>
      </w:pPr>
    </w:p>
    <w:p w14:paraId="2F41ACD3" w14:textId="77777777" w:rsidR="00C90798" w:rsidRPr="001C218D" w:rsidRDefault="00C90798" w:rsidP="00FA5CBA">
      <w:pPr>
        <w:spacing w:line="360" w:lineRule="auto"/>
        <w:jc w:val="both"/>
        <w:rPr>
          <w:rFonts w:ascii="Times New Roman" w:hAnsi="Times New Roman" w:cs="Times New Roman"/>
          <w:sz w:val="24"/>
          <w:szCs w:val="24"/>
        </w:rPr>
      </w:pPr>
    </w:p>
    <w:p w14:paraId="7DD180E2" w14:textId="77777777" w:rsidR="00C90798" w:rsidRPr="001C218D" w:rsidRDefault="00C90798" w:rsidP="00FA5CBA">
      <w:pPr>
        <w:spacing w:line="360" w:lineRule="auto"/>
        <w:jc w:val="both"/>
        <w:rPr>
          <w:rFonts w:ascii="Times New Roman" w:hAnsi="Times New Roman" w:cs="Times New Roman"/>
          <w:sz w:val="24"/>
          <w:szCs w:val="24"/>
        </w:rPr>
      </w:pPr>
    </w:p>
    <w:p w14:paraId="64169342" w14:textId="77777777" w:rsidR="00C90798" w:rsidRPr="001C218D" w:rsidRDefault="00C90798" w:rsidP="00FA5CBA">
      <w:pPr>
        <w:spacing w:line="360" w:lineRule="auto"/>
        <w:jc w:val="both"/>
        <w:rPr>
          <w:rFonts w:ascii="Times New Roman" w:hAnsi="Times New Roman" w:cs="Times New Roman"/>
          <w:sz w:val="24"/>
          <w:szCs w:val="24"/>
        </w:rPr>
      </w:pPr>
    </w:p>
    <w:p w14:paraId="41A8C17C" w14:textId="77777777" w:rsidR="00C90798" w:rsidRPr="001C218D" w:rsidRDefault="00C90798" w:rsidP="00FA5CBA">
      <w:pPr>
        <w:spacing w:line="360" w:lineRule="auto"/>
        <w:jc w:val="both"/>
        <w:rPr>
          <w:rFonts w:ascii="Times New Roman" w:hAnsi="Times New Roman" w:cs="Times New Roman"/>
          <w:sz w:val="24"/>
          <w:szCs w:val="24"/>
        </w:rPr>
      </w:pPr>
    </w:p>
    <w:p w14:paraId="40B9CE5B" w14:textId="77777777" w:rsidR="00C90798" w:rsidRPr="001C218D" w:rsidRDefault="00C90798" w:rsidP="00FA5CBA">
      <w:pPr>
        <w:spacing w:line="360" w:lineRule="auto"/>
        <w:jc w:val="both"/>
        <w:rPr>
          <w:rFonts w:ascii="Times New Roman" w:hAnsi="Times New Roman" w:cs="Times New Roman"/>
          <w:sz w:val="24"/>
          <w:szCs w:val="24"/>
        </w:rPr>
      </w:pPr>
    </w:p>
    <w:p w14:paraId="12D04E80" w14:textId="77777777" w:rsidR="00C90798" w:rsidRPr="001C218D" w:rsidRDefault="00C90798" w:rsidP="00FA5CBA">
      <w:pPr>
        <w:spacing w:line="360" w:lineRule="auto"/>
        <w:jc w:val="both"/>
        <w:rPr>
          <w:rFonts w:ascii="Times New Roman" w:hAnsi="Times New Roman" w:cs="Times New Roman"/>
          <w:sz w:val="24"/>
          <w:szCs w:val="24"/>
        </w:rPr>
      </w:pPr>
    </w:p>
    <w:p w14:paraId="74052FD5" w14:textId="77777777" w:rsidR="00C90798" w:rsidRPr="001C218D" w:rsidRDefault="00C90798" w:rsidP="00FA5CBA">
      <w:pPr>
        <w:spacing w:line="360" w:lineRule="auto"/>
        <w:jc w:val="both"/>
        <w:rPr>
          <w:rFonts w:ascii="Times New Roman" w:hAnsi="Times New Roman" w:cs="Times New Roman"/>
          <w:sz w:val="24"/>
          <w:szCs w:val="24"/>
        </w:rPr>
      </w:pPr>
    </w:p>
    <w:p w14:paraId="20274261" w14:textId="77777777" w:rsidR="00C90798" w:rsidRPr="001C218D" w:rsidRDefault="00C90798" w:rsidP="00FA5CBA">
      <w:pPr>
        <w:spacing w:line="360" w:lineRule="auto"/>
        <w:jc w:val="both"/>
        <w:rPr>
          <w:rFonts w:ascii="Times New Roman" w:hAnsi="Times New Roman" w:cs="Times New Roman"/>
          <w:sz w:val="24"/>
          <w:szCs w:val="24"/>
        </w:rPr>
      </w:pPr>
    </w:p>
    <w:p w14:paraId="7C75831E" w14:textId="77777777" w:rsidR="00C90798" w:rsidRPr="001C218D" w:rsidRDefault="00C90798" w:rsidP="00FA5CBA">
      <w:pPr>
        <w:spacing w:line="360" w:lineRule="auto"/>
        <w:jc w:val="both"/>
        <w:rPr>
          <w:rFonts w:ascii="Times New Roman" w:hAnsi="Times New Roman" w:cs="Times New Roman"/>
          <w:sz w:val="24"/>
          <w:szCs w:val="24"/>
        </w:rPr>
      </w:pPr>
    </w:p>
    <w:p w14:paraId="3E0A6EBF" w14:textId="77777777" w:rsidR="00C90798" w:rsidRPr="001C218D" w:rsidRDefault="00C90798" w:rsidP="00FA5CBA">
      <w:pPr>
        <w:spacing w:line="360" w:lineRule="auto"/>
        <w:jc w:val="both"/>
        <w:rPr>
          <w:rFonts w:ascii="Times New Roman" w:hAnsi="Times New Roman" w:cs="Times New Roman"/>
          <w:sz w:val="24"/>
          <w:szCs w:val="24"/>
        </w:rPr>
      </w:pPr>
    </w:p>
    <w:p w14:paraId="19B715F2" w14:textId="77777777" w:rsidR="00C90798" w:rsidRPr="001C218D" w:rsidRDefault="00C90798" w:rsidP="00FA5CBA">
      <w:pPr>
        <w:spacing w:line="360" w:lineRule="auto"/>
        <w:jc w:val="both"/>
        <w:rPr>
          <w:rFonts w:ascii="Times New Roman" w:hAnsi="Times New Roman" w:cs="Times New Roman"/>
          <w:sz w:val="24"/>
          <w:szCs w:val="24"/>
        </w:rPr>
      </w:pPr>
    </w:p>
    <w:p w14:paraId="4B0BB53E" w14:textId="77777777" w:rsidR="00C90798" w:rsidRPr="001C218D" w:rsidRDefault="00C90798" w:rsidP="00FA5CBA">
      <w:pPr>
        <w:spacing w:line="360" w:lineRule="auto"/>
        <w:jc w:val="both"/>
        <w:rPr>
          <w:rFonts w:ascii="Times New Roman" w:hAnsi="Times New Roman" w:cs="Times New Roman"/>
          <w:sz w:val="24"/>
          <w:szCs w:val="24"/>
        </w:rPr>
      </w:pPr>
    </w:p>
    <w:p w14:paraId="5A2171FF" w14:textId="77777777" w:rsidR="00C90798" w:rsidRPr="001C218D" w:rsidRDefault="00C90798" w:rsidP="00FA5CBA">
      <w:pPr>
        <w:spacing w:line="360" w:lineRule="auto"/>
        <w:jc w:val="both"/>
        <w:rPr>
          <w:rFonts w:ascii="Times New Roman" w:hAnsi="Times New Roman" w:cs="Times New Roman"/>
          <w:sz w:val="24"/>
          <w:szCs w:val="24"/>
        </w:rPr>
      </w:pPr>
    </w:p>
    <w:p w14:paraId="27937E0B" w14:textId="361F5254" w:rsidR="001C218D" w:rsidRPr="001C218D" w:rsidRDefault="001C218D" w:rsidP="001C218D">
      <w:pPr>
        <w:pStyle w:val="Heading1"/>
        <w:rPr>
          <w:rFonts w:ascii="Times New Roman" w:hAnsi="Times New Roman" w:cs="Times New Roman"/>
        </w:rPr>
      </w:pPr>
      <w:bookmarkStart w:id="19" w:name="_Toc210771198"/>
      <w:r w:rsidRPr="001C218D">
        <w:rPr>
          <w:rFonts w:ascii="Times New Roman" w:hAnsi="Times New Roman" w:cs="Times New Roman"/>
        </w:rPr>
        <w:t>Reference List</w:t>
      </w:r>
      <w:bookmarkEnd w:id="19"/>
    </w:p>
    <w:p w14:paraId="27A939FF"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Aboy, M., Minssen, T. and </w:t>
      </w:r>
      <w:proofErr w:type="spellStart"/>
      <w:r w:rsidRPr="009207BC">
        <w:rPr>
          <w:rFonts w:ascii="Times New Roman" w:hAnsi="Times New Roman" w:cs="Times New Roman"/>
          <w:sz w:val="24"/>
          <w:szCs w:val="24"/>
        </w:rPr>
        <w:t>Vayena</w:t>
      </w:r>
      <w:proofErr w:type="spellEnd"/>
      <w:r w:rsidRPr="009207BC">
        <w:rPr>
          <w:rFonts w:ascii="Times New Roman" w:hAnsi="Times New Roman" w:cs="Times New Roman"/>
          <w:sz w:val="24"/>
          <w:szCs w:val="24"/>
        </w:rPr>
        <w:t xml:space="preserve">, E. (2024) ‘Navigating the EU AI Act: implications for regulated digital medical products’, </w:t>
      </w:r>
      <w:proofErr w:type="spellStart"/>
      <w:r w:rsidRPr="009207BC">
        <w:rPr>
          <w:rFonts w:ascii="Times New Roman" w:hAnsi="Times New Roman" w:cs="Times New Roman"/>
          <w:i/>
          <w:iCs/>
          <w:sz w:val="24"/>
          <w:szCs w:val="24"/>
        </w:rPr>
        <w:t>npj</w:t>
      </w:r>
      <w:proofErr w:type="spellEnd"/>
      <w:r w:rsidRPr="009207BC">
        <w:rPr>
          <w:rFonts w:ascii="Times New Roman" w:hAnsi="Times New Roman" w:cs="Times New Roman"/>
          <w:i/>
          <w:iCs/>
          <w:sz w:val="24"/>
          <w:szCs w:val="24"/>
        </w:rPr>
        <w:t xml:space="preserve"> Digital Medicine</w:t>
      </w:r>
      <w:r w:rsidRPr="009207BC">
        <w:rPr>
          <w:rFonts w:ascii="Times New Roman" w:hAnsi="Times New Roman" w:cs="Times New Roman"/>
          <w:sz w:val="24"/>
          <w:szCs w:val="24"/>
        </w:rPr>
        <w:t xml:space="preserve">, 7(1). Available at: </w:t>
      </w:r>
      <w:hyperlink r:id="rId10" w:tgtFrame="_new" w:history="1">
        <w:r w:rsidRPr="009207BC">
          <w:rPr>
            <w:rStyle w:val="Hyperlink"/>
            <w:rFonts w:ascii="Times New Roman" w:hAnsi="Times New Roman" w:cs="Times New Roman"/>
            <w:sz w:val="24"/>
            <w:szCs w:val="24"/>
          </w:rPr>
          <w:t>https://doi.org/10.1038/s41746-024-01232-3</w:t>
        </w:r>
      </w:hyperlink>
      <w:r w:rsidRPr="009207BC">
        <w:rPr>
          <w:rFonts w:ascii="Times New Roman" w:hAnsi="Times New Roman" w:cs="Times New Roman"/>
          <w:sz w:val="24"/>
          <w:szCs w:val="24"/>
        </w:rPr>
        <w:t xml:space="preserve"> (Accessed: 7 October 2025).</w:t>
      </w:r>
    </w:p>
    <w:p w14:paraId="2222BC1D"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Ashcroft, J., Childs, R., Myers, A. and Schluter, M. (2017) </w:t>
      </w:r>
      <w:r w:rsidRPr="009207BC">
        <w:rPr>
          <w:rFonts w:ascii="Times New Roman" w:hAnsi="Times New Roman" w:cs="Times New Roman"/>
          <w:i/>
          <w:iCs/>
          <w:sz w:val="24"/>
          <w:szCs w:val="24"/>
        </w:rPr>
        <w:t>The Relational Lens: Understanding, Measuring, and Managing Stakeholder Relationships</w:t>
      </w:r>
      <w:r w:rsidRPr="009207BC">
        <w:rPr>
          <w:rFonts w:ascii="Times New Roman" w:hAnsi="Times New Roman" w:cs="Times New Roman"/>
          <w:sz w:val="24"/>
          <w:szCs w:val="24"/>
        </w:rPr>
        <w:t xml:space="preserve">. Cambridge: Cambridge University Press. Available at: </w:t>
      </w:r>
      <w:hyperlink r:id="rId11" w:tgtFrame="_new" w:history="1">
        <w:r w:rsidRPr="009207BC">
          <w:rPr>
            <w:rStyle w:val="Hyperlink"/>
            <w:rFonts w:ascii="Times New Roman" w:hAnsi="Times New Roman" w:cs="Times New Roman"/>
            <w:sz w:val="24"/>
            <w:szCs w:val="24"/>
          </w:rPr>
          <w:t>https://doi.org/10.1017/cbo9781316659212</w:t>
        </w:r>
      </w:hyperlink>
      <w:r w:rsidRPr="009207BC">
        <w:rPr>
          <w:rFonts w:ascii="Times New Roman" w:hAnsi="Times New Roman" w:cs="Times New Roman"/>
          <w:sz w:val="24"/>
          <w:szCs w:val="24"/>
        </w:rPr>
        <w:t xml:space="preserve"> (Accessed: 7 October 2025).</w:t>
      </w:r>
    </w:p>
    <w:p w14:paraId="29975B29"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Ballantyne, D. (2000) ‘Internal relationship marketing: a strategy for knowledge renewal’, </w:t>
      </w:r>
      <w:r w:rsidRPr="009207BC">
        <w:rPr>
          <w:rFonts w:ascii="Times New Roman" w:hAnsi="Times New Roman" w:cs="Times New Roman"/>
          <w:i/>
          <w:iCs/>
          <w:sz w:val="24"/>
          <w:szCs w:val="24"/>
        </w:rPr>
        <w:t>International Journal of Bank Marketing</w:t>
      </w:r>
      <w:r w:rsidRPr="009207BC">
        <w:rPr>
          <w:rFonts w:ascii="Times New Roman" w:hAnsi="Times New Roman" w:cs="Times New Roman"/>
          <w:sz w:val="24"/>
          <w:szCs w:val="24"/>
        </w:rPr>
        <w:t xml:space="preserve">, 18(6), pp. 274–286. Available at: </w:t>
      </w:r>
      <w:hyperlink r:id="rId12" w:tgtFrame="_new" w:history="1">
        <w:r w:rsidRPr="009207BC">
          <w:rPr>
            <w:rStyle w:val="Hyperlink"/>
            <w:rFonts w:ascii="Times New Roman" w:hAnsi="Times New Roman" w:cs="Times New Roman"/>
            <w:sz w:val="24"/>
            <w:szCs w:val="24"/>
          </w:rPr>
          <w:t>https://doi.org/10.1108/02652320010358698</w:t>
        </w:r>
      </w:hyperlink>
      <w:r w:rsidRPr="009207BC">
        <w:rPr>
          <w:rFonts w:ascii="Times New Roman" w:hAnsi="Times New Roman" w:cs="Times New Roman"/>
          <w:sz w:val="24"/>
          <w:szCs w:val="24"/>
        </w:rPr>
        <w:t xml:space="preserve"> (Accessed: 7 October 2025).</w:t>
      </w:r>
    </w:p>
    <w:p w14:paraId="2E90F755"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Belbin, M. (2010) </w:t>
      </w:r>
      <w:r w:rsidRPr="009207BC">
        <w:rPr>
          <w:rFonts w:ascii="Times New Roman" w:hAnsi="Times New Roman" w:cs="Times New Roman"/>
          <w:i/>
          <w:iCs/>
          <w:sz w:val="24"/>
          <w:szCs w:val="24"/>
        </w:rPr>
        <w:t>Team Roles at Work</w:t>
      </w:r>
      <w:r w:rsidRPr="009207BC">
        <w:rPr>
          <w:rFonts w:ascii="Times New Roman" w:hAnsi="Times New Roman" w:cs="Times New Roman"/>
          <w:sz w:val="24"/>
          <w:szCs w:val="24"/>
        </w:rPr>
        <w:t xml:space="preserve">. Oxford: Butterworth-Heinemann. Available at: </w:t>
      </w:r>
      <w:hyperlink r:id="rId13" w:tgtFrame="_new" w:history="1">
        <w:r w:rsidRPr="009207BC">
          <w:rPr>
            <w:rStyle w:val="Hyperlink"/>
            <w:rFonts w:ascii="Times New Roman" w:hAnsi="Times New Roman" w:cs="Times New Roman"/>
            <w:sz w:val="24"/>
            <w:szCs w:val="24"/>
          </w:rPr>
          <w:t>https://www.sciencedirect.com/book/9781856178006/team-roles-at-work</w:t>
        </w:r>
      </w:hyperlink>
      <w:r w:rsidRPr="009207BC">
        <w:rPr>
          <w:rFonts w:ascii="Times New Roman" w:hAnsi="Times New Roman" w:cs="Times New Roman"/>
          <w:sz w:val="24"/>
          <w:szCs w:val="24"/>
        </w:rPr>
        <w:t xml:space="preserve"> (Accessed: 7 October 2025).</w:t>
      </w:r>
    </w:p>
    <w:p w14:paraId="0A6D3DA4"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Blau, P.M. (1964) ‘Justice in social exchange’, </w:t>
      </w:r>
      <w:r w:rsidRPr="009207BC">
        <w:rPr>
          <w:rFonts w:ascii="Times New Roman" w:hAnsi="Times New Roman" w:cs="Times New Roman"/>
          <w:i/>
          <w:iCs/>
          <w:sz w:val="24"/>
          <w:szCs w:val="24"/>
        </w:rPr>
        <w:t>Sociological Inquiry</w:t>
      </w:r>
      <w:r w:rsidRPr="009207BC">
        <w:rPr>
          <w:rFonts w:ascii="Times New Roman" w:hAnsi="Times New Roman" w:cs="Times New Roman"/>
          <w:sz w:val="24"/>
          <w:szCs w:val="24"/>
        </w:rPr>
        <w:t xml:space="preserve">, 34(2), pp. 193–206. Available at: </w:t>
      </w:r>
      <w:hyperlink r:id="rId14" w:tgtFrame="_new" w:history="1">
        <w:r w:rsidRPr="009207BC">
          <w:rPr>
            <w:rStyle w:val="Hyperlink"/>
            <w:rFonts w:ascii="Times New Roman" w:hAnsi="Times New Roman" w:cs="Times New Roman"/>
            <w:sz w:val="24"/>
            <w:szCs w:val="24"/>
          </w:rPr>
          <w:t>https://doi.org/10.1111/j.1475-682X.1964.tb00583.x</w:t>
        </w:r>
      </w:hyperlink>
      <w:r w:rsidRPr="009207BC">
        <w:rPr>
          <w:rFonts w:ascii="Times New Roman" w:hAnsi="Times New Roman" w:cs="Times New Roman"/>
          <w:sz w:val="24"/>
          <w:szCs w:val="24"/>
        </w:rPr>
        <w:t xml:space="preserve"> (Accessed: 7 October 2025).</w:t>
      </w:r>
    </w:p>
    <w:p w14:paraId="1BE2742D"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Bourne, L. (2015) </w:t>
      </w:r>
      <w:r w:rsidRPr="009207BC">
        <w:rPr>
          <w:rFonts w:ascii="Times New Roman" w:hAnsi="Times New Roman" w:cs="Times New Roman"/>
          <w:i/>
          <w:iCs/>
          <w:sz w:val="24"/>
          <w:szCs w:val="24"/>
        </w:rPr>
        <w:t>Making Projects Work: Effective Stakeholder and Communication Management</w:t>
      </w:r>
      <w:r w:rsidRPr="009207BC">
        <w:rPr>
          <w:rFonts w:ascii="Times New Roman" w:hAnsi="Times New Roman" w:cs="Times New Roman"/>
          <w:sz w:val="24"/>
          <w:szCs w:val="24"/>
        </w:rPr>
        <w:t xml:space="preserve">. Boca Raton: Auerbach Publications. Available at: </w:t>
      </w:r>
      <w:hyperlink r:id="rId15" w:tgtFrame="_new" w:history="1">
        <w:r w:rsidRPr="009207BC">
          <w:rPr>
            <w:rStyle w:val="Hyperlink"/>
            <w:rFonts w:ascii="Times New Roman" w:hAnsi="Times New Roman" w:cs="Times New Roman"/>
            <w:sz w:val="24"/>
            <w:szCs w:val="24"/>
          </w:rPr>
          <w:t>https://doi.org/10.1201/b18100</w:t>
        </w:r>
      </w:hyperlink>
      <w:r w:rsidRPr="009207BC">
        <w:rPr>
          <w:rFonts w:ascii="Times New Roman" w:hAnsi="Times New Roman" w:cs="Times New Roman"/>
          <w:sz w:val="24"/>
          <w:szCs w:val="24"/>
        </w:rPr>
        <w:t xml:space="preserve"> (Accessed: 7 October 2025).</w:t>
      </w:r>
    </w:p>
    <w:p w14:paraId="598FB3A5"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Chesbrough, H.W. (2003) </w:t>
      </w:r>
      <w:r w:rsidRPr="009207BC">
        <w:rPr>
          <w:rFonts w:ascii="Times New Roman" w:hAnsi="Times New Roman" w:cs="Times New Roman"/>
          <w:i/>
          <w:iCs/>
          <w:sz w:val="24"/>
          <w:szCs w:val="24"/>
        </w:rPr>
        <w:t>Open Innovation: The New Imperative for Creating and Profiting from Technology</w:t>
      </w:r>
      <w:r w:rsidRPr="009207BC">
        <w:rPr>
          <w:rFonts w:ascii="Times New Roman" w:hAnsi="Times New Roman" w:cs="Times New Roman"/>
          <w:sz w:val="24"/>
          <w:szCs w:val="24"/>
        </w:rPr>
        <w:t>. Boston: Harvard Business School Press. (Accessed: 7 October 2025).</w:t>
      </w:r>
    </w:p>
    <w:p w14:paraId="78EB9DD9"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Christopher, M., Payne, A. and Ballantyne, D. (2013) </w:t>
      </w:r>
      <w:r w:rsidRPr="009207BC">
        <w:rPr>
          <w:rFonts w:ascii="Times New Roman" w:hAnsi="Times New Roman" w:cs="Times New Roman"/>
          <w:i/>
          <w:iCs/>
          <w:sz w:val="24"/>
          <w:szCs w:val="24"/>
        </w:rPr>
        <w:t>Relationship Marketing: Creating Stakeholder Value</w:t>
      </w:r>
      <w:r w:rsidRPr="009207BC">
        <w:rPr>
          <w:rFonts w:ascii="Times New Roman" w:hAnsi="Times New Roman" w:cs="Times New Roman"/>
          <w:sz w:val="24"/>
          <w:szCs w:val="24"/>
        </w:rPr>
        <w:t xml:space="preserve">. London: Routledge. Available at: </w:t>
      </w:r>
      <w:hyperlink r:id="rId16" w:tgtFrame="_new" w:history="1">
        <w:r w:rsidRPr="009207BC">
          <w:rPr>
            <w:rStyle w:val="Hyperlink"/>
            <w:rFonts w:ascii="Times New Roman" w:hAnsi="Times New Roman" w:cs="Times New Roman"/>
            <w:sz w:val="24"/>
            <w:szCs w:val="24"/>
          </w:rPr>
          <w:t>https://doi.org/10.4324/9780080516042</w:t>
        </w:r>
      </w:hyperlink>
      <w:r w:rsidRPr="009207BC">
        <w:rPr>
          <w:rFonts w:ascii="Times New Roman" w:hAnsi="Times New Roman" w:cs="Times New Roman"/>
          <w:sz w:val="24"/>
          <w:szCs w:val="24"/>
        </w:rPr>
        <w:t xml:space="preserve"> (Accessed: 7 October 2025).</w:t>
      </w:r>
    </w:p>
    <w:p w14:paraId="02139708"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lastRenderedPageBreak/>
        <w:t xml:space="preserve">Cornelissen, J. (2017) </w:t>
      </w:r>
      <w:r w:rsidRPr="009207BC">
        <w:rPr>
          <w:rFonts w:ascii="Times New Roman" w:hAnsi="Times New Roman" w:cs="Times New Roman"/>
          <w:i/>
          <w:iCs/>
          <w:sz w:val="24"/>
          <w:szCs w:val="24"/>
        </w:rPr>
        <w:t>Corporate Communication: A Guide to Theory and Practice</w:t>
      </w:r>
      <w:r w:rsidRPr="009207BC">
        <w:rPr>
          <w:rFonts w:ascii="Times New Roman" w:hAnsi="Times New Roman" w:cs="Times New Roman"/>
          <w:sz w:val="24"/>
          <w:szCs w:val="24"/>
        </w:rPr>
        <w:t>. London: SAGE Publications. (Accessed: 7 October 2025).</w:t>
      </w:r>
    </w:p>
    <w:p w14:paraId="4495B17F"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Ellis, C.A., Gibbs, S.J. and Rein, G.L. (1991) ‘Groupware: some issues and experiences’, </w:t>
      </w:r>
      <w:r w:rsidRPr="009207BC">
        <w:rPr>
          <w:rFonts w:ascii="Times New Roman" w:hAnsi="Times New Roman" w:cs="Times New Roman"/>
          <w:i/>
          <w:iCs/>
          <w:sz w:val="24"/>
          <w:szCs w:val="24"/>
        </w:rPr>
        <w:t>Communications of the ACM</w:t>
      </w:r>
      <w:r w:rsidRPr="009207BC">
        <w:rPr>
          <w:rFonts w:ascii="Times New Roman" w:hAnsi="Times New Roman" w:cs="Times New Roman"/>
          <w:sz w:val="24"/>
          <w:szCs w:val="24"/>
        </w:rPr>
        <w:t xml:space="preserve">, 34(1), pp. 38–58. Available at: </w:t>
      </w:r>
      <w:hyperlink r:id="rId17" w:tgtFrame="_new" w:history="1">
        <w:r w:rsidRPr="009207BC">
          <w:rPr>
            <w:rStyle w:val="Hyperlink"/>
            <w:rFonts w:ascii="Times New Roman" w:hAnsi="Times New Roman" w:cs="Times New Roman"/>
            <w:sz w:val="24"/>
            <w:szCs w:val="24"/>
          </w:rPr>
          <w:t>https://doi.org/10.1145/99977.99987</w:t>
        </w:r>
      </w:hyperlink>
      <w:r w:rsidRPr="009207BC">
        <w:rPr>
          <w:rFonts w:ascii="Times New Roman" w:hAnsi="Times New Roman" w:cs="Times New Roman"/>
          <w:sz w:val="24"/>
          <w:szCs w:val="24"/>
        </w:rPr>
        <w:t xml:space="preserve"> (Accessed: 7 October 2025).</w:t>
      </w:r>
    </w:p>
    <w:p w14:paraId="3DC739B1"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Freeman, R.E. (1984) </w:t>
      </w:r>
      <w:r w:rsidRPr="009207BC">
        <w:rPr>
          <w:rFonts w:ascii="Times New Roman" w:hAnsi="Times New Roman" w:cs="Times New Roman"/>
          <w:i/>
          <w:iCs/>
          <w:sz w:val="24"/>
          <w:szCs w:val="24"/>
        </w:rPr>
        <w:t>Strategic Management: A Stakeholder Approach</w:t>
      </w:r>
      <w:r w:rsidRPr="009207BC">
        <w:rPr>
          <w:rFonts w:ascii="Times New Roman" w:hAnsi="Times New Roman" w:cs="Times New Roman"/>
          <w:sz w:val="24"/>
          <w:szCs w:val="24"/>
        </w:rPr>
        <w:t>. Boston: Pitman Publishing. (Accessed: 7 October 2025).</w:t>
      </w:r>
    </w:p>
    <w:p w14:paraId="1EFD2301"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GOV.UK (2013) </w:t>
      </w:r>
      <w:r w:rsidRPr="009207BC">
        <w:rPr>
          <w:rFonts w:ascii="Times New Roman" w:hAnsi="Times New Roman" w:cs="Times New Roman"/>
          <w:i/>
          <w:iCs/>
          <w:sz w:val="24"/>
          <w:szCs w:val="24"/>
        </w:rPr>
        <w:t>Medical devices: how to comply with the legal requirements</w:t>
      </w:r>
      <w:r w:rsidRPr="009207BC">
        <w:rPr>
          <w:rFonts w:ascii="Times New Roman" w:hAnsi="Times New Roman" w:cs="Times New Roman"/>
          <w:sz w:val="24"/>
          <w:szCs w:val="24"/>
        </w:rPr>
        <w:t xml:space="preserve">. Available at: </w:t>
      </w:r>
      <w:hyperlink r:id="rId18" w:tgtFrame="_new" w:history="1">
        <w:r w:rsidRPr="009207BC">
          <w:rPr>
            <w:rStyle w:val="Hyperlink"/>
            <w:rFonts w:ascii="Times New Roman" w:hAnsi="Times New Roman" w:cs="Times New Roman"/>
            <w:sz w:val="24"/>
            <w:szCs w:val="24"/>
          </w:rPr>
          <w:t>https://www.gov.uk/guidance/medical-devices-how-to-comply-with-the-legal-requirements</w:t>
        </w:r>
      </w:hyperlink>
      <w:r w:rsidRPr="009207BC">
        <w:rPr>
          <w:rFonts w:ascii="Times New Roman" w:hAnsi="Times New Roman" w:cs="Times New Roman"/>
          <w:sz w:val="24"/>
          <w:szCs w:val="24"/>
        </w:rPr>
        <w:t xml:space="preserve"> (Accessed: 7 October 2025).</w:t>
      </w:r>
    </w:p>
    <w:p w14:paraId="70349FD2"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Himma-Kadakas, M. and </w:t>
      </w:r>
      <w:proofErr w:type="spellStart"/>
      <w:r w:rsidRPr="009207BC">
        <w:rPr>
          <w:rFonts w:ascii="Times New Roman" w:hAnsi="Times New Roman" w:cs="Times New Roman"/>
          <w:sz w:val="24"/>
          <w:szCs w:val="24"/>
        </w:rPr>
        <w:t>Pilt</w:t>
      </w:r>
      <w:proofErr w:type="spellEnd"/>
      <w:r w:rsidRPr="009207BC">
        <w:rPr>
          <w:rFonts w:ascii="Times New Roman" w:hAnsi="Times New Roman" w:cs="Times New Roman"/>
          <w:sz w:val="24"/>
          <w:szCs w:val="24"/>
        </w:rPr>
        <w:t xml:space="preserve">, E. (2023) ‘The stakeholder matrix is derived from Mendelow’s (1991) approach to the differentiation of stakeholder influence’, </w:t>
      </w:r>
      <w:r w:rsidRPr="009207BC">
        <w:rPr>
          <w:rFonts w:ascii="Times New Roman" w:hAnsi="Times New Roman" w:cs="Times New Roman"/>
          <w:i/>
          <w:iCs/>
          <w:sz w:val="24"/>
          <w:szCs w:val="24"/>
        </w:rPr>
        <w:t>ResearchGate</w:t>
      </w:r>
      <w:r w:rsidRPr="009207BC">
        <w:rPr>
          <w:rFonts w:ascii="Times New Roman" w:hAnsi="Times New Roman" w:cs="Times New Roman"/>
          <w:sz w:val="24"/>
          <w:szCs w:val="24"/>
        </w:rPr>
        <w:t xml:space="preserve">. Available at: </w:t>
      </w:r>
      <w:hyperlink r:id="rId19" w:tgtFrame="_new" w:history="1">
        <w:r w:rsidRPr="009207BC">
          <w:rPr>
            <w:rStyle w:val="Hyperlink"/>
            <w:rFonts w:ascii="Times New Roman" w:hAnsi="Times New Roman" w:cs="Times New Roman"/>
            <w:sz w:val="24"/>
            <w:szCs w:val="24"/>
          </w:rPr>
          <w:t>https://www.researchgate.net/figure/The-stakeholder-matrix-is-derived-from-Mendelows-1991-approach-to-the-differentiation_fig1_376435627</w:t>
        </w:r>
      </w:hyperlink>
      <w:r w:rsidRPr="009207BC">
        <w:rPr>
          <w:rFonts w:ascii="Times New Roman" w:hAnsi="Times New Roman" w:cs="Times New Roman"/>
          <w:sz w:val="24"/>
          <w:szCs w:val="24"/>
        </w:rPr>
        <w:t xml:space="preserve"> (Accessed: 7 October 2025).</w:t>
      </w:r>
    </w:p>
    <w:p w14:paraId="2DE43FEA"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Kaplan, R.S. and Norton, D.P. (1992) ‘The balanced scorecard: measures that drive performance’, </w:t>
      </w:r>
      <w:r w:rsidRPr="009207BC">
        <w:rPr>
          <w:rFonts w:ascii="Times New Roman" w:hAnsi="Times New Roman" w:cs="Times New Roman"/>
          <w:i/>
          <w:iCs/>
          <w:sz w:val="24"/>
          <w:szCs w:val="24"/>
        </w:rPr>
        <w:t>Harvard Business Review</w:t>
      </w:r>
      <w:r w:rsidRPr="009207BC">
        <w:rPr>
          <w:rFonts w:ascii="Times New Roman" w:hAnsi="Times New Roman" w:cs="Times New Roman"/>
          <w:sz w:val="24"/>
          <w:szCs w:val="24"/>
        </w:rPr>
        <w:t xml:space="preserve">, 70(1), pp. 71–79. Available at: </w:t>
      </w:r>
      <w:hyperlink r:id="rId20" w:tgtFrame="_new" w:history="1">
        <w:r w:rsidRPr="009207BC">
          <w:rPr>
            <w:rStyle w:val="Hyperlink"/>
            <w:rFonts w:ascii="Times New Roman" w:hAnsi="Times New Roman" w:cs="Times New Roman"/>
            <w:sz w:val="24"/>
            <w:szCs w:val="24"/>
          </w:rPr>
          <w:t>https://hbr.org/1992/01/the-balanced-scorecard-measures-that-drive-performance-2</w:t>
        </w:r>
      </w:hyperlink>
      <w:r w:rsidRPr="009207BC">
        <w:rPr>
          <w:rFonts w:ascii="Times New Roman" w:hAnsi="Times New Roman" w:cs="Times New Roman"/>
          <w:sz w:val="24"/>
          <w:szCs w:val="24"/>
        </w:rPr>
        <w:t xml:space="preserve"> (Accessed: 7 October 2025).</w:t>
      </w:r>
    </w:p>
    <w:p w14:paraId="2874BAF7"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Lewicki, R.J., Saunders, D.M. and Barry, B. (2015) </w:t>
      </w:r>
      <w:r w:rsidRPr="009207BC">
        <w:rPr>
          <w:rFonts w:ascii="Times New Roman" w:hAnsi="Times New Roman" w:cs="Times New Roman"/>
          <w:i/>
          <w:iCs/>
          <w:sz w:val="24"/>
          <w:szCs w:val="24"/>
        </w:rPr>
        <w:t>Negotiation</w:t>
      </w:r>
      <w:r w:rsidRPr="009207BC">
        <w:rPr>
          <w:rFonts w:ascii="Times New Roman" w:hAnsi="Times New Roman" w:cs="Times New Roman"/>
          <w:sz w:val="24"/>
          <w:szCs w:val="24"/>
        </w:rPr>
        <w:t xml:space="preserve">. 7th </w:t>
      </w:r>
      <w:proofErr w:type="spellStart"/>
      <w:r w:rsidRPr="009207BC">
        <w:rPr>
          <w:rFonts w:ascii="Times New Roman" w:hAnsi="Times New Roman" w:cs="Times New Roman"/>
          <w:sz w:val="24"/>
          <w:szCs w:val="24"/>
        </w:rPr>
        <w:t>edn</w:t>
      </w:r>
      <w:proofErr w:type="spellEnd"/>
      <w:r w:rsidRPr="009207BC">
        <w:rPr>
          <w:rFonts w:ascii="Times New Roman" w:hAnsi="Times New Roman" w:cs="Times New Roman"/>
          <w:sz w:val="24"/>
          <w:szCs w:val="24"/>
        </w:rPr>
        <w:t xml:space="preserve">. New York: McGraw-Hill Education. Available at: </w:t>
      </w:r>
      <w:hyperlink r:id="rId21" w:tgtFrame="_new" w:history="1">
        <w:r w:rsidRPr="009207BC">
          <w:rPr>
            <w:rStyle w:val="Hyperlink"/>
            <w:rFonts w:ascii="Times New Roman" w:hAnsi="Times New Roman" w:cs="Times New Roman"/>
            <w:sz w:val="24"/>
            <w:szCs w:val="24"/>
          </w:rPr>
          <w:t>https://books.google.com/books/about/Negotiation.html?id=ab9zoAEACAAJ</w:t>
        </w:r>
      </w:hyperlink>
      <w:r w:rsidRPr="009207BC">
        <w:rPr>
          <w:rFonts w:ascii="Times New Roman" w:hAnsi="Times New Roman" w:cs="Times New Roman"/>
          <w:sz w:val="24"/>
          <w:szCs w:val="24"/>
        </w:rPr>
        <w:t xml:space="preserve"> (Accessed: 7 October 2025).</w:t>
      </w:r>
    </w:p>
    <w:p w14:paraId="21357019"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Mitchell, R.K., Agle, B.R. and Wood, D.J. (1997) ‘Toward a theory of stakeholder identification and salience: defining the principle of who and what really counts’, </w:t>
      </w:r>
      <w:r w:rsidRPr="009207BC">
        <w:rPr>
          <w:rFonts w:ascii="Times New Roman" w:hAnsi="Times New Roman" w:cs="Times New Roman"/>
          <w:i/>
          <w:iCs/>
          <w:sz w:val="24"/>
          <w:szCs w:val="24"/>
        </w:rPr>
        <w:t>Academy of Management Review</w:t>
      </w:r>
      <w:r w:rsidRPr="009207BC">
        <w:rPr>
          <w:rFonts w:ascii="Times New Roman" w:hAnsi="Times New Roman" w:cs="Times New Roman"/>
          <w:sz w:val="24"/>
          <w:szCs w:val="24"/>
        </w:rPr>
        <w:t xml:space="preserve">, 22(4), pp. 853–886. Available at: </w:t>
      </w:r>
      <w:hyperlink r:id="rId22" w:tgtFrame="_new" w:history="1">
        <w:r w:rsidRPr="009207BC">
          <w:rPr>
            <w:rStyle w:val="Hyperlink"/>
            <w:rFonts w:ascii="Times New Roman" w:hAnsi="Times New Roman" w:cs="Times New Roman"/>
            <w:sz w:val="24"/>
            <w:szCs w:val="24"/>
          </w:rPr>
          <w:t>https://doi.org/10.2307/259247</w:t>
        </w:r>
      </w:hyperlink>
      <w:r w:rsidRPr="009207BC">
        <w:rPr>
          <w:rFonts w:ascii="Times New Roman" w:hAnsi="Times New Roman" w:cs="Times New Roman"/>
          <w:sz w:val="24"/>
          <w:szCs w:val="24"/>
        </w:rPr>
        <w:t xml:space="preserve"> (Accessed: 7 October 2025).</w:t>
      </w:r>
    </w:p>
    <w:p w14:paraId="1A1A24CF"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NHS England (2023) </w:t>
      </w:r>
      <w:r w:rsidRPr="009207BC">
        <w:rPr>
          <w:rFonts w:ascii="Times New Roman" w:hAnsi="Times New Roman" w:cs="Times New Roman"/>
          <w:i/>
          <w:iCs/>
          <w:sz w:val="24"/>
          <w:szCs w:val="24"/>
        </w:rPr>
        <w:t>Digital Transformation</w:t>
      </w:r>
      <w:r w:rsidRPr="009207BC">
        <w:rPr>
          <w:rFonts w:ascii="Times New Roman" w:hAnsi="Times New Roman" w:cs="Times New Roman"/>
          <w:sz w:val="24"/>
          <w:szCs w:val="24"/>
        </w:rPr>
        <w:t xml:space="preserve">. Available at: </w:t>
      </w:r>
      <w:hyperlink r:id="rId23" w:tgtFrame="_new" w:history="1">
        <w:r w:rsidRPr="009207BC">
          <w:rPr>
            <w:rStyle w:val="Hyperlink"/>
            <w:rFonts w:ascii="Times New Roman" w:hAnsi="Times New Roman" w:cs="Times New Roman"/>
            <w:sz w:val="24"/>
            <w:szCs w:val="24"/>
          </w:rPr>
          <w:t>https://www.england.nhs.uk/digitaltechnology/</w:t>
        </w:r>
      </w:hyperlink>
      <w:r w:rsidRPr="009207BC">
        <w:rPr>
          <w:rFonts w:ascii="Times New Roman" w:hAnsi="Times New Roman" w:cs="Times New Roman"/>
          <w:sz w:val="24"/>
          <w:szCs w:val="24"/>
        </w:rPr>
        <w:t xml:space="preserve"> (Accessed: 7 October 2025).</w:t>
      </w:r>
    </w:p>
    <w:p w14:paraId="7802D5BD"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lastRenderedPageBreak/>
        <w:t xml:space="preserve">Oliveira, C., Martins, A., Camilleri, M.A. and Jayantilal, S. (2021) ‘Using the balanced scorecard for strategic communication and performance management’, in </w:t>
      </w:r>
      <w:r w:rsidRPr="009207BC">
        <w:rPr>
          <w:rFonts w:ascii="Times New Roman" w:hAnsi="Times New Roman" w:cs="Times New Roman"/>
          <w:i/>
          <w:iCs/>
          <w:sz w:val="24"/>
          <w:szCs w:val="24"/>
        </w:rPr>
        <w:t>Strategic Corporate Communication in the Digital Age</w:t>
      </w:r>
      <w:r w:rsidRPr="009207BC">
        <w:rPr>
          <w:rFonts w:ascii="Times New Roman" w:hAnsi="Times New Roman" w:cs="Times New Roman"/>
          <w:sz w:val="24"/>
          <w:szCs w:val="24"/>
        </w:rPr>
        <w:t xml:space="preserve">. Bingley: Emerald Publishing, pp. 73–88. Available at: </w:t>
      </w:r>
      <w:hyperlink r:id="rId24" w:tgtFrame="_new" w:history="1">
        <w:r w:rsidRPr="009207BC">
          <w:rPr>
            <w:rStyle w:val="Hyperlink"/>
            <w:rFonts w:ascii="Times New Roman" w:hAnsi="Times New Roman" w:cs="Times New Roman"/>
            <w:sz w:val="24"/>
            <w:szCs w:val="24"/>
          </w:rPr>
          <w:t>https://doi.org/10.1108/978-1-80071-264-520211005</w:t>
        </w:r>
      </w:hyperlink>
      <w:r w:rsidRPr="009207BC">
        <w:rPr>
          <w:rFonts w:ascii="Times New Roman" w:hAnsi="Times New Roman" w:cs="Times New Roman"/>
          <w:sz w:val="24"/>
          <w:szCs w:val="24"/>
        </w:rPr>
        <w:t xml:space="preserve"> (Accessed: 7 October 2025).</w:t>
      </w:r>
    </w:p>
    <w:p w14:paraId="1FCEAAE0"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Philips (2025) </w:t>
      </w:r>
      <w:r w:rsidRPr="009207BC">
        <w:rPr>
          <w:rFonts w:ascii="Times New Roman" w:hAnsi="Times New Roman" w:cs="Times New Roman"/>
          <w:i/>
          <w:iCs/>
          <w:sz w:val="24"/>
          <w:szCs w:val="24"/>
        </w:rPr>
        <w:t>Philips Annual Report 2024</w:t>
      </w:r>
      <w:r w:rsidRPr="009207BC">
        <w:rPr>
          <w:rFonts w:ascii="Times New Roman" w:hAnsi="Times New Roman" w:cs="Times New Roman"/>
          <w:sz w:val="24"/>
          <w:szCs w:val="24"/>
        </w:rPr>
        <w:t xml:space="preserve">. Amsterdam: </w:t>
      </w:r>
      <w:proofErr w:type="spellStart"/>
      <w:r w:rsidRPr="009207BC">
        <w:rPr>
          <w:rFonts w:ascii="Times New Roman" w:hAnsi="Times New Roman" w:cs="Times New Roman"/>
          <w:sz w:val="24"/>
          <w:szCs w:val="24"/>
        </w:rPr>
        <w:t>Koninklijke</w:t>
      </w:r>
      <w:proofErr w:type="spellEnd"/>
      <w:r w:rsidRPr="009207BC">
        <w:rPr>
          <w:rFonts w:ascii="Times New Roman" w:hAnsi="Times New Roman" w:cs="Times New Roman"/>
          <w:sz w:val="24"/>
          <w:szCs w:val="24"/>
        </w:rPr>
        <w:t xml:space="preserve"> Philips N.V. Available at: </w:t>
      </w:r>
      <w:hyperlink r:id="rId25" w:tgtFrame="_new" w:history="1">
        <w:r w:rsidRPr="009207BC">
          <w:rPr>
            <w:rStyle w:val="Hyperlink"/>
            <w:rFonts w:ascii="Times New Roman" w:hAnsi="Times New Roman" w:cs="Times New Roman"/>
            <w:sz w:val="24"/>
            <w:szCs w:val="24"/>
          </w:rPr>
          <w:t>https://www.results.philips.com/publications/ar24</w:t>
        </w:r>
      </w:hyperlink>
      <w:r w:rsidRPr="009207BC">
        <w:rPr>
          <w:rFonts w:ascii="Times New Roman" w:hAnsi="Times New Roman" w:cs="Times New Roman"/>
          <w:sz w:val="24"/>
          <w:szCs w:val="24"/>
        </w:rPr>
        <w:t xml:space="preserve"> (Accessed: 7 October 2025).</w:t>
      </w:r>
    </w:p>
    <w:p w14:paraId="567E068D"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PMI (2021) </w:t>
      </w:r>
      <w:r w:rsidRPr="009207BC">
        <w:rPr>
          <w:rFonts w:ascii="Times New Roman" w:hAnsi="Times New Roman" w:cs="Times New Roman"/>
          <w:i/>
          <w:iCs/>
          <w:sz w:val="24"/>
          <w:szCs w:val="24"/>
        </w:rPr>
        <w:t>A Guide to the Project Management Body of Knowledge (PMBOK® Guide)</w:t>
      </w:r>
      <w:r w:rsidRPr="009207BC">
        <w:rPr>
          <w:rFonts w:ascii="Times New Roman" w:hAnsi="Times New Roman" w:cs="Times New Roman"/>
          <w:sz w:val="24"/>
          <w:szCs w:val="24"/>
        </w:rPr>
        <w:t xml:space="preserve">. 7th </w:t>
      </w:r>
      <w:proofErr w:type="spellStart"/>
      <w:r w:rsidRPr="009207BC">
        <w:rPr>
          <w:rFonts w:ascii="Times New Roman" w:hAnsi="Times New Roman" w:cs="Times New Roman"/>
          <w:sz w:val="24"/>
          <w:szCs w:val="24"/>
        </w:rPr>
        <w:t>edn</w:t>
      </w:r>
      <w:proofErr w:type="spellEnd"/>
      <w:r w:rsidRPr="009207BC">
        <w:rPr>
          <w:rFonts w:ascii="Times New Roman" w:hAnsi="Times New Roman" w:cs="Times New Roman"/>
          <w:sz w:val="24"/>
          <w:szCs w:val="24"/>
        </w:rPr>
        <w:t>. Pennsylvania: Project Management Institute. (Accessed: 7 October 2025).</w:t>
      </w:r>
    </w:p>
    <w:p w14:paraId="3BCE2B63"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Porter, M.E. (2008) ‘The five competitive forces that shape strategy’, </w:t>
      </w:r>
      <w:r w:rsidRPr="009207BC">
        <w:rPr>
          <w:rFonts w:ascii="Times New Roman" w:hAnsi="Times New Roman" w:cs="Times New Roman"/>
          <w:i/>
          <w:iCs/>
          <w:sz w:val="24"/>
          <w:szCs w:val="24"/>
        </w:rPr>
        <w:t>Harvard Business Review</w:t>
      </w:r>
      <w:r w:rsidRPr="009207BC">
        <w:rPr>
          <w:rFonts w:ascii="Times New Roman" w:hAnsi="Times New Roman" w:cs="Times New Roman"/>
          <w:sz w:val="24"/>
          <w:szCs w:val="24"/>
        </w:rPr>
        <w:t>, 86(1), pp. 78–93. (Accessed: 7 October 2025).</w:t>
      </w:r>
    </w:p>
    <w:p w14:paraId="6F633879"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Riahi, Y. (2017) ‘Project stakeholders: analysis and management processes’, </w:t>
      </w:r>
      <w:r w:rsidRPr="009207BC">
        <w:rPr>
          <w:rFonts w:ascii="Times New Roman" w:hAnsi="Times New Roman" w:cs="Times New Roman"/>
          <w:i/>
          <w:iCs/>
          <w:sz w:val="24"/>
          <w:szCs w:val="24"/>
        </w:rPr>
        <w:t>ResearchGate</w:t>
      </w:r>
      <w:r w:rsidRPr="009207BC">
        <w:rPr>
          <w:rFonts w:ascii="Times New Roman" w:hAnsi="Times New Roman" w:cs="Times New Roman"/>
          <w:sz w:val="24"/>
          <w:szCs w:val="24"/>
        </w:rPr>
        <w:t xml:space="preserve">. Available at: </w:t>
      </w:r>
      <w:hyperlink r:id="rId26" w:tgtFrame="_new" w:history="1">
        <w:r w:rsidRPr="009207BC">
          <w:rPr>
            <w:rStyle w:val="Hyperlink"/>
            <w:rFonts w:ascii="Times New Roman" w:hAnsi="Times New Roman" w:cs="Times New Roman"/>
            <w:sz w:val="24"/>
            <w:szCs w:val="24"/>
          </w:rPr>
          <w:t>https://www.researchgate.net/publication/317607551_Project_stakeholdersAnalysis_and_Management_Processes</w:t>
        </w:r>
      </w:hyperlink>
      <w:r w:rsidRPr="009207BC">
        <w:rPr>
          <w:rFonts w:ascii="Times New Roman" w:hAnsi="Times New Roman" w:cs="Times New Roman"/>
          <w:sz w:val="24"/>
          <w:szCs w:val="24"/>
        </w:rPr>
        <w:t xml:space="preserve"> (Accessed: 7 October 2025).</w:t>
      </w:r>
    </w:p>
    <w:p w14:paraId="4C7A6D0C"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Shannon, C.E. and Weaver, W. (1949) </w:t>
      </w:r>
      <w:r w:rsidRPr="009207BC">
        <w:rPr>
          <w:rFonts w:ascii="Times New Roman" w:hAnsi="Times New Roman" w:cs="Times New Roman"/>
          <w:i/>
          <w:iCs/>
          <w:sz w:val="24"/>
          <w:szCs w:val="24"/>
        </w:rPr>
        <w:t>A Mathematical Theory of Communication</w:t>
      </w:r>
      <w:r w:rsidRPr="009207BC">
        <w:rPr>
          <w:rFonts w:ascii="Times New Roman" w:hAnsi="Times New Roman" w:cs="Times New Roman"/>
          <w:sz w:val="24"/>
          <w:szCs w:val="24"/>
        </w:rPr>
        <w:t>. Illinois: University of Illinois Press. (Accessed: 7 October 2025).</w:t>
      </w:r>
    </w:p>
    <w:p w14:paraId="0FB63F34"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Sharma, J., Gillani, N., Saied, I., </w:t>
      </w:r>
      <w:proofErr w:type="spellStart"/>
      <w:r w:rsidRPr="009207BC">
        <w:rPr>
          <w:rFonts w:ascii="Times New Roman" w:hAnsi="Times New Roman" w:cs="Times New Roman"/>
          <w:sz w:val="24"/>
          <w:szCs w:val="24"/>
        </w:rPr>
        <w:t>Alzaabi</w:t>
      </w:r>
      <w:proofErr w:type="spellEnd"/>
      <w:r w:rsidRPr="009207BC">
        <w:rPr>
          <w:rFonts w:ascii="Times New Roman" w:hAnsi="Times New Roman" w:cs="Times New Roman"/>
          <w:sz w:val="24"/>
          <w:szCs w:val="24"/>
        </w:rPr>
        <w:t xml:space="preserve">, A. and Arslan, T. (2025) ‘Patient and public involvement in the co-design and assessment of unobtrusive sensing technologies for care at home: a user-centric design approach’, </w:t>
      </w:r>
      <w:r w:rsidRPr="009207BC">
        <w:rPr>
          <w:rFonts w:ascii="Times New Roman" w:hAnsi="Times New Roman" w:cs="Times New Roman"/>
          <w:i/>
          <w:iCs/>
          <w:sz w:val="24"/>
          <w:szCs w:val="24"/>
        </w:rPr>
        <w:t>BMC Geriatrics</w:t>
      </w:r>
      <w:r w:rsidRPr="009207BC">
        <w:rPr>
          <w:rFonts w:ascii="Times New Roman" w:hAnsi="Times New Roman" w:cs="Times New Roman"/>
          <w:sz w:val="24"/>
          <w:szCs w:val="24"/>
        </w:rPr>
        <w:t xml:space="preserve">, 25(1). Available at: </w:t>
      </w:r>
      <w:hyperlink r:id="rId27" w:tgtFrame="_new" w:history="1">
        <w:r w:rsidRPr="009207BC">
          <w:rPr>
            <w:rStyle w:val="Hyperlink"/>
            <w:rFonts w:ascii="Times New Roman" w:hAnsi="Times New Roman" w:cs="Times New Roman"/>
            <w:sz w:val="24"/>
            <w:szCs w:val="24"/>
          </w:rPr>
          <w:t>https://doi.org/10.1186/s12877-024-05674-y</w:t>
        </w:r>
      </w:hyperlink>
      <w:r w:rsidRPr="009207BC">
        <w:rPr>
          <w:rFonts w:ascii="Times New Roman" w:hAnsi="Times New Roman" w:cs="Times New Roman"/>
          <w:sz w:val="24"/>
          <w:szCs w:val="24"/>
        </w:rPr>
        <w:t xml:space="preserve"> (Accessed: 7 October 2025).</w:t>
      </w:r>
    </w:p>
    <w:p w14:paraId="5DA35933" w14:textId="77777777" w:rsidR="009207BC" w:rsidRPr="009207BC" w:rsidRDefault="009207BC" w:rsidP="009207BC">
      <w:pPr>
        <w:spacing w:line="360" w:lineRule="auto"/>
        <w:jc w:val="both"/>
        <w:rPr>
          <w:rFonts w:ascii="Times New Roman" w:hAnsi="Times New Roman" w:cs="Times New Roman"/>
          <w:sz w:val="24"/>
          <w:szCs w:val="24"/>
        </w:rPr>
      </w:pPr>
      <w:proofErr w:type="spellStart"/>
      <w:r w:rsidRPr="009207BC">
        <w:rPr>
          <w:rFonts w:ascii="Times New Roman" w:hAnsi="Times New Roman" w:cs="Times New Roman"/>
          <w:sz w:val="24"/>
          <w:szCs w:val="24"/>
        </w:rPr>
        <w:t>Suhanda</w:t>
      </w:r>
      <w:proofErr w:type="spellEnd"/>
      <w:r w:rsidRPr="009207BC">
        <w:rPr>
          <w:rFonts w:ascii="Times New Roman" w:hAnsi="Times New Roman" w:cs="Times New Roman"/>
          <w:sz w:val="24"/>
          <w:szCs w:val="24"/>
        </w:rPr>
        <w:t xml:space="preserve">, R.D.P. and </w:t>
      </w:r>
      <w:proofErr w:type="spellStart"/>
      <w:r w:rsidRPr="009207BC">
        <w:rPr>
          <w:rFonts w:ascii="Times New Roman" w:hAnsi="Times New Roman" w:cs="Times New Roman"/>
          <w:sz w:val="24"/>
          <w:szCs w:val="24"/>
        </w:rPr>
        <w:t>Pratami</w:t>
      </w:r>
      <w:proofErr w:type="spellEnd"/>
      <w:r w:rsidRPr="009207BC">
        <w:rPr>
          <w:rFonts w:ascii="Times New Roman" w:hAnsi="Times New Roman" w:cs="Times New Roman"/>
          <w:sz w:val="24"/>
          <w:szCs w:val="24"/>
        </w:rPr>
        <w:t xml:space="preserve">, D. (2021) ‘RACI matrix design for managing stakeholders in a project: case study of PT XYZ’, </w:t>
      </w:r>
      <w:r w:rsidRPr="009207BC">
        <w:rPr>
          <w:rFonts w:ascii="Times New Roman" w:hAnsi="Times New Roman" w:cs="Times New Roman"/>
          <w:i/>
          <w:iCs/>
          <w:sz w:val="24"/>
          <w:szCs w:val="24"/>
        </w:rPr>
        <w:t>ResearchGate</w:t>
      </w:r>
      <w:r w:rsidRPr="009207BC">
        <w:rPr>
          <w:rFonts w:ascii="Times New Roman" w:hAnsi="Times New Roman" w:cs="Times New Roman"/>
          <w:sz w:val="24"/>
          <w:szCs w:val="24"/>
        </w:rPr>
        <w:t xml:space="preserve">. Available at: </w:t>
      </w:r>
      <w:hyperlink r:id="rId28" w:tgtFrame="_new" w:history="1">
        <w:r w:rsidRPr="009207BC">
          <w:rPr>
            <w:rStyle w:val="Hyperlink"/>
            <w:rFonts w:ascii="Times New Roman" w:hAnsi="Times New Roman" w:cs="Times New Roman"/>
            <w:sz w:val="24"/>
            <w:szCs w:val="24"/>
          </w:rPr>
          <w:t>https://www.researchgate.net/publication/354214293_RACI_Matrix_Design_for_Managing_Stakeholders_in_Project_Case_Study_of_PT_XYZ</w:t>
        </w:r>
      </w:hyperlink>
      <w:r w:rsidRPr="009207BC">
        <w:rPr>
          <w:rFonts w:ascii="Times New Roman" w:hAnsi="Times New Roman" w:cs="Times New Roman"/>
          <w:sz w:val="24"/>
          <w:szCs w:val="24"/>
        </w:rPr>
        <w:t xml:space="preserve"> (Accessed: 7 October 2025).</w:t>
      </w:r>
    </w:p>
    <w:p w14:paraId="5EA1D2EA"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Tuckman, B.W. (1965) ‘Developmental sequence in small groups’, </w:t>
      </w:r>
      <w:r w:rsidRPr="009207BC">
        <w:rPr>
          <w:rFonts w:ascii="Times New Roman" w:hAnsi="Times New Roman" w:cs="Times New Roman"/>
          <w:i/>
          <w:iCs/>
          <w:sz w:val="24"/>
          <w:szCs w:val="24"/>
        </w:rPr>
        <w:t>Psychological Bulletin</w:t>
      </w:r>
      <w:r w:rsidRPr="009207BC">
        <w:rPr>
          <w:rFonts w:ascii="Times New Roman" w:hAnsi="Times New Roman" w:cs="Times New Roman"/>
          <w:sz w:val="24"/>
          <w:szCs w:val="24"/>
        </w:rPr>
        <w:t>, 63(6), pp. 384–399. Available at: https://doi.org/10.1037/h0022100 (Accessed: 7 October 2025).</w:t>
      </w:r>
    </w:p>
    <w:p w14:paraId="01254F9A" w14:textId="77777777" w:rsidR="009207BC" w:rsidRPr="009207BC" w:rsidRDefault="009207BC" w:rsidP="009207BC">
      <w:pPr>
        <w:spacing w:line="360" w:lineRule="auto"/>
        <w:jc w:val="both"/>
        <w:rPr>
          <w:rFonts w:ascii="Times New Roman" w:hAnsi="Times New Roman" w:cs="Times New Roman"/>
          <w:sz w:val="24"/>
          <w:szCs w:val="24"/>
        </w:rPr>
      </w:pPr>
      <w:r w:rsidRPr="009207BC">
        <w:rPr>
          <w:rFonts w:ascii="Times New Roman" w:hAnsi="Times New Roman" w:cs="Times New Roman"/>
          <w:sz w:val="24"/>
          <w:szCs w:val="24"/>
        </w:rPr>
        <w:t xml:space="preserve">Wenger, E. (1998) </w:t>
      </w:r>
      <w:r w:rsidRPr="009207BC">
        <w:rPr>
          <w:rFonts w:ascii="Times New Roman" w:hAnsi="Times New Roman" w:cs="Times New Roman"/>
          <w:i/>
          <w:iCs/>
          <w:sz w:val="24"/>
          <w:szCs w:val="24"/>
        </w:rPr>
        <w:t>Communities of Practice: Learning, Meaning, and Identity</w:t>
      </w:r>
      <w:r w:rsidRPr="009207BC">
        <w:rPr>
          <w:rFonts w:ascii="Times New Roman" w:hAnsi="Times New Roman" w:cs="Times New Roman"/>
          <w:sz w:val="24"/>
          <w:szCs w:val="24"/>
        </w:rPr>
        <w:t>. Cambridge: Cambridge University Press. (Accessed: 7 October 2025).</w:t>
      </w:r>
    </w:p>
    <w:p w14:paraId="54E0014F" w14:textId="77777777" w:rsidR="00C90798" w:rsidRPr="001C218D" w:rsidRDefault="00C90798" w:rsidP="00FA5CBA">
      <w:pPr>
        <w:spacing w:line="360" w:lineRule="auto"/>
        <w:jc w:val="both"/>
        <w:rPr>
          <w:rFonts w:ascii="Times New Roman" w:hAnsi="Times New Roman" w:cs="Times New Roman"/>
          <w:sz w:val="24"/>
          <w:szCs w:val="24"/>
        </w:rPr>
      </w:pPr>
    </w:p>
    <w:sectPr w:rsidR="00C90798" w:rsidRPr="001C218D">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D224E4" w14:textId="77777777" w:rsidR="002D706E" w:rsidRDefault="002D706E" w:rsidP="007247BF">
      <w:pPr>
        <w:spacing w:after="0" w:line="240" w:lineRule="auto"/>
      </w:pPr>
      <w:r>
        <w:separator/>
      </w:r>
    </w:p>
  </w:endnote>
  <w:endnote w:type="continuationSeparator" w:id="0">
    <w:p w14:paraId="5909B076" w14:textId="77777777" w:rsidR="002D706E" w:rsidRDefault="002D706E" w:rsidP="007247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29129"/>
      <w:docPartObj>
        <w:docPartGallery w:val="Page Numbers (Bottom of Page)"/>
        <w:docPartUnique/>
      </w:docPartObj>
    </w:sdtPr>
    <w:sdtEndPr>
      <w:rPr>
        <w:noProof/>
      </w:rPr>
    </w:sdtEndPr>
    <w:sdtContent>
      <w:p w14:paraId="444FBD50" w14:textId="04EC7DDC" w:rsidR="007247BF" w:rsidRDefault="007247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00032D" w14:textId="77777777" w:rsidR="007247BF" w:rsidRDefault="007247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AD25D" w14:textId="77777777" w:rsidR="002D706E" w:rsidRDefault="002D706E" w:rsidP="007247BF">
      <w:pPr>
        <w:spacing w:after="0" w:line="240" w:lineRule="auto"/>
      </w:pPr>
      <w:r>
        <w:separator/>
      </w:r>
    </w:p>
  </w:footnote>
  <w:footnote w:type="continuationSeparator" w:id="0">
    <w:p w14:paraId="5F68F761" w14:textId="77777777" w:rsidR="002D706E" w:rsidRDefault="002D706E" w:rsidP="007247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602DC"/>
    <w:multiLevelType w:val="multilevel"/>
    <w:tmpl w:val="DC845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441E15"/>
    <w:multiLevelType w:val="multilevel"/>
    <w:tmpl w:val="6B8C3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D05D2E"/>
    <w:multiLevelType w:val="multilevel"/>
    <w:tmpl w:val="FD9E5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E4614C"/>
    <w:multiLevelType w:val="multilevel"/>
    <w:tmpl w:val="EA8C9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EF262F"/>
    <w:multiLevelType w:val="multilevel"/>
    <w:tmpl w:val="2154D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4F0ED5"/>
    <w:multiLevelType w:val="multilevel"/>
    <w:tmpl w:val="6290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256864"/>
    <w:multiLevelType w:val="multilevel"/>
    <w:tmpl w:val="44D07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52247B"/>
    <w:multiLevelType w:val="multilevel"/>
    <w:tmpl w:val="66BCA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007097"/>
    <w:multiLevelType w:val="multilevel"/>
    <w:tmpl w:val="41F48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5790279">
    <w:abstractNumId w:val="8"/>
  </w:num>
  <w:num w:numId="2" w16cid:durableId="212935066">
    <w:abstractNumId w:val="5"/>
  </w:num>
  <w:num w:numId="3" w16cid:durableId="627127713">
    <w:abstractNumId w:val="7"/>
  </w:num>
  <w:num w:numId="4" w16cid:durableId="1338802019">
    <w:abstractNumId w:val="4"/>
  </w:num>
  <w:num w:numId="5" w16cid:durableId="685641911">
    <w:abstractNumId w:val="6"/>
  </w:num>
  <w:num w:numId="6" w16cid:durableId="1932816656">
    <w:abstractNumId w:val="3"/>
  </w:num>
  <w:num w:numId="7" w16cid:durableId="5139966">
    <w:abstractNumId w:val="2"/>
  </w:num>
  <w:num w:numId="8" w16cid:durableId="639532458">
    <w:abstractNumId w:val="0"/>
  </w:num>
  <w:num w:numId="9" w16cid:durableId="14038672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56B"/>
    <w:rsid w:val="00014BA4"/>
    <w:rsid w:val="0005103A"/>
    <w:rsid w:val="00055929"/>
    <w:rsid w:val="00062B15"/>
    <w:rsid w:val="00076953"/>
    <w:rsid w:val="00113913"/>
    <w:rsid w:val="00132F17"/>
    <w:rsid w:val="00171FE7"/>
    <w:rsid w:val="001C05DF"/>
    <w:rsid w:val="001C218D"/>
    <w:rsid w:val="001D4A5E"/>
    <w:rsid w:val="00202E29"/>
    <w:rsid w:val="002430F8"/>
    <w:rsid w:val="00284B09"/>
    <w:rsid w:val="002D706E"/>
    <w:rsid w:val="00302CC3"/>
    <w:rsid w:val="003135A8"/>
    <w:rsid w:val="003725C7"/>
    <w:rsid w:val="00376E21"/>
    <w:rsid w:val="003D5087"/>
    <w:rsid w:val="00456A6D"/>
    <w:rsid w:val="004909E4"/>
    <w:rsid w:val="004F6403"/>
    <w:rsid w:val="00500AF8"/>
    <w:rsid w:val="00513F2C"/>
    <w:rsid w:val="00513F87"/>
    <w:rsid w:val="00521ADB"/>
    <w:rsid w:val="00530CFF"/>
    <w:rsid w:val="0053159B"/>
    <w:rsid w:val="005934F7"/>
    <w:rsid w:val="00593BB5"/>
    <w:rsid w:val="00597C07"/>
    <w:rsid w:val="00597DF7"/>
    <w:rsid w:val="005B1FDA"/>
    <w:rsid w:val="005B7556"/>
    <w:rsid w:val="005C368D"/>
    <w:rsid w:val="005C6BDF"/>
    <w:rsid w:val="005E38A9"/>
    <w:rsid w:val="005F4AA1"/>
    <w:rsid w:val="0060083B"/>
    <w:rsid w:val="00612D8E"/>
    <w:rsid w:val="0062327F"/>
    <w:rsid w:val="00643B40"/>
    <w:rsid w:val="00660848"/>
    <w:rsid w:val="00691881"/>
    <w:rsid w:val="006932B5"/>
    <w:rsid w:val="006B358A"/>
    <w:rsid w:val="00711D5F"/>
    <w:rsid w:val="007247BF"/>
    <w:rsid w:val="00726C0B"/>
    <w:rsid w:val="00755A6E"/>
    <w:rsid w:val="007A6292"/>
    <w:rsid w:val="007F7780"/>
    <w:rsid w:val="00807A2E"/>
    <w:rsid w:val="008175C0"/>
    <w:rsid w:val="00817620"/>
    <w:rsid w:val="008208BF"/>
    <w:rsid w:val="00824763"/>
    <w:rsid w:val="00827916"/>
    <w:rsid w:val="00855C95"/>
    <w:rsid w:val="008A4B41"/>
    <w:rsid w:val="008D2F43"/>
    <w:rsid w:val="00903DC6"/>
    <w:rsid w:val="00905280"/>
    <w:rsid w:val="009207BC"/>
    <w:rsid w:val="00934E57"/>
    <w:rsid w:val="009371CB"/>
    <w:rsid w:val="00940DB1"/>
    <w:rsid w:val="0096331D"/>
    <w:rsid w:val="00963BE0"/>
    <w:rsid w:val="00974CC1"/>
    <w:rsid w:val="00980DDD"/>
    <w:rsid w:val="00991B0D"/>
    <w:rsid w:val="00A0172A"/>
    <w:rsid w:val="00A050BE"/>
    <w:rsid w:val="00A079F0"/>
    <w:rsid w:val="00A15903"/>
    <w:rsid w:val="00A22495"/>
    <w:rsid w:val="00A24916"/>
    <w:rsid w:val="00A364FA"/>
    <w:rsid w:val="00A633D5"/>
    <w:rsid w:val="00A76EE3"/>
    <w:rsid w:val="00A86D63"/>
    <w:rsid w:val="00A968DA"/>
    <w:rsid w:val="00AB2494"/>
    <w:rsid w:val="00B0232A"/>
    <w:rsid w:val="00B04F45"/>
    <w:rsid w:val="00B415A5"/>
    <w:rsid w:val="00B84E20"/>
    <w:rsid w:val="00B9417C"/>
    <w:rsid w:val="00BA3EBD"/>
    <w:rsid w:val="00BE30E3"/>
    <w:rsid w:val="00C11FCD"/>
    <w:rsid w:val="00C46B49"/>
    <w:rsid w:val="00C80C34"/>
    <w:rsid w:val="00C83E9C"/>
    <w:rsid w:val="00C90798"/>
    <w:rsid w:val="00C94940"/>
    <w:rsid w:val="00CC6F19"/>
    <w:rsid w:val="00CD5885"/>
    <w:rsid w:val="00CF6A6A"/>
    <w:rsid w:val="00D32C2D"/>
    <w:rsid w:val="00D5555D"/>
    <w:rsid w:val="00D62B4E"/>
    <w:rsid w:val="00D9356B"/>
    <w:rsid w:val="00DF7ED8"/>
    <w:rsid w:val="00E65BF9"/>
    <w:rsid w:val="00E7754D"/>
    <w:rsid w:val="00EC5E26"/>
    <w:rsid w:val="00EE36F8"/>
    <w:rsid w:val="00EF1E3E"/>
    <w:rsid w:val="00F93D61"/>
    <w:rsid w:val="00FA0E6F"/>
    <w:rsid w:val="00FA5CBA"/>
    <w:rsid w:val="00FA78DE"/>
    <w:rsid w:val="00FD04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3E5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56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9356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356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9356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356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35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35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35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35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5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935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935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935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35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35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35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35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356B"/>
    <w:rPr>
      <w:rFonts w:eastAsiaTheme="majorEastAsia" w:cstheme="majorBidi"/>
      <w:color w:val="272727" w:themeColor="text1" w:themeTint="D8"/>
    </w:rPr>
  </w:style>
  <w:style w:type="paragraph" w:styleId="Title">
    <w:name w:val="Title"/>
    <w:basedOn w:val="Normal"/>
    <w:next w:val="Normal"/>
    <w:link w:val="TitleChar"/>
    <w:uiPriority w:val="10"/>
    <w:qFormat/>
    <w:rsid w:val="00D935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35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35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35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356B"/>
    <w:pPr>
      <w:spacing w:before="160"/>
      <w:jc w:val="center"/>
    </w:pPr>
    <w:rPr>
      <w:i/>
      <w:iCs/>
      <w:color w:val="404040" w:themeColor="text1" w:themeTint="BF"/>
    </w:rPr>
  </w:style>
  <w:style w:type="character" w:customStyle="1" w:styleId="QuoteChar">
    <w:name w:val="Quote Char"/>
    <w:basedOn w:val="DefaultParagraphFont"/>
    <w:link w:val="Quote"/>
    <w:uiPriority w:val="29"/>
    <w:rsid w:val="00D9356B"/>
    <w:rPr>
      <w:i/>
      <w:iCs/>
      <w:color w:val="404040" w:themeColor="text1" w:themeTint="BF"/>
    </w:rPr>
  </w:style>
  <w:style w:type="paragraph" w:styleId="ListParagraph">
    <w:name w:val="List Paragraph"/>
    <w:basedOn w:val="Normal"/>
    <w:uiPriority w:val="34"/>
    <w:qFormat/>
    <w:rsid w:val="00D9356B"/>
    <w:pPr>
      <w:ind w:left="720"/>
      <w:contextualSpacing/>
    </w:pPr>
  </w:style>
  <w:style w:type="character" w:styleId="IntenseEmphasis">
    <w:name w:val="Intense Emphasis"/>
    <w:basedOn w:val="DefaultParagraphFont"/>
    <w:uiPriority w:val="21"/>
    <w:qFormat/>
    <w:rsid w:val="00D9356B"/>
    <w:rPr>
      <w:i/>
      <w:iCs/>
      <w:color w:val="2F5496" w:themeColor="accent1" w:themeShade="BF"/>
    </w:rPr>
  </w:style>
  <w:style w:type="paragraph" w:styleId="IntenseQuote">
    <w:name w:val="Intense Quote"/>
    <w:basedOn w:val="Normal"/>
    <w:next w:val="Normal"/>
    <w:link w:val="IntenseQuoteChar"/>
    <w:uiPriority w:val="30"/>
    <w:qFormat/>
    <w:rsid w:val="00D935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356B"/>
    <w:rPr>
      <w:i/>
      <w:iCs/>
      <w:color w:val="2F5496" w:themeColor="accent1" w:themeShade="BF"/>
    </w:rPr>
  </w:style>
  <w:style w:type="character" w:styleId="IntenseReference">
    <w:name w:val="Intense Reference"/>
    <w:basedOn w:val="DefaultParagraphFont"/>
    <w:uiPriority w:val="32"/>
    <w:qFormat/>
    <w:rsid w:val="00D9356B"/>
    <w:rPr>
      <w:b/>
      <w:bCs/>
      <w:smallCaps/>
      <w:color w:val="2F5496" w:themeColor="accent1" w:themeShade="BF"/>
      <w:spacing w:val="5"/>
    </w:rPr>
  </w:style>
  <w:style w:type="character" w:styleId="Hyperlink">
    <w:name w:val="Hyperlink"/>
    <w:basedOn w:val="DefaultParagraphFont"/>
    <w:uiPriority w:val="99"/>
    <w:unhideWhenUsed/>
    <w:rsid w:val="009207BC"/>
    <w:rPr>
      <w:color w:val="0563C1" w:themeColor="hyperlink"/>
      <w:u w:val="single"/>
    </w:rPr>
  </w:style>
  <w:style w:type="character" w:styleId="UnresolvedMention">
    <w:name w:val="Unresolved Mention"/>
    <w:basedOn w:val="DefaultParagraphFont"/>
    <w:uiPriority w:val="99"/>
    <w:semiHidden/>
    <w:unhideWhenUsed/>
    <w:rsid w:val="009207BC"/>
    <w:rPr>
      <w:color w:val="605E5C"/>
      <w:shd w:val="clear" w:color="auto" w:fill="E1DFDD"/>
    </w:rPr>
  </w:style>
  <w:style w:type="paragraph" w:styleId="Header">
    <w:name w:val="header"/>
    <w:basedOn w:val="Normal"/>
    <w:link w:val="HeaderChar"/>
    <w:uiPriority w:val="99"/>
    <w:unhideWhenUsed/>
    <w:rsid w:val="007247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47BF"/>
  </w:style>
  <w:style w:type="paragraph" w:styleId="Footer">
    <w:name w:val="footer"/>
    <w:basedOn w:val="Normal"/>
    <w:link w:val="FooterChar"/>
    <w:uiPriority w:val="99"/>
    <w:unhideWhenUsed/>
    <w:rsid w:val="007247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47BF"/>
  </w:style>
  <w:style w:type="paragraph" w:styleId="TOCHeading">
    <w:name w:val="TOC Heading"/>
    <w:basedOn w:val="Heading1"/>
    <w:next w:val="Normal"/>
    <w:uiPriority w:val="39"/>
    <w:unhideWhenUsed/>
    <w:qFormat/>
    <w:rsid w:val="00597C07"/>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597C07"/>
    <w:pPr>
      <w:spacing w:after="100"/>
    </w:pPr>
  </w:style>
  <w:style w:type="paragraph" w:styleId="TOC2">
    <w:name w:val="toc 2"/>
    <w:basedOn w:val="Normal"/>
    <w:next w:val="Normal"/>
    <w:autoRedefine/>
    <w:uiPriority w:val="39"/>
    <w:unhideWhenUsed/>
    <w:rsid w:val="00597C0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book/9781856178006/team-roles-at-work" TargetMode="External"/><Relationship Id="rId18" Type="http://schemas.openxmlformats.org/officeDocument/2006/relationships/hyperlink" Target="https://www.gov.uk/guidance/medical-devices-how-to-comply-with-the-legal-requirements" TargetMode="External"/><Relationship Id="rId26" Type="http://schemas.openxmlformats.org/officeDocument/2006/relationships/hyperlink" Target="https://www.researchgate.net/publication/317607551_Project_stakeholdersAnalysis_and_Management_Processes" TargetMode="External"/><Relationship Id="rId3" Type="http://schemas.openxmlformats.org/officeDocument/2006/relationships/settings" Target="settings.xml"/><Relationship Id="rId21" Type="http://schemas.openxmlformats.org/officeDocument/2006/relationships/hyperlink" Target="https://books.google.com/books/about/Negotiation.html?id=ab9zoAEACAAJ" TargetMode="External"/><Relationship Id="rId7" Type="http://schemas.openxmlformats.org/officeDocument/2006/relationships/image" Target="media/image1.png"/><Relationship Id="rId12" Type="http://schemas.openxmlformats.org/officeDocument/2006/relationships/hyperlink" Target="https://doi.org/10.1108/02652320010358698" TargetMode="External"/><Relationship Id="rId17" Type="http://schemas.openxmlformats.org/officeDocument/2006/relationships/hyperlink" Target="https://doi.org/10.1145/99977.99987" TargetMode="External"/><Relationship Id="rId25" Type="http://schemas.openxmlformats.org/officeDocument/2006/relationships/hyperlink" Target="https://www.results.philips.com/publications/ar24" TargetMode="External"/><Relationship Id="rId2" Type="http://schemas.openxmlformats.org/officeDocument/2006/relationships/styles" Target="styles.xml"/><Relationship Id="rId16" Type="http://schemas.openxmlformats.org/officeDocument/2006/relationships/hyperlink" Target="https://doi.org/10.4324/9780080516042" TargetMode="External"/><Relationship Id="rId20" Type="http://schemas.openxmlformats.org/officeDocument/2006/relationships/hyperlink" Target="https://hbr.org/1992/01/the-balanced-scorecard-measures-that-drive-performance-2"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7/cbo9781316659212" TargetMode="External"/><Relationship Id="rId24" Type="http://schemas.openxmlformats.org/officeDocument/2006/relationships/hyperlink" Target="https://doi.org/10.1108/978-1-80071-264-520211005" TargetMode="External"/><Relationship Id="rId5" Type="http://schemas.openxmlformats.org/officeDocument/2006/relationships/footnotes" Target="footnotes.xml"/><Relationship Id="rId15" Type="http://schemas.openxmlformats.org/officeDocument/2006/relationships/hyperlink" Target="https://doi.org/10.1201/b18100" TargetMode="External"/><Relationship Id="rId23" Type="http://schemas.openxmlformats.org/officeDocument/2006/relationships/hyperlink" Target="https://www.england.nhs.uk/digitaltechnology/" TargetMode="External"/><Relationship Id="rId28" Type="http://schemas.openxmlformats.org/officeDocument/2006/relationships/hyperlink" Target="https://www.researchgate.net/publication/354214293_RACI_Matrix_Design_for_Managing_Stakeholders_in_Project_Case_Study_of_PT_XYZ" TargetMode="External"/><Relationship Id="rId10" Type="http://schemas.openxmlformats.org/officeDocument/2006/relationships/hyperlink" Target="https://doi.org/10.1038/s41746-024-01232-3" TargetMode="External"/><Relationship Id="rId19" Type="http://schemas.openxmlformats.org/officeDocument/2006/relationships/hyperlink" Target="https://www.researchgate.net/figure/The-stakeholder-matrix-is-derived-from-Mendelows-1991-approach-to-the-differentiation_fig1_376435627"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11/j.1475-682X.1964.tb00583.x" TargetMode="External"/><Relationship Id="rId22" Type="http://schemas.openxmlformats.org/officeDocument/2006/relationships/hyperlink" Target="https://doi.org/10.2307/259247" TargetMode="External"/><Relationship Id="rId27" Type="http://schemas.openxmlformats.org/officeDocument/2006/relationships/hyperlink" Target="https://doi.org/10.1186/s12877-024-05674-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6402</Words>
  <Characters>36498</Characters>
  <Application>Microsoft Office Word</Application>
  <DocSecurity>0</DocSecurity>
  <Lines>304</Lines>
  <Paragraphs>85</Paragraphs>
  <ScaleCrop>false</ScaleCrop>
  <Company/>
  <LinksUpToDate>false</LinksUpToDate>
  <CharactersWithSpaces>42815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2025-11-10T20:42:00Z</dcterms:created>
  <dcterms:modified xsi:type="dcterms:W3CDTF">2025-11-10T20:44:00Z</dcterms:modified>
</cp:coreProperties>
</file>