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5EA3F" w14:textId="6B4F08E8" w:rsidR="00C526D1" w:rsidRDefault="00C526D1" w:rsidP="00F47F77">
      <w:pPr>
        <w:pStyle w:val="Heading2"/>
        <w:rPr>
          <w:sz w:val="40"/>
          <w:szCs w:val="40"/>
        </w:rPr>
      </w:pPr>
      <w:r>
        <w:rPr>
          <w:sz w:val="40"/>
          <w:szCs w:val="40"/>
        </w:rPr>
        <w:t>Use of AI</w:t>
      </w:r>
    </w:p>
    <w:p w14:paraId="21174A5F" w14:textId="77777777" w:rsidR="00C526D1" w:rsidRDefault="00C526D1" w:rsidP="00C526D1"/>
    <w:p w14:paraId="722581C0" w14:textId="7DE52E15" w:rsidR="00C526D1" w:rsidRDefault="00C526D1" w:rsidP="00C526D1">
      <w:pPr>
        <w:rPr>
          <w:sz w:val="24"/>
          <w:szCs w:val="24"/>
        </w:rPr>
      </w:pPr>
      <w:r w:rsidRPr="00C526D1">
        <w:rPr>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1C01F87" w14:textId="77777777" w:rsidR="00C526D1" w:rsidRDefault="00C526D1" w:rsidP="00C526D1">
      <w:pPr>
        <w:rPr>
          <w:sz w:val="24"/>
          <w:szCs w:val="24"/>
        </w:rPr>
      </w:pPr>
    </w:p>
    <w:p w14:paraId="62C75A3C" w14:textId="77777777" w:rsidR="00C526D1" w:rsidRDefault="00C526D1" w:rsidP="00C526D1">
      <w:pPr>
        <w:rPr>
          <w:sz w:val="24"/>
          <w:szCs w:val="24"/>
        </w:rPr>
      </w:pPr>
    </w:p>
    <w:p w14:paraId="1454889A" w14:textId="77777777" w:rsidR="00C526D1" w:rsidRDefault="00C526D1" w:rsidP="00C526D1">
      <w:pPr>
        <w:rPr>
          <w:sz w:val="24"/>
          <w:szCs w:val="24"/>
        </w:rPr>
      </w:pPr>
    </w:p>
    <w:p w14:paraId="1F475E92" w14:textId="77777777" w:rsidR="00C526D1" w:rsidRDefault="00C526D1" w:rsidP="00C526D1">
      <w:pPr>
        <w:rPr>
          <w:sz w:val="24"/>
          <w:szCs w:val="24"/>
        </w:rPr>
      </w:pPr>
    </w:p>
    <w:p w14:paraId="7B9B3A2A" w14:textId="77777777" w:rsidR="00C526D1" w:rsidRDefault="00C526D1" w:rsidP="00C526D1">
      <w:pPr>
        <w:rPr>
          <w:sz w:val="24"/>
          <w:szCs w:val="24"/>
        </w:rPr>
      </w:pPr>
    </w:p>
    <w:p w14:paraId="38014B8D" w14:textId="77777777" w:rsidR="00C526D1" w:rsidRDefault="00C526D1" w:rsidP="00C526D1">
      <w:pPr>
        <w:rPr>
          <w:sz w:val="24"/>
          <w:szCs w:val="24"/>
        </w:rPr>
      </w:pPr>
    </w:p>
    <w:p w14:paraId="656DD993" w14:textId="77777777" w:rsidR="00C526D1" w:rsidRDefault="00C526D1" w:rsidP="00C526D1">
      <w:pPr>
        <w:rPr>
          <w:sz w:val="24"/>
          <w:szCs w:val="24"/>
        </w:rPr>
      </w:pPr>
    </w:p>
    <w:p w14:paraId="4C1166DA" w14:textId="77777777" w:rsidR="00C526D1" w:rsidRDefault="00C526D1" w:rsidP="00C526D1">
      <w:pPr>
        <w:rPr>
          <w:sz w:val="24"/>
          <w:szCs w:val="24"/>
        </w:rPr>
      </w:pPr>
    </w:p>
    <w:p w14:paraId="6A439B4F" w14:textId="77777777" w:rsidR="00C526D1" w:rsidRDefault="00C526D1" w:rsidP="00C526D1">
      <w:pPr>
        <w:rPr>
          <w:sz w:val="24"/>
          <w:szCs w:val="24"/>
        </w:rPr>
      </w:pPr>
    </w:p>
    <w:p w14:paraId="1BD3F643" w14:textId="77777777" w:rsidR="00C526D1" w:rsidRDefault="00C526D1" w:rsidP="00C526D1">
      <w:pPr>
        <w:rPr>
          <w:sz w:val="24"/>
          <w:szCs w:val="24"/>
        </w:rPr>
      </w:pPr>
    </w:p>
    <w:p w14:paraId="35CB6CF7" w14:textId="77777777" w:rsidR="00C526D1" w:rsidRDefault="00C526D1" w:rsidP="00C526D1">
      <w:pPr>
        <w:rPr>
          <w:sz w:val="24"/>
          <w:szCs w:val="24"/>
        </w:rPr>
      </w:pPr>
    </w:p>
    <w:p w14:paraId="60F239AF" w14:textId="77777777" w:rsidR="00C526D1" w:rsidRDefault="00C526D1" w:rsidP="00C526D1">
      <w:pPr>
        <w:rPr>
          <w:sz w:val="24"/>
          <w:szCs w:val="24"/>
        </w:rPr>
      </w:pPr>
    </w:p>
    <w:p w14:paraId="43AE3F44" w14:textId="77777777" w:rsidR="00C526D1" w:rsidRDefault="00C526D1" w:rsidP="00C526D1">
      <w:pPr>
        <w:rPr>
          <w:sz w:val="24"/>
          <w:szCs w:val="24"/>
        </w:rPr>
      </w:pPr>
    </w:p>
    <w:p w14:paraId="2990852D" w14:textId="77777777" w:rsidR="00C526D1" w:rsidRDefault="00C526D1" w:rsidP="00C526D1">
      <w:pPr>
        <w:rPr>
          <w:sz w:val="24"/>
          <w:szCs w:val="24"/>
        </w:rPr>
      </w:pPr>
    </w:p>
    <w:p w14:paraId="65F37012" w14:textId="77777777" w:rsidR="00C526D1" w:rsidRDefault="00C526D1" w:rsidP="00C526D1">
      <w:pPr>
        <w:rPr>
          <w:sz w:val="24"/>
          <w:szCs w:val="24"/>
        </w:rPr>
      </w:pPr>
    </w:p>
    <w:p w14:paraId="15677AE3" w14:textId="77777777" w:rsidR="00C526D1" w:rsidRDefault="00C526D1" w:rsidP="00C526D1">
      <w:pPr>
        <w:rPr>
          <w:sz w:val="24"/>
          <w:szCs w:val="24"/>
        </w:rPr>
      </w:pPr>
    </w:p>
    <w:p w14:paraId="23A1545B" w14:textId="77777777" w:rsidR="00C526D1" w:rsidRDefault="00C526D1" w:rsidP="00C526D1">
      <w:pPr>
        <w:rPr>
          <w:sz w:val="24"/>
          <w:szCs w:val="24"/>
        </w:rPr>
      </w:pPr>
    </w:p>
    <w:p w14:paraId="1DB2651B" w14:textId="77777777" w:rsidR="00C526D1" w:rsidRPr="00C526D1" w:rsidRDefault="00C526D1" w:rsidP="00C526D1">
      <w:pPr>
        <w:rPr>
          <w:sz w:val="24"/>
          <w:szCs w:val="24"/>
        </w:rPr>
      </w:pPr>
    </w:p>
    <w:p w14:paraId="39F24BE8" w14:textId="77777777" w:rsidR="00C526D1" w:rsidRDefault="00C526D1" w:rsidP="00F47F77">
      <w:pPr>
        <w:pStyle w:val="Heading2"/>
        <w:rPr>
          <w:sz w:val="40"/>
          <w:szCs w:val="40"/>
        </w:rPr>
      </w:pPr>
    </w:p>
    <w:p w14:paraId="35A18776" w14:textId="1F56DF72" w:rsidR="001B537C" w:rsidRPr="00F47F77" w:rsidRDefault="00F47F77" w:rsidP="00F47F77">
      <w:pPr>
        <w:pStyle w:val="Heading2"/>
        <w:rPr>
          <w:sz w:val="40"/>
          <w:szCs w:val="40"/>
        </w:rPr>
      </w:pPr>
      <w:r w:rsidRPr="00F47F77">
        <w:rPr>
          <w:sz w:val="40"/>
          <w:szCs w:val="40"/>
        </w:rPr>
        <w:t>Forensic Case Formulation: Ryan T.</w:t>
      </w:r>
    </w:p>
    <w:p w14:paraId="6704E9A3" w14:textId="75E313EB" w:rsidR="00F47F77" w:rsidRPr="00F47F77" w:rsidRDefault="00F47F77" w:rsidP="00F47F77">
      <w:pPr>
        <w:pStyle w:val="Heading2"/>
      </w:pPr>
    </w:p>
    <w:p w14:paraId="0A3D1BFE" w14:textId="4D307C46" w:rsidR="00B3079E" w:rsidRDefault="00F47F77" w:rsidP="00A505A9">
      <w:pPr>
        <w:spacing w:line="480" w:lineRule="auto"/>
        <w:rPr>
          <w:sz w:val="24"/>
          <w:szCs w:val="24"/>
        </w:rPr>
      </w:pPr>
      <w:r>
        <w:rPr>
          <w:sz w:val="24"/>
          <w:szCs w:val="24"/>
        </w:rPr>
        <w:tab/>
      </w:r>
      <w:r w:rsidR="00A505A9">
        <w:rPr>
          <w:sz w:val="24"/>
          <w:szCs w:val="24"/>
        </w:rPr>
        <w:t xml:space="preserve">Forensic case formulations are a structured, theory-informed method of understanding </w:t>
      </w:r>
      <w:r w:rsidR="00A505A9" w:rsidRPr="00A505A9">
        <w:rPr>
          <w:sz w:val="24"/>
          <w:szCs w:val="24"/>
        </w:rPr>
        <w:t>offending behaviour through the integration of psychological, social, and developmental influences. Within forensic and clinical practice, formulation serves not only to explain behaviour but also to guide intervention and risk management strategies.</w:t>
      </w:r>
      <w:r w:rsidR="00A505A9">
        <w:rPr>
          <w:sz w:val="24"/>
          <w:szCs w:val="24"/>
        </w:rPr>
        <w:t xml:space="preserve"> The 4 P’s model – presenting, predisposing, precipitating, and perpetuating factors - </w:t>
      </w:r>
      <w:r w:rsidR="00A505A9" w:rsidRPr="00A505A9">
        <w:rPr>
          <w:sz w:val="24"/>
          <w:szCs w:val="24"/>
        </w:rPr>
        <w:t>offers a comprehensive framework for organising these influences and examining how they interact across the lifespan.</w:t>
      </w:r>
    </w:p>
    <w:p w14:paraId="3C49B357" w14:textId="134DAC3B" w:rsidR="00A505A9" w:rsidRDefault="00A505A9" w:rsidP="00A505A9">
      <w:pPr>
        <w:spacing w:line="480" w:lineRule="auto"/>
        <w:rPr>
          <w:sz w:val="24"/>
          <w:szCs w:val="24"/>
        </w:rPr>
      </w:pPr>
      <w:r>
        <w:rPr>
          <w:sz w:val="24"/>
          <w:szCs w:val="24"/>
        </w:rPr>
        <w:tab/>
      </w:r>
      <w:r w:rsidRPr="00A505A9">
        <w:rPr>
          <w:sz w:val="24"/>
          <w:szCs w:val="24"/>
        </w:rPr>
        <w:t>This essay provides a case formulation of Ryan T., a 16-year-old male subject to a Youth Rehabilitation Order (YRO) following convictions for burglary and handling stolen goods. His offending behaviour occurred in the context of educational disengagement, peer influence, and familial adversity. The formulation draws upon established psychological and criminological theories, including Social Learning Theory</w:t>
      </w:r>
      <w:r>
        <w:rPr>
          <w:sz w:val="24"/>
          <w:szCs w:val="24"/>
        </w:rPr>
        <w:t xml:space="preserve"> (Bandura, 1971), Attachment Theory (Bowlby, 1969), General Strain Theory (Agnew, 2019) and Developmental Taxonomy (Moffitt, 1993). </w:t>
      </w:r>
    </w:p>
    <w:p w14:paraId="164628E5" w14:textId="774E50AC" w:rsidR="00A505A9" w:rsidRDefault="00A505A9" w:rsidP="00A505A9">
      <w:pPr>
        <w:spacing w:line="480" w:lineRule="auto"/>
        <w:rPr>
          <w:sz w:val="24"/>
          <w:szCs w:val="24"/>
        </w:rPr>
      </w:pPr>
      <w:r>
        <w:rPr>
          <w:sz w:val="24"/>
          <w:szCs w:val="24"/>
        </w:rPr>
        <w:tab/>
      </w:r>
      <w:r w:rsidRPr="00A505A9">
        <w:rPr>
          <w:sz w:val="24"/>
          <w:szCs w:val="24"/>
        </w:rPr>
        <w:t>The aim is to critically evaluate the factors contributing to Ryan’s offending behaviour using the 4 P</w:t>
      </w:r>
      <w:r>
        <w:rPr>
          <w:sz w:val="24"/>
          <w:szCs w:val="24"/>
        </w:rPr>
        <w:t>’</w:t>
      </w:r>
      <w:r w:rsidRPr="00A505A9">
        <w:rPr>
          <w:sz w:val="24"/>
          <w:szCs w:val="24"/>
        </w:rPr>
        <w:t>s framework and to propose an evidence-based intervention plan. In doing so, the formulation emphasises the interaction between individual vulnerabilities and environmental influences, recognising that offending behaviour is rarely attribu</w:t>
      </w:r>
      <w:r>
        <w:rPr>
          <w:sz w:val="24"/>
          <w:szCs w:val="24"/>
        </w:rPr>
        <w:t>ted</w:t>
      </w:r>
      <w:r w:rsidRPr="00A505A9">
        <w:rPr>
          <w:sz w:val="24"/>
          <w:szCs w:val="24"/>
        </w:rPr>
        <w:t xml:space="preserve"> to a single cause</w:t>
      </w:r>
      <w:r w:rsidR="00B42EE3">
        <w:rPr>
          <w:sz w:val="24"/>
          <w:szCs w:val="24"/>
        </w:rPr>
        <w:t>,</w:t>
      </w:r>
      <w:r w:rsidRPr="00A505A9">
        <w:rPr>
          <w:sz w:val="24"/>
          <w:szCs w:val="24"/>
        </w:rPr>
        <w:t xml:space="preserve"> but rather emerges from complex, </w:t>
      </w:r>
      <w:r w:rsidRPr="00A505A9">
        <w:rPr>
          <w:sz w:val="24"/>
          <w:szCs w:val="24"/>
        </w:rPr>
        <w:t>collective</w:t>
      </w:r>
      <w:r w:rsidRPr="00A505A9">
        <w:rPr>
          <w:sz w:val="24"/>
          <w:szCs w:val="24"/>
        </w:rPr>
        <w:t xml:space="preserve"> proce</w:t>
      </w:r>
      <w:r>
        <w:rPr>
          <w:sz w:val="24"/>
          <w:szCs w:val="24"/>
        </w:rPr>
        <w:t>s</w:t>
      </w:r>
      <w:r w:rsidRPr="00A505A9">
        <w:rPr>
          <w:sz w:val="24"/>
          <w:szCs w:val="24"/>
        </w:rPr>
        <w:t>sses.</w:t>
      </w:r>
    </w:p>
    <w:p w14:paraId="6705B17E" w14:textId="5D732F60" w:rsidR="00B42EE3" w:rsidRDefault="00B42EE3" w:rsidP="00A505A9">
      <w:pPr>
        <w:spacing w:line="480" w:lineRule="auto"/>
        <w:rPr>
          <w:sz w:val="24"/>
          <w:szCs w:val="24"/>
        </w:rPr>
      </w:pPr>
      <w:r>
        <w:rPr>
          <w:sz w:val="24"/>
          <w:szCs w:val="24"/>
        </w:rPr>
        <w:lastRenderedPageBreak/>
        <w:tab/>
      </w:r>
      <w:r w:rsidRPr="00B42EE3">
        <w:rPr>
          <w:sz w:val="24"/>
          <w:szCs w:val="24"/>
        </w:rPr>
        <w:t>Ryan’s presenting behaviour is characterised by his involvement in multiple burglaries alongside older peers, involving forced entry into residential properties and the theft and resale of goods. This pattern of offending reflects both</w:t>
      </w:r>
      <w:r>
        <w:rPr>
          <w:sz w:val="24"/>
          <w:szCs w:val="24"/>
        </w:rPr>
        <w:t xml:space="preserve"> instrumental motivations (financial gain) and social motivations, including peer approval amd status. A key feature of Ryan’s presentation is his minimisation of responsibility, as evidenced by statements such as “I just went along”. This aligns with the concept of techniques of neutralisation </w:t>
      </w:r>
      <w:r w:rsidRPr="00B42EE3">
        <w:rPr>
          <w:sz w:val="24"/>
          <w:szCs w:val="24"/>
        </w:rPr>
        <w:t xml:space="preserve">(Sykes </w:t>
      </w:r>
      <w:r w:rsidR="0048679F">
        <w:rPr>
          <w:sz w:val="24"/>
          <w:szCs w:val="24"/>
        </w:rPr>
        <w:t>&amp;</w:t>
      </w:r>
      <w:r w:rsidRPr="00B42EE3">
        <w:rPr>
          <w:sz w:val="24"/>
          <w:szCs w:val="24"/>
        </w:rPr>
        <w:t xml:space="preserve"> Matza, 1957)</w:t>
      </w:r>
      <w:r>
        <w:rPr>
          <w:sz w:val="24"/>
          <w:szCs w:val="24"/>
        </w:rPr>
        <w:t xml:space="preserve">, </w:t>
      </w:r>
      <w:r w:rsidRPr="00B42EE3">
        <w:rPr>
          <w:sz w:val="24"/>
          <w:szCs w:val="24"/>
        </w:rPr>
        <w:t>whereby offenders justify their behaviour to reduce guilt and preserve a prosocial self-image. Research suggests that such cognitive distortions are particul</w:t>
      </w:r>
      <w:r>
        <w:rPr>
          <w:sz w:val="24"/>
          <w:szCs w:val="24"/>
        </w:rPr>
        <w:t>l</w:t>
      </w:r>
      <w:r w:rsidRPr="00B42EE3">
        <w:rPr>
          <w:sz w:val="24"/>
          <w:szCs w:val="24"/>
        </w:rPr>
        <w:t>arly prevalent among adolescent offenders and can act as bar</w:t>
      </w:r>
      <w:r>
        <w:rPr>
          <w:sz w:val="24"/>
          <w:szCs w:val="24"/>
        </w:rPr>
        <w:t>r</w:t>
      </w:r>
      <w:r w:rsidRPr="00B42EE3">
        <w:rPr>
          <w:sz w:val="24"/>
          <w:szCs w:val="24"/>
        </w:rPr>
        <w:t>iers to rehabilitation</w:t>
      </w:r>
      <w:r>
        <w:rPr>
          <w:sz w:val="24"/>
          <w:szCs w:val="24"/>
        </w:rPr>
        <w:t xml:space="preserve"> </w:t>
      </w:r>
      <w:r w:rsidRPr="00B42EE3">
        <w:rPr>
          <w:sz w:val="24"/>
          <w:szCs w:val="24"/>
        </w:rPr>
        <w:t xml:space="preserve">(Maruna </w:t>
      </w:r>
      <w:r w:rsidR="0048679F">
        <w:rPr>
          <w:sz w:val="24"/>
          <w:szCs w:val="24"/>
        </w:rPr>
        <w:t>&amp;</w:t>
      </w:r>
      <w:r w:rsidRPr="00B42EE3">
        <w:rPr>
          <w:sz w:val="24"/>
          <w:szCs w:val="24"/>
        </w:rPr>
        <w:t xml:space="preserve"> Mann, 2006)</w:t>
      </w:r>
      <w:r>
        <w:rPr>
          <w:sz w:val="24"/>
          <w:szCs w:val="24"/>
        </w:rPr>
        <w:t>.</w:t>
      </w:r>
    </w:p>
    <w:p w14:paraId="785149EF" w14:textId="4414714B" w:rsidR="00B42EE3" w:rsidRDefault="00B42EE3" w:rsidP="00B42EE3">
      <w:pPr>
        <w:spacing w:line="480" w:lineRule="auto"/>
        <w:rPr>
          <w:sz w:val="24"/>
          <w:szCs w:val="24"/>
        </w:rPr>
      </w:pPr>
      <w:r>
        <w:rPr>
          <w:sz w:val="24"/>
          <w:szCs w:val="24"/>
        </w:rPr>
        <w:tab/>
        <w:t xml:space="preserve">Ryan also demonstrates a pattern of external locus of control, </w:t>
      </w:r>
      <w:r w:rsidRPr="00B42EE3">
        <w:rPr>
          <w:sz w:val="24"/>
          <w:szCs w:val="24"/>
        </w:rPr>
        <w:t>attributing his behaviour to peer pressure rather than personal choice. While peer influence is significant during adolescence, the extent to which Ryan relies on this explanation may indicate limited insight and accountability. This is important, as responsibility-taking is a key predictor of desistance</w:t>
      </w:r>
      <w:r>
        <w:rPr>
          <w:sz w:val="24"/>
          <w:szCs w:val="24"/>
        </w:rPr>
        <w:t xml:space="preserve"> </w:t>
      </w:r>
      <w:r w:rsidRPr="00B42EE3">
        <w:rPr>
          <w:sz w:val="24"/>
          <w:szCs w:val="24"/>
        </w:rPr>
        <w:t xml:space="preserve">(Ward </w:t>
      </w:r>
      <w:r w:rsidR="0048679F">
        <w:rPr>
          <w:sz w:val="24"/>
          <w:szCs w:val="24"/>
        </w:rPr>
        <w:t>&amp;</w:t>
      </w:r>
      <w:r w:rsidRPr="00B42EE3">
        <w:rPr>
          <w:sz w:val="24"/>
          <w:szCs w:val="24"/>
        </w:rPr>
        <w:t xml:space="preserve"> Maruna, 2007)</w:t>
      </w:r>
      <w:r>
        <w:rPr>
          <w:sz w:val="24"/>
          <w:szCs w:val="24"/>
        </w:rPr>
        <w:t xml:space="preserve">. Behaviouraly, Ryan presents with a history of conduct-related difficulties, </w:t>
      </w:r>
      <w:r w:rsidRPr="00B42EE3">
        <w:rPr>
          <w:sz w:val="24"/>
          <w:szCs w:val="24"/>
        </w:rPr>
        <w:t>including aggression, school exclusion, and truancy. According to developmental criminology, early behavioural problems are associated with increased risk of persistent offending</w:t>
      </w:r>
      <w:r>
        <w:rPr>
          <w:sz w:val="24"/>
          <w:szCs w:val="24"/>
        </w:rPr>
        <w:t xml:space="preserve"> (Moffitt, 1993). </w:t>
      </w:r>
      <w:r w:rsidRPr="00B42EE3">
        <w:rPr>
          <w:sz w:val="24"/>
          <w:szCs w:val="24"/>
        </w:rPr>
        <w:t>His disengagement from education by age 15 is particularly concerning, as exclusion from school has been consistently linked to increased contact with the criminal justice system</w:t>
      </w:r>
      <w:r>
        <w:rPr>
          <w:sz w:val="24"/>
          <w:szCs w:val="24"/>
        </w:rPr>
        <w:t xml:space="preserve"> (Farrington, 2005).</w:t>
      </w:r>
    </w:p>
    <w:p w14:paraId="05CBF6B4" w14:textId="7FCBA249" w:rsidR="00B42EE3" w:rsidRDefault="00B42EE3" w:rsidP="00B42EE3">
      <w:pPr>
        <w:spacing w:line="480" w:lineRule="auto"/>
        <w:rPr>
          <w:sz w:val="24"/>
          <w:szCs w:val="24"/>
        </w:rPr>
      </w:pPr>
      <w:r>
        <w:rPr>
          <w:sz w:val="24"/>
          <w:szCs w:val="24"/>
        </w:rPr>
        <w:tab/>
        <w:t xml:space="preserve">Psychologically, </w:t>
      </w:r>
      <w:r w:rsidRPr="00B42EE3">
        <w:rPr>
          <w:sz w:val="24"/>
          <w:szCs w:val="24"/>
        </w:rPr>
        <w:t xml:space="preserve">Ryan appears guarded and emotionally restricted. Poor eye contact and reluctance to engage may reflect underlying issues related to trust, self-esteem, or attachment insecurity. While his cognitive functioning is within the average range, his </w:t>
      </w:r>
      <w:r w:rsidRPr="00B42EE3">
        <w:rPr>
          <w:sz w:val="24"/>
          <w:szCs w:val="24"/>
        </w:rPr>
        <w:lastRenderedPageBreak/>
        <w:t>literacy difficulties may contribute to frustration and avoidance of structured environments such as school or formal interventions.</w:t>
      </w:r>
      <w:r>
        <w:rPr>
          <w:sz w:val="24"/>
          <w:szCs w:val="24"/>
        </w:rPr>
        <w:t xml:space="preserve"> </w:t>
      </w:r>
      <w:r w:rsidRPr="00B42EE3">
        <w:rPr>
          <w:sz w:val="24"/>
          <w:szCs w:val="24"/>
        </w:rPr>
        <w:t>Importantly, Ryan’s identity appears closely tied to his peer group. Adolescence is a critical period for identity formation, and individuals who lack prosocial sources of validation may seek approval through deviant means</w:t>
      </w:r>
      <w:r>
        <w:rPr>
          <w:sz w:val="24"/>
          <w:szCs w:val="24"/>
        </w:rPr>
        <w:t xml:space="preserve"> </w:t>
      </w:r>
      <w:r w:rsidR="00C157A6" w:rsidRPr="00C157A6">
        <w:rPr>
          <w:sz w:val="24"/>
          <w:szCs w:val="24"/>
        </w:rPr>
        <w:t>(Prinstein et al., 2011)</w:t>
      </w:r>
      <w:r w:rsidR="00C157A6">
        <w:rPr>
          <w:sz w:val="24"/>
          <w:szCs w:val="24"/>
        </w:rPr>
        <w:t>. This suggests that his offending behaviour may serve both practical and psychological functions.</w:t>
      </w:r>
    </w:p>
    <w:p w14:paraId="0B925169" w14:textId="32206E3D" w:rsidR="00C157A6" w:rsidRDefault="00C157A6" w:rsidP="00B42EE3">
      <w:pPr>
        <w:spacing w:line="480" w:lineRule="auto"/>
        <w:rPr>
          <w:sz w:val="24"/>
          <w:szCs w:val="24"/>
        </w:rPr>
      </w:pPr>
      <w:r>
        <w:rPr>
          <w:sz w:val="24"/>
          <w:szCs w:val="24"/>
        </w:rPr>
        <w:tab/>
      </w:r>
      <w:r w:rsidRPr="00C157A6">
        <w:rPr>
          <w:sz w:val="24"/>
          <w:szCs w:val="24"/>
        </w:rPr>
        <w:t>Ryan’s developmental history reveals multiple predisposing factors that increase his vulnerability to offending. One of the most significant is his early exposure to</w:t>
      </w:r>
      <w:r>
        <w:rPr>
          <w:sz w:val="24"/>
          <w:szCs w:val="24"/>
        </w:rPr>
        <w:t xml:space="preserve"> domestic violence </w:t>
      </w:r>
      <w:r w:rsidRPr="00C157A6">
        <w:rPr>
          <w:sz w:val="24"/>
          <w:szCs w:val="24"/>
        </w:rPr>
        <w:t xml:space="preserve">between the ages of 6 and 8. Exposure to </w:t>
      </w:r>
      <w:r>
        <w:rPr>
          <w:sz w:val="24"/>
          <w:szCs w:val="24"/>
        </w:rPr>
        <w:t xml:space="preserve">a </w:t>
      </w:r>
      <w:r w:rsidRPr="00C157A6">
        <w:rPr>
          <w:sz w:val="24"/>
          <w:szCs w:val="24"/>
        </w:rPr>
        <w:t>parental conflict has been linked to a range of adverse outcomes, including emotional dysregulation, aggression, and later antisocial behaviour</w:t>
      </w:r>
      <w:r>
        <w:rPr>
          <w:sz w:val="24"/>
          <w:szCs w:val="24"/>
        </w:rPr>
        <w:t xml:space="preserve"> (Widom, 1989). </w:t>
      </w:r>
    </w:p>
    <w:p w14:paraId="11B894B7" w14:textId="064BB223" w:rsidR="00C157A6" w:rsidRDefault="00C157A6" w:rsidP="00B42EE3">
      <w:pPr>
        <w:spacing w:line="480" w:lineRule="auto"/>
        <w:rPr>
          <w:sz w:val="24"/>
          <w:szCs w:val="24"/>
        </w:rPr>
      </w:pPr>
      <w:r>
        <w:rPr>
          <w:sz w:val="24"/>
          <w:szCs w:val="24"/>
        </w:rPr>
        <w:tab/>
      </w:r>
      <w:r w:rsidRPr="00C157A6">
        <w:rPr>
          <w:sz w:val="24"/>
          <w:szCs w:val="24"/>
        </w:rPr>
        <w:t>From an Attachment Theory perspective (Bowlby, 1969), such experiences may disrupt the development of secure attachment relationships. Ryan’s father’s departure and subsequent inconsistent contact likely contributed to</w:t>
      </w:r>
      <w:r>
        <w:rPr>
          <w:sz w:val="24"/>
          <w:szCs w:val="24"/>
        </w:rPr>
        <w:t xml:space="preserve"> attachment insecurity, </w:t>
      </w:r>
      <w:r w:rsidRPr="00C157A6">
        <w:rPr>
          <w:sz w:val="24"/>
          <w:szCs w:val="24"/>
        </w:rPr>
        <w:t>which has been associated with difficulties in emotional regulation and increased risk of delinquency</w:t>
      </w:r>
      <w:r>
        <w:rPr>
          <w:sz w:val="24"/>
          <w:szCs w:val="24"/>
        </w:rPr>
        <w:t xml:space="preserve"> </w:t>
      </w:r>
      <w:r w:rsidRPr="00C157A6">
        <w:rPr>
          <w:sz w:val="24"/>
          <w:szCs w:val="24"/>
        </w:rPr>
        <w:t>(Hoeve et al., 2012)</w:t>
      </w:r>
      <w:r>
        <w:rPr>
          <w:sz w:val="24"/>
          <w:szCs w:val="24"/>
        </w:rPr>
        <w:t xml:space="preserve">. </w:t>
      </w:r>
      <w:r w:rsidRPr="00C157A6">
        <w:rPr>
          <w:sz w:val="24"/>
          <w:szCs w:val="24"/>
        </w:rPr>
        <w:t>Insecure attachment may also impair the development of empathy and prosocial behaviour, further increasing the likelihood of offending.</w:t>
      </w:r>
      <w:r>
        <w:rPr>
          <w:sz w:val="24"/>
          <w:szCs w:val="24"/>
        </w:rPr>
        <w:t xml:space="preserve"> The role of Ryan’s father is also relevant in terms of intergenerational transmission of offending. </w:t>
      </w:r>
      <w:r w:rsidRPr="00C157A6">
        <w:rPr>
          <w:sz w:val="24"/>
          <w:szCs w:val="24"/>
        </w:rPr>
        <w:t>His father’s history of criminal behaviour a</w:t>
      </w:r>
      <w:r>
        <w:rPr>
          <w:sz w:val="24"/>
          <w:szCs w:val="24"/>
        </w:rPr>
        <w:t>m</w:t>
      </w:r>
      <w:r w:rsidRPr="00C157A6">
        <w:rPr>
          <w:sz w:val="24"/>
          <w:szCs w:val="24"/>
        </w:rPr>
        <w:t>d substance misuse may have normalised antisocial conduct, consistent with Social Learning Theory (Bandura, 197</w:t>
      </w:r>
      <w:r>
        <w:rPr>
          <w:sz w:val="24"/>
          <w:szCs w:val="24"/>
        </w:rPr>
        <w:t>1</w:t>
      </w:r>
      <w:r w:rsidRPr="00C157A6">
        <w:rPr>
          <w:sz w:val="24"/>
          <w:szCs w:val="24"/>
        </w:rPr>
        <w:t>). However, it is important to critically note that not all children exposed to such influences engage in offending, highlighting the role of protective factors and individual differences.</w:t>
      </w:r>
    </w:p>
    <w:p w14:paraId="17840D4C" w14:textId="4599E33C" w:rsidR="00B630D1" w:rsidRDefault="00C157A6" w:rsidP="00B630D1">
      <w:pPr>
        <w:spacing w:line="480" w:lineRule="auto"/>
        <w:rPr>
          <w:sz w:val="24"/>
          <w:szCs w:val="24"/>
        </w:rPr>
      </w:pPr>
      <w:r>
        <w:rPr>
          <w:sz w:val="24"/>
          <w:szCs w:val="24"/>
        </w:rPr>
        <w:lastRenderedPageBreak/>
        <w:tab/>
      </w:r>
      <w:r w:rsidRPr="00C157A6">
        <w:rPr>
          <w:sz w:val="24"/>
          <w:szCs w:val="24"/>
        </w:rPr>
        <w:t>Ryan’s mother, while described as caring, faces significant challenges due to financial strain and long working hours. This has resulted in</w:t>
      </w:r>
      <w:r>
        <w:rPr>
          <w:sz w:val="24"/>
          <w:szCs w:val="24"/>
        </w:rPr>
        <w:t xml:space="preserve"> inconsistent discipline and limited supervision, both of which are strongly associated with youth offending (Patterson et al., 1990). The lack of consistent boundaries may have contributed to Ryan’s early behavioural difficulties and reduced internalisation of social norms. </w:t>
      </w:r>
      <w:r w:rsidRPr="00C157A6">
        <w:rPr>
          <w:sz w:val="24"/>
          <w:szCs w:val="24"/>
        </w:rPr>
        <w:t xml:space="preserve">Socioeconomic disadvantage is another important predisposing factor. Financial strain can contribute to stress, reduced access to resources, and increased exposure to high-risk environments. General Strain Theory (Agnew, </w:t>
      </w:r>
      <w:r>
        <w:rPr>
          <w:sz w:val="24"/>
          <w:szCs w:val="24"/>
        </w:rPr>
        <w:t>2019</w:t>
      </w:r>
      <w:r w:rsidRPr="00C157A6">
        <w:rPr>
          <w:sz w:val="24"/>
          <w:szCs w:val="24"/>
        </w:rPr>
        <w:t>) suggests that such stressors can generate negative emotions, which may be expressed through delinquent behaviour.</w:t>
      </w:r>
      <w:r>
        <w:rPr>
          <w:sz w:val="24"/>
          <w:szCs w:val="24"/>
        </w:rPr>
        <w:t xml:space="preserve"> </w:t>
      </w:r>
      <w:r w:rsidRPr="00C157A6">
        <w:rPr>
          <w:sz w:val="24"/>
          <w:szCs w:val="24"/>
        </w:rPr>
        <w:t>Educational difficulties also play a critical role. Ryan’s literacy issues and early behavioural problems likely contributed to negative school experiences, including conflict with teachers and exclusion. According to strain-based models, repeated academic failure can lead to frustration and disengagement, increasing the likelihood of antisocial coping strategies</w:t>
      </w:r>
      <w:r w:rsidR="00B630D1">
        <w:rPr>
          <w:sz w:val="24"/>
          <w:szCs w:val="24"/>
        </w:rPr>
        <w:t xml:space="preserve"> </w:t>
      </w:r>
      <w:r w:rsidR="00B630D1" w:rsidRPr="00B630D1">
        <w:rPr>
          <w:sz w:val="24"/>
          <w:szCs w:val="24"/>
        </w:rPr>
        <w:t>(Hawkins</w:t>
      </w:r>
      <w:r w:rsidR="00B630D1">
        <w:rPr>
          <w:sz w:val="24"/>
          <w:szCs w:val="24"/>
        </w:rPr>
        <w:t xml:space="preserve"> et al.</w:t>
      </w:r>
      <w:r w:rsidR="00B630D1" w:rsidRPr="00B630D1">
        <w:rPr>
          <w:sz w:val="24"/>
          <w:szCs w:val="24"/>
        </w:rPr>
        <w:t>, 2013)</w:t>
      </w:r>
      <w:r w:rsidR="00B630D1">
        <w:rPr>
          <w:sz w:val="24"/>
          <w:szCs w:val="24"/>
        </w:rPr>
        <w:t>.</w:t>
      </w:r>
    </w:p>
    <w:p w14:paraId="4ED8DB5A" w14:textId="28FBB7C8" w:rsidR="00B630D1" w:rsidRDefault="00B630D1" w:rsidP="00B630D1">
      <w:pPr>
        <w:spacing w:line="480" w:lineRule="auto"/>
        <w:rPr>
          <w:sz w:val="24"/>
          <w:szCs w:val="24"/>
        </w:rPr>
      </w:pPr>
      <w:r>
        <w:rPr>
          <w:sz w:val="24"/>
          <w:szCs w:val="24"/>
        </w:rPr>
        <w:tab/>
      </w:r>
      <w:r w:rsidRPr="00B630D1">
        <w:rPr>
          <w:sz w:val="24"/>
          <w:szCs w:val="24"/>
        </w:rPr>
        <w:t>While predisposing factors create vulnerability, precipitating factors act as immediate triggers for offending. In Ryan’s case, the most salient precipitating factor is his involvement with an</w:t>
      </w:r>
      <w:r>
        <w:rPr>
          <w:sz w:val="24"/>
          <w:szCs w:val="24"/>
        </w:rPr>
        <w:t xml:space="preserve"> older, antisocial peer group. </w:t>
      </w:r>
      <w:r w:rsidRPr="00B630D1">
        <w:rPr>
          <w:sz w:val="24"/>
          <w:szCs w:val="24"/>
        </w:rPr>
        <w:t>Adolescence is characterised by increased sensitivity to peer influence, with research showing that individuals are more likely to engage in risk-taking behaviours in the presence of peers</w:t>
      </w:r>
      <w:r>
        <w:rPr>
          <w:sz w:val="24"/>
          <w:szCs w:val="24"/>
        </w:rPr>
        <w:t xml:space="preserve"> </w:t>
      </w:r>
      <w:r w:rsidRPr="00B630D1">
        <w:rPr>
          <w:sz w:val="24"/>
          <w:szCs w:val="24"/>
        </w:rPr>
        <w:t>(Steinberg, 2011)</w:t>
      </w:r>
      <w:r>
        <w:rPr>
          <w:sz w:val="24"/>
          <w:szCs w:val="24"/>
        </w:rPr>
        <w:t xml:space="preserve">. </w:t>
      </w:r>
      <w:r w:rsidRPr="00B630D1">
        <w:rPr>
          <w:sz w:val="24"/>
          <w:szCs w:val="24"/>
        </w:rPr>
        <w:t>Social Learning Theory (Bandura, 197</w:t>
      </w:r>
      <w:r>
        <w:rPr>
          <w:sz w:val="24"/>
          <w:szCs w:val="24"/>
        </w:rPr>
        <w:t>1</w:t>
      </w:r>
      <w:r w:rsidRPr="00B630D1">
        <w:rPr>
          <w:sz w:val="24"/>
          <w:szCs w:val="24"/>
        </w:rPr>
        <w:t>) provides a clear explanation, suggesting that behaviour is learned through observation and reinforcement. Ryan may have observed his peers engaging in burglary and perceived it as rewarding, particularly if it resulted in financial gain or increased status.</w:t>
      </w:r>
    </w:p>
    <w:p w14:paraId="604781F0" w14:textId="6CEAECF2" w:rsidR="00B630D1" w:rsidRDefault="00B630D1" w:rsidP="00B630D1">
      <w:pPr>
        <w:spacing w:line="480" w:lineRule="auto"/>
        <w:rPr>
          <w:sz w:val="24"/>
          <w:szCs w:val="24"/>
        </w:rPr>
      </w:pPr>
      <w:r>
        <w:rPr>
          <w:sz w:val="24"/>
          <w:szCs w:val="24"/>
        </w:rPr>
        <w:tab/>
      </w:r>
      <w:r w:rsidRPr="00B630D1">
        <w:rPr>
          <w:sz w:val="24"/>
          <w:szCs w:val="24"/>
        </w:rPr>
        <w:t xml:space="preserve">Differential Association Theory (Nickerson, 2024) further supports this, proposing that criminal behaviour is learned through interaction with others who hold favourable </w:t>
      </w:r>
      <w:r w:rsidRPr="00B630D1">
        <w:rPr>
          <w:sz w:val="24"/>
          <w:szCs w:val="24"/>
        </w:rPr>
        <w:lastRenderedPageBreak/>
        <w:t>attitudes towards offending. Ryan’s immersion in a peer group engaged in criminal activity likely increased his exposure to such attitudes.</w:t>
      </w:r>
      <w:r>
        <w:rPr>
          <w:sz w:val="24"/>
          <w:szCs w:val="24"/>
        </w:rPr>
        <w:t xml:space="preserve"> </w:t>
      </w:r>
      <w:r w:rsidRPr="00B630D1">
        <w:rPr>
          <w:sz w:val="24"/>
          <w:szCs w:val="24"/>
        </w:rPr>
        <w:t>Ryan’s claim of being “pressured” by peers may reflect both genuine influence and an attempt to minimise responsibility. Research suggests that peer pressure often operates subtly, through expectations and norms rather than explicit coercion</w:t>
      </w:r>
      <w:r>
        <w:rPr>
          <w:sz w:val="24"/>
          <w:szCs w:val="24"/>
        </w:rPr>
        <w:t xml:space="preserve"> </w:t>
      </w:r>
      <w:r w:rsidRPr="00B630D1">
        <w:rPr>
          <w:sz w:val="24"/>
          <w:szCs w:val="24"/>
        </w:rPr>
        <w:t>(Prinstein et al., 2011)</w:t>
      </w:r>
      <w:r>
        <w:rPr>
          <w:sz w:val="24"/>
          <w:szCs w:val="24"/>
        </w:rPr>
        <w:t xml:space="preserve">. </w:t>
      </w:r>
      <w:r w:rsidRPr="00B630D1">
        <w:rPr>
          <w:sz w:val="24"/>
          <w:szCs w:val="24"/>
        </w:rPr>
        <w:t>Therefore, Ryan’s behaviour may be better understood as a desire for acceptance and belonging rather than direct coercion.</w:t>
      </w:r>
    </w:p>
    <w:p w14:paraId="6A222B47" w14:textId="7E56BDF1" w:rsidR="00840248" w:rsidRDefault="00B630D1" w:rsidP="00840248">
      <w:pPr>
        <w:spacing w:line="480" w:lineRule="auto"/>
        <w:rPr>
          <w:sz w:val="24"/>
          <w:szCs w:val="24"/>
        </w:rPr>
      </w:pPr>
      <w:r>
        <w:rPr>
          <w:sz w:val="24"/>
          <w:szCs w:val="24"/>
        </w:rPr>
        <w:tab/>
      </w:r>
      <w:r w:rsidRPr="00B630D1">
        <w:rPr>
          <w:sz w:val="24"/>
          <w:szCs w:val="24"/>
        </w:rPr>
        <w:t>Disengagement from education also played a key role in precipitating offending. Without the structure and supervision provided by school, Ryan had increased opportunities for unstructured socialising. Routine Activity Theory</w:t>
      </w:r>
      <w:r w:rsidR="00840248">
        <w:rPr>
          <w:sz w:val="24"/>
          <w:szCs w:val="24"/>
        </w:rPr>
        <w:t xml:space="preserve"> </w:t>
      </w:r>
      <w:r w:rsidR="00840248" w:rsidRPr="00840248">
        <w:rPr>
          <w:sz w:val="24"/>
          <w:szCs w:val="24"/>
        </w:rPr>
        <w:t xml:space="preserve">(Cohen </w:t>
      </w:r>
      <w:r w:rsidR="0048679F">
        <w:rPr>
          <w:sz w:val="24"/>
          <w:szCs w:val="24"/>
        </w:rPr>
        <w:t>&amp;</w:t>
      </w:r>
      <w:r w:rsidR="00840248" w:rsidRPr="00840248">
        <w:rPr>
          <w:sz w:val="24"/>
          <w:szCs w:val="24"/>
        </w:rPr>
        <w:t xml:space="preserve"> Felson, 1979)</w:t>
      </w:r>
      <w:r w:rsidR="00840248">
        <w:rPr>
          <w:sz w:val="24"/>
          <w:szCs w:val="24"/>
        </w:rPr>
        <w:t xml:space="preserve"> </w:t>
      </w:r>
      <w:r w:rsidR="00840248" w:rsidRPr="00840248">
        <w:rPr>
          <w:sz w:val="24"/>
          <w:szCs w:val="24"/>
        </w:rPr>
        <w:t>highlights the importance of opportunity in crime, suggesting that offending is more likely when supervision is absent and suitable targets are available.</w:t>
      </w:r>
      <w:r w:rsidR="00840248">
        <w:rPr>
          <w:sz w:val="24"/>
          <w:szCs w:val="24"/>
        </w:rPr>
        <w:t xml:space="preserve"> Financial strain may have further contributed to the burglaries, providing a motivational context for offending. The resale of stolem goods suggests that Ryan’s behaviour was not purely impulsive but involved some level of planning and goal-directed behaviour.</w:t>
      </w:r>
    </w:p>
    <w:p w14:paraId="39F0734F" w14:textId="001D1535" w:rsidR="00840248" w:rsidRDefault="00840248" w:rsidP="00840248">
      <w:pPr>
        <w:spacing w:line="480" w:lineRule="auto"/>
        <w:rPr>
          <w:sz w:val="24"/>
          <w:szCs w:val="24"/>
        </w:rPr>
      </w:pPr>
      <w:r>
        <w:rPr>
          <w:sz w:val="24"/>
          <w:szCs w:val="24"/>
        </w:rPr>
        <w:tab/>
      </w:r>
      <w:r w:rsidRPr="00840248">
        <w:rPr>
          <w:sz w:val="24"/>
          <w:szCs w:val="24"/>
        </w:rPr>
        <w:t>Several factors may contribute to the maintenance of Ryan’s offending behaviour over time. His continued association with delinquent peers remains one of the most significant risks. Peer reinforcement can normalise offending behaviour and create barriers to disengagement</w:t>
      </w:r>
      <w:r>
        <w:rPr>
          <w:sz w:val="24"/>
          <w:szCs w:val="24"/>
        </w:rPr>
        <w:t xml:space="preserve"> (Warr, 2002). Ryan’s cognitive distortions, </w:t>
      </w:r>
      <w:r w:rsidRPr="00840248">
        <w:rPr>
          <w:sz w:val="24"/>
          <w:szCs w:val="24"/>
        </w:rPr>
        <w:t>including denial of responsibility and minimisation of harm, also perpetuate offending. Without addressing these beliefs, he may continue to justify his behaviour and resist change. Cognitive distortions are therefore a key target for intervention</w:t>
      </w:r>
      <w:r>
        <w:rPr>
          <w:sz w:val="24"/>
          <w:szCs w:val="24"/>
        </w:rPr>
        <w:t xml:space="preserve"> </w:t>
      </w:r>
      <w:r w:rsidRPr="00840248">
        <w:rPr>
          <w:sz w:val="24"/>
          <w:szCs w:val="24"/>
        </w:rPr>
        <w:t xml:space="preserve">(Maruna </w:t>
      </w:r>
      <w:r w:rsidR="0048679F">
        <w:rPr>
          <w:sz w:val="24"/>
          <w:szCs w:val="24"/>
        </w:rPr>
        <w:t>&amp;</w:t>
      </w:r>
      <w:r w:rsidRPr="00840248">
        <w:rPr>
          <w:sz w:val="24"/>
          <w:szCs w:val="24"/>
        </w:rPr>
        <w:t xml:space="preserve"> Mann, 2006)</w:t>
      </w:r>
      <w:r>
        <w:rPr>
          <w:sz w:val="24"/>
          <w:szCs w:val="24"/>
        </w:rPr>
        <w:t>.</w:t>
      </w:r>
      <w:r>
        <w:rPr>
          <w:sz w:val="24"/>
          <w:szCs w:val="24"/>
        </w:rPr>
        <w:tab/>
      </w:r>
    </w:p>
    <w:p w14:paraId="2605553C" w14:textId="13140F52" w:rsidR="00C11DD8" w:rsidRDefault="00840248" w:rsidP="00C11DD8">
      <w:pPr>
        <w:spacing w:line="480" w:lineRule="auto"/>
        <w:rPr>
          <w:sz w:val="24"/>
          <w:szCs w:val="24"/>
        </w:rPr>
      </w:pPr>
      <w:r>
        <w:rPr>
          <w:sz w:val="24"/>
          <w:szCs w:val="24"/>
        </w:rPr>
        <w:tab/>
        <w:t xml:space="preserve">His </w:t>
      </w:r>
      <w:r w:rsidRPr="00840248">
        <w:rPr>
          <w:sz w:val="24"/>
          <w:szCs w:val="24"/>
        </w:rPr>
        <w:t xml:space="preserve">lack of engagement in education or employment further increases risk. The absence of structured activity is associated with higher levels of offending, as it provides </w:t>
      </w:r>
      <w:r w:rsidRPr="00840248">
        <w:rPr>
          <w:sz w:val="24"/>
          <w:szCs w:val="24"/>
        </w:rPr>
        <w:lastRenderedPageBreak/>
        <w:t>both opportunity and motivation</w:t>
      </w:r>
      <w:r>
        <w:rPr>
          <w:sz w:val="24"/>
          <w:szCs w:val="24"/>
        </w:rPr>
        <w:t xml:space="preserve"> </w:t>
      </w:r>
      <w:r w:rsidRPr="00840248">
        <w:rPr>
          <w:sz w:val="24"/>
          <w:szCs w:val="24"/>
        </w:rPr>
        <w:t>(Osgood et al., 1996)</w:t>
      </w:r>
      <w:r>
        <w:rPr>
          <w:sz w:val="24"/>
          <w:szCs w:val="24"/>
        </w:rPr>
        <w:t xml:space="preserve">. Additionally, ongoing academic difficulties may reduce his confidence and limit future oppurtunities. </w:t>
      </w:r>
      <w:r w:rsidRPr="00840248">
        <w:rPr>
          <w:sz w:val="24"/>
          <w:szCs w:val="24"/>
        </w:rPr>
        <w:t>Emotional regulation difficulties may also play a role. Individuals who struggle to manage emotions are more likely to engage in impulsive and risk-taking behaviour</w:t>
      </w:r>
      <w:r w:rsidR="00C11DD8">
        <w:rPr>
          <w:sz w:val="24"/>
          <w:szCs w:val="24"/>
        </w:rPr>
        <w:t xml:space="preserve"> </w:t>
      </w:r>
      <w:r w:rsidR="00C11DD8" w:rsidRPr="00C11DD8">
        <w:rPr>
          <w:sz w:val="24"/>
          <w:szCs w:val="24"/>
        </w:rPr>
        <w:t>(Roberton</w:t>
      </w:r>
      <w:r w:rsidR="00C11DD8">
        <w:rPr>
          <w:sz w:val="24"/>
          <w:szCs w:val="24"/>
        </w:rPr>
        <w:t xml:space="preserve"> et al.</w:t>
      </w:r>
      <w:r w:rsidR="00C11DD8" w:rsidRPr="00C11DD8">
        <w:rPr>
          <w:sz w:val="24"/>
          <w:szCs w:val="24"/>
        </w:rPr>
        <w:t>, 2012)</w:t>
      </w:r>
      <w:r w:rsidR="00C11DD8">
        <w:rPr>
          <w:sz w:val="24"/>
          <w:szCs w:val="24"/>
        </w:rPr>
        <w:t xml:space="preserve">. While not explicitly stated, Ryan’s bhistory of aggression and behavioural issues suggests this may be a relevant factor. </w:t>
      </w:r>
      <w:r w:rsidR="00C11DD8" w:rsidRPr="00C11DD8">
        <w:rPr>
          <w:sz w:val="24"/>
          <w:szCs w:val="24"/>
        </w:rPr>
        <w:t>Family dynamics continue to influence his behaviour. Inconsistent supervision and financial stress may limit the effectiveness of informal social controls. However, the presence of a supportive caregiver represents a potential protective factor that can be strengthened through intervention.</w:t>
      </w:r>
    </w:p>
    <w:p w14:paraId="4DF17DA6" w14:textId="7EA60576" w:rsidR="00C11DD8" w:rsidRDefault="00C11DD8" w:rsidP="00C11DD8">
      <w:pPr>
        <w:spacing w:line="480" w:lineRule="auto"/>
        <w:rPr>
          <w:sz w:val="24"/>
          <w:szCs w:val="24"/>
        </w:rPr>
      </w:pPr>
      <w:r>
        <w:rPr>
          <w:sz w:val="24"/>
          <w:szCs w:val="24"/>
        </w:rPr>
        <w:tab/>
        <w:t xml:space="preserve">An effective intervention plan for Ryan should adopt a multi-systematic and evidence-based approach, guided by the Risk-Need-Responsivity (RNR) model </w:t>
      </w:r>
      <w:r w:rsidRPr="00C11DD8">
        <w:rPr>
          <w:sz w:val="24"/>
          <w:szCs w:val="24"/>
        </w:rPr>
        <w:t xml:space="preserve">(Andrews </w:t>
      </w:r>
      <w:r w:rsidR="001D61FC">
        <w:rPr>
          <w:sz w:val="24"/>
          <w:szCs w:val="24"/>
        </w:rPr>
        <w:t>&amp;</w:t>
      </w:r>
      <w:r w:rsidRPr="00C11DD8">
        <w:rPr>
          <w:sz w:val="24"/>
          <w:szCs w:val="24"/>
        </w:rPr>
        <w:t xml:space="preserve"> Bonta, 2010)</w:t>
      </w:r>
      <w:r>
        <w:rPr>
          <w:sz w:val="24"/>
          <w:szCs w:val="24"/>
        </w:rPr>
        <w:t xml:space="preserve">. A Cognitive Behavioural Therapy (CBT)-based intervention is strongly recommended. </w:t>
      </w:r>
      <w:r w:rsidRPr="00C11DD8">
        <w:rPr>
          <w:sz w:val="24"/>
          <w:szCs w:val="24"/>
        </w:rPr>
        <w:t>CBT has been consistently shown to reduce recidivism among young offenders by targeting cognitive distortions, improving problem-solving skills, and enhancing emotional regulation</w:t>
      </w:r>
      <w:r>
        <w:rPr>
          <w:sz w:val="24"/>
          <w:szCs w:val="24"/>
        </w:rPr>
        <w:t xml:space="preserve"> </w:t>
      </w:r>
      <w:r w:rsidRPr="00C11DD8">
        <w:rPr>
          <w:sz w:val="24"/>
          <w:szCs w:val="24"/>
        </w:rPr>
        <w:t>(Clark, 2010)</w:t>
      </w:r>
      <w:r>
        <w:rPr>
          <w:sz w:val="24"/>
          <w:szCs w:val="24"/>
        </w:rPr>
        <w:t xml:space="preserve">. </w:t>
      </w:r>
      <w:r w:rsidRPr="00C11DD8">
        <w:rPr>
          <w:sz w:val="24"/>
          <w:szCs w:val="24"/>
        </w:rPr>
        <w:t>For Ryan, CBT would focus on increasing accountability, challenging justifications for offending, and developing alternative coping strategies.</w:t>
      </w:r>
    </w:p>
    <w:p w14:paraId="7D365BDF" w14:textId="6B0A4641" w:rsidR="00C11DD8" w:rsidRDefault="00C11DD8" w:rsidP="00C11DD8">
      <w:pPr>
        <w:spacing w:line="480" w:lineRule="auto"/>
        <w:rPr>
          <w:sz w:val="24"/>
          <w:szCs w:val="24"/>
        </w:rPr>
      </w:pPr>
      <w:r>
        <w:rPr>
          <w:sz w:val="24"/>
          <w:szCs w:val="24"/>
        </w:rPr>
        <w:tab/>
        <w:t xml:space="preserve">Given the importance of peer influence, interventions should also target social skills and peer resistance. </w:t>
      </w:r>
      <w:r w:rsidRPr="00C11DD8">
        <w:rPr>
          <w:sz w:val="24"/>
          <w:szCs w:val="24"/>
        </w:rPr>
        <w:t>Programmes that teach adolescents how to resist peer pressure and develop prosocial relationships have been shown to be effective</w:t>
      </w:r>
      <w:r>
        <w:rPr>
          <w:sz w:val="24"/>
          <w:szCs w:val="24"/>
        </w:rPr>
        <w:t xml:space="preserve"> </w:t>
      </w:r>
      <w:r w:rsidRPr="00C11DD8">
        <w:rPr>
          <w:sz w:val="24"/>
          <w:szCs w:val="24"/>
        </w:rPr>
        <w:t xml:space="preserve">(Dishion </w:t>
      </w:r>
      <w:r w:rsidR="001D61FC">
        <w:rPr>
          <w:sz w:val="24"/>
          <w:szCs w:val="24"/>
        </w:rPr>
        <w:t>&amp;</w:t>
      </w:r>
      <w:r w:rsidRPr="00C11DD8">
        <w:rPr>
          <w:sz w:val="24"/>
          <w:szCs w:val="24"/>
        </w:rPr>
        <w:t xml:space="preserve"> Tipsord, 2011)</w:t>
      </w:r>
      <w:r>
        <w:rPr>
          <w:sz w:val="24"/>
          <w:szCs w:val="24"/>
        </w:rPr>
        <w:t xml:space="preserve">. </w:t>
      </w:r>
      <w:r w:rsidRPr="00C11DD8">
        <w:rPr>
          <w:sz w:val="24"/>
          <w:szCs w:val="24"/>
        </w:rPr>
        <w:t>However, care must be taken to avoid grouping high-risk individuals together, as this can lead to peer contagion effects.</w:t>
      </w:r>
      <w:r>
        <w:rPr>
          <w:sz w:val="24"/>
          <w:szCs w:val="24"/>
        </w:rPr>
        <w:t xml:space="preserve"> Re-engagement with education or vocational training is critical. </w:t>
      </w:r>
      <w:r w:rsidRPr="00C11DD8">
        <w:rPr>
          <w:sz w:val="24"/>
          <w:szCs w:val="24"/>
        </w:rPr>
        <w:t xml:space="preserve">Providing Ryan with structured activities and opportunities for achievement can </w:t>
      </w:r>
      <w:r w:rsidRPr="00C11DD8">
        <w:rPr>
          <w:sz w:val="24"/>
          <w:szCs w:val="24"/>
        </w:rPr>
        <w:lastRenderedPageBreak/>
        <w:t>support identity development and reduce reliance on antisocial peer groups. Educational support should also address his literacy difficulties.</w:t>
      </w:r>
    </w:p>
    <w:p w14:paraId="3F1594D9" w14:textId="5EBB3700" w:rsidR="00C11DD8" w:rsidRDefault="00C11DD8" w:rsidP="00C11DD8">
      <w:pPr>
        <w:spacing w:line="480" w:lineRule="auto"/>
        <w:rPr>
          <w:sz w:val="24"/>
          <w:szCs w:val="24"/>
        </w:rPr>
      </w:pPr>
      <w:r>
        <w:rPr>
          <w:sz w:val="24"/>
          <w:szCs w:val="24"/>
        </w:rPr>
        <w:tab/>
        <w:t xml:space="preserve">Family-based interventions, such as Multisystemic Therapy (MST), </w:t>
      </w:r>
      <w:r w:rsidRPr="00C11DD8">
        <w:rPr>
          <w:sz w:val="24"/>
          <w:szCs w:val="24"/>
        </w:rPr>
        <w:t>may be particularly beneficial. MST targets multiple systems, including family, peers, and school, and has demonstrated strong evidence in reducing youth offending</w:t>
      </w:r>
      <w:r>
        <w:rPr>
          <w:sz w:val="24"/>
          <w:szCs w:val="24"/>
        </w:rPr>
        <w:t xml:space="preserve"> </w:t>
      </w:r>
      <w:r w:rsidRPr="00C11DD8">
        <w:rPr>
          <w:sz w:val="24"/>
          <w:szCs w:val="24"/>
        </w:rPr>
        <w:t xml:space="preserve">(Henggeler </w:t>
      </w:r>
      <w:r w:rsidR="001D61FC">
        <w:rPr>
          <w:sz w:val="24"/>
          <w:szCs w:val="24"/>
        </w:rPr>
        <w:t xml:space="preserve">&amp; </w:t>
      </w:r>
      <w:r w:rsidRPr="00C11DD8">
        <w:rPr>
          <w:sz w:val="24"/>
          <w:szCs w:val="24"/>
        </w:rPr>
        <w:t>Schaeffer, 2016)</w:t>
      </w:r>
      <w:r>
        <w:rPr>
          <w:sz w:val="24"/>
          <w:szCs w:val="24"/>
        </w:rPr>
        <w:t xml:space="preserve">. Improving parental supervision and consistency would be key goals. </w:t>
      </w:r>
      <w:r w:rsidR="00AD3C6E">
        <w:rPr>
          <w:sz w:val="24"/>
          <w:szCs w:val="24"/>
        </w:rPr>
        <w:t xml:space="preserve">A strengths-based approach </w:t>
      </w:r>
      <w:r w:rsidR="00AD3C6E" w:rsidRPr="00AD3C6E">
        <w:rPr>
          <w:sz w:val="24"/>
          <w:szCs w:val="24"/>
        </w:rPr>
        <w:t>should underpin all interventions. Ryan’s cognitive ability and lack of entrenched violent behaviour suggest a strong capacity for change. Building on these strengths can enhance motivation and support desistance</w:t>
      </w:r>
      <w:r w:rsidR="00AD3C6E">
        <w:rPr>
          <w:sz w:val="24"/>
          <w:szCs w:val="24"/>
        </w:rPr>
        <w:t xml:space="preserve"> </w:t>
      </w:r>
      <w:r w:rsidR="00AD3C6E" w:rsidRPr="00AD3C6E">
        <w:rPr>
          <w:sz w:val="24"/>
          <w:szCs w:val="24"/>
        </w:rPr>
        <w:t xml:space="preserve">(Ward </w:t>
      </w:r>
      <w:r w:rsidR="001D61FC">
        <w:rPr>
          <w:sz w:val="24"/>
          <w:szCs w:val="24"/>
        </w:rPr>
        <w:t xml:space="preserve">&amp; </w:t>
      </w:r>
      <w:r w:rsidR="00AD3C6E" w:rsidRPr="00AD3C6E">
        <w:rPr>
          <w:sz w:val="24"/>
          <w:szCs w:val="24"/>
        </w:rPr>
        <w:t>Maruna, 2007)</w:t>
      </w:r>
      <w:r w:rsidR="00AD3C6E">
        <w:rPr>
          <w:sz w:val="24"/>
          <w:szCs w:val="24"/>
        </w:rPr>
        <w:t>.</w:t>
      </w:r>
    </w:p>
    <w:p w14:paraId="79C1FDC6" w14:textId="654431B3" w:rsidR="00AD3C6E" w:rsidRDefault="00AD3C6E" w:rsidP="00C11DD8">
      <w:pPr>
        <w:spacing w:line="480" w:lineRule="auto"/>
        <w:rPr>
          <w:sz w:val="24"/>
          <w:szCs w:val="24"/>
        </w:rPr>
      </w:pPr>
      <w:r>
        <w:rPr>
          <w:sz w:val="24"/>
          <w:szCs w:val="24"/>
        </w:rPr>
        <w:tab/>
      </w:r>
      <w:r w:rsidRPr="00AD3C6E">
        <w:rPr>
          <w:sz w:val="24"/>
          <w:szCs w:val="24"/>
        </w:rPr>
        <w:t xml:space="preserve">After six months of consistent engagement with intervention, several positive outcomes may be anticipated. Ryan may demonstrate improved insight into his behaviour, with a reduced reliance on cognitive distortions such as denial of responsibility and minimisation of harm. Increased accountability is likely to support more meaningful engagement in intervention and reduce the likelihood of reoffending. Improvements in emotional regulation and problem-solving skills may also </w:t>
      </w:r>
      <w:r w:rsidRPr="00AD3C6E">
        <w:rPr>
          <w:sz w:val="24"/>
          <w:szCs w:val="24"/>
        </w:rPr>
        <w:t>arise</w:t>
      </w:r>
      <w:r w:rsidRPr="00AD3C6E">
        <w:rPr>
          <w:sz w:val="24"/>
          <w:szCs w:val="24"/>
        </w:rPr>
        <w:t>, enabling Ryan to respond</w:t>
      </w:r>
      <w:r>
        <w:rPr>
          <w:sz w:val="24"/>
          <w:szCs w:val="24"/>
        </w:rPr>
        <w:t xml:space="preserve"> in a more</w:t>
      </w:r>
      <w:r w:rsidRPr="00AD3C6E">
        <w:rPr>
          <w:sz w:val="24"/>
          <w:szCs w:val="24"/>
        </w:rPr>
        <w:t xml:space="preserve"> adaptive</w:t>
      </w:r>
      <w:r>
        <w:rPr>
          <w:sz w:val="24"/>
          <w:szCs w:val="24"/>
        </w:rPr>
        <w:t xml:space="preserve"> way</w:t>
      </w:r>
      <w:r w:rsidRPr="00AD3C6E">
        <w:rPr>
          <w:sz w:val="24"/>
          <w:szCs w:val="24"/>
        </w:rPr>
        <w:t xml:space="preserve"> to stressors and peer pressure.</w:t>
      </w:r>
    </w:p>
    <w:p w14:paraId="605BCBE4" w14:textId="77A54C31" w:rsidR="00AD3C6E" w:rsidRDefault="00AD3C6E" w:rsidP="00C11DD8">
      <w:pPr>
        <w:spacing w:line="480" w:lineRule="auto"/>
        <w:rPr>
          <w:sz w:val="24"/>
          <w:szCs w:val="24"/>
        </w:rPr>
      </w:pPr>
      <w:r>
        <w:rPr>
          <w:sz w:val="24"/>
          <w:szCs w:val="24"/>
        </w:rPr>
        <w:tab/>
      </w:r>
      <w:r w:rsidRPr="00AD3C6E">
        <w:rPr>
          <w:sz w:val="24"/>
          <w:szCs w:val="24"/>
        </w:rPr>
        <w:t>Engagement in education or vocational training could contribute to the development of a more positive self-concept, providing Ryan with a sense of purpose and ac</w:t>
      </w:r>
      <w:r>
        <w:rPr>
          <w:sz w:val="24"/>
          <w:szCs w:val="24"/>
        </w:rPr>
        <w:t>hei</w:t>
      </w:r>
      <w:r w:rsidRPr="00AD3C6E">
        <w:rPr>
          <w:sz w:val="24"/>
          <w:szCs w:val="24"/>
        </w:rPr>
        <w:t>vement that is not reliant on antisocial peer approval. This shift in identity is particularly important during adolescence, as the development of a prosocial identity is associated with desistance from crime (Maruna</w:t>
      </w:r>
      <w:r w:rsidR="001D61FC">
        <w:rPr>
          <w:sz w:val="24"/>
          <w:szCs w:val="24"/>
        </w:rPr>
        <w:t xml:space="preserve"> &amp; Mann</w:t>
      </w:r>
      <w:r w:rsidRPr="00AD3C6E">
        <w:rPr>
          <w:sz w:val="24"/>
          <w:szCs w:val="24"/>
        </w:rPr>
        <w:t>, 200</w:t>
      </w:r>
      <w:r>
        <w:rPr>
          <w:sz w:val="24"/>
          <w:szCs w:val="24"/>
        </w:rPr>
        <w:t>6</w:t>
      </w:r>
      <w:r w:rsidRPr="00AD3C6E">
        <w:rPr>
          <w:sz w:val="24"/>
          <w:szCs w:val="24"/>
        </w:rPr>
        <w:t>). Additionally, if family-based interventions are successful, improved communication and more consistent parental supervision may strengthen protective factors within the home environment.</w:t>
      </w:r>
    </w:p>
    <w:p w14:paraId="048EC82E" w14:textId="2B4E8713" w:rsidR="00AD3C6E" w:rsidRDefault="00AD3C6E" w:rsidP="00C11DD8">
      <w:pPr>
        <w:spacing w:line="480" w:lineRule="auto"/>
        <w:rPr>
          <w:sz w:val="24"/>
          <w:szCs w:val="24"/>
        </w:rPr>
      </w:pPr>
      <w:r>
        <w:rPr>
          <w:sz w:val="24"/>
          <w:szCs w:val="24"/>
        </w:rPr>
        <w:lastRenderedPageBreak/>
        <w:tab/>
      </w:r>
      <w:r w:rsidRPr="00AD3C6E">
        <w:rPr>
          <w:sz w:val="24"/>
          <w:szCs w:val="24"/>
        </w:rPr>
        <w:t xml:space="preserve">However, progress is unlikely to be </w:t>
      </w:r>
      <w:r>
        <w:rPr>
          <w:sz w:val="24"/>
          <w:szCs w:val="24"/>
        </w:rPr>
        <w:t>straightforward</w:t>
      </w:r>
      <w:r w:rsidRPr="00AD3C6E">
        <w:rPr>
          <w:sz w:val="24"/>
          <w:szCs w:val="24"/>
        </w:rPr>
        <w:t>, and there remains a risk of relapse, particularly given Ryan’s prior association with delinquent peers. Desistance is widely understood as a gradual and non-linear process, often characterised by setbacks (McNeill</w:t>
      </w:r>
      <w:r w:rsidR="00BF7FCB">
        <w:rPr>
          <w:sz w:val="24"/>
          <w:szCs w:val="24"/>
        </w:rPr>
        <w:t xml:space="preserve"> et al., 2012</w:t>
      </w:r>
      <w:r w:rsidRPr="00AD3C6E">
        <w:rPr>
          <w:sz w:val="24"/>
          <w:szCs w:val="24"/>
        </w:rPr>
        <w:t xml:space="preserve">). If Ryan continues to maintain contact with antisocial peers, the reinforcing nature of these relationships may undermine </w:t>
      </w:r>
      <w:r w:rsidR="00BF7FCB">
        <w:rPr>
          <w:sz w:val="24"/>
          <w:szCs w:val="24"/>
        </w:rPr>
        <w:t>the gains from the interventions</w:t>
      </w:r>
      <w:r w:rsidRPr="00AD3C6E">
        <w:rPr>
          <w:sz w:val="24"/>
          <w:szCs w:val="24"/>
        </w:rPr>
        <w:t xml:space="preserve">. </w:t>
      </w:r>
      <w:r w:rsidR="00BF7FCB" w:rsidRPr="00AD3C6E">
        <w:rPr>
          <w:sz w:val="24"/>
          <w:szCs w:val="24"/>
        </w:rPr>
        <w:t>Equally</w:t>
      </w:r>
      <w:r w:rsidRPr="00AD3C6E">
        <w:rPr>
          <w:sz w:val="24"/>
          <w:szCs w:val="24"/>
        </w:rPr>
        <w:t>, successful disengagement from such influences would significantly enhance the likelihood of sustained behavioural change.</w:t>
      </w:r>
    </w:p>
    <w:p w14:paraId="3C181F9F" w14:textId="5A676CBF" w:rsidR="00AD3C6E" w:rsidRDefault="00AD3C6E" w:rsidP="00C11DD8">
      <w:pPr>
        <w:spacing w:line="480" w:lineRule="auto"/>
        <w:rPr>
          <w:sz w:val="24"/>
          <w:szCs w:val="24"/>
        </w:rPr>
      </w:pPr>
      <w:r>
        <w:rPr>
          <w:sz w:val="24"/>
          <w:szCs w:val="24"/>
        </w:rPr>
        <w:tab/>
      </w:r>
      <w:r w:rsidRPr="00AD3C6E">
        <w:rPr>
          <w:sz w:val="24"/>
          <w:szCs w:val="24"/>
        </w:rPr>
        <w:t>It is also important to consider responsivity factors that may influence outcomes. Ryan’s guarded presentation and initial reluctance to accept responsibility may limit early engagement in intervention. Therefore, the quality of the therapeutic relationship and the use of motivational techniques will be crucial in supporting his participation. Research suggests that strong practitioner-client relationships are associated with improved outcomes in youth justice interventions (Dowden &amp; Andrews, 2004).</w:t>
      </w:r>
      <w:r>
        <w:rPr>
          <w:sz w:val="24"/>
          <w:szCs w:val="24"/>
        </w:rPr>
        <w:t xml:space="preserve"> </w:t>
      </w:r>
      <w:r w:rsidRPr="00AD3C6E">
        <w:rPr>
          <w:sz w:val="24"/>
          <w:szCs w:val="24"/>
        </w:rPr>
        <w:t xml:space="preserve">Furthermore, broader structural factors, such as ongoing socioeconomic disadvantage, may continue to present challenges. While individual-level interventions can support change, they may be less effective if environmental stressors remain </w:t>
      </w:r>
      <w:r w:rsidR="00BF7FCB">
        <w:rPr>
          <w:sz w:val="24"/>
          <w:szCs w:val="24"/>
        </w:rPr>
        <w:t>the same</w:t>
      </w:r>
      <w:r w:rsidRPr="00AD3C6E">
        <w:rPr>
          <w:sz w:val="24"/>
          <w:szCs w:val="24"/>
        </w:rPr>
        <w:t>. This highlights the importance of a multi-agency approach, incorporating educational, social, and community support systems.</w:t>
      </w:r>
    </w:p>
    <w:p w14:paraId="56643E1A" w14:textId="558FF0A0" w:rsidR="00AD3C6E" w:rsidRDefault="00AD3C6E" w:rsidP="00C11DD8">
      <w:pPr>
        <w:spacing w:line="480" w:lineRule="auto"/>
        <w:rPr>
          <w:sz w:val="24"/>
          <w:szCs w:val="24"/>
        </w:rPr>
      </w:pPr>
      <w:r w:rsidRPr="00AD3C6E">
        <w:rPr>
          <w:sz w:val="24"/>
          <w:szCs w:val="24"/>
        </w:rPr>
        <w:t>Overall, while there are clear risks for continued offending, the presence of protective factors and the implementation of a structured, evidence-based intervention plan suggest that Ryan has a realistic potentia</w:t>
      </w:r>
      <w:r w:rsidR="001D61FC">
        <w:rPr>
          <w:sz w:val="24"/>
          <w:szCs w:val="24"/>
        </w:rPr>
        <w:t>l</w:t>
      </w:r>
      <w:r w:rsidRPr="00AD3C6E">
        <w:rPr>
          <w:sz w:val="24"/>
          <w:szCs w:val="24"/>
        </w:rPr>
        <w:t>l for positive change within a six-month period.</w:t>
      </w:r>
    </w:p>
    <w:p w14:paraId="376B0BA1" w14:textId="535FDAEA" w:rsidR="00AD3C6E" w:rsidRDefault="00AD3C6E" w:rsidP="00C11DD8">
      <w:pPr>
        <w:spacing w:line="480" w:lineRule="auto"/>
        <w:rPr>
          <w:sz w:val="24"/>
          <w:szCs w:val="24"/>
        </w:rPr>
      </w:pPr>
      <w:r>
        <w:rPr>
          <w:sz w:val="24"/>
          <w:szCs w:val="24"/>
        </w:rPr>
        <w:tab/>
      </w:r>
      <w:r w:rsidRPr="00AD3C6E">
        <w:rPr>
          <w:sz w:val="24"/>
          <w:szCs w:val="24"/>
        </w:rPr>
        <w:t>This case formulation has applied the 4 P</w:t>
      </w:r>
      <w:r w:rsidR="001D61FC">
        <w:rPr>
          <w:sz w:val="24"/>
          <w:szCs w:val="24"/>
        </w:rPr>
        <w:t>’</w:t>
      </w:r>
      <w:r w:rsidRPr="00AD3C6E">
        <w:rPr>
          <w:sz w:val="24"/>
          <w:szCs w:val="24"/>
        </w:rPr>
        <w:t xml:space="preserve">s model to provide a comprehensive and theoretically informed explanation of Ryan’s offending behaviour. By integrating presenting, predisposing, precipitating, and perpetuating factors, it becomes evident that his criminal </w:t>
      </w:r>
      <w:r w:rsidRPr="00AD3C6E">
        <w:rPr>
          <w:sz w:val="24"/>
          <w:szCs w:val="24"/>
        </w:rPr>
        <w:lastRenderedPageBreak/>
        <w:t xml:space="preserve">activity is not the result of a single cause, but rather the outcome of complex and interacting influences across his developmental </w:t>
      </w:r>
      <w:r w:rsidR="009F1CA1" w:rsidRPr="00AD3C6E">
        <w:rPr>
          <w:sz w:val="24"/>
          <w:szCs w:val="24"/>
        </w:rPr>
        <w:t>path</w:t>
      </w:r>
      <w:r w:rsidRPr="00AD3C6E">
        <w:rPr>
          <w:sz w:val="24"/>
          <w:szCs w:val="24"/>
        </w:rPr>
        <w:t xml:space="preserve">. In particular, early exposure to domestic violence, inconsistent parenting, and socioeconomic strain appear to have created a foundation of vulnerability, which </w:t>
      </w:r>
      <w:r w:rsidR="001D61FC">
        <w:rPr>
          <w:sz w:val="24"/>
          <w:szCs w:val="24"/>
        </w:rPr>
        <w:t>later worsened</w:t>
      </w:r>
      <w:r w:rsidRPr="00AD3C6E">
        <w:rPr>
          <w:sz w:val="24"/>
          <w:szCs w:val="24"/>
        </w:rPr>
        <w:t xml:space="preserve"> </w:t>
      </w:r>
      <w:r w:rsidR="001D61FC">
        <w:rPr>
          <w:sz w:val="24"/>
          <w:szCs w:val="24"/>
        </w:rPr>
        <w:t xml:space="preserve">due to </w:t>
      </w:r>
      <w:r w:rsidRPr="00AD3C6E">
        <w:rPr>
          <w:sz w:val="24"/>
          <w:szCs w:val="24"/>
        </w:rPr>
        <w:t xml:space="preserve">educational disengagement and increasing </w:t>
      </w:r>
      <w:r w:rsidR="001D61FC" w:rsidRPr="00AD3C6E">
        <w:rPr>
          <w:sz w:val="24"/>
          <w:szCs w:val="24"/>
        </w:rPr>
        <w:t>association</w:t>
      </w:r>
      <w:r w:rsidRPr="00AD3C6E">
        <w:rPr>
          <w:sz w:val="24"/>
          <w:szCs w:val="24"/>
        </w:rPr>
        <w:t xml:space="preserve"> with antisocial peers.</w:t>
      </w:r>
    </w:p>
    <w:p w14:paraId="226BFEBD" w14:textId="3DD645E2" w:rsidR="00AD3C6E" w:rsidRDefault="00AD3C6E" w:rsidP="00C11DD8">
      <w:pPr>
        <w:spacing w:line="480" w:lineRule="auto"/>
        <w:rPr>
          <w:sz w:val="24"/>
          <w:szCs w:val="24"/>
        </w:rPr>
      </w:pPr>
      <w:r>
        <w:rPr>
          <w:sz w:val="24"/>
          <w:szCs w:val="24"/>
        </w:rPr>
        <w:tab/>
      </w:r>
      <w:r w:rsidRPr="00AD3C6E">
        <w:rPr>
          <w:sz w:val="24"/>
          <w:szCs w:val="24"/>
        </w:rPr>
        <w:t>The application of psychological theories, including Social Learning Theory, Attachment Theory, and General Strain Theory, has allowed for a</w:t>
      </w:r>
      <w:r w:rsidR="009F1CA1">
        <w:rPr>
          <w:sz w:val="24"/>
          <w:szCs w:val="24"/>
        </w:rPr>
        <w:t xml:space="preserve">n i-depth </w:t>
      </w:r>
      <w:r w:rsidRPr="00AD3C6E">
        <w:rPr>
          <w:sz w:val="24"/>
          <w:szCs w:val="24"/>
        </w:rPr>
        <w:t xml:space="preserve">understanding of Ryan’s behaviour. Social Learning Theory highlights the role of peer modelling and reinforcement in the development of offending, while Attachment Theory provides insight into the impact of early relational instability on emotional regulation and interpersonal functioning. General Strain Theory further </w:t>
      </w:r>
      <w:r w:rsidR="009F1CA1">
        <w:rPr>
          <w:sz w:val="24"/>
          <w:szCs w:val="24"/>
        </w:rPr>
        <w:t>interprets</w:t>
      </w:r>
      <w:r w:rsidRPr="00AD3C6E">
        <w:rPr>
          <w:sz w:val="24"/>
          <w:szCs w:val="24"/>
        </w:rPr>
        <w:t xml:space="preserve"> Ryan’s behaviour as a </w:t>
      </w:r>
      <w:r w:rsidR="009F1CA1">
        <w:rPr>
          <w:sz w:val="24"/>
          <w:szCs w:val="24"/>
        </w:rPr>
        <w:t>counterproductive</w:t>
      </w:r>
      <w:r w:rsidRPr="00AD3C6E">
        <w:rPr>
          <w:sz w:val="24"/>
          <w:szCs w:val="24"/>
        </w:rPr>
        <w:t xml:space="preserve"> response to </w:t>
      </w:r>
      <w:r w:rsidR="009F1CA1">
        <w:rPr>
          <w:sz w:val="24"/>
          <w:szCs w:val="24"/>
        </w:rPr>
        <w:t>a variety of</w:t>
      </w:r>
      <w:r w:rsidRPr="00AD3C6E">
        <w:rPr>
          <w:sz w:val="24"/>
          <w:szCs w:val="24"/>
        </w:rPr>
        <w:t xml:space="preserve"> stressors and negative experiences. Importantly, no single theory fully accounts for his behaviour; rather, it is the integration of these perspectives that offers the most comprehensive explanation.</w:t>
      </w:r>
    </w:p>
    <w:p w14:paraId="1C99D959" w14:textId="2FC2FE99" w:rsidR="00AD3C6E" w:rsidRDefault="00AD3C6E" w:rsidP="00C11DD8">
      <w:pPr>
        <w:spacing w:line="480" w:lineRule="auto"/>
        <w:rPr>
          <w:sz w:val="24"/>
          <w:szCs w:val="24"/>
        </w:rPr>
      </w:pPr>
      <w:r>
        <w:rPr>
          <w:sz w:val="24"/>
          <w:szCs w:val="24"/>
        </w:rPr>
        <w:tab/>
      </w:r>
      <w:r w:rsidRPr="00AD3C6E">
        <w:rPr>
          <w:sz w:val="24"/>
          <w:szCs w:val="24"/>
        </w:rPr>
        <w:t xml:space="preserve">Critically, while Ryan presents with multiple risk factors associated with continued offending, he also demonstrates several strengths that suggest a strong capacity for rehabilitation. His average cognitive ability, absence of </w:t>
      </w:r>
      <w:r w:rsidR="009F1CA1" w:rsidRPr="00AD3C6E">
        <w:rPr>
          <w:sz w:val="24"/>
          <w:szCs w:val="24"/>
        </w:rPr>
        <w:t>embedded</w:t>
      </w:r>
      <w:r w:rsidRPr="00AD3C6E">
        <w:rPr>
          <w:sz w:val="24"/>
          <w:szCs w:val="24"/>
        </w:rPr>
        <w:t xml:space="preserve"> violent behaviour, and the presence of a caregiver who remains involved in his life all represent important factors. These elements indicate that his offending behaviour may be more consistent with an adolescence-limited pattern, rather than a life-course persistent trajectory, as proposed by developmental theories of crime.</w:t>
      </w:r>
      <w:r>
        <w:rPr>
          <w:sz w:val="24"/>
          <w:szCs w:val="24"/>
        </w:rPr>
        <w:t xml:space="preserve"> </w:t>
      </w:r>
      <w:r w:rsidRPr="00AD3C6E">
        <w:rPr>
          <w:sz w:val="24"/>
          <w:szCs w:val="24"/>
        </w:rPr>
        <w:t xml:space="preserve">The proposed intervention plan, grounded in the Risk-Need-Responsivity model, emphasises the importance of addressing criminogenic needs through cognitive-behavioural approaches, family-based interventions, and re-engagement </w:t>
      </w:r>
      <w:r w:rsidRPr="00AD3C6E">
        <w:rPr>
          <w:sz w:val="24"/>
          <w:szCs w:val="24"/>
        </w:rPr>
        <w:lastRenderedPageBreak/>
        <w:t>with education or vocational training. Such a multi-m</w:t>
      </w:r>
      <w:r w:rsidR="009F1CA1">
        <w:rPr>
          <w:sz w:val="24"/>
          <w:szCs w:val="24"/>
        </w:rPr>
        <w:t>ode</w:t>
      </w:r>
      <w:r w:rsidRPr="00AD3C6E">
        <w:rPr>
          <w:sz w:val="24"/>
          <w:szCs w:val="24"/>
        </w:rPr>
        <w:t>l approach is necessary to address both the individual and environmental factors contributing to Ryan’s behaviour. If effectively implemented, these interventions have the potential to support meaningful behavioural change and reduce the likelihood of reoffending.</w:t>
      </w:r>
    </w:p>
    <w:p w14:paraId="23543ECE" w14:textId="3AFE5FAC" w:rsidR="00AD3C6E" w:rsidRPr="00AD3C6E" w:rsidRDefault="00AD3C6E" w:rsidP="00AD3C6E">
      <w:pPr>
        <w:spacing w:line="480" w:lineRule="auto"/>
        <w:rPr>
          <w:sz w:val="24"/>
          <w:szCs w:val="24"/>
        </w:rPr>
      </w:pPr>
      <w:r>
        <w:rPr>
          <w:sz w:val="24"/>
          <w:szCs w:val="24"/>
        </w:rPr>
        <w:tab/>
      </w:r>
      <w:r w:rsidRPr="00AD3C6E">
        <w:rPr>
          <w:sz w:val="24"/>
          <w:szCs w:val="24"/>
        </w:rPr>
        <w:t xml:space="preserve">In conclusion, Ryan’s case highlights the importance of early intervention, </w:t>
      </w:r>
      <w:r w:rsidR="009F1CA1" w:rsidRPr="00AD3C6E">
        <w:rPr>
          <w:sz w:val="24"/>
          <w:szCs w:val="24"/>
        </w:rPr>
        <w:t>full</w:t>
      </w:r>
      <w:r w:rsidRPr="00AD3C6E">
        <w:rPr>
          <w:sz w:val="24"/>
          <w:szCs w:val="24"/>
        </w:rPr>
        <w:t xml:space="preserve"> assessment, and evidence-based practice within forensic psychology. With appropriate and sustained support, there is a realistic and evidence-based expectation that Ryan can disengage from criminal behaviour and develop a more prosocial and adaptive life trajectory.</w:t>
      </w:r>
    </w:p>
    <w:p w14:paraId="3CD301CD" w14:textId="71FA25CC" w:rsidR="00AD3C6E" w:rsidRPr="00C11DD8" w:rsidRDefault="00AD3C6E" w:rsidP="00C11DD8">
      <w:pPr>
        <w:spacing w:line="480" w:lineRule="auto"/>
        <w:rPr>
          <w:sz w:val="24"/>
          <w:szCs w:val="24"/>
        </w:rPr>
      </w:pPr>
    </w:p>
    <w:p w14:paraId="1ED23EAB" w14:textId="39FC1782" w:rsidR="00C11DD8" w:rsidRPr="00C11DD8" w:rsidRDefault="00C11DD8" w:rsidP="00C11DD8">
      <w:pPr>
        <w:spacing w:line="480" w:lineRule="auto"/>
        <w:rPr>
          <w:sz w:val="24"/>
          <w:szCs w:val="24"/>
        </w:rPr>
      </w:pPr>
    </w:p>
    <w:p w14:paraId="62149C3C" w14:textId="446E34FA" w:rsidR="00C11DD8" w:rsidRPr="00C11DD8" w:rsidRDefault="00C11DD8" w:rsidP="00C11DD8">
      <w:pPr>
        <w:spacing w:line="480" w:lineRule="auto"/>
        <w:rPr>
          <w:sz w:val="24"/>
          <w:szCs w:val="24"/>
        </w:rPr>
      </w:pPr>
    </w:p>
    <w:p w14:paraId="39C31B93" w14:textId="35A3B8F0" w:rsidR="00840248" w:rsidRPr="00840248" w:rsidRDefault="00840248" w:rsidP="00840248">
      <w:pPr>
        <w:spacing w:line="480" w:lineRule="auto"/>
        <w:rPr>
          <w:sz w:val="24"/>
          <w:szCs w:val="24"/>
        </w:rPr>
      </w:pPr>
    </w:p>
    <w:p w14:paraId="512AA3C3" w14:textId="3BE32A32" w:rsidR="00B630D1" w:rsidRPr="00B630D1" w:rsidRDefault="00B630D1" w:rsidP="00B630D1">
      <w:pPr>
        <w:spacing w:line="480" w:lineRule="auto"/>
        <w:rPr>
          <w:sz w:val="24"/>
          <w:szCs w:val="24"/>
        </w:rPr>
      </w:pPr>
    </w:p>
    <w:p w14:paraId="3BBFBC96" w14:textId="3FFEE1D8" w:rsidR="00C157A6" w:rsidRPr="00B42EE3" w:rsidRDefault="00C157A6" w:rsidP="00B42EE3">
      <w:pPr>
        <w:spacing w:line="480" w:lineRule="auto"/>
        <w:rPr>
          <w:sz w:val="24"/>
          <w:szCs w:val="24"/>
        </w:rPr>
      </w:pPr>
    </w:p>
    <w:p w14:paraId="0CD5D80B" w14:textId="618E45FD" w:rsidR="00B42EE3" w:rsidRPr="00A505A9" w:rsidRDefault="00B42EE3" w:rsidP="00A505A9">
      <w:pPr>
        <w:spacing w:line="480" w:lineRule="auto"/>
        <w:rPr>
          <w:sz w:val="24"/>
          <w:szCs w:val="24"/>
        </w:rPr>
      </w:pPr>
    </w:p>
    <w:p w14:paraId="79D59A89" w14:textId="1C9B86FA" w:rsidR="00A505A9" w:rsidRDefault="00A505A9" w:rsidP="00A505A9">
      <w:pPr>
        <w:spacing w:line="480" w:lineRule="auto"/>
        <w:rPr>
          <w:sz w:val="24"/>
          <w:szCs w:val="24"/>
        </w:rPr>
      </w:pPr>
    </w:p>
    <w:p w14:paraId="5085E41D" w14:textId="77777777" w:rsidR="00A505A9" w:rsidRDefault="00A505A9" w:rsidP="00A505A9">
      <w:pPr>
        <w:spacing w:line="480" w:lineRule="auto"/>
        <w:rPr>
          <w:sz w:val="24"/>
          <w:szCs w:val="24"/>
        </w:rPr>
      </w:pPr>
    </w:p>
    <w:p w14:paraId="2FB85A54" w14:textId="77777777" w:rsidR="00A505A9" w:rsidRDefault="00A505A9" w:rsidP="00A505A9">
      <w:pPr>
        <w:spacing w:line="480" w:lineRule="auto"/>
        <w:rPr>
          <w:sz w:val="24"/>
          <w:szCs w:val="24"/>
        </w:rPr>
      </w:pPr>
    </w:p>
    <w:p w14:paraId="6FBECA88" w14:textId="77777777" w:rsidR="00A505A9" w:rsidRDefault="00A505A9" w:rsidP="00A505A9">
      <w:pPr>
        <w:spacing w:line="480" w:lineRule="auto"/>
        <w:rPr>
          <w:sz w:val="24"/>
          <w:szCs w:val="24"/>
        </w:rPr>
      </w:pPr>
    </w:p>
    <w:p w14:paraId="64D2788A" w14:textId="77777777" w:rsidR="00C4634D" w:rsidRDefault="00C4634D" w:rsidP="00282E50">
      <w:pPr>
        <w:spacing w:line="480" w:lineRule="auto"/>
        <w:rPr>
          <w:sz w:val="24"/>
          <w:szCs w:val="24"/>
        </w:rPr>
      </w:pPr>
    </w:p>
    <w:p w14:paraId="4FB81577" w14:textId="59B73754" w:rsidR="00B3079E" w:rsidRPr="0048679F" w:rsidRDefault="00B3079E" w:rsidP="00282E50">
      <w:pPr>
        <w:spacing w:line="480" w:lineRule="auto"/>
        <w:rPr>
          <w:b/>
          <w:bCs/>
          <w:sz w:val="24"/>
          <w:szCs w:val="24"/>
        </w:rPr>
      </w:pPr>
      <w:r w:rsidRPr="0048679F">
        <w:rPr>
          <w:b/>
          <w:bCs/>
          <w:sz w:val="24"/>
          <w:szCs w:val="24"/>
        </w:rPr>
        <w:lastRenderedPageBreak/>
        <w:t>References</w:t>
      </w:r>
    </w:p>
    <w:p w14:paraId="18408093" w14:textId="27E27AE5" w:rsidR="00A648C4" w:rsidRPr="00696A8E" w:rsidRDefault="00F67999" w:rsidP="00A648C4">
      <w:pPr>
        <w:spacing w:line="480" w:lineRule="auto"/>
        <w:rPr>
          <w:sz w:val="24"/>
          <w:szCs w:val="24"/>
        </w:rPr>
      </w:pPr>
      <w:r w:rsidRPr="00F67999">
        <w:rPr>
          <w:sz w:val="24"/>
          <w:szCs w:val="24"/>
        </w:rPr>
        <w:t xml:space="preserve">Agnew, R. and Brezina, T. (2019). General Strain Theory. </w:t>
      </w:r>
      <w:r w:rsidRPr="00F67999">
        <w:rPr>
          <w:i/>
          <w:iCs/>
          <w:sz w:val="24"/>
          <w:szCs w:val="24"/>
        </w:rPr>
        <w:t xml:space="preserve">Handbooks of Sociology and Social </w:t>
      </w:r>
    </w:p>
    <w:p w14:paraId="3A68DE55" w14:textId="10952E22" w:rsidR="00F67999" w:rsidRPr="00F67999" w:rsidRDefault="00F67999" w:rsidP="00A648C4">
      <w:pPr>
        <w:spacing w:line="480" w:lineRule="auto"/>
        <w:ind w:left="720"/>
        <w:rPr>
          <w:sz w:val="24"/>
          <w:szCs w:val="24"/>
        </w:rPr>
      </w:pPr>
      <w:r w:rsidRPr="00F67999">
        <w:rPr>
          <w:i/>
          <w:iCs/>
          <w:sz w:val="24"/>
          <w:szCs w:val="24"/>
        </w:rPr>
        <w:t>Research</w:t>
      </w:r>
      <w:r w:rsidRPr="00F67999">
        <w:rPr>
          <w:sz w:val="24"/>
          <w:szCs w:val="24"/>
        </w:rPr>
        <w:t>, 2(2), pp.145–160. doi:https://doi.org/10.1007/978-3-030-20779-3_8.</w:t>
      </w:r>
    </w:p>
    <w:p w14:paraId="4AA037F9" w14:textId="77777777" w:rsidR="00A648C4" w:rsidRDefault="00F67999" w:rsidP="00F67999">
      <w:pPr>
        <w:spacing w:line="480" w:lineRule="auto"/>
        <w:rPr>
          <w:sz w:val="24"/>
          <w:szCs w:val="24"/>
        </w:rPr>
      </w:pPr>
      <w:r w:rsidRPr="00F67999">
        <w:rPr>
          <w:sz w:val="24"/>
          <w:szCs w:val="24"/>
        </w:rPr>
        <w:t xml:space="preserve">Andrews, D.A. and Bonta, J. (2010). Rehabilitating Criminal Justice Policy and practice. </w:t>
      </w:r>
    </w:p>
    <w:p w14:paraId="16BFFF84" w14:textId="7D914F68" w:rsidR="00F67999" w:rsidRPr="00F67999" w:rsidRDefault="00F67999" w:rsidP="00A648C4">
      <w:pPr>
        <w:spacing w:line="480" w:lineRule="auto"/>
        <w:ind w:left="720"/>
        <w:rPr>
          <w:sz w:val="24"/>
          <w:szCs w:val="24"/>
        </w:rPr>
      </w:pPr>
      <w:r w:rsidRPr="00F67999">
        <w:rPr>
          <w:i/>
          <w:iCs/>
          <w:sz w:val="24"/>
          <w:szCs w:val="24"/>
        </w:rPr>
        <w:t>Psychology, Public Policy, and Law</w:t>
      </w:r>
      <w:r w:rsidRPr="00F67999">
        <w:rPr>
          <w:sz w:val="24"/>
          <w:szCs w:val="24"/>
        </w:rPr>
        <w:t>, [online] 16(1), pp.39–55. doi:https://doi.org/10.1037/a0018362.</w:t>
      </w:r>
    </w:p>
    <w:p w14:paraId="4EE52633" w14:textId="77777777" w:rsidR="00A648C4" w:rsidRDefault="00F67999" w:rsidP="00F67999">
      <w:pPr>
        <w:spacing w:line="480" w:lineRule="auto"/>
        <w:rPr>
          <w:sz w:val="24"/>
          <w:szCs w:val="24"/>
        </w:rPr>
      </w:pPr>
      <w:r w:rsidRPr="00F67999">
        <w:rPr>
          <w:sz w:val="24"/>
          <w:szCs w:val="24"/>
        </w:rPr>
        <w:t xml:space="preserve">Bandura, A. (1971). Social Learning Theory. </w:t>
      </w:r>
      <w:r w:rsidRPr="00F67999">
        <w:rPr>
          <w:i/>
          <w:iCs/>
          <w:sz w:val="24"/>
          <w:szCs w:val="24"/>
        </w:rPr>
        <w:t>Contemporary Sociology</w:t>
      </w:r>
      <w:r w:rsidRPr="00F67999">
        <w:rPr>
          <w:sz w:val="24"/>
          <w:szCs w:val="24"/>
        </w:rPr>
        <w:t xml:space="preserve">, [online] 7(1). Available </w:t>
      </w:r>
    </w:p>
    <w:p w14:paraId="7E7F00CD" w14:textId="6A801652" w:rsidR="00F67999" w:rsidRPr="00F67999" w:rsidRDefault="00F67999" w:rsidP="00A648C4">
      <w:pPr>
        <w:spacing w:line="480" w:lineRule="auto"/>
        <w:ind w:firstLine="720"/>
        <w:rPr>
          <w:sz w:val="24"/>
          <w:szCs w:val="24"/>
        </w:rPr>
      </w:pPr>
      <w:r w:rsidRPr="00F67999">
        <w:rPr>
          <w:sz w:val="24"/>
          <w:szCs w:val="24"/>
        </w:rPr>
        <w:t>at: https://www.asecib.ase.ro/mps/Bandura_SocialLearningTheory.pdf.</w:t>
      </w:r>
    </w:p>
    <w:p w14:paraId="6FCEC81C" w14:textId="77777777" w:rsidR="00A648C4" w:rsidRDefault="00A648C4" w:rsidP="00A648C4">
      <w:pPr>
        <w:spacing w:line="480" w:lineRule="auto"/>
        <w:rPr>
          <w:i/>
          <w:iCs/>
          <w:sz w:val="24"/>
          <w:szCs w:val="24"/>
        </w:rPr>
      </w:pPr>
      <w:r w:rsidRPr="00A648C4">
        <w:rPr>
          <w:sz w:val="24"/>
          <w:szCs w:val="24"/>
        </w:rPr>
        <w:t xml:space="preserve">Bowlby, J. (1969). Attachment and Loss, Volume I: Attachment. </w:t>
      </w:r>
      <w:r w:rsidRPr="00A648C4">
        <w:rPr>
          <w:i/>
          <w:iCs/>
          <w:sz w:val="24"/>
          <w:szCs w:val="24"/>
        </w:rPr>
        <w:t xml:space="preserve">The British Journal of </w:t>
      </w:r>
    </w:p>
    <w:p w14:paraId="4B46C74A" w14:textId="40B6C033" w:rsidR="00A648C4" w:rsidRPr="00A648C4" w:rsidRDefault="00A648C4" w:rsidP="00A648C4">
      <w:pPr>
        <w:spacing w:line="480" w:lineRule="auto"/>
        <w:ind w:left="720"/>
        <w:rPr>
          <w:sz w:val="24"/>
          <w:szCs w:val="24"/>
        </w:rPr>
      </w:pPr>
      <w:r w:rsidRPr="00A648C4">
        <w:rPr>
          <w:i/>
          <w:iCs/>
          <w:sz w:val="24"/>
          <w:szCs w:val="24"/>
        </w:rPr>
        <w:t>Sociology</w:t>
      </w:r>
      <w:r w:rsidRPr="00A648C4">
        <w:rPr>
          <w:sz w:val="24"/>
          <w:szCs w:val="24"/>
        </w:rPr>
        <w:t xml:space="preserve">, 21(1), pp.1–326. Available at: </w:t>
      </w:r>
      <w:hyperlink r:id="rId4" w:history="1">
        <w:r w:rsidRPr="00A648C4">
          <w:rPr>
            <w:rStyle w:val="Hyperlink"/>
            <w:sz w:val="24"/>
            <w:szCs w:val="24"/>
          </w:rPr>
          <w:t>https://mindsplain.com/wp-</w:t>
        </w:r>
      </w:hyperlink>
      <w:r w:rsidRPr="00A648C4">
        <w:rPr>
          <w:sz w:val="24"/>
          <w:szCs w:val="24"/>
        </w:rPr>
        <w:t>content/uploads/2020/08/ATTACHMENT_AND_LOSS_VOLUME_I_ATTACHMENT.pdf.</w:t>
      </w:r>
    </w:p>
    <w:p w14:paraId="03D868C6" w14:textId="77777777" w:rsidR="00A648C4" w:rsidRDefault="00A648C4" w:rsidP="00A648C4">
      <w:pPr>
        <w:spacing w:line="480" w:lineRule="auto"/>
        <w:rPr>
          <w:sz w:val="24"/>
          <w:szCs w:val="24"/>
        </w:rPr>
      </w:pPr>
      <w:r w:rsidRPr="00A648C4">
        <w:rPr>
          <w:sz w:val="24"/>
          <w:szCs w:val="24"/>
        </w:rPr>
        <w:t xml:space="preserve">Clark, P. (2010). </w:t>
      </w:r>
      <w:r w:rsidRPr="00A648C4">
        <w:rPr>
          <w:i/>
          <w:iCs/>
          <w:sz w:val="24"/>
          <w:szCs w:val="24"/>
        </w:rPr>
        <w:t>Preventing Future Crime With Cognitive Behavioral Therapy</w:t>
      </w:r>
      <w:r w:rsidRPr="00A648C4">
        <w:rPr>
          <w:sz w:val="24"/>
          <w:szCs w:val="24"/>
        </w:rPr>
        <w:t xml:space="preserve">. [online] </w:t>
      </w:r>
    </w:p>
    <w:p w14:paraId="36CD0DEB" w14:textId="627306B8" w:rsidR="00A648C4" w:rsidRPr="00A648C4" w:rsidRDefault="00A648C4" w:rsidP="00A648C4">
      <w:pPr>
        <w:spacing w:line="480" w:lineRule="auto"/>
        <w:ind w:left="720"/>
        <w:rPr>
          <w:sz w:val="24"/>
          <w:szCs w:val="24"/>
        </w:rPr>
      </w:pPr>
      <w:r w:rsidRPr="00A648C4">
        <w:rPr>
          <w:sz w:val="24"/>
          <w:szCs w:val="24"/>
        </w:rPr>
        <w:t xml:space="preserve">Available at: </w:t>
      </w:r>
      <w:hyperlink r:id="rId5" w:history="1">
        <w:r w:rsidRPr="00A648C4">
          <w:rPr>
            <w:rStyle w:val="Hyperlink"/>
            <w:sz w:val="24"/>
            <w:szCs w:val="24"/>
          </w:rPr>
          <w:t>https://cimaeducation.com/wp-content/uploads/2011/12/CBT-</w:t>
        </w:r>
      </w:hyperlink>
      <w:r w:rsidRPr="00A648C4">
        <w:rPr>
          <w:sz w:val="24"/>
          <w:szCs w:val="24"/>
        </w:rPr>
        <w:t>NIJArticle.pdf.</w:t>
      </w:r>
    </w:p>
    <w:p w14:paraId="14C738BB" w14:textId="77777777" w:rsidR="00A648C4" w:rsidRDefault="00A648C4" w:rsidP="00A648C4">
      <w:pPr>
        <w:spacing w:line="480" w:lineRule="auto"/>
        <w:rPr>
          <w:sz w:val="24"/>
          <w:szCs w:val="24"/>
        </w:rPr>
      </w:pPr>
      <w:r w:rsidRPr="00A648C4">
        <w:rPr>
          <w:sz w:val="24"/>
          <w:szCs w:val="24"/>
        </w:rPr>
        <w:t xml:space="preserve">Cohen, L.E. and Felson, M. (1979). Social change and crime rate trends: A routine activity </w:t>
      </w:r>
    </w:p>
    <w:p w14:paraId="5CD07559" w14:textId="591BA64A" w:rsidR="00A648C4" w:rsidRPr="00A648C4" w:rsidRDefault="00A648C4" w:rsidP="00A648C4">
      <w:pPr>
        <w:spacing w:line="480" w:lineRule="auto"/>
        <w:ind w:firstLine="720"/>
        <w:rPr>
          <w:sz w:val="24"/>
          <w:szCs w:val="24"/>
        </w:rPr>
      </w:pPr>
      <w:r w:rsidRPr="00A648C4">
        <w:rPr>
          <w:sz w:val="24"/>
          <w:szCs w:val="24"/>
        </w:rPr>
        <w:t xml:space="preserve">approach. </w:t>
      </w:r>
      <w:r w:rsidRPr="00A648C4">
        <w:rPr>
          <w:i/>
          <w:iCs/>
          <w:sz w:val="24"/>
          <w:szCs w:val="24"/>
        </w:rPr>
        <w:t>American Sociological Review</w:t>
      </w:r>
      <w:r w:rsidRPr="00A648C4">
        <w:rPr>
          <w:sz w:val="24"/>
          <w:szCs w:val="24"/>
        </w:rPr>
        <w:t xml:space="preserve">, 44(4), pp.588–608. </w:t>
      </w:r>
    </w:p>
    <w:p w14:paraId="329949E0" w14:textId="77777777" w:rsidR="00A648C4" w:rsidRDefault="00A648C4" w:rsidP="00A648C4">
      <w:pPr>
        <w:spacing w:line="480" w:lineRule="auto"/>
        <w:rPr>
          <w:sz w:val="24"/>
          <w:szCs w:val="24"/>
        </w:rPr>
      </w:pPr>
      <w:r w:rsidRPr="00A648C4">
        <w:rPr>
          <w:sz w:val="24"/>
          <w:szCs w:val="24"/>
        </w:rPr>
        <w:t xml:space="preserve">Dishion, T.J. and Tipsord, J.M. (2011). Peer Contagion in Child and Adolescent Social and </w:t>
      </w:r>
    </w:p>
    <w:p w14:paraId="00D298DE" w14:textId="39D81B3A" w:rsidR="00A648C4" w:rsidRPr="00A648C4" w:rsidRDefault="00A648C4" w:rsidP="00A648C4">
      <w:pPr>
        <w:spacing w:line="480" w:lineRule="auto"/>
        <w:ind w:left="720"/>
        <w:rPr>
          <w:sz w:val="24"/>
          <w:szCs w:val="24"/>
        </w:rPr>
      </w:pPr>
      <w:r w:rsidRPr="00A648C4">
        <w:rPr>
          <w:sz w:val="24"/>
          <w:szCs w:val="24"/>
        </w:rPr>
        <w:t xml:space="preserve">Emotional Development. </w:t>
      </w:r>
      <w:r w:rsidRPr="00A648C4">
        <w:rPr>
          <w:i/>
          <w:iCs/>
          <w:sz w:val="24"/>
          <w:szCs w:val="24"/>
        </w:rPr>
        <w:t>Annual Review of Psychology</w:t>
      </w:r>
      <w:r w:rsidRPr="00A648C4">
        <w:rPr>
          <w:sz w:val="24"/>
          <w:szCs w:val="24"/>
        </w:rPr>
        <w:t>, [online] 62(1), pp.189–214. doi:https://doi.org/10.1146/annurev.psych.093008.100412.</w:t>
      </w:r>
    </w:p>
    <w:p w14:paraId="3A97A537" w14:textId="77777777" w:rsidR="00A648C4" w:rsidRDefault="00A648C4" w:rsidP="00A648C4">
      <w:pPr>
        <w:spacing w:line="480" w:lineRule="auto"/>
        <w:rPr>
          <w:sz w:val="24"/>
          <w:szCs w:val="24"/>
        </w:rPr>
      </w:pPr>
      <w:r w:rsidRPr="00A648C4">
        <w:rPr>
          <w:sz w:val="24"/>
          <w:szCs w:val="24"/>
        </w:rPr>
        <w:t xml:space="preserve">Dowden, C. and Andrews, D.A. (2004). The Importance of Staff Practice in Delivering </w:t>
      </w:r>
    </w:p>
    <w:p w14:paraId="78458336" w14:textId="66A9F9C2" w:rsidR="00A648C4" w:rsidRPr="00A648C4" w:rsidRDefault="00A648C4" w:rsidP="00A648C4">
      <w:pPr>
        <w:spacing w:line="480" w:lineRule="auto"/>
        <w:ind w:left="720"/>
        <w:rPr>
          <w:sz w:val="24"/>
          <w:szCs w:val="24"/>
        </w:rPr>
      </w:pPr>
      <w:r w:rsidRPr="00A648C4">
        <w:rPr>
          <w:sz w:val="24"/>
          <w:szCs w:val="24"/>
        </w:rPr>
        <w:lastRenderedPageBreak/>
        <w:t xml:space="preserve">Effective Correctional Treatment: A Meta-Analytic Review of Core Correctional Practice. </w:t>
      </w:r>
      <w:r w:rsidRPr="00A648C4">
        <w:rPr>
          <w:i/>
          <w:iCs/>
          <w:sz w:val="24"/>
          <w:szCs w:val="24"/>
        </w:rPr>
        <w:t>International Journal of Offender Therapy and Comparative Criminology</w:t>
      </w:r>
      <w:r w:rsidRPr="00A648C4">
        <w:rPr>
          <w:sz w:val="24"/>
          <w:szCs w:val="24"/>
        </w:rPr>
        <w:t xml:space="preserve">, 48(2), pp.203–214. </w:t>
      </w:r>
    </w:p>
    <w:p w14:paraId="133D5FBD" w14:textId="77777777" w:rsidR="00A648C4" w:rsidRDefault="00A648C4" w:rsidP="00A648C4">
      <w:pPr>
        <w:spacing w:line="480" w:lineRule="auto"/>
        <w:rPr>
          <w:i/>
          <w:iCs/>
          <w:sz w:val="24"/>
          <w:szCs w:val="24"/>
        </w:rPr>
      </w:pPr>
      <w:r w:rsidRPr="00A648C4">
        <w:rPr>
          <w:sz w:val="24"/>
          <w:szCs w:val="24"/>
        </w:rPr>
        <w:t xml:space="preserve">Farrington, D.P. (2005). Childhood origins of antisocial behavior. </w:t>
      </w:r>
      <w:r w:rsidRPr="00A648C4">
        <w:rPr>
          <w:i/>
          <w:iCs/>
          <w:sz w:val="24"/>
          <w:szCs w:val="24"/>
        </w:rPr>
        <w:t>Clinical Psychology &amp;</w:t>
      </w:r>
    </w:p>
    <w:p w14:paraId="7B3694A3" w14:textId="21DF6BF5" w:rsidR="00A648C4" w:rsidRPr="00A648C4" w:rsidRDefault="00A648C4" w:rsidP="00A648C4">
      <w:pPr>
        <w:spacing w:line="480" w:lineRule="auto"/>
        <w:ind w:firstLine="720"/>
        <w:rPr>
          <w:sz w:val="24"/>
          <w:szCs w:val="24"/>
        </w:rPr>
      </w:pPr>
      <w:r w:rsidRPr="00A648C4">
        <w:rPr>
          <w:i/>
          <w:iCs/>
          <w:sz w:val="24"/>
          <w:szCs w:val="24"/>
        </w:rPr>
        <w:t xml:space="preserve"> Psychotherapy</w:t>
      </w:r>
      <w:r w:rsidRPr="00A648C4">
        <w:rPr>
          <w:sz w:val="24"/>
          <w:szCs w:val="24"/>
        </w:rPr>
        <w:t>, [online] 12(3), pp.177–190. doi:https://doi.org/10.1002/cpp.448.</w:t>
      </w:r>
    </w:p>
    <w:p w14:paraId="59A8E6F9" w14:textId="77777777" w:rsidR="00A648C4" w:rsidRDefault="00A648C4" w:rsidP="00A648C4">
      <w:pPr>
        <w:spacing w:line="480" w:lineRule="auto"/>
        <w:rPr>
          <w:sz w:val="24"/>
          <w:szCs w:val="24"/>
        </w:rPr>
      </w:pPr>
      <w:r w:rsidRPr="00A648C4">
        <w:rPr>
          <w:sz w:val="24"/>
          <w:szCs w:val="24"/>
        </w:rPr>
        <w:t xml:space="preserve">Hawkins, R.L., Jaccard, J. and Needle, E. (2013). Nonacademic Factors Associated with </w:t>
      </w:r>
    </w:p>
    <w:p w14:paraId="0E64E5EF" w14:textId="348E7EF2" w:rsidR="00A648C4" w:rsidRPr="00A648C4" w:rsidRDefault="00A648C4" w:rsidP="00A648C4">
      <w:pPr>
        <w:spacing w:line="480" w:lineRule="auto"/>
        <w:ind w:left="720"/>
        <w:rPr>
          <w:sz w:val="24"/>
          <w:szCs w:val="24"/>
        </w:rPr>
      </w:pPr>
      <w:r w:rsidRPr="00A648C4">
        <w:rPr>
          <w:sz w:val="24"/>
          <w:szCs w:val="24"/>
        </w:rPr>
        <w:t xml:space="preserve">Dropping Out of High School: Adolescent Problem Behaviors. </w:t>
      </w:r>
      <w:r w:rsidRPr="00A648C4">
        <w:rPr>
          <w:i/>
          <w:iCs/>
          <w:sz w:val="24"/>
          <w:szCs w:val="24"/>
        </w:rPr>
        <w:t>Journal of the Society for Social Work and Research</w:t>
      </w:r>
      <w:r w:rsidRPr="00A648C4">
        <w:rPr>
          <w:sz w:val="24"/>
          <w:szCs w:val="24"/>
        </w:rPr>
        <w:t>, [online] 4(2), pp.58–75. doi:https://doi.org/10.5243/jsswr.2013.5.</w:t>
      </w:r>
    </w:p>
    <w:p w14:paraId="5A4CEF16" w14:textId="77777777" w:rsidR="00A648C4" w:rsidRDefault="00A648C4" w:rsidP="00A648C4">
      <w:pPr>
        <w:spacing w:line="480" w:lineRule="auto"/>
        <w:rPr>
          <w:sz w:val="24"/>
          <w:szCs w:val="24"/>
        </w:rPr>
      </w:pPr>
      <w:r w:rsidRPr="00A648C4">
        <w:rPr>
          <w:sz w:val="24"/>
          <w:szCs w:val="24"/>
        </w:rPr>
        <w:t xml:space="preserve">Henggeler, S.W. and Schaeffer, C.M. (2016). Multisystemic Therapy: Clinical Overview, </w:t>
      </w:r>
    </w:p>
    <w:p w14:paraId="65C4CD5E" w14:textId="2367A5B6" w:rsidR="00A648C4" w:rsidRPr="00A648C4" w:rsidRDefault="00A648C4" w:rsidP="00A648C4">
      <w:pPr>
        <w:spacing w:line="480" w:lineRule="auto"/>
        <w:ind w:firstLine="720"/>
        <w:rPr>
          <w:sz w:val="24"/>
          <w:szCs w:val="24"/>
        </w:rPr>
      </w:pPr>
      <w:r w:rsidRPr="00A648C4">
        <w:rPr>
          <w:sz w:val="24"/>
          <w:szCs w:val="24"/>
        </w:rPr>
        <w:t xml:space="preserve">Outcomes, and Implementation Research. </w:t>
      </w:r>
      <w:r w:rsidRPr="00A648C4">
        <w:rPr>
          <w:i/>
          <w:iCs/>
          <w:sz w:val="24"/>
          <w:szCs w:val="24"/>
        </w:rPr>
        <w:t>Family Process</w:t>
      </w:r>
      <w:r w:rsidRPr="00A648C4">
        <w:rPr>
          <w:sz w:val="24"/>
          <w:szCs w:val="24"/>
        </w:rPr>
        <w:t xml:space="preserve">, 55(3), pp.514–528. </w:t>
      </w:r>
    </w:p>
    <w:p w14:paraId="5D53C7A8" w14:textId="77777777" w:rsidR="00A648C4" w:rsidRDefault="00A648C4" w:rsidP="00A648C4">
      <w:pPr>
        <w:spacing w:line="480" w:lineRule="auto"/>
        <w:rPr>
          <w:sz w:val="24"/>
          <w:szCs w:val="24"/>
        </w:rPr>
      </w:pPr>
      <w:r w:rsidRPr="00A648C4">
        <w:rPr>
          <w:sz w:val="24"/>
          <w:szCs w:val="24"/>
        </w:rPr>
        <w:t>Hoeve, M., Stams, G.J.J.M., van der Put, C.E., Dubas, J.S., van der Laan, P.H. and Gerris, J.R.M.</w:t>
      </w:r>
    </w:p>
    <w:p w14:paraId="7AD7101C" w14:textId="039F2E4D" w:rsidR="00A648C4" w:rsidRPr="00A648C4" w:rsidRDefault="00A648C4" w:rsidP="00A648C4">
      <w:pPr>
        <w:spacing w:line="480" w:lineRule="auto"/>
        <w:ind w:left="720" w:firstLine="60"/>
        <w:rPr>
          <w:sz w:val="24"/>
          <w:szCs w:val="24"/>
        </w:rPr>
      </w:pPr>
      <w:r w:rsidRPr="00A648C4">
        <w:rPr>
          <w:sz w:val="24"/>
          <w:szCs w:val="24"/>
        </w:rPr>
        <w:t xml:space="preserve">(2012). A Meta-analysis of Attachment to Parents and Delinquency. </w:t>
      </w:r>
      <w:r w:rsidRPr="00A648C4">
        <w:rPr>
          <w:i/>
          <w:iCs/>
          <w:sz w:val="24"/>
          <w:szCs w:val="24"/>
        </w:rPr>
        <w:t>Journal of Abnormal Child Psychology</w:t>
      </w:r>
      <w:r w:rsidRPr="00A648C4">
        <w:rPr>
          <w:sz w:val="24"/>
          <w:szCs w:val="24"/>
        </w:rPr>
        <w:t>, 40(5), pp.771–785. doi:https://doi.org/10.1007/s10802-011-9608-1.</w:t>
      </w:r>
    </w:p>
    <w:p w14:paraId="3BDFA975" w14:textId="77777777" w:rsidR="00696A8E" w:rsidRDefault="00A648C4" w:rsidP="00A648C4">
      <w:pPr>
        <w:spacing w:line="480" w:lineRule="auto"/>
        <w:rPr>
          <w:sz w:val="24"/>
          <w:szCs w:val="24"/>
        </w:rPr>
      </w:pPr>
      <w:r w:rsidRPr="00A648C4">
        <w:rPr>
          <w:sz w:val="24"/>
          <w:szCs w:val="24"/>
        </w:rPr>
        <w:t xml:space="preserve">Maruna, S. and Mann, R.E. (2006). A fundamental attribution error? Rethinking cognitive </w:t>
      </w:r>
    </w:p>
    <w:p w14:paraId="76DD1B1E" w14:textId="56F70184" w:rsidR="00A648C4" w:rsidRPr="00A648C4" w:rsidRDefault="00A648C4" w:rsidP="00696A8E">
      <w:pPr>
        <w:spacing w:line="480" w:lineRule="auto"/>
        <w:ind w:left="720"/>
        <w:rPr>
          <w:sz w:val="24"/>
          <w:szCs w:val="24"/>
        </w:rPr>
      </w:pPr>
      <w:r w:rsidRPr="00A648C4">
        <w:rPr>
          <w:sz w:val="24"/>
          <w:szCs w:val="24"/>
        </w:rPr>
        <w:t xml:space="preserve">distortions. </w:t>
      </w:r>
      <w:r w:rsidRPr="00A648C4">
        <w:rPr>
          <w:i/>
          <w:iCs/>
          <w:sz w:val="24"/>
          <w:szCs w:val="24"/>
        </w:rPr>
        <w:t>Legal and Criminological Psychology</w:t>
      </w:r>
      <w:r w:rsidRPr="00A648C4">
        <w:rPr>
          <w:sz w:val="24"/>
          <w:szCs w:val="24"/>
        </w:rPr>
        <w:t>, [online] 11(2), pp.155–177.</w:t>
      </w:r>
    </w:p>
    <w:p w14:paraId="303E7615" w14:textId="77777777" w:rsidR="00696A8E" w:rsidRDefault="00A648C4" w:rsidP="00A648C4">
      <w:pPr>
        <w:spacing w:line="480" w:lineRule="auto"/>
        <w:rPr>
          <w:i/>
          <w:iCs/>
          <w:sz w:val="24"/>
          <w:szCs w:val="24"/>
        </w:rPr>
      </w:pPr>
      <w:r w:rsidRPr="00A648C4">
        <w:rPr>
          <w:sz w:val="24"/>
          <w:szCs w:val="24"/>
        </w:rPr>
        <w:t xml:space="preserve">McNeill, F., Farrall, S., Lightowler, C. and Maruna, S. (2012). </w:t>
      </w:r>
      <w:r w:rsidRPr="00A648C4">
        <w:rPr>
          <w:i/>
          <w:iCs/>
          <w:sz w:val="24"/>
          <w:szCs w:val="24"/>
        </w:rPr>
        <w:t xml:space="preserve">How and why people stop </w:t>
      </w:r>
    </w:p>
    <w:p w14:paraId="2D46320F" w14:textId="0E74C1E0" w:rsidR="00A648C4" w:rsidRPr="00A648C4" w:rsidRDefault="00A648C4" w:rsidP="00696A8E">
      <w:pPr>
        <w:spacing w:line="480" w:lineRule="auto"/>
        <w:ind w:left="720"/>
        <w:rPr>
          <w:sz w:val="24"/>
          <w:szCs w:val="24"/>
        </w:rPr>
      </w:pPr>
      <w:r w:rsidRPr="00A648C4">
        <w:rPr>
          <w:i/>
          <w:iCs/>
          <w:sz w:val="24"/>
          <w:szCs w:val="24"/>
        </w:rPr>
        <w:t>offending: Discovering desistance</w:t>
      </w:r>
      <w:r w:rsidRPr="00A648C4">
        <w:rPr>
          <w:sz w:val="24"/>
          <w:szCs w:val="24"/>
        </w:rPr>
        <w:t>. [online] Iriss. Available at: https://www.iriss.org.uk/resources/insights/how-why-people-stop-offending-discovering-desistance.</w:t>
      </w:r>
    </w:p>
    <w:p w14:paraId="32840D4E" w14:textId="77777777" w:rsidR="00696A8E" w:rsidRDefault="00A648C4" w:rsidP="00A648C4">
      <w:pPr>
        <w:spacing w:line="480" w:lineRule="auto"/>
        <w:rPr>
          <w:i/>
          <w:iCs/>
          <w:sz w:val="24"/>
          <w:szCs w:val="24"/>
        </w:rPr>
      </w:pPr>
      <w:r w:rsidRPr="00A648C4">
        <w:rPr>
          <w:sz w:val="24"/>
          <w:szCs w:val="24"/>
        </w:rPr>
        <w:lastRenderedPageBreak/>
        <w:t xml:space="preserve">Moffitt, T.E. (1993). The neuropsychology of conduct disorder. </w:t>
      </w:r>
      <w:r w:rsidRPr="00A648C4">
        <w:rPr>
          <w:i/>
          <w:iCs/>
          <w:sz w:val="24"/>
          <w:szCs w:val="24"/>
        </w:rPr>
        <w:t>Development and</w:t>
      </w:r>
    </w:p>
    <w:p w14:paraId="5674589F" w14:textId="0EFF3491" w:rsidR="00A648C4" w:rsidRPr="00A648C4" w:rsidRDefault="00A648C4" w:rsidP="00696A8E">
      <w:pPr>
        <w:spacing w:line="480" w:lineRule="auto"/>
        <w:ind w:firstLine="720"/>
        <w:rPr>
          <w:sz w:val="24"/>
          <w:szCs w:val="24"/>
        </w:rPr>
      </w:pPr>
      <w:r w:rsidRPr="00A648C4">
        <w:rPr>
          <w:i/>
          <w:iCs/>
          <w:sz w:val="24"/>
          <w:szCs w:val="24"/>
        </w:rPr>
        <w:t xml:space="preserve"> Psychopathology</w:t>
      </w:r>
      <w:r w:rsidRPr="00A648C4">
        <w:rPr>
          <w:sz w:val="24"/>
          <w:szCs w:val="24"/>
        </w:rPr>
        <w:t xml:space="preserve">, 5(1-2), pp.135–151. </w:t>
      </w:r>
    </w:p>
    <w:p w14:paraId="10C8DB88" w14:textId="77777777" w:rsidR="00696A8E" w:rsidRDefault="00A648C4" w:rsidP="00A648C4">
      <w:pPr>
        <w:spacing w:line="480" w:lineRule="auto"/>
        <w:rPr>
          <w:sz w:val="24"/>
          <w:szCs w:val="24"/>
        </w:rPr>
      </w:pPr>
      <w:r w:rsidRPr="00A648C4">
        <w:rPr>
          <w:sz w:val="24"/>
          <w:szCs w:val="24"/>
        </w:rPr>
        <w:t xml:space="preserve">Nickerson, C. (2024). </w:t>
      </w:r>
      <w:r w:rsidRPr="00A648C4">
        <w:rPr>
          <w:i/>
          <w:iCs/>
          <w:sz w:val="24"/>
          <w:szCs w:val="24"/>
        </w:rPr>
        <w:t>Edwin Sutherland’s Differential Association Theory - Simply Psychology</w:t>
      </w:r>
      <w:r w:rsidRPr="00A648C4">
        <w:rPr>
          <w:sz w:val="24"/>
          <w:szCs w:val="24"/>
        </w:rPr>
        <w:t xml:space="preserve">. </w:t>
      </w:r>
    </w:p>
    <w:p w14:paraId="36947D4A" w14:textId="79A941B5" w:rsidR="00A648C4" w:rsidRPr="00A648C4" w:rsidRDefault="00A648C4" w:rsidP="00696A8E">
      <w:pPr>
        <w:spacing w:line="480" w:lineRule="auto"/>
        <w:ind w:left="720" w:firstLine="60"/>
        <w:rPr>
          <w:sz w:val="24"/>
          <w:szCs w:val="24"/>
        </w:rPr>
      </w:pPr>
      <w:r w:rsidRPr="00A648C4">
        <w:rPr>
          <w:sz w:val="24"/>
          <w:szCs w:val="24"/>
        </w:rPr>
        <w:t>www.simplypsychology.org. Available at: https://www.simplypsychology.org/differential-association-theory.html.</w:t>
      </w:r>
    </w:p>
    <w:p w14:paraId="65B6068B" w14:textId="77777777" w:rsidR="00696A8E" w:rsidRDefault="00A648C4" w:rsidP="00A648C4">
      <w:pPr>
        <w:spacing w:line="480" w:lineRule="auto"/>
        <w:rPr>
          <w:sz w:val="24"/>
          <w:szCs w:val="24"/>
        </w:rPr>
      </w:pPr>
      <w:r w:rsidRPr="00A648C4">
        <w:rPr>
          <w:sz w:val="24"/>
          <w:szCs w:val="24"/>
        </w:rPr>
        <w:t>Osgood, D.W., Wilson, J.K., O’Malley, P.M., Bachman, J.G. and Johnston, L.D. (1996). Routine</w:t>
      </w:r>
    </w:p>
    <w:p w14:paraId="752D0136" w14:textId="1325DF09" w:rsidR="00A648C4" w:rsidRPr="00A648C4" w:rsidRDefault="00A648C4" w:rsidP="00696A8E">
      <w:pPr>
        <w:spacing w:line="480" w:lineRule="auto"/>
        <w:ind w:left="720" w:firstLine="60"/>
        <w:rPr>
          <w:sz w:val="24"/>
          <w:szCs w:val="24"/>
        </w:rPr>
      </w:pPr>
      <w:r w:rsidRPr="00A648C4">
        <w:rPr>
          <w:sz w:val="24"/>
          <w:szCs w:val="24"/>
        </w:rPr>
        <w:t xml:space="preserve">Activities and Individual Deviant Behavior. </w:t>
      </w:r>
      <w:r w:rsidRPr="00A648C4">
        <w:rPr>
          <w:i/>
          <w:iCs/>
          <w:sz w:val="24"/>
          <w:szCs w:val="24"/>
        </w:rPr>
        <w:t>American Sociological Review</w:t>
      </w:r>
      <w:r w:rsidRPr="00A648C4">
        <w:rPr>
          <w:sz w:val="24"/>
          <w:szCs w:val="24"/>
        </w:rPr>
        <w:t>, 61(4), pp.635–655. doi:https://doi.org/10.2307/2096397.</w:t>
      </w:r>
    </w:p>
    <w:p w14:paraId="664AEE76" w14:textId="77777777" w:rsidR="00696A8E" w:rsidRDefault="00B3079E" w:rsidP="00282E50">
      <w:pPr>
        <w:spacing w:line="480" w:lineRule="auto"/>
        <w:rPr>
          <w:i/>
          <w:iCs/>
          <w:sz w:val="24"/>
          <w:szCs w:val="24"/>
        </w:rPr>
      </w:pPr>
      <w:r>
        <w:rPr>
          <w:sz w:val="24"/>
          <w:szCs w:val="24"/>
        </w:rPr>
        <w:t xml:space="preserve">Patterson, G.R., DeBaryshe, B., &amp; Ramsey, E. (1990). </w:t>
      </w:r>
      <w:r w:rsidRPr="00B3079E">
        <w:rPr>
          <w:i/>
          <w:iCs/>
          <w:sz w:val="24"/>
          <w:szCs w:val="24"/>
        </w:rPr>
        <w:t xml:space="preserve">A developmental perspective on </w:t>
      </w:r>
    </w:p>
    <w:p w14:paraId="7BBA627A" w14:textId="2EEA1C42" w:rsidR="00B3079E" w:rsidRDefault="00B3079E" w:rsidP="00696A8E">
      <w:pPr>
        <w:spacing w:line="480" w:lineRule="auto"/>
        <w:ind w:firstLine="720"/>
        <w:rPr>
          <w:sz w:val="24"/>
          <w:szCs w:val="24"/>
        </w:rPr>
      </w:pPr>
      <w:r w:rsidRPr="00B3079E">
        <w:rPr>
          <w:i/>
          <w:iCs/>
          <w:sz w:val="24"/>
          <w:szCs w:val="24"/>
        </w:rPr>
        <w:t>antisocial behaviour.</w:t>
      </w:r>
      <w:r>
        <w:rPr>
          <w:sz w:val="24"/>
          <w:szCs w:val="24"/>
        </w:rPr>
        <w:t xml:space="preserve"> American Psychologist, 44, 329-335. </w:t>
      </w:r>
    </w:p>
    <w:p w14:paraId="32421432" w14:textId="77777777" w:rsidR="00696A8E" w:rsidRDefault="00A648C4" w:rsidP="00A648C4">
      <w:pPr>
        <w:spacing w:line="480" w:lineRule="auto"/>
        <w:rPr>
          <w:sz w:val="24"/>
          <w:szCs w:val="24"/>
        </w:rPr>
      </w:pPr>
      <w:r w:rsidRPr="00A648C4">
        <w:rPr>
          <w:sz w:val="24"/>
          <w:szCs w:val="24"/>
        </w:rPr>
        <w:t>Prinstein, M.J., Choukas-Bradley, S.C., Helms, S.W., Brechwald, W.A. and Rancourt, D. (2011).</w:t>
      </w:r>
    </w:p>
    <w:p w14:paraId="291E45FF" w14:textId="1D247235" w:rsidR="00A648C4" w:rsidRPr="00A648C4" w:rsidRDefault="00A648C4" w:rsidP="00696A8E">
      <w:pPr>
        <w:spacing w:line="480" w:lineRule="auto"/>
        <w:ind w:left="720" w:firstLine="60"/>
        <w:rPr>
          <w:sz w:val="24"/>
          <w:szCs w:val="24"/>
        </w:rPr>
      </w:pPr>
      <w:r w:rsidRPr="00A648C4">
        <w:rPr>
          <w:sz w:val="24"/>
          <w:szCs w:val="24"/>
        </w:rPr>
        <w:t xml:space="preserve">High Peer Popularity Longitudinally Predicts Adolescent Health Risk Behavior, or Does It?: An Examination of Linear and Quadratic Associations. </w:t>
      </w:r>
      <w:r w:rsidRPr="00A648C4">
        <w:rPr>
          <w:i/>
          <w:iCs/>
          <w:sz w:val="24"/>
          <w:szCs w:val="24"/>
        </w:rPr>
        <w:t>Journal of Pediatric Psychology</w:t>
      </w:r>
      <w:r w:rsidRPr="00A648C4">
        <w:rPr>
          <w:sz w:val="24"/>
          <w:szCs w:val="24"/>
        </w:rPr>
        <w:t xml:space="preserve">, 36(9), pp.980–990. </w:t>
      </w:r>
    </w:p>
    <w:p w14:paraId="5BB9373B" w14:textId="77777777" w:rsidR="00696A8E" w:rsidRDefault="00A648C4" w:rsidP="00A648C4">
      <w:pPr>
        <w:spacing w:line="480" w:lineRule="auto"/>
        <w:rPr>
          <w:sz w:val="24"/>
          <w:szCs w:val="24"/>
        </w:rPr>
      </w:pPr>
      <w:r w:rsidRPr="00A648C4">
        <w:rPr>
          <w:sz w:val="24"/>
          <w:szCs w:val="24"/>
        </w:rPr>
        <w:t xml:space="preserve">Roberton, T., Daffern, M. and Bucks, R.S. (2012). Emotion regulation and aggression. </w:t>
      </w:r>
    </w:p>
    <w:p w14:paraId="1B79612C" w14:textId="1A3E1BB2" w:rsidR="00A648C4" w:rsidRPr="00A648C4" w:rsidRDefault="00A648C4" w:rsidP="00696A8E">
      <w:pPr>
        <w:spacing w:line="480" w:lineRule="auto"/>
        <w:ind w:left="720"/>
        <w:rPr>
          <w:sz w:val="24"/>
          <w:szCs w:val="24"/>
        </w:rPr>
      </w:pPr>
      <w:r w:rsidRPr="00A648C4">
        <w:rPr>
          <w:i/>
          <w:iCs/>
          <w:sz w:val="24"/>
          <w:szCs w:val="24"/>
        </w:rPr>
        <w:t>Aggression and Violent Behavior</w:t>
      </w:r>
      <w:r w:rsidRPr="00A648C4">
        <w:rPr>
          <w:sz w:val="24"/>
          <w:szCs w:val="24"/>
        </w:rPr>
        <w:t>, 17(1), pp.72–82. doi:https://doi.org/10.1016/j.avb.2011.09.006.</w:t>
      </w:r>
    </w:p>
    <w:p w14:paraId="7798D054" w14:textId="77777777" w:rsidR="00696A8E" w:rsidRDefault="00A648C4" w:rsidP="00A648C4">
      <w:pPr>
        <w:spacing w:line="480" w:lineRule="auto"/>
        <w:rPr>
          <w:sz w:val="24"/>
          <w:szCs w:val="24"/>
        </w:rPr>
      </w:pPr>
      <w:r w:rsidRPr="00A648C4">
        <w:rPr>
          <w:sz w:val="24"/>
          <w:szCs w:val="24"/>
        </w:rPr>
        <w:t xml:space="preserve">Steinberg, L. (2011). </w:t>
      </w:r>
      <w:r w:rsidRPr="00A648C4">
        <w:rPr>
          <w:i/>
          <w:iCs/>
          <w:sz w:val="24"/>
          <w:szCs w:val="24"/>
        </w:rPr>
        <w:t>Adolescent Risk Taking: A Social Neuroscience Perspective</w:t>
      </w:r>
      <w:r w:rsidRPr="00A648C4">
        <w:rPr>
          <w:sz w:val="24"/>
          <w:szCs w:val="24"/>
        </w:rPr>
        <w:t xml:space="preserve">. [online] </w:t>
      </w:r>
    </w:p>
    <w:p w14:paraId="489545EE" w14:textId="6B88BBC8" w:rsidR="00A648C4" w:rsidRPr="00A648C4" w:rsidRDefault="00A648C4" w:rsidP="00696A8E">
      <w:pPr>
        <w:spacing w:line="480" w:lineRule="auto"/>
        <w:ind w:left="720"/>
        <w:rPr>
          <w:sz w:val="24"/>
          <w:szCs w:val="24"/>
        </w:rPr>
      </w:pPr>
      <w:r w:rsidRPr="00A648C4">
        <w:rPr>
          <w:sz w:val="24"/>
          <w:szCs w:val="24"/>
        </w:rPr>
        <w:t>Cambridge University Press. Available at: https://www.cambridge.org/core/books/abs/adolescent-vulnerabilities-and-</w:t>
      </w:r>
      <w:r w:rsidRPr="00A648C4">
        <w:rPr>
          <w:sz w:val="24"/>
          <w:szCs w:val="24"/>
        </w:rPr>
        <w:lastRenderedPageBreak/>
        <w:t>opportunities/adolescent-risk-taking-a-social-neuroscience-perspective/1DBB18E8104F6A39957DFA45956A8F1E.</w:t>
      </w:r>
    </w:p>
    <w:p w14:paraId="26D902E3" w14:textId="77777777" w:rsidR="00696A8E" w:rsidRDefault="00A648C4" w:rsidP="00A648C4">
      <w:pPr>
        <w:spacing w:line="480" w:lineRule="auto"/>
        <w:rPr>
          <w:sz w:val="24"/>
          <w:szCs w:val="24"/>
        </w:rPr>
      </w:pPr>
      <w:r w:rsidRPr="00A648C4">
        <w:rPr>
          <w:sz w:val="24"/>
          <w:szCs w:val="24"/>
        </w:rPr>
        <w:t xml:space="preserve">Sykes, G.M. and Matza, D. (1957). Techniques of Neutralization: A Theory of Delinquency. </w:t>
      </w:r>
    </w:p>
    <w:p w14:paraId="1B41CB13" w14:textId="2E2B13F9" w:rsidR="00A648C4" w:rsidRPr="00A648C4" w:rsidRDefault="00A648C4" w:rsidP="00696A8E">
      <w:pPr>
        <w:spacing w:line="480" w:lineRule="auto"/>
        <w:ind w:firstLine="720"/>
        <w:rPr>
          <w:sz w:val="24"/>
          <w:szCs w:val="24"/>
        </w:rPr>
      </w:pPr>
      <w:r w:rsidRPr="00A648C4">
        <w:rPr>
          <w:i/>
          <w:iCs/>
          <w:sz w:val="24"/>
          <w:szCs w:val="24"/>
        </w:rPr>
        <w:t>American Sociological Review</w:t>
      </w:r>
      <w:r w:rsidRPr="00A648C4">
        <w:rPr>
          <w:sz w:val="24"/>
          <w:szCs w:val="24"/>
        </w:rPr>
        <w:t xml:space="preserve">, 22(6), pp.664–670. </w:t>
      </w:r>
    </w:p>
    <w:p w14:paraId="28974016" w14:textId="77777777" w:rsidR="00696A8E" w:rsidRDefault="00A648C4" w:rsidP="00A648C4">
      <w:pPr>
        <w:spacing w:line="480" w:lineRule="auto"/>
        <w:rPr>
          <w:sz w:val="24"/>
          <w:szCs w:val="24"/>
        </w:rPr>
      </w:pPr>
      <w:r w:rsidRPr="00A648C4">
        <w:rPr>
          <w:sz w:val="24"/>
          <w:szCs w:val="24"/>
        </w:rPr>
        <w:t xml:space="preserve">Ward, T. and Maruna, S. (2007). </w:t>
      </w:r>
      <w:r w:rsidRPr="00A648C4">
        <w:rPr>
          <w:i/>
          <w:iCs/>
          <w:sz w:val="24"/>
          <w:szCs w:val="24"/>
        </w:rPr>
        <w:t>Rehabilitation: Beyond the Risk Paradigm</w:t>
      </w:r>
      <w:r w:rsidRPr="00A648C4">
        <w:rPr>
          <w:sz w:val="24"/>
          <w:szCs w:val="24"/>
        </w:rPr>
        <w:t xml:space="preserve">. Routledge. </w:t>
      </w:r>
    </w:p>
    <w:p w14:paraId="50B97305" w14:textId="45AA1292" w:rsidR="00A648C4" w:rsidRPr="00A648C4" w:rsidRDefault="00A648C4" w:rsidP="00696A8E">
      <w:pPr>
        <w:spacing w:line="480" w:lineRule="auto"/>
        <w:ind w:firstLine="720"/>
        <w:rPr>
          <w:sz w:val="24"/>
          <w:szCs w:val="24"/>
        </w:rPr>
      </w:pPr>
      <w:r w:rsidRPr="00A648C4">
        <w:rPr>
          <w:sz w:val="24"/>
          <w:szCs w:val="24"/>
        </w:rPr>
        <w:t>doi:https://doi.org/10.4324/9780203962176.</w:t>
      </w:r>
    </w:p>
    <w:p w14:paraId="19B84589" w14:textId="77777777" w:rsidR="00696A8E" w:rsidRDefault="00A648C4" w:rsidP="00A648C4">
      <w:pPr>
        <w:spacing w:line="480" w:lineRule="auto"/>
        <w:rPr>
          <w:sz w:val="24"/>
          <w:szCs w:val="24"/>
        </w:rPr>
      </w:pPr>
      <w:r w:rsidRPr="00A648C4">
        <w:rPr>
          <w:sz w:val="24"/>
          <w:szCs w:val="24"/>
        </w:rPr>
        <w:t xml:space="preserve">Warr, M. (2002). Peers and Delinquent Conduct. </w:t>
      </w:r>
      <w:r w:rsidRPr="00A648C4">
        <w:rPr>
          <w:i/>
          <w:iCs/>
          <w:sz w:val="24"/>
          <w:szCs w:val="24"/>
        </w:rPr>
        <w:t>Cambridge University Press eBooks</w:t>
      </w:r>
      <w:r w:rsidRPr="00A648C4">
        <w:rPr>
          <w:sz w:val="24"/>
          <w:szCs w:val="24"/>
        </w:rPr>
        <w:t>, pp.45–</w:t>
      </w:r>
    </w:p>
    <w:p w14:paraId="2CF35AEE" w14:textId="4D8245B0" w:rsidR="00A648C4" w:rsidRPr="00A648C4" w:rsidRDefault="00A648C4" w:rsidP="00696A8E">
      <w:pPr>
        <w:spacing w:line="480" w:lineRule="auto"/>
        <w:ind w:firstLine="720"/>
        <w:rPr>
          <w:sz w:val="24"/>
          <w:szCs w:val="24"/>
        </w:rPr>
      </w:pPr>
      <w:r w:rsidRPr="00A648C4">
        <w:rPr>
          <w:sz w:val="24"/>
          <w:szCs w:val="24"/>
        </w:rPr>
        <w:t>90. doi:https://doi.org/10.1017/cbo9780511803956.005.</w:t>
      </w:r>
    </w:p>
    <w:p w14:paraId="1CF439C7" w14:textId="5A448855" w:rsidR="00696A8E" w:rsidRDefault="00A648C4" w:rsidP="00A648C4">
      <w:pPr>
        <w:spacing w:line="480" w:lineRule="auto"/>
        <w:rPr>
          <w:sz w:val="24"/>
          <w:szCs w:val="24"/>
        </w:rPr>
      </w:pPr>
      <w:r w:rsidRPr="00A648C4">
        <w:rPr>
          <w:sz w:val="24"/>
          <w:szCs w:val="24"/>
        </w:rPr>
        <w:t xml:space="preserve">Widom, C.S. (1989). The Cycle of Violence. </w:t>
      </w:r>
      <w:r w:rsidRPr="00A648C4">
        <w:rPr>
          <w:i/>
          <w:iCs/>
          <w:sz w:val="24"/>
          <w:szCs w:val="24"/>
        </w:rPr>
        <w:t>Science</w:t>
      </w:r>
      <w:r w:rsidRPr="00A648C4">
        <w:rPr>
          <w:sz w:val="24"/>
          <w:szCs w:val="24"/>
        </w:rPr>
        <w:t xml:space="preserve">, 244(4901), pp.160–166. </w:t>
      </w:r>
    </w:p>
    <w:p w14:paraId="5363B1D3" w14:textId="77777777" w:rsidR="00A648C4" w:rsidRPr="00F47F77" w:rsidRDefault="00A648C4" w:rsidP="00282E50">
      <w:pPr>
        <w:spacing w:line="480" w:lineRule="auto"/>
        <w:rPr>
          <w:sz w:val="24"/>
          <w:szCs w:val="24"/>
        </w:rPr>
      </w:pPr>
    </w:p>
    <w:p w14:paraId="7A5A7E3E" w14:textId="77777777" w:rsidR="00F47F77" w:rsidRPr="00F47F77" w:rsidRDefault="00F47F77" w:rsidP="00282E50">
      <w:pPr>
        <w:spacing w:line="480" w:lineRule="auto"/>
      </w:pPr>
    </w:p>
    <w:p w14:paraId="5D5BF733" w14:textId="77777777" w:rsidR="00F47F77" w:rsidRPr="00F47F77" w:rsidRDefault="00F47F77" w:rsidP="00282E50">
      <w:pPr>
        <w:spacing w:line="480" w:lineRule="auto"/>
      </w:pPr>
    </w:p>
    <w:sectPr w:rsidR="00F47F77" w:rsidRPr="00F47F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F77"/>
    <w:rsid w:val="000122AD"/>
    <w:rsid w:val="001B537C"/>
    <w:rsid w:val="001C1764"/>
    <w:rsid w:val="001D61FC"/>
    <w:rsid w:val="0026388A"/>
    <w:rsid w:val="00282E50"/>
    <w:rsid w:val="00321EFB"/>
    <w:rsid w:val="003467FF"/>
    <w:rsid w:val="003B64C5"/>
    <w:rsid w:val="003C65D9"/>
    <w:rsid w:val="00407C01"/>
    <w:rsid w:val="004254EE"/>
    <w:rsid w:val="0048679F"/>
    <w:rsid w:val="00507DC2"/>
    <w:rsid w:val="005A401F"/>
    <w:rsid w:val="005E3FF7"/>
    <w:rsid w:val="0060587E"/>
    <w:rsid w:val="00610AD7"/>
    <w:rsid w:val="00653BA0"/>
    <w:rsid w:val="00653C9B"/>
    <w:rsid w:val="0065479D"/>
    <w:rsid w:val="00696A8E"/>
    <w:rsid w:val="0074196F"/>
    <w:rsid w:val="00745309"/>
    <w:rsid w:val="00840248"/>
    <w:rsid w:val="009045DC"/>
    <w:rsid w:val="009542A7"/>
    <w:rsid w:val="009F1CA1"/>
    <w:rsid w:val="00A505A9"/>
    <w:rsid w:val="00A56B7A"/>
    <w:rsid w:val="00A648C4"/>
    <w:rsid w:val="00AA0086"/>
    <w:rsid w:val="00AD1B84"/>
    <w:rsid w:val="00AD3C6E"/>
    <w:rsid w:val="00AF178A"/>
    <w:rsid w:val="00B3079E"/>
    <w:rsid w:val="00B42EE3"/>
    <w:rsid w:val="00B630D1"/>
    <w:rsid w:val="00BF7FCB"/>
    <w:rsid w:val="00C11DD8"/>
    <w:rsid w:val="00C157A6"/>
    <w:rsid w:val="00C4634D"/>
    <w:rsid w:val="00C526D1"/>
    <w:rsid w:val="00F46BBE"/>
    <w:rsid w:val="00F47F77"/>
    <w:rsid w:val="00F67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7641B"/>
  <w15:chartTrackingRefBased/>
  <w15:docId w15:val="{717D36C6-E52E-4832-BC65-419CCB5ED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7F7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47F7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47F7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47F7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47F7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47F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7F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7F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7F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7F7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47F7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47F7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47F7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47F7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47F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7F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7F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7F77"/>
    <w:rPr>
      <w:rFonts w:eastAsiaTheme="majorEastAsia" w:cstheme="majorBidi"/>
      <w:color w:val="272727" w:themeColor="text1" w:themeTint="D8"/>
    </w:rPr>
  </w:style>
  <w:style w:type="paragraph" w:styleId="Title">
    <w:name w:val="Title"/>
    <w:basedOn w:val="Normal"/>
    <w:next w:val="Normal"/>
    <w:link w:val="TitleChar"/>
    <w:uiPriority w:val="10"/>
    <w:qFormat/>
    <w:rsid w:val="00F47F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7F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7F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7F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7F77"/>
    <w:pPr>
      <w:spacing w:before="160"/>
      <w:jc w:val="center"/>
    </w:pPr>
    <w:rPr>
      <w:i/>
      <w:iCs/>
      <w:color w:val="404040" w:themeColor="text1" w:themeTint="BF"/>
    </w:rPr>
  </w:style>
  <w:style w:type="character" w:customStyle="1" w:styleId="QuoteChar">
    <w:name w:val="Quote Char"/>
    <w:basedOn w:val="DefaultParagraphFont"/>
    <w:link w:val="Quote"/>
    <w:uiPriority w:val="29"/>
    <w:rsid w:val="00F47F77"/>
    <w:rPr>
      <w:i/>
      <w:iCs/>
      <w:color w:val="404040" w:themeColor="text1" w:themeTint="BF"/>
    </w:rPr>
  </w:style>
  <w:style w:type="paragraph" w:styleId="ListParagraph">
    <w:name w:val="List Paragraph"/>
    <w:basedOn w:val="Normal"/>
    <w:uiPriority w:val="34"/>
    <w:qFormat/>
    <w:rsid w:val="00F47F77"/>
    <w:pPr>
      <w:ind w:left="720"/>
      <w:contextualSpacing/>
    </w:pPr>
  </w:style>
  <w:style w:type="character" w:styleId="IntenseEmphasis">
    <w:name w:val="Intense Emphasis"/>
    <w:basedOn w:val="DefaultParagraphFont"/>
    <w:uiPriority w:val="21"/>
    <w:qFormat/>
    <w:rsid w:val="00F47F77"/>
    <w:rPr>
      <w:i/>
      <w:iCs/>
      <w:color w:val="2F5496" w:themeColor="accent1" w:themeShade="BF"/>
    </w:rPr>
  </w:style>
  <w:style w:type="paragraph" w:styleId="IntenseQuote">
    <w:name w:val="Intense Quote"/>
    <w:basedOn w:val="Normal"/>
    <w:next w:val="Normal"/>
    <w:link w:val="IntenseQuoteChar"/>
    <w:uiPriority w:val="30"/>
    <w:qFormat/>
    <w:rsid w:val="00F47F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47F77"/>
    <w:rPr>
      <w:i/>
      <w:iCs/>
      <w:color w:val="2F5496" w:themeColor="accent1" w:themeShade="BF"/>
    </w:rPr>
  </w:style>
  <w:style w:type="character" w:styleId="IntenseReference">
    <w:name w:val="Intense Reference"/>
    <w:basedOn w:val="DefaultParagraphFont"/>
    <w:uiPriority w:val="32"/>
    <w:qFormat/>
    <w:rsid w:val="00F47F77"/>
    <w:rPr>
      <w:b/>
      <w:bCs/>
      <w:smallCaps/>
      <w:color w:val="2F5496" w:themeColor="accent1" w:themeShade="BF"/>
      <w:spacing w:val="5"/>
    </w:rPr>
  </w:style>
  <w:style w:type="paragraph" w:styleId="NormalWeb">
    <w:name w:val="Normal (Web)"/>
    <w:basedOn w:val="Normal"/>
    <w:uiPriority w:val="99"/>
    <w:semiHidden/>
    <w:unhideWhenUsed/>
    <w:rsid w:val="00A505A9"/>
    <w:rPr>
      <w:rFonts w:ascii="Times New Roman" w:hAnsi="Times New Roman" w:cs="Times New Roman"/>
      <w:sz w:val="24"/>
      <w:szCs w:val="24"/>
    </w:rPr>
  </w:style>
  <w:style w:type="character" w:styleId="Hyperlink">
    <w:name w:val="Hyperlink"/>
    <w:basedOn w:val="DefaultParagraphFont"/>
    <w:uiPriority w:val="99"/>
    <w:unhideWhenUsed/>
    <w:rsid w:val="00A648C4"/>
    <w:rPr>
      <w:color w:val="0563C1" w:themeColor="hyperlink"/>
      <w:u w:val="single"/>
    </w:rPr>
  </w:style>
  <w:style w:type="character" w:styleId="UnresolvedMention">
    <w:name w:val="Unresolved Mention"/>
    <w:basedOn w:val="DefaultParagraphFont"/>
    <w:uiPriority w:val="99"/>
    <w:semiHidden/>
    <w:unhideWhenUsed/>
    <w:rsid w:val="00A648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cimaeducation.com/wp-content/uploads/2011/12/CBT-" TargetMode="External"/><Relationship Id="rId4" Type="http://schemas.openxmlformats.org/officeDocument/2006/relationships/hyperlink" Target="https://mindsplain.com/w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3067</TotalTime>
  <Pages>15</Pages>
  <Words>3422</Words>
  <Characters>19512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Hazelden (2106538)</dc:creator>
  <cp:keywords/>
  <dc:description/>
  <cp:lastModifiedBy>Jessica Hazelden (2106538)</cp:lastModifiedBy>
  <cp:revision>12</cp:revision>
  <dcterms:created xsi:type="dcterms:W3CDTF">2026-03-30T15:20:00Z</dcterms:created>
  <dcterms:modified xsi:type="dcterms:W3CDTF">2026-04-01T19:44:00Z</dcterms:modified>
</cp:coreProperties>
</file>