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AEB2B1" w14:textId="77777777" w:rsidR="00110EF1" w:rsidRPr="00EE5BC3" w:rsidRDefault="00110EF1" w:rsidP="00110EF1">
      <w:pPr>
        <w:jc w:val="center"/>
        <w:rPr>
          <w:sz w:val="28"/>
          <w:szCs w:val="28"/>
        </w:rPr>
      </w:pPr>
      <w:r w:rsidRPr="00EE5BC3">
        <w:rPr>
          <w:b/>
          <w:sz w:val="28"/>
          <w:szCs w:val="28"/>
        </w:rPr>
        <w:t>Task 3</w:t>
      </w:r>
    </w:p>
    <w:p w14:paraId="1B0A34DA" w14:textId="77777777" w:rsidR="00110EF1" w:rsidRPr="00EE5BC3" w:rsidRDefault="00110EF1" w:rsidP="00110EF1">
      <w:pPr>
        <w:jc w:val="center"/>
        <w:rPr>
          <w:b/>
          <w:sz w:val="28"/>
          <w:szCs w:val="28"/>
        </w:rPr>
      </w:pPr>
    </w:p>
    <w:p w14:paraId="719A4F1B" w14:textId="77777777" w:rsidR="00110EF1" w:rsidRPr="00EE5BC3" w:rsidRDefault="00110EF1" w:rsidP="00110EF1">
      <w:pPr>
        <w:jc w:val="center"/>
        <w:rPr>
          <w:b/>
          <w:color w:val="auto"/>
          <w:sz w:val="28"/>
          <w:szCs w:val="28"/>
        </w:rPr>
      </w:pPr>
      <w:r w:rsidRPr="00EE5BC3">
        <w:rPr>
          <w:b/>
          <w:color w:val="auto"/>
          <w:sz w:val="28"/>
          <w:szCs w:val="28"/>
        </w:rPr>
        <w:t>Safeguarding and working in complex situations – Case Study</w:t>
      </w:r>
    </w:p>
    <w:p w14:paraId="47D9BCB0" w14:textId="77777777" w:rsidR="00110EF1" w:rsidRDefault="00110EF1" w:rsidP="00110EF1">
      <w:pPr>
        <w:rPr>
          <w:b/>
          <w:color w:val="auto"/>
          <w:sz w:val="24"/>
          <w:szCs w:val="24"/>
        </w:rPr>
      </w:pPr>
    </w:p>
    <w:p w14:paraId="07288BC6" w14:textId="77777777" w:rsidR="00110EF1" w:rsidRDefault="00110EF1" w:rsidP="00110EF1">
      <w:pPr>
        <w:rPr>
          <w:b/>
          <w:color w:val="auto"/>
          <w:sz w:val="24"/>
          <w:szCs w:val="24"/>
        </w:rPr>
      </w:pPr>
      <w:r>
        <w:rPr>
          <w:b/>
          <w:color w:val="auto"/>
          <w:sz w:val="24"/>
          <w:szCs w:val="24"/>
        </w:rPr>
        <w:t>Guidance;</w:t>
      </w:r>
    </w:p>
    <w:p w14:paraId="3986EA9F" w14:textId="77777777" w:rsidR="00110EF1" w:rsidRPr="00706BB5" w:rsidRDefault="00110EF1" w:rsidP="00110EF1">
      <w:pPr>
        <w:jc w:val="both"/>
        <w:rPr>
          <w:i/>
          <w:iCs/>
          <w:sz w:val="24"/>
          <w:szCs w:val="24"/>
        </w:rPr>
      </w:pPr>
      <w:r w:rsidRPr="00F15354">
        <w:rPr>
          <w:i/>
          <w:iCs/>
          <w:sz w:val="24"/>
          <w:szCs w:val="24"/>
        </w:rPr>
        <w:t>Please ensure that you meet</w:t>
      </w:r>
      <w:r w:rsidRPr="006179BB">
        <w:rPr>
          <w:i/>
          <w:iCs/>
          <w:sz w:val="24"/>
          <w:szCs w:val="24"/>
        </w:rPr>
        <w:t xml:space="preserve"> the National Occupational Standards and assigned </w:t>
      </w:r>
      <w:r w:rsidRPr="00A5656A">
        <w:rPr>
          <w:i/>
          <w:iCs/>
          <w:sz w:val="24"/>
          <w:szCs w:val="24"/>
        </w:rPr>
        <w:t>Learning Outcomes for this task (see appendix 5 and 6 of the handbook).</w:t>
      </w:r>
      <w:r w:rsidRPr="009C7342">
        <w:rPr>
          <w:i/>
          <w:iCs/>
          <w:sz w:val="24"/>
          <w:szCs w:val="24"/>
        </w:rPr>
        <w:t xml:space="preserve"> </w:t>
      </w:r>
    </w:p>
    <w:p w14:paraId="07E39860" w14:textId="77777777" w:rsidR="00110EF1" w:rsidRDefault="00110EF1" w:rsidP="00110EF1">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10EF1" w:rsidRPr="008B28E7" w14:paraId="01AE7D4D" w14:textId="77777777" w:rsidTr="00587ED3">
        <w:tc>
          <w:tcPr>
            <w:tcW w:w="10031" w:type="dxa"/>
            <w:shd w:val="clear" w:color="auto" w:fill="auto"/>
          </w:tcPr>
          <w:p w14:paraId="415960B5" w14:textId="77777777" w:rsidR="00110EF1" w:rsidRPr="006872A0" w:rsidRDefault="00110EF1" w:rsidP="00587ED3">
            <w:pPr>
              <w:jc w:val="both"/>
              <w:rPr>
                <w:b/>
                <w:sz w:val="24"/>
                <w:szCs w:val="24"/>
              </w:rPr>
            </w:pPr>
            <w:r w:rsidRPr="006872A0">
              <w:rPr>
                <w:b/>
                <w:sz w:val="24"/>
                <w:szCs w:val="24"/>
              </w:rPr>
              <w:t>Question</w:t>
            </w:r>
            <w:r>
              <w:rPr>
                <w:b/>
                <w:sz w:val="24"/>
                <w:szCs w:val="24"/>
              </w:rPr>
              <w:t>:</w:t>
            </w:r>
          </w:p>
          <w:p w14:paraId="1CDFE4AF" w14:textId="77777777" w:rsidR="00110EF1" w:rsidRDefault="00110EF1" w:rsidP="00587ED3">
            <w:pPr>
              <w:jc w:val="both"/>
              <w:rPr>
                <w:sz w:val="24"/>
                <w:szCs w:val="24"/>
              </w:rPr>
            </w:pPr>
            <w:r w:rsidRPr="008B28E7">
              <w:rPr>
                <w:sz w:val="24"/>
                <w:szCs w:val="24"/>
              </w:rPr>
              <w:t>Complete a critically reflective case study based on</w:t>
            </w:r>
            <w:r>
              <w:rPr>
                <w:sz w:val="24"/>
                <w:szCs w:val="24"/>
              </w:rPr>
              <w:t xml:space="preserve"> </w:t>
            </w:r>
            <w:r w:rsidRPr="008B28E7">
              <w:rPr>
                <w:sz w:val="24"/>
                <w:szCs w:val="24"/>
              </w:rPr>
              <w:t xml:space="preserve">an </w:t>
            </w:r>
            <w:r w:rsidRPr="00EE5BC3">
              <w:rPr>
                <w:sz w:val="24"/>
                <w:szCs w:val="24"/>
              </w:rPr>
              <w:t>assessment</w:t>
            </w:r>
            <w:r>
              <w:rPr>
                <w:sz w:val="24"/>
                <w:szCs w:val="24"/>
              </w:rPr>
              <w:t xml:space="preserve"> </w:t>
            </w:r>
            <w:r w:rsidRPr="00EE5BC3">
              <w:rPr>
                <w:sz w:val="24"/>
                <w:szCs w:val="24"/>
              </w:rPr>
              <w:t>that</w:t>
            </w:r>
            <w:r>
              <w:rPr>
                <w:sz w:val="24"/>
                <w:szCs w:val="24"/>
              </w:rPr>
              <w:t xml:space="preserve"> you have u</w:t>
            </w:r>
            <w:r w:rsidRPr="008B28E7">
              <w:rPr>
                <w:sz w:val="24"/>
                <w:szCs w:val="24"/>
              </w:rPr>
              <w:t>ndertake</w:t>
            </w:r>
            <w:r>
              <w:rPr>
                <w:sz w:val="24"/>
                <w:szCs w:val="24"/>
              </w:rPr>
              <w:t>n</w:t>
            </w:r>
            <w:r w:rsidRPr="008B28E7">
              <w:rPr>
                <w:sz w:val="24"/>
                <w:szCs w:val="24"/>
              </w:rPr>
              <w:t xml:space="preserve"> with others</w:t>
            </w:r>
            <w:r>
              <w:rPr>
                <w:sz w:val="24"/>
                <w:szCs w:val="24"/>
              </w:rPr>
              <w:t>,</w:t>
            </w:r>
            <w:r w:rsidRPr="00F15354">
              <w:rPr>
                <w:b/>
                <w:bCs/>
                <w:sz w:val="24"/>
                <w:szCs w:val="24"/>
              </w:rPr>
              <w:t xml:space="preserve"> </w:t>
            </w:r>
            <w:r w:rsidRPr="00064063">
              <w:rPr>
                <w:sz w:val="24"/>
                <w:szCs w:val="24"/>
              </w:rPr>
              <w:t>in your own area of work</w:t>
            </w:r>
            <w:r w:rsidRPr="00D0503D">
              <w:rPr>
                <w:sz w:val="24"/>
                <w:szCs w:val="24"/>
              </w:rPr>
              <w:t xml:space="preserve">, </w:t>
            </w:r>
            <w:r>
              <w:rPr>
                <w:sz w:val="24"/>
                <w:szCs w:val="24"/>
              </w:rPr>
              <w:t>c</w:t>
            </w:r>
            <w:r w:rsidRPr="008B28E7">
              <w:rPr>
                <w:sz w:val="24"/>
                <w:szCs w:val="24"/>
              </w:rPr>
              <w:t>oncerning the safeguarding of either an adult or a child</w:t>
            </w:r>
            <w:r>
              <w:rPr>
                <w:sz w:val="24"/>
                <w:szCs w:val="24"/>
              </w:rPr>
              <w:t>. You must demonstrate how the case relates to or could relate to safeguarding legislation, policies, strategies and procedures (i</w:t>
            </w:r>
            <w:r w:rsidRPr="00706BB5">
              <w:rPr>
                <w:sz w:val="24"/>
                <w:szCs w:val="24"/>
              </w:rPr>
              <w:t>ncluding demonstrating an understanding of the</w:t>
            </w:r>
            <w:r>
              <w:rPr>
                <w:sz w:val="24"/>
                <w:szCs w:val="24"/>
              </w:rPr>
              <w:t xml:space="preserve"> </w:t>
            </w:r>
            <w:r w:rsidRPr="00706BB5">
              <w:rPr>
                <w:rFonts w:eastAsia="Arial"/>
                <w:color w:val="000000" w:themeColor="text1"/>
                <w:sz w:val="24"/>
                <w:szCs w:val="24"/>
              </w:rPr>
              <w:t>interface between social services provision in Wales with the United Kingdom, the European Union</w:t>
            </w:r>
            <w:r>
              <w:rPr>
                <w:rFonts w:eastAsia="Arial"/>
                <w:color w:val="000000" w:themeColor="text1"/>
                <w:sz w:val="24"/>
                <w:szCs w:val="24"/>
              </w:rPr>
              <w:t xml:space="preserve"> (EU)</w:t>
            </w:r>
            <w:r w:rsidRPr="00706BB5">
              <w:rPr>
                <w:rFonts w:eastAsia="Arial"/>
                <w:color w:val="000000" w:themeColor="text1"/>
                <w:sz w:val="24"/>
                <w:szCs w:val="24"/>
              </w:rPr>
              <w:t xml:space="preserve"> and outside the EU)</w:t>
            </w:r>
            <w:r>
              <w:rPr>
                <w:sz w:val="24"/>
                <w:szCs w:val="24"/>
              </w:rPr>
              <w:t xml:space="preserve">. You must demonstrate your understanding of the integration of analysis in assessment, collaborative working and professional judgements in increasingly complex situations </w:t>
            </w:r>
            <w:r w:rsidRPr="007374EF">
              <w:rPr>
                <w:sz w:val="24"/>
                <w:szCs w:val="24"/>
              </w:rPr>
              <w:t xml:space="preserve">and the </w:t>
            </w:r>
            <w:r>
              <w:rPr>
                <w:sz w:val="24"/>
                <w:szCs w:val="24"/>
              </w:rPr>
              <w:t xml:space="preserve">use of social work theories. You </w:t>
            </w:r>
            <w:r w:rsidRPr="00FC0334">
              <w:rPr>
                <w:sz w:val="24"/>
                <w:szCs w:val="24"/>
              </w:rPr>
              <w:t>must</w:t>
            </w:r>
            <w:r>
              <w:rPr>
                <w:sz w:val="24"/>
                <w:szCs w:val="24"/>
              </w:rPr>
              <w:t xml:space="preserve"> refer to the specific dimensions of working in Wales. </w:t>
            </w:r>
          </w:p>
          <w:p w14:paraId="5454DAC0" w14:textId="77777777" w:rsidR="00110EF1" w:rsidRDefault="00110EF1" w:rsidP="00587ED3">
            <w:pPr>
              <w:jc w:val="both"/>
              <w:rPr>
                <w:sz w:val="24"/>
                <w:szCs w:val="24"/>
              </w:rPr>
            </w:pPr>
          </w:p>
          <w:p w14:paraId="5658D509" w14:textId="77777777" w:rsidR="00110EF1" w:rsidRDefault="00110EF1" w:rsidP="00587ED3">
            <w:pPr>
              <w:jc w:val="both"/>
              <w:rPr>
                <w:i/>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14:paraId="28F19994" w14:textId="77777777" w:rsidR="00110EF1" w:rsidRDefault="00110EF1" w:rsidP="00587ED3">
            <w:pPr>
              <w:spacing w:line="480" w:lineRule="auto"/>
              <w:rPr>
                <w:rFonts w:ascii="Times New Roman" w:hAnsi="Times New Roman" w:cs="Times New Roman"/>
                <w:sz w:val="24"/>
                <w:szCs w:val="24"/>
              </w:rPr>
            </w:pPr>
          </w:p>
          <w:p w14:paraId="579D9E67" w14:textId="77777777" w:rsidR="00110EF1" w:rsidRPr="00BC5A04" w:rsidRDefault="00110EF1" w:rsidP="00587ED3">
            <w:pPr>
              <w:spacing w:line="480" w:lineRule="auto"/>
              <w:rPr>
                <w:rFonts w:ascii="Times New Roman" w:hAnsi="Times New Roman" w:cs="Times New Roman"/>
                <w:sz w:val="24"/>
                <w:szCs w:val="24"/>
              </w:rPr>
            </w:pPr>
            <w:r w:rsidRPr="00BC5A04">
              <w:rPr>
                <w:rFonts w:ascii="Times New Roman" w:hAnsi="Times New Roman" w:cs="Times New Roman"/>
                <w:sz w:val="24"/>
                <w:szCs w:val="24"/>
              </w:rPr>
              <w:t>Adult 1 is a Caucasian female in her 60s.  Adult 1 is originally from an English speaking co</w:t>
            </w:r>
            <w:r>
              <w:rPr>
                <w:rFonts w:ascii="Times New Roman" w:hAnsi="Times New Roman" w:cs="Times New Roman"/>
                <w:sz w:val="24"/>
                <w:szCs w:val="24"/>
              </w:rPr>
              <w:t>untry abroad</w:t>
            </w:r>
            <w:r w:rsidRPr="00BC5A04">
              <w:rPr>
                <w:rFonts w:ascii="Times New Roman" w:hAnsi="Times New Roman" w:cs="Times New Roman"/>
                <w:sz w:val="24"/>
                <w:szCs w:val="24"/>
              </w:rPr>
              <w:t xml:space="preserve">, having emigrated to North Wales for work over two decades ago.  She lives with her adoptive child, Person 2, who is in their late teens.  Person 2 was born and adopted within North Wales, and also has additional needs. </w:t>
            </w:r>
            <w:r>
              <w:rPr>
                <w:rFonts w:ascii="Times New Roman" w:hAnsi="Times New Roman" w:cs="Times New Roman"/>
                <w:sz w:val="24"/>
                <w:szCs w:val="24"/>
              </w:rPr>
              <w:t xml:space="preserve"> They live together in a</w:t>
            </w:r>
            <w:r w:rsidRPr="00BC5A04">
              <w:rPr>
                <w:rFonts w:ascii="Times New Roman" w:hAnsi="Times New Roman" w:cs="Times New Roman"/>
                <w:sz w:val="24"/>
                <w:szCs w:val="24"/>
              </w:rPr>
              <w:t xml:space="preserve"> town in the county.  Aside from Person 2, Adult 1 is without a family network in the local area, the rest residing abroad.  Adult 1 has a diagnosis of a degenerative disease which at present is impacting upon her mobility.</w:t>
            </w:r>
          </w:p>
          <w:p w14:paraId="54D2B4E0" w14:textId="77777777" w:rsidR="00110EF1" w:rsidRPr="00BC5A04" w:rsidRDefault="00110EF1" w:rsidP="00587ED3">
            <w:pPr>
              <w:spacing w:line="480" w:lineRule="auto"/>
              <w:ind w:firstLine="720"/>
              <w:rPr>
                <w:rFonts w:ascii="Times New Roman" w:hAnsi="Times New Roman" w:cs="Times New Roman"/>
                <w:sz w:val="24"/>
                <w:szCs w:val="24"/>
              </w:rPr>
            </w:pPr>
            <w:r w:rsidRPr="00BC5A04">
              <w:rPr>
                <w:rFonts w:ascii="Times New Roman" w:hAnsi="Times New Roman" w:cs="Times New Roman"/>
                <w:sz w:val="24"/>
                <w:szCs w:val="24"/>
              </w:rPr>
              <w:t>Adult 1 was considered an ‘adult at risk’ following an incident which occurred in the community.  According to part 1, section 126 of the Social Services and Well-being (Wales) Act 2014, an adult at risk is defined as someone who;</w:t>
            </w:r>
          </w:p>
          <w:p w14:paraId="3271DEF3" w14:textId="77777777" w:rsidR="00110EF1" w:rsidRPr="00BC5A04" w:rsidRDefault="00110EF1" w:rsidP="00587ED3">
            <w:pPr>
              <w:spacing w:line="480" w:lineRule="auto"/>
              <w:rPr>
                <w:rFonts w:ascii="Times New Roman" w:hAnsi="Times New Roman" w:cs="Times New Roman"/>
                <w:sz w:val="24"/>
                <w:szCs w:val="24"/>
              </w:rPr>
            </w:pPr>
            <w:r w:rsidRPr="00BC5A04">
              <w:rPr>
                <w:rFonts w:ascii="Times New Roman" w:hAnsi="Times New Roman" w:cs="Times New Roman"/>
                <w:i/>
                <w:sz w:val="24"/>
                <w:szCs w:val="24"/>
              </w:rPr>
              <w:t>“(a) is experiencing or is at risk of abuse or neglect,(b)has needs for care and support (whether or not the authority is meeting any of those needs), and (c)as a result of those needs is unable to protect himself or herself against the abuse or neglect or the risk of it.”</w:t>
            </w:r>
          </w:p>
          <w:p w14:paraId="5582E77E" w14:textId="77777777" w:rsidR="00110EF1" w:rsidRPr="00BC5A04" w:rsidRDefault="00110EF1" w:rsidP="00587ED3">
            <w:pPr>
              <w:spacing w:line="480" w:lineRule="auto"/>
              <w:ind w:firstLine="720"/>
              <w:rPr>
                <w:rFonts w:ascii="Times New Roman" w:hAnsi="Times New Roman" w:cs="Times New Roman"/>
                <w:sz w:val="24"/>
                <w:szCs w:val="24"/>
              </w:rPr>
            </w:pPr>
            <w:r w:rsidRPr="00BC5A04">
              <w:rPr>
                <w:rFonts w:ascii="Times New Roman" w:hAnsi="Times New Roman" w:cs="Times New Roman"/>
                <w:sz w:val="24"/>
                <w:szCs w:val="24"/>
              </w:rPr>
              <w:lastRenderedPageBreak/>
              <w:t xml:space="preserve">An adult safeguarding report was completed with Adult 1 by the social worker for Person 2.  Adult 1 phoned 2’s social worker to inform that she had fallen over onto the ground when Person 2 had pushed past her.  1 reported that 2 had looked back and saw what had happened, but continued to walk off and go home.  Adult 1 was outside on the floor for a number of hours before an ambulance could attend to support her to get up.   </w:t>
            </w:r>
          </w:p>
          <w:p w14:paraId="19F7B719" w14:textId="77777777" w:rsidR="00110EF1" w:rsidRPr="00BC5A04" w:rsidRDefault="00110EF1" w:rsidP="00587ED3">
            <w:pPr>
              <w:spacing w:line="480" w:lineRule="auto"/>
              <w:ind w:firstLine="360"/>
              <w:rPr>
                <w:rFonts w:ascii="Times New Roman" w:hAnsi="Times New Roman" w:cs="Times New Roman"/>
                <w:sz w:val="24"/>
                <w:szCs w:val="24"/>
              </w:rPr>
            </w:pPr>
            <w:r w:rsidRPr="00BC5A04">
              <w:rPr>
                <w:rFonts w:ascii="Times New Roman" w:hAnsi="Times New Roman" w:cs="Times New Roman"/>
                <w:sz w:val="24"/>
                <w:szCs w:val="24"/>
              </w:rPr>
              <w:t>The duties and principles which the Local Authority must follow when an Adult Safeguarding Report is received are legislated for within Part 7 of the Social Services and Well-being (Wales) Act 2014 (SSWBA).  The Act also provides the legal basis for a National Independent Safeguarding Board, which is then further divided into six regional safeguarding boards.  Practice guidance for practitioners on their statutory role and responsibilities around the safeguarding of individuals at risk are set out in the national Wales Safeguarding Procedures, developed by the safeguarding boards.  The procedures set out a standardised approach for all agencies and across the country (SCW, 2022).  The procedures are available digitally, both as a website and a mobile phone application, which I have bookmarked and downloaded to refer to in the course of my practice.  The guiding principles which fed into the development of the current procedures are provided by a number of foundational pieces of legislation, including Welsh, UK and international laws.</w:t>
            </w:r>
          </w:p>
          <w:p w14:paraId="4F380A41" w14:textId="77777777" w:rsidR="00110EF1" w:rsidRPr="00BC5A04" w:rsidRDefault="00110EF1" w:rsidP="00587ED3">
            <w:pPr>
              <w:spacing w:line="480" w:lineRule="auto"/>
              <w:ind w:firstLine="360"/>
              <w:rPr>
                <w:rFonts w:ascii="Times New Roman" w:hAnsi="Times New Roman" w:cs="Times New Roman"/>
                <w:sz w:val="24"/>
                <w:szCs w:val="24"/>
              </w:rPr>
            </w:pPr>
            <w:r w:rsidRPr="00BC5A04">
              <w:rPr>
                <w:rFonts w:ascii="Times New Roman" w:hAnsi="Times New Roman" w:cs="Times New Roman"/>
                <w:sz w:val="24"/>
                <w:szCs w:val="24"/>
              </w:rPr>
              <w:t xml:space="preserve"> The Mental Capacity Act 2005 espouses that a person should be assumed to have capacity until otherwise established; to take all practicable steps to support decision making; that making an unwise decision does not mean that an individual lacks capacity; that decisions made must be in an individual’s best interest; and, that the least restrictive option should be chosen (OPG, 2007).  These five principles are interwoven throughout the procedures and should inform the approach taken when working with adults at risk (SCW, 2022).  Another piece of UK legislation pertinent to adult safeguarding is the Equality Act 2010.  The act sets out a list of protected characteristics upon which it is illegal to </w:t>
            </w:r>
            <w:r w:rsidRPr="00BC5A04">
              <w:rPr>
                <w:rFonts w:ascii="Times New Roman" w:hAnsi="Times New Roman" w:cs="Times New Roman"/>
                <w:sz w:val="24"/>
                <w:szCs w:val="24"/>
              </w:rPr>
              <w:lastRenderedPageBreak/>
              <w:t>discriminate against individuals.  Of particular relevance to this case study are disability and carer status.  Practitioners must work towards promoting equality within social care and take an anti-discriminatory approach practice (SCIE, 2020).  This approach is also vital to follow to adhere to the principles of the Code of Professional Practice (SCW, 2017) as well as the Code of Ethics for Social Work (BASW, 2021).</w:t>
            </w:r>
          </w:p>
          <w:p w14:paraId="33EE4717" w14:textId="77777777" w:rsidR="00110EF1" w:rsidRPr="00BC5A04" w:rsidRDefault="00110EF1" w:rsidP="00587ED3">
            <w:pPr>
              <w:spacing w:line="480" w:lineRule="auto"/>
              <w:ind w:firstLine="360"/>
              <w:rPr>
                <w:rFonts w:ascii="Times New Roman" w:hAnsi="Times New Roman" w:cs="Times New Roman"/>
                <w:sz w:val="24"/>
                <w:szCs w:val="24"/>
              </w:rPr>
            </w:pPr>
            <w:r w:rsidRPr="00BC5A04">
              <w:rPr>
                <w:rFonts w:ascii="Times New Roman" w:hAnsi="Times New Roman" w:cs="Times New Roman"/>
                <w:sz w:val="24"/>
                <w:szCs w:val="24"/>
              </w:rPr>
              <w:t>UK and international legislation relating to human rights are fundamental to safeguarding practice.  Ratified within the Human Rights Act 1998 and European Convention on Human Rights (ECOHR, 2021) are both absolute rights, which must not be interfered with under any circumstances, and qualified/limited rights, which may be restricted in certain circumstances.  The Wales Safeguarding Procedures (SCW, 2022) list the following Articles as those particularly pertinent to adult safeguarding:</w:t>
            </w:r>
          </w:p>
          <w:p w14:paraId="572A1146" w14:textId="77777777" w:rsidR="00110EF1" w:rsidRPr="00BC5A04" w:rsidRDefault="00110EF1" w:rsidP="00110EF1">
            <w:pPr>
              <w:pStyle w:val="ListParagraph"/>
              <w:numPr>
                <w:ilvl w:val="0"/>
                <w:numId w:val="1"/>
              </w:numPr>
              <w:overflowPunct/>
              <w:autoSpaceDE/>
              <w:autoSpaceDN/>
              <w:adjustRightInd/>
              <w:spacing w:after="160" w:line="480" w:lineRule="auto"/>
              <w:textAlignment w:val="auto"/>
              <w:rPr>
                <w:rFonts w:ascii="Times New Roman" w:hAnsi="Times New Roman" w:cs="Times New Roman"/>
                <w:sz w:val="24"/>
                <w:szCs w:val="24"/>
              </w:rPr>
            </w:pPr>
            <w:r w:rsidRPr="00BC5A04">
              <w:rPr>
                <w:rFonts w:ascii="Times New Roman" w:hAnsi="Times New Roman" w:cs="Times New Roman"/>
                <w:sz w:val="24"/>
                <w:szCs w:val="24"/>
              </w:rPr>
              <w:t xml:space="preserve">Article 2: the right to life; </w:t>
            </w:r>
          </w:p>
          <w:p w14:paraId="03E5950E" w14:textId="77777777" w:rsidR="00110EF1" w:rsidRPr="00BC5A04" w:rsidRDefault="00110EF1" w:rsidP="00110EF1">
            <w:pPr>
              <w:pStyle w:val="ListParagraph"/>
              <w:numPr>
                <w:ilvl w:val="0"/>
                <w:numId w:val="1"/>
              </w:numPr>
              <w:overflowPunct/>
              <w:autoSpaceDE/>
              <w:autoSpaceDN/>
              <w:adjustRightInd/>
              <w:spacing w:after="160" w:line="480" w:lineRule="auto"/>
              <w:textAlignment w:val="auto"/>
              <w:rPr>
                <w:rFonts w:ascii="Times New Roman" w:hAnsi="Times New Roman" w:cs="Times New Roman"/>
                <w:sz w:val="24"/>
                <w:szCs w:val="24"/>
              </w:rPr>
            </w:pPr>
            <w:r w:rsidRPr="00BC5A04">
              <w:rPr>
                <w:rFonts w:ascii="Times New Roman" w:hAnsi="Times New Roman" w:cs="Times New Roman"/>
                <w:sz w:val="24"/>
                <w:szCs w:val="24"/>
              </w:rPr>
              <w:t xml:space="preserve">Article 3: the prohibition of degrading treatment or punishment; </w:t>
            </w:r>
          </w:p>
          <w:p w14:paraId="1993FFC6" w14:textId="77777777" w:rsidR="00110EF1" w:rsidRPr="00BC5A04" w:rsidRDefault="00110EF1" w:rsidP="00110EF1">
            <w:pPr>
              <w:pStyle w:val="ListParagraph"/>
              <w:numPr>
                <w:ilvl w:val="0"/>
                <w:numId w:val="1"/>
              </w:numPr>
              <w:overflowPunct/>
              <w:autoSpaceDE/>
              <w:autoSpaceDN/>
              <w:adjustRightInd/>
              <w:spacing w:after="160" w:line="480" w:lineRule="auto"/>
              <w:textAlignment w:val="auto"/>
              <w:rPr>
                <w:rFonts w:ascii="Times New Roman" w:hAnsi="Times New Roman" w:cs="Times New Roman"/>
                <w:sz w:val="24"/>
                <w:szCs w:val="24"/>
              </w:rPr>
            </w:pPr>
            <w:r w:rsidRPr="00BC5A04">
              <w:rPr>
                <w:rFonts w:ascii="Times New Roman" w:hAnsi="Times New Roman" w:cs="Times New Roman"/>
                <w:sz w:val="24"/>
                <w:szCs w:val="24"/>
              </w:rPr>
              <w:t>Article 6: the right to a hearing without bias;</w:t>
            </w:r>
          </w:p>
          <w:p w14:paraId="5DC7FF8F" w14:textId="77777777" w:rsidR="00110EF1" w:rsidRPr="00BC5A04" w:rsidRDefault="00110EF1" w:rsidP="00110EF1">
            <w:pPr>
              <w:pStyle w:val="ListParagraph"/>
              <w:numPr>
                <w:ilvl w:val="0"/>
                <w:numId w:val="1"/>
              </w:numPr>
              <w:overflowPunct/>
              <w:autoSpaceDE/>
              <w:autoSpaceDN/>
              <w:adjustRightInd/>
              <w:spacing w:after="160" w:line="480" w:lineRule="auto"/>
              <w:textAlignment w:val="auto"/>
              <w:rPr>
                <w:rFonts w:ascii="Times New Roman" w:hAnsi="Times New Roman" w:cs="Times New Roman"/>
                <w:sz w:val="24"/>
                <w:szCs w:val="24"/>
              </w:rPr>
            </w:pPr>
            <w:r w:rsidRPr="00BC5A04">
              <w:rPr>
                <w:rFonts w:ascii="Times New Roman" w:hAnsi="Times New Roman" w:cs="Times New Roman"/>
                <w:sz w:val="24"/>
                <w:szCs w:val="24"/>
              </w:rPr>
              <w:t>Article 5: the right to liberty and security;</w:t>
            </w:r>
          </w:p>
          <w:p w14:paraId="5CA3E65E" w14:textId="77777777" w:rsidR="00110EF1" w:rsidRPr="00BC5A04" w:rsidRDefault="00110EF1" w:rsidP="00110EF1">
            <w:pPr>
              <w:pStyle w:val="ListParagraph"/>
              <w:numPr>
                <w:ilvl w:val="0"/>
                <w:numId w:val="1"/>
              </w:numPr>
              <w:overflowPunct/>
              <w:autoSpaceDE/>
              <w:autoSpaceDN/>
              <w:adjustRightInd/>
              <w:spacing w:after="160" w:line="480" w:lineRule="auto"/>
              <w:textAlignment w:val="auto"/>
              <w:rPr>
                <w:rFonts w:ascii="Times New Roman" w:hAnsi="Times New Roman" w:cs="Times New Roman"/>
                <w:sz w:val="24"/>
                <w:szCs w:val="24"/>
              </w:rPr>
            </w:pPr>
            <w:r w:rsidRPr="00BC5A04">
              <w:rPr>
                <w:rFonts w:ascii="Times New Roman" w:hAnsi="Times New Roman" w:cs="Times New Roman"/>
                <w:sz w:val="24"/>
                <w:szCs w:val="24"/>
              </w:rPr>
              <w:t>Article 8: the right to a private and family life, with the protection of the rights and freedoms of others, and protection of health.</w:t>
            </w:r>
          </w:p>
          <w:p w14:paraId="16C980B0" w14:textId="77777777" w:rsidR="00110EF1" w:rsidRPr="00BC5A04" w:rsidRDefault="00110EF1" w:rsidP="00587ED3">
            <w:pPr>
              <w:spacing w:line="480" w:lineRule="auto"/>
              <w:rPr>
                <w:rFonts w:ascii="Times New Roman" w:hAnsi="Times New Roman" w:cs="Times New Roman"/>
                <w:sz w:val="24"/>
                <w:szCs w:val="24"/>
              </w:rPr>
            </w:pPr>
            <w:r w:rsidRPr="00BC5A04">
              <w:rPr>
                <w:rFonts w:ascii="Times New Roman" w:hAnsi="Times New Roman" w:cs="Times New Roman"/>
                <w:sz w:val="24"/>
                <w:szCs w:val="24"/>
              </w:rPr>
              <w:t>Consideration of the United Nations Convention on the Rights of Persons with Disabilities 2009 is also of importance for the individuals with whom I practice in my area of work.  Wales is the first UK country to weave the principles of human rights into their domestic legislation, thus these ethics permeate throughout the context of practice in Wales.</w:t>
            </w:r>
          </w:p>
          <w:p w14:paraId="4B5A9FED" w14:textId="77777777" w:rsidR="00110EF1" w:rsidRPr="00BC5A04" w:rsidRDefault="00110EF1" w:rsidP="00587ED3">
            <w:pPr>
              <w:spacing w:line="480" w:lineRule="auto"/>
              <w:rPr>
                <w:rFonts w:ascii="Times New Roman" w:hAnsi="Times New Roman" w:cs="Times New Roman"/>
                <w:sz w:val="24"/>
                <w:szCs w:val="24"/>
              </w:rPr>
            </w:pPr>
            <w:r w:rsidRPr="00BC5A04">
              <w:rPr>
                <w:rFonts w:ascii="Times New Roman" w:hAnsi="Times New Roman" w:cs="Times New Roman"/>
                <w:sz w:val="24"/>
                <w:szCs w:val="24"/>
              </w:rPr>
              <w:tab/>
              <w:t xml:space="preserve">Another legislative influence upon the work of Welsh Local Authorities is the Well-being of Future Generations (Wales) Act 2015.  It sets out seven wellbeing goals which all public bodies must consider when making decisions.  In the context of </w:t>
            </w:r>
            <w:r w:rsidRPr="00BC5A04">
              <w:rPr>
                <w:rFonts w:ascii="Times New Roman" w:hAnsi="Times New Roman" w:cs="Times New Roman"/>
                <w:sz w:val="24"/>
                <w:szCs w:val="24"/>
              </w:rPr>
              <w:lastRenderedPageBreak/>
              <w:t xml:space="preserve">safeguarding, Welsh practitioners should be involving individuals to make sustainable decisions and take preventative steps.  One of the wellbeing goals is for a “thriving Welsh language”, and consideration must also be given to the Welsh Language (Wales) Measure 2011.  This sets out the language standards which public bodies, including Local Authorities, must adhere to.  Organisations must ensure that the Welsh language is treated equally to the English.  Furthermore, the </w:t>
            </w:r>
            <w:r w:rsidRPr="00BC5A04">
              <w:rPr>
                <w:rFonts w:ascii="Times New Roman" w:hAnsi="Times New Roman" w:cs="Times New Roman"/>
                <w:i/>
                <w:sz w:val="24"/>
                <w:szCs w:val="24"/>
              </w:rPr>
              <w:t>More than just words</w:t>
            </w:r>
            <w:r w:rsidRPr="00BC5A04">
              <w:rPr>
                <w:rFonts w:ascii="Times New Roman" w:hAnsi="Times New Roman" w:cs="Times New Roman"/>
                <w:sz w:val="24"/>
                <w:szCs w:val="24"/>
              </w:rPr>
              <w:t xml:space="preserve"> action plan should be followed to promote the Welsh language in health and social care settings (WG, 2012).  An ‘Active Offer’ of a service in the medium of Welsh should be made, taking the onus off citizens to request it.  When I first met Adult 1, I was aware from their casefile that they were non-Welsh speaking.  However, as I did not have this information about Person 2, upon first meeting them I made the active offer.  Despite being born and raised in North Wales, 2 informed that for their secondary education they had attended an English-medium school in a neighbouring county, where the majority of pupils come from first-language English homes.  The Welsh language was part of their primary education, and perhaps one method to understand 2’s disinclination to identify with the language could come from Communication Accommodation Theory (Sachdev &amp; Giles, 2004).  2 was adopted by an English-speaking parent, thus according to this theory 2 could be using language to become closer to 1.  Via “convergence”, 2 could have been attempting to identify with their adoptive parent by communicating in 1’s language to become more similar to and to identify with 1.</w:t>
            </w:r>
          </w:p>
          <w:p w14:paraId="6EB62594" w14:textId="77777777" w:rsidR="00110EF1" w:rsidRPr="00BC5A04" w:rsidRDefault="00110EF1" w:rsidP="00587ED3">
            <w:pPr>
              <w:spacing w:line="480" w:lineRule="auto"/>
              <w:rPr>
                <w:rFonts w:ascii="Times New Roman" w:hAnsi="Times New Roman" w:cs="Times New Roman"/>
                <w:sz w:val="24"/>
                <w:szCs w:val="24"/>
              </w:rPr>
            </w:pPr>
            <w:r w:rsidRPr="00BC5A04">
              <w:rPr>
                <w:rFonts w:ascii="Times New Roman" w:hAnsi="Times New Roman" w:cs="Times New Roman"/>
                <w:sz w:val="24"/>
                <w:szCs w:val="24"/>
              </w:rPr>
              <w:tab/>
              <w:t xml:space="preserve">The relationship between 1 and 2 has been negatively impacted by 1’s diagnosis.  For a number of years things have been strained in the household, and social services have had increasing involvement.  The report made regarding the incident was the fourth time concerns about 1 and 2 had entered the safeguarding arena.  According to the Wales Safeguarding Procedures, when the disclosure was made to 2’s social worker, they had a </w:t>
            </w:r>
            <w:r w:rsidRPr="00BC5A04">
              <w:rPr>
                <w:rFonts w:ascii="Times New Roman" w:hAnsi="Times New Roman" w:cs="Times New Roman"/>
                <w:sz w:val="24"/>
                <w:szCs w:val="24"/>
              </w:rPr>
              <w:lastRenderedPageBreak/>
              <w:t>statutory d</w:t>
            </w:r>
            <w:r>
              <w:rPr>
                <w:rFonts w:ascii="Times New Roman" w:hAnsi="Times New Roman" w:cs="Times New Roman"/>
                <w:sz w:val="24"/>
                <w:szCs w:val="24"/>
              </w:rPr>
              <w:t>uty to report what had occurred</w:t>
            </w:r>
            <w:r w:rsidRPr="00BC5A04">
              <w:rPr>
                <w:rFonts w:ascii="Times New Roman" w:hAnsi="Times New Roman" w:cs="Times New Roman"/>
                <w:sz w:val="24"/>
                <w:szCs w:val="24"/>
              </w:rPr>
              <w:t xml:space="preserve"> so that this could be investigated.  Following the receipt of a report, the Local Authority has a duty to respond.  The process for responding to a report involves making the necessary enquiries to gather sufficient information to decide if the individual is or might be at risk (SCW, 2022).  In this Local Authority, this process is conducted by the Safeguarding Team.  During their initial screening process I spoke to their practitioner to provide relevant information.  This stage should be completed within seven working days, and has three potential outcomes.  Firstly, no further action for safeguarding, in cases where no abuse or neglect has been found to occur, or with a one-off incident where this is a low chance of repetition and remedied via alternate methods.  Secondly, that enquiries are required, as there is cause to believe that abuse or neglect has occurred.  Thirdly, that the adult is identified as having care and support needs, which should then be assessed under Part 3 of the SSWBA and if required the assessment can be done alongside the safeguarding enquiries (SCW, 2022).</w:t>
            </w:r>
          </w:p>
          <w:p w14:paraId="5CCCA0D7" w14:textId="77777777" w:rsidR="00110EF1" w:rsidRPr="00BC5A04" w:rsidRDefault="00110EF1" w:rsidP="00587ED3">
            <w:pPr>
              <w:spacing w:line="480" w:lineRule="auto"/>
              <w:rPr>
                <w:rFonts w:ascii="Times New Roman" w:hAnsi="Times New Roman" w:cs="Times New Roman"/>
                <w:sz w:val="24"/>
                <w:szCs w:val="24"/>
              </w:rPr>
            </w:pPr>
            <w:r w:rsidRPr="00BC5A04">
              <w:rPr>
                <w:rFonts w:ascii="Times New Roman" w:hAnsi="Times New Roman" w:cs="Times New Roman"/>
                <w:sz w:val="24"/>
                <w:szCs w:val="24"/>
              </w:rPr>
              <w:tab/>
              <w:t xml:space="preserve">In this case study, the outcome following the report and initial screening stage was for no further action to be taken through the formal safeguarding procedures.  1 had retracted her consent for the process, following 2’s repeated claims that the incident had not occurred how 1 remembered it.  1 voiced their wish for 2 not to be criminalised and did not wish for the incident to be reported to the police.  The person and their interests are paramount within any decisions made in this area, and without consent engaging the individual in an effective working in partnership can be challenging, making effective outcomes difficult to achieve (SCW, 2022). It was concluded during the screening process that there would be little positive gain made by conducting an enquiry or convening a strategy meeting/discussion.  Multi-disciplinary teams (MDTs) of professionals had been involved in supporting both 1 and 2, with input from all necessary sectors, but had not been </w:t>
            </w:r>
            <w:r w:rsidRPr="00BC5A04">
              <w:rPr>
                <w:rFonts w:ascii="Times New Roman" w:hAnsi="Times New Roman" w:cs="Times New Roman"/>
                <w:sz w:val="24"/>
                <w:szCs w:val="24"/>
              </w:rPr>
              <w:lastRenderedPageBreak/>
              <w:t xml:space="preserve">meeting as a group for some time.  It was concluded that concerns and risks should be managed via robust casework and MDT meetings to coordinate intervention. </w:t>
            </w:r>
          </w:p>
          <w:p w14:paraId="31433E89" w14:textId="77777777" w:rsidR="00110EF1" w:rsidRPr="00BC5A04" w:rsidRDefault="00110EF1" w:rsidP="00587ED3">
            <w:pPr>
              <w:spacing w:line="480" w:lineRule="auto"/>
              <w:rPr>
                <w:rFonts w:ascii="Times New Roman" w:hAnsi="Times New Roman" w:cs="Times New Roman"/>
                <w:sz w:val="24"/>
                <w:szCs w:val="24"/>
              </w:rPr>
            </w:pPr>
            <w:r w:rsidRPr="00BC5A04">
              <w:rPr>
                <w:rFonts w:ascii="Times New Roman" w:hAnsi="Times New Roman" w:cs="Times New Roman"/>
                <w:sz w:val="24"/>
                <w:szCs w:val="24"/>
              </w:rPr>
              <w:tab/>
              <w:t xml:space="preserve">Intervention in this practice began with a planning stage; a vital step for any social work practice which can help to ensure collaborative working with both individuals and other professionals (SCW, 2011).  I also needed to ensure that the casework with 1 was person-centred, in line with the key principles of the Wales Safeguarding Procedures and the SSWBA (SCW, 2022).  This meant planning for how to engage 1 and for how any decisions made throughout could be influenced by her desired outcomes.  In this case study, and inherent within safeguarding practice, the balancing of an individual’s desired outcomes and their rights versus our perception of the risks plus our duties can result in conflict (Kemshall &amp; Pritchard, 1997).  I acknowledged the conflict between my values, wanting to protect 1 from child to parent abuse perpetrated by 2, with 1’s decision to protect 2 and not to continue with the safeguarding process, in supervision (SCW, 2017).  This enabled me to discuss and reflect on the dilemmas raised with my manager, both when planning and evaluating my work with 1.  This helped me to consolidate that 1 is best placed to make decisions about her life, and that in line with the objectives of the </w:t>
            </w:r>
            <w:r w:rsidRPr="00ED17A2">
              <w:rPr>
                <w:rFonts w:ascii="Times New Roman" w:hAnsi="Times New Roman" w:cs="Times New Roman"/>
                <w:sz w:val="24"/>
                <w:szCs w:val="24"/>
              </w:rPr>
              <w:t>Violence Against Women Domestic Abuse and Sexual Violence (Wales) Act 2015</w:t>
            </w:r>
            <w:r w:rsidRPr="00BC5A04">
              <w:rPr>
                <w:rFonts w:ascii="Times New Roman" w:hAnsi="Times New Roman" w:cs="Times New Roman"/>
                <w:sz w:val="24"/>
                <w:szCs w:val="24"/>
              </w:rPr>
              <w:t>, that effective strategies when working with situations of domestic abuse can involve empowerment by raising awareness of healthy relationships.</w:t>
            </w:r>
          </w:p>
          <w:p w14:paraId="7BC2CCDB" w14:textId="77777777" w:rsidR="00110EF1" w:rsidRPr="00BC5A04" w:rsidRDefault="00110EF1" w:rsidP="00587ED3">
            <w:pPr>
              <w:spacing w:line="480" w:lineRule="auto"/>
              <w:ind w:firstLine="720"/>
              <w:rPr>
                <w:rFonts w:ascii="Times New Roman" w:hAnsi="Times New Roman" w:cs="Times New Roman"/>
                <w:sz w:val="24"/>
                <w:szCs w:val="24"/>
              </w:rPr>
            </w:pPr>
            <w:r w:rsidRPr="00BC5A04">
              <w:rPr>
                <w:rFonts w:ascii="Times New Roman" w:hAnsi="Times New Roman" w:cs="Times New Roman"/>
                <w:sz w:val="24"/>
                <w:szCs w:val="24"/>
              </w:rPr>
              <w:t xml:space="preserve">Planning also involved reconvening the MDT.  The General Data Protection Regulations 2018 provide an important legislative framework for sharing personal information for all public bodies.  However, it should not be a barrier to sharing this information with others when there is justification (SCW, 2022).  A frequent finding from adult practice reviews is that better sharing of information could have changed the outcome (SCIE, 2019).  In this case, sharing information about 1 and 2 with the MDT was justified </w:t>
            </w:r>
            <w:r w:rsidRPr="00BC5A04">
              <w:rPr>
                <w:rFonts w:ascii="Times New Roman" w:hAnsi="Times New Roman" w:cs="Times New Roman"/>
                <w:sz w:val="24"/>
                <w:szCs w:val="24"/>
              </w:rPr>
              <w:lastRenderedPageBreak/>
              <w:t>to: enable the coordination of an effective response; attempt to prevent the escalation of risk; prevent further harm; identify any additional lower-level concerns; and pinpoint any patterns of abuse. MDT work can at times also result in contention, with differing views from different professions.  I experienced some conflict of interest with the professionals supporting 2, as whilst I primarily viewed them as the perpetrator in this incident, 2’s support had 2’s additional needs and resulting vulnerabilities as their primary focus.</w:t>
            </w:r>
          </w:p>
          <w:p w14:paraId="7B39EB83" w14:textId="77777777" w:rsidR="00110EF1" w:rsidRPr="00BC5A04" w:rsidRDefault="00110EF1" w:rsidP="00587ED3">
            <w:pPr>
              <w:spacing w:line="480" w:lineRule="auto"/>
              <w:rPr>
                <w:rFonts w:ascii="Times New Roman" w:hAnsi="Times New Roman" w:cs="Times New Roman"/>
                <w:sz w:val="24"/>
                <w:szCs w:val="24"/>
              </w:rPr>
            </w:pPr>
            <w:r w:rsidRPr="00BC5A04">
              <w:rPr>
                <w:rFonts w:ascii="Times New Roman" w:hAnsi="Times New Roman" w:cs="Times New Roman"/>
                <w:sz w:val="24"/>
                <w:szCs w:val="24"/>
              </w:rPr>
              <w:tab/>
              <w:t>An identified action following the MDT meeting was for 1’s risk assessment to be updated.  Another common recommendation from adult practice reviews that risk assessments should be viewed as living documents which are revisited and updated regularly (SCIE, 2019).  I updated 1’s risk assessment in collaboration with other relevant members of the MDT supporting 1.  Working in partnership with them ensured that their knowledge and expertise could provide a holistic picture of the risks inherent in 1’s situation (SCW, 2017).  The impact of the risks on 1 was analysed, and then professional judgement was used regarding the likelihood of the risk occurring.  Once a comprehensive risk assessment had been written, I arranged to visit 1 at home at a time when 2 was out to go through this with her, as 1’s views about the identified risks would also form an important part of this assessment.  Working collaboratively with 1 ensured that her voice formed a central part of the risk reduction steps and safety planning (SCW, 2017).  Encouraging 1’s participation in the assessment helped to reduce the power imbalance when conciliating her right to family life and need for a relationship with 2, with my responsibility to protect her from the risks posed by this (Seden, 2016).  Including 1 in the creation of the risk assessment also offered respect for her autonomy and allowed for a shared understanding of the risks to be reached (Barry, 2007).</w:t>
            </w:r>
          </w:p>
          <w:p w14:paraId="780CE777" w14:textId="77777777" w:rsidR="00110EF1" w:rsidRPr="00BC5A04" w:rsidRDefault="00110EF1" w:rsidP="00587ED3">
            <w:pPr>
              <w:spacing w:line="480" w:lineRule="auto"/>
              <w:rPr>
                <w:rFonts w:ascii="Times New Roman" w:hAnsi="Times New Roman" w:cs="Times New Roman"/>
                <w:sz w:val="24"/>
                <w:szCs w:val="24"/>
              </w:rPr>
            </w:pPr>
            <w:r w:rsidRPr="00BC5A04">
              <w:rPr>
                <w:rFonts w:ascii="Times New Roman" w:hAnsi="Times New Roman" w:cs="Times New Roman"/>
                <w:sz w:val="24"/>
                <w:szCs w:val="24"/>
              </w:rPr>
              <w:tab/>
              <w:t xml:space="preserve">The risk assessment was used as a tool to inform and play a part in the planned intervention.  It was suggested following the safeguarding screening that I offer to </w:t>
            </w:r>
            <w:r w:rsidRPr="00BC5A04">
              <w:rPr>
                <w:rFonts w:ascii="Times New Roman" w:hAnsi="Times New Roman" w:cs="Times New Roman"/>
                <w:sz w:val="24"/>
                <w:szCs w:val="24"/>
              </w:rPr>
              <w:lastRenderedPageBreak/>
              <w:t>complete a Dash risk checklist with 1, a tool which can help to identify levels of risk in domestic abuse situations (Safe Lives, 2015).  Depending on the outcome, this could have then been used to refer to a Multi-Agency Risk Assessment Conference or to seek involvement from an Independent Domestic Abuse Adviser, who could support and advocate for 1.  After I explained the purpose and process of the checklist, 1 told me that she did not wish to go through it with me on that visit, but I made sure that she was aware that she could change her mind at any point in the future.  I exercised professional judgement that it would be better to retain my working relationship with 1</w:t>
            </w:r>
            <w:r>
              <w:rPr>
                <w:rFonts w:ascii="Times New Roman" w:hAnsi="Times New Roman" w:cs="Times New Roman"/>
                <w:sz w:val="24"/>
                <w:szCs w:val="24"/>
              </w:rPr>
              <w:t>, hence</w:t>
            </w:r>
            <w:r w:rsidRPr="00BC5A04">
              <w:rPr>
                <w:rFonts w:ascii="Times New Roman" w:hAnsi="Times New Roman" w:cs="Times New Roman"/>
                <w:sz w:val="24"/>
                <w:szCs w:val="24"/>
              </w:rPr>
              <w:t xml:space="preserve"> maintaining the likelihood of her sharing any future incidents with me, rather than losing her trust by going against her views and wishes regarding this </w:t>
            </w:r>
            <w:r>
              <w:rPr>
                <w:rFonts w:ascii="Times New Roman" w:hAnsi="Times New Roman" w:cs="Times New Roman"/>
                <w:sz w:val="24"/>
                <w:szCs w:val="24"/>
              </w:rPr>
              <w:t>incident (SCW, 2017).  Thus</w:t>
            </w:r>
            <w:r w:rsidRPr="00BC5A04">
              <w:rPr>
                <w:rFonts w:ascii="Times New Roman" w:hAnsi="Times New Roman" w:cs="Times New Roman"/>
                <w:sz w:val="24"/>
                <w:szCs w:val="24"/>
              </w:rPr>
              <w:t xml:space="preserve">, implementing values from the theory of </w:t>
            </w:r>
            <w:r>
              <w:rPr>
                <w:rFonts w:ascii="Times New Roman" w:hAnsi="Times New Roman" w:cs="Times New Roman"/>
                <w:sz w:val="24"/>
                <w:szCs w:val="24"/>
              </w:rPr>
              <w:t>R</w:t>
            </w:r>
            <w:r w:rsidRPr="00BC5A04">
              <w:rPr>
                <w:rFonts w:ascii="Times New Roman" w:hAnsi="Times New Roman" w:cs="Times New Roman"/>
                <w:sz w:val="24"/>
                <w:szCs w:val="24"/>
              </w:rPr>
              <w:t>elation</w:t>
            </w:r>
            <w:r>
              <w:rPr>
                <w:rFonts w:ascii="Times New Roman" w:hAnsi="Times New Roman" w:cs="Times New Roman"/>
                <w:sz w:val="24"/>
                <w:szCs w:val="24"/>
              </w:rPr>
              <w:t>ship-based P</w:t>
            </w:r>
            <w:r w:rsidRPr="00BC5A04">
              <w:rPr>
                <w:rFonts w:ascii="Times New Roman" w:hAnsi="Times New Roman" w:cs="Times New Roman"/>
                <w:sz w:val="24"/>
                <w:szCs w:val="24"/>
              </w:rPr>
              <w:t>ractice was important to this intervention.  Research suggests that good social work relationships often result in better outcomes for individuals (Munro, 2011).  Whilst it is proposed that this approach can bolster empathy, genuineness and personal growth, others critique the theory as disempowering, with practitioners creating a rapport to then enact their intended intervention (Murphy et al., 2012).</w:t>
            </w:r>
          </w:p>
          <w:p w14:paraId="2218A935" w14:textId="77777777" w:rsidR="00110EF1" w:rsidRPr="00BC5A04" w:rsidRDefault="00110EF1" w:rsidP="00587ED3">
            <w:pPr>
              <w:spacing w:line="480" w:lineRule="auto"/>
              <w:ind w:firstLine="360"/>
              <w:rPr>
                <w:rFonts w:ascii="Times New Roman" w:hAnsi="Times New Roman" w:cs="Times New Roman"/>
                <w:sz w:val="24"/>
                <w:szCs w:val="24"/>
              </w:rPr>
            </w:pPr>
            <w:r w:rsidRPr="00BC5A04">
              <w:rPr>
                <w:rFonts w:ascii="Times New Roman" w:hAnsi="Times New Roman" w:cs="Times New Roman"/>
                <w:sz w:val="24"/>
                <w:szCs w:val="24"/>
              </w:rPr>
              <w:t>Involving 1 in the assessment of risk helped her to identify what best outcome for her would be.  1 wanted the assessment to be shared with 2, so that they cou</w:t>
            </w:r>
            <w:r>
              <w:rPr>
                <w:rFonts w:ascii="Times New Roman" w:hAnsi="Times New Roman" w:cs="Times New Roman"/>
                <w:sz w:val="24"/>
                <w:szCs w:val="24"/>
              </w:rPr>
              <w:t>ld better understand the impact</w:t>
            </w:r>
            <w:r w:rsidRPr="00BC5A04">
              <w:rPr>
                <w:rFonts w:ascii="Times New Roman" w:hAnsi="Times New Roman" w:cs="Times New Roman"/>
                <w:sz w:val="24"/>
                <w:szCs w:val="24"/>
              </w:rPr>
              <w:t xml:space="preserve"> of their actions.  It also enabled me to pinpoint the additional outcome of improving 1’s understanding and awareness of child to parent violence and abuse (CPVA).  Much of the public discourse surrounding domestic abuse concentrates on intimate partner violence and its impact upon children, with little awareness of other forms of abuse within families (Coogan, 2016).  CPVA is defined as a pattern of behaviours, which can include physical, emotional, and financial abuse as well as property damage, used by a person under eighteen to dominate or control the adult of the household, and it is </w:t>
            </w:r>
            <w:r w:rsidRPr="00BC5A04">
              <w:rPr>
                <w:rFonts w:ascii="Times New Roman" w:hAnsi="Times New Roman" w:cs="Times New Roman"/>
                <w:sz w:val="24"/>
                <w:szCs w:val="24"/>
              </w:rPr>
              <w:lastRenderedPageBreak/>
              <w:t xml:space="preserve">of note in this case study that links to mental health and leaning difficulties have been observed (WG, 2022).  It can also include elements of coercive control, which was observed with 2 contradicting 1’s recollection of the incident, with 2 claiming “you should have shouted, I didn’t know what had happened”.  By identifying and naming the abuse, as well as highlighting that it was an issue affecting many other families, 1 was able to feel less alone in their situation.  1 has benefitted from accessing other online communities where she can share her difficulties with peers, of importance due to her limited in-person network and also the shame and stigma often felt by those living with CPVA (Coogan, 2016).  According to Systems Theory, informal systems, such as friends, provide emotional support and improve feelings of self-worth. 1’s isolation due to her distance from family and mobility difficulties </w:t>
            </w:r>
            <w:r>
              <w:rPr>
                <w:rFonts w:ascii="Times New Roman" w:hAnsi="Times New Roman" w:cs="Times New Roman"/>
                <w:sz w:val="24"/>
                <w:szCs w:val="24"/>
              </w:rPr>
              <w:t>which make</w:t>
            </w:r>
            <w:r w:rsidRPr="00BC5A04">
              <w:rPr>
                <w:rFonts w:ascii="Times New Roman" w:hAnsi="Times New Roman" w:cs="Times New Roman"/>
                <w:sz w:val="24"/>
                <w:szCs w:val="24"/>
              </w:rPr>
              <w:t xml:space="preserve"> it hard for her to leave the house could be a source of “system overload” (Pincus &amp; Minahan, 1973).  Collaborative working with 2’s Social Worker to visit together to share the risk assessment with 2 also sits well within this theory, improving the public system of support around the family.  Introducing other elements to their system may help to </w:t>
            </w:r>
            <w:r>
              <w:rPr>
                <w:rFonts w:ascii="Times New Roman" w:hAnsi="Times New Roman" w:cs="Times New Roman"/>
                <w:sz w:val="24"/>
                <w:szCs w:val="24"/>
              </w:rPr>
              <w:t xml:space="preserve">work towards </w:t>
            </w:r>
            <w:r w:rsidRPr="00BC5A04">
              <w:rPr>
                <w:rFonts w:ascii="Times New Roman" w:hAnsi="Times New Roman" w:cs="Times New Roman"/>
                <w:sz w:val="24"/>
                <w:szCs w:val="24"/>
              </w:rPr>
              <w:t>achievi</w:t>
            </w:r>
            <w:r>
              <w:rPr>
                <w:rFonts w:ascii="Times New Roman" w:hAnsi="Times New Roman" w:cs="Times New Roman"/>
                <w:sz w:val="24"/>
                <w:szCs w:val="24"/>
              </w:rPr>
              <w:t>ng</w:t>
            </w:r>
            <w:r w:rsidRPr="00BC5A04">
              <w:rPr>
                <w:rFonts w:ascii="Times New Roman" w:hAnsi="Times New Roman" w:cs="Times New Roman"/>
                <w:sz w:val="24"/>
                <w:szCs w:val="24"/>
              </w:rPr>
              <w:t xml:space="preserve"> a balance, in this case improving their relationship and 1’s safety</w:t>
            </w:r>
            <w:r>
              <w:rPr>
                <w:rFonts w:ascii="Times New Roman" w:hAnsi="Times New Roman" w:cs="Times New Roman"/>
                <w:sz w:val="24"/>
                <w:szCs w:val="24"/>
              </w:rPr>
              <w:t xml:space="preserve"> (Payne, 2014)</w:t>
            </w:r>
            <w:r w:rsidRPr="00BC5A04">
              <w:rPr>
                <w:rFonts w:ascii="Times New Roman" w:hAnsi="Times New Roman" w:cs="Times New Roman"/>
                <w:sz w:val="24"/>
                <w:szCs w:val="24"/>
              </w:rPr>
              <w:t>.</w:t>
            </w:r>
          </w:p>
          <w:p w14:paraId="27201C2A" w14:textId="77777777" w:rsidR="00110EF1" w:rsidRPr="000E77C3" w:rsidRDefault="00110EF1" w:rsidP="00587ED3">
            <w:pPr>
              <w:spacing w:line="480" w:lineRule="auto"/>
              <w:rPr>
                <w:rFonts w:ascii="Times New Roman" w:hAnsi="Times New Roman" w:cs="Times New Roman"/>
                <w:sz w:val="24"/>
                <w:szCs w:val="24"/>
              </w:rPr>
            </w:pPr>
            <w:r w:rsidRPr="00BC5A04">
              <w:rPr>
                <w:rFonts w:ascii="Times New Roman" w:hAnsi="Times New Roman" w:cs="Times New Roman"/>
                <w:sz w:val="24"/>
                <w:szCs w:val="24"/>
              </w:rPr>
              <w:tab/>
            </w:r>
            <w:r>
              <w:rPr>
                <w:rFonts w:ascii="Times New Roman" w:hAnsi="Times New Roman" w:cs="Times New Roman"/>
                <w:sz w:val="24"/>
                <w:szCs w:val="24"/>
              </w:rPr>
              <w:t>Attachment Theory was also used to inform evaluation and understanding of the dynamics between 1 and 2.</w:t>
            </w:r>
            <w:r w:rsidRPr="00332CB3">
              <w:t xml:space="preserve"> </w:t>
            </w:r>
            <w:r>
              <w:t xml:space="preserve"> </w:t>
            </w:r>
            <w:r>
              <w:rPr>
                <w:rFonts w:ascii="Times New Roman" w:hAnsi="Times New Roman" w:cs="Times New Roman"/>
                <w:sz w:val="24"/>
                <w:szCs w:val="24"/>
              </w:rPr>
              <w:t>T</w:t>
            </w:r>
            <w:r w:rsidRPr="00332CB3">
              <w:rPr>
                <w:rFonts w:ascii="Times New Roman" w:hAnsi="Times New Roman" w:cs="Times New Roman"/>
                <w:sz w:val="24"/>
                <w:szCs w:val="24"/>
              </w:rPr>
              <w:t>wo types of social work theories</w:t>
            </w:r>
            <w:r>
              <w:rPr>
                <w:rFonts w:ascii="Times New Roman" w:hAnsi="Times New Roman" w:cs="Times New Roman"/>
                <w:sz w:val="24"/>
                <w:szCs w:val="24"/>
              </w:rPr>
              <w:t xml:space="preserve"> have been identified</w:t>
            </w:r>
            <w:r w:rsidRPr="00332CB3">
              <w:rPr>
                <w:rFonts w:ascii="Times New Roman" w:hAnsi="Times New Roman" w:cs="Times New Roman"/>
                <w:sz w:val="24"/>
                <w:szCs w:val="24"/>
              </w:rPr>
              <w:t xml:space="preserve">: </w:t>
            </w:r>
            <w:r>
              <w:rPr>
                <w:rFonts w:ascii="Times New Roman" w:hAnsi="Times New Roman" w:cs="Times New Roman"/>
                <w:sz w:val="24"/>
                <w:szCs w:val="24"/>
              </w:rPr>
              <w:t>theory</w:t>
            </w:r>
            <w:r w:rsidRPr="00332CB3">
              <w:rPr>
                <w:rFonts w:ascii="Times New Roman" w:hAnsi="Times New Roman" w:cs="Times New Roman"/>
                <w:sz w:val="24"/>
                <w:szCs w:val="24"/>
              </w:rPr>
              <w:t xml:space="preserve"> which help</w:t>
            </w:r>
            <w:r>
              <w:rPr>
                <w:rFonts w:ascii="Times New Roman" w:hAnsi="Times New Roman" w:cs="Times New Roman"/>
                <w:sz w:val="24"/>
                <w:szCs w:val="24"/>
              </w:rPr>
              <w:t>s</w:t>
            </w:r>
            <w:r w:rsidRPr="00332CB3">
              <w:rPr>
                <w:rFonts w:ascii="Times New Roman" w:hAnsi="Times New Roman" w:cs="Times New Roman"/>
                <w:sz w:val="24"/>
                <w:szCs w:val="24"/>
              </w:rPr>
              <w:t xml:space="preserve"> to inform intervention</w:t>
            </w:r>
            <w:r>
              <w:rPr>
                <w:rFonts w:ascii="Times New Roman" w:hAnsi="Times New Roman" w:cs="Times New Roman"/>
                <w:sz w:val="24"/>
                <w:szCs w:val="24"/>
              </w:rPr>
              <w:t xml:space="preserve"> and</w:t>
            </w:r>
            <w:r w:rsidRPr="00332CB3">
              <w:rPr>
                <w:rFonts w:ascii="Times New Roman" w:hAnsi="Times New Roman" w:cs="Times New Roman"/>
                <w:sz w:val="24"/>
                <w:szCs w:val="24"/>
              </w:rPr>
              <w:t xml:space="preserve"> </w:t>
            </w:r>
            <w:r>
              <w:rPr>
                <w:rFonts w:ascii="Times New Roman" w:hAnsi="Times New Roman" w:cs="Times New Roman"/>
                <w:sz w:val="24"/>
                <w:szCs w:val="24"/>
              </w:rPr>
              <w:t>theory</w:t>
            </w:r>
            <w:r w:rsidRPr="00332CB3">
              <w:rPr>
                <w:rFonts w:ascii="Times New Roman" w:hAnsi="Times New Roman" w:cs="Times New Roman"/>
                <w:sz w:val="24"/>
                <w:szCs w:val="24"/>
              </w:rPr>
              <w:t xml:space="preserve"> which h</w:t>
            </w:r>
            <w:r>
              <w:rPr>
                <w:rFonts w:ascii="Times New Roman" w:hAnsi="Times New Roman" w:cs="Times New Roman"/>
                <w:sz w:val="24"/>
                <w:szCs w:val="24"/>
              </w:rPr>
              <w:t>elps to explain the situation (Collingwood, 2005)</w:t>
            </w:r>
            <w:r w:rsidRPr="00332CB3">
              <w:rPr>
                <w:rFonts w:ascii="Times New Roman" w:hAnsi="Times New Roman" w:cs="Times New Roman"/>
                <w:sz w:val="24"/>
                <w:szCs w:val="24"/>
              </w:rPr>
              <w:t>.</w:t>
            </w:r>
            <w:r>
              <w:rPr>
                <w:rFonts w:ascii="Times New Roman" w:hAnsi="Times New Roman" w:cs="Times New Roman"/>
                <w:sz w:val="24"/>
                <w:szCs w:val="24"/>
              </w:rPr>
              <w:t xml:space="preserve">  Whilst the previously discussed Relationship-based Practice informed the direct work I carried out with 1, both Systems Theory and Attachment Theory can aid in the understanding of individuals’ experiences.  </w:t>
            </w:r>
            <w:r w:rsidRPr="00332CB3">
              <w:rPr>
                <w:rFonts w:ascii="Times New Roman" w:hAnsi="Times New Roman" w:cs="Times New Roman"/>
                <w:sz w:val="24"/>
                <w:szCs w:val="24"/>
              </w:rPr>
              <w:t xml:space="preserve">Originally </w:t>
            </w:r>
            <w:r>
              <w:rPr>
                <w:rFonts w:ascii="Times New Roman" w:hAnsi="Times New Roman" w:cs="Times New Roman"/>
                <w:sz w:val="24"/>
                <w:szCs w:val="24"/>
              </w:rPr>
              <w:t>authored by Bowlby (1951), Attachment Theory interprets the different ways in which relationships develop</w:t>
            </w:r>
            <w:r w:rsidRPr="00332CB3">
              <w:rPr>
                <w:rFonts w:ascii="Times New Roman" w:hAnsi="Times New Roman" w:cs="Times New Roman"/>
                <w:sz w:val="24"/>
                <w:szCs w:val="24"/>
              </w:rPr>
              <w:t xml:space="preserve"> between a child</w:t>
            </w:r>
            <w:r>
              <w:rPr>
                <w:rFonts w:ascii="Times New Roman" w:hAnsi="Times New Roman" w:cs="Times New Roman"/>
                <w:sz w:val="24"/>
                <w:szCs w:val="24"/>
              </w:rPr>
              <w:t xml:space="preserve"> and their</w:t>
            </w:r>
            <w:r w:rsidRPr="00332CB3">
              <w:rPr>
                <w:rFonts w:ascii="Times New Roman" w:hAnsi="Times New Roman" w:cs="Times New Roman"/>
                <w:sz w:val="24"/>
                <w:szCs w:val="24"/>
              </w:rPr>
              <w:t xml:space="preserve"> </w:t>
            </w:r>
            <w:r>
              <w:rPr>
                <w:rFonts w:ascii="Times New Roman" w:hAnsi="Times New Roman" w:cs="Times New Roman"/>
                <w:sz w:val="24"/>
                <w:szCs w:val="24"/>
              </w:rPr>
              <w:t xml:space="preserve">parent or </w:t>
            </w:r>
            <w:r w:rsidRPr="00332CB3">
              <w:rPr>
                <w:rFonts w:ascii="Times New Roman" w:hAnsi="Times New Roman" w:cs="Times New Roman"/>
                <w:sz w:val="24"/>
                <w:szCs w:val="24"/>
              </w:rPr>
              <w:t>main caregiver</w:t>
            </w:r>
            <w:r>
              <w:rPr>
                <w:rFonts w:ascii="Times New Roman" w:hAnsi="Times New Roman" w:cs="Times New Roman"/>
                <w:sz w:val="24"/>
                <w:szCs w:val="24"/>
              </w:rPr>
              <w:t>.  T</w:t>
            </w:r>
            <w:r w:rsidRPr="00332CB3">
              <w:rPr>
                <w:rFonts w:ascii="Times New Roman" w:hAnsi="Times New Roman" w:cs="Times New Roman"/>
                <w:sz w:val="24"/>
                <w:szCs w:val="24"/>
              </w:rPr>
              <w:t xml:space="preserve">he theory </w:t>
            </w:r>
            <w:r>
              <w:rPr>
                <w:rFonts w:ascii="Times New Roman" w:hAnsi="Times New Roman" w:cs="Times New Roman"/>
                <w:sz w:val="24"/>
                <w:szCs w:val="24"/>
              </w:rPr>
              <w:t>is often used in social work to contextualise</w:t>
            </w:r>
            <w:r w:rsidRPr="00332CB3">
              <w:rPr>
                <w:rFonts w:ascii="Times New Roman" w:hAnsi="Times New Roman" w:cs="Times New Roman"/>
                <w:sz w:val="24"/>
                <w:szCs w:val="24"/>
              </w:rPr>
              <w:t xml:space="preserve"> </w:t>
            </w:r>
            <w:r>
              <w:rPr>
                <w:rFonts w:ascii="Times New Roman" w:hAnsi="Times New Roman" w:cs="Times New Roman"/>
                <w:sz w:val="24"/>
                <w:szCs w:val="24"/>
              </w:rPr>
              <w:t xml:space="preserve">family </w:t>
            </w:r>
            <w:r w:rsidRPr="00332CB3">
              <w:rPr>
                <w:rFonts w:ascii="Times New Roman" w:hAnsi="Times New Roman" w:cs="Times New Roman"/>
                <w:sz w:val="24"/>
                <w:szCs w:val="24"/>
              </w:rPr>
              <w:t xml:space="preserve">relationships </w:t>
            </w:r>
            <w:r>
              <w:rPr>
                <w:rFonts w:ascii="Times New Roman" w:hAnsi="Times New Roman" w:cs="Times New Roman"/>
                <w:sz w:val="24"/>
                <w:szCs w:val="24"/>
              </w:rPr>
              <w:t xml:space="preserve">- as the </w:t>
            </w:r>
            <w:r w:rsidRPr="00332CB3">
              <w:rPr>
                <w:rFonts w:ascii="Times New Roman" w:hAnsi="Times New Roman" w:cs="Times New Roman"/>
                <w:sz w:val="24"/>
                <w:szCs w:val="24"/>
              </w:rPr>
              <w:t xml:space="preserve">quality </w:t>
            </w:r>
            <w:r>
              <w:rPr>
                <w:rFonts w:ascii="Times New Roman" w:hAnsi="Times New Roman" w:cs="Times New Roman"/>
                <w:sz w:val="24"/>
                <w:szCs w:val="24"/>
              </w:rPr>
              <w:t xml:space="preserve">and character </w:t>
            </w:r>
            <w:r w:rsidRPr="00332CB3">
              <w:rPr>
                <w:rFonts w:ascii="Times New Roman" w:hAnsi="Times New Roman" w:cs="Times New Roman"/>
                <w:sz w:val="24"/>
                <w:szCs w:val="24"/>
              </w:rPr>
              <w:t xml:space="preserve">of </w:t>
            </w:r>
            <w:r>
              <w:rPr>
                <w:rFonts w:ascii="Times New Roman" w:hAnsi="Times New Roman" w:cs="Times New Roman"/>
                <w:sz w:val="24"/>
                <w:szCs w:val="24"/>
              </w:rPr>
              <w:t xml:space="preserve">an individual’s early </w:t>
            </w:r>
            <w:r>
              <w:rPr>
                <w:rFonts w:ascii="Times New Roman" w:hAnsi="Times New Roman" w:cs="Times New Roman"/>
                <w:sz w:val="24"/>
                <w:szCs w:val="24"/>
              </w:rPr>
              <w:lastRenderedPageBreak/>
              <w:t>relationships are foundational to</w:t>
            </w:r>
            <w:r w:rsidRPr="00332CB3">
              <w:rPr>
                <w:rFonts w:ascii="Times New Roman" w:hAnsi="Times New Roman" w:cs="Times New Roman"/>
                <w:sz w:val="24"/>
                <w:szCs w:val="24"/>
              </w:rPr>
              <w:t xml:space="preserve"> relationships throughout the</w:t>
            </w:r>
            <w:r>
              <w:rPr>
                <w:rFonts w:ascii="Times New Roman" w:hAnsi="Times New Roman" w:cs="Times New Roman"/>
                <w:sz w:val="24"/>
                <w:szCs w:val="24"/>
              </w:rPr>
              <w:t xml:space="preserve"> co</w:t>
            </w:r>
            <w:r w:rsidRPr="00332CB3">
              <w:rPr>
                <w:rFonts w:ascii="Times New Roman" w:hAnsi="Times New Roman" w:cs="Times New Roman"/>
                <w:sz w:val="24"/>
                <w:szCs w:val="24"/>
              </w:rPr>
              <w:t>urse</w:t>
            </w:r>
            <w:r>
              <w:rPr>
                <w:rFonts w:ascii="Times New Roman" w:hAnsi="Times New Roman" w:cs="Times New Roman"/>
                <w:sz w:val="24"/>
                <w:szCs w:val="24"/>
              </w:rPr>
              <w:t xml:space="preserve"> of their lives</w:t>
            </w:r>
            <w:r w:rsidRPr="00332CB3">
              <w:rPr>
                <w:rFonts w:ascii="Times New Roman" w:hAnsi="Times New Roman" w:cs="Times New Roman"/>
                <w:sz w:val="24"/>
                <w:szCs w:val="24"/>
              </w:rPr>
              <w:t xml:space="preserve"> (Howe, 1996; 2011).</w:t>
            </w:r>
            <w:r w:rsidRPr="00940D52">
              <w:t xml:space="preserve"> </w:t>
            </w:r>
            <w:r>
              <w:t xml:space="preserve"> </w:t>
            </w:r>
            <w:r>
              <w:rPr>
                <w:rFonts w:ascii="Times New Roman" w:hAnsi="Times New Roman" w:cs="Times New Roman"/>
                <w:sz w:val="24"/>
                <w:szCs w:val="24"/>
              </w:rPr>
              <w:t>A secure attachment</w:t>
            </w:r>
            <w:r w:rsidRPr="00940D52">
              <w:rPr>
                <w:rFonts w:ascii="Times New Roman" w:hAnsi="Times New Roman" w:cs="Times New Roman"/>
                <w:sz w:val="24"/>
                <w:szCs w:val="24"/>
              </w:rPr>
              <w:t xml:space="preserve"> provides </w:t>
            </w:r>
            <w:r>
              <w:rPr>
                <w:rFonts w:ascii="Times New Roman" w:hAnsi="Times New Roman" w:cs="Times New Roman"/>
                <w:sz w:val="24"/>
                <w:szCs w:val="24"/>
              </w:rPr>
              <w:t>the infrastructure upon</w:t>
            </w:r>
            <w:r w:rsidRPr="00940D52">
              <w:rPr>
                <w:rFonts w:ascii="Times New Roman" w:hAnsi="Times New Roman" w:cs="Times New Roman"/>
                <w:sz w:val="24"/>
                <w:szCs w:val="24"/>
              </w:rPr>
              <w:t xml:space="preserve"> which </w:t>
            </w:r>
            <w:r>
              <w:rPr>
                <w:rFonts w:ascii="Times New Roman" w:hAnsi="Times New Roman" w:cs="Times New Roman"/>
                <w:sz w:val="24"/>
                <w:szCs w:val="24"/>
              </w:rPr>
              <w:t xml:space="preserve">the </w:t>
            </w:r>
            <w:r w:rsidRPr="00940D52">
              <w:rPr>
                <w:rFonts w:ascii="Times New Roman" w:hAnsi="Times New Roman" w:cs="Times New Roman"/>
                <w:sz w:val="24"/>
                <w:szCs w:val="24"/>
              </w:rPr>
              <w:t xml:space="preserve">child can </w:t>
            </w:r>
            <w:r>
              <w:rPr>
                <w:rFonts w:ascii="Times New Roman" w:hAnsi="Times New Roman" w:cs="Times New Roman"/>
                <w:sz w:val="24"/>
                <w:szCs w:val="24"/>
              </w:rPr>
              <w:t>grow their</w:t>
            </w:r>
            <w:r w:rsidRPr="00940D52">
              <w:rPr>
                <w:rFonts w:ascii="Times New Roman" w:hAnsi="Times New Roman" w:cs="Times New Roman"/>
                <w:sz w:val="24"/>
                <w:szCs w:val="24"/>
              </w:rPr>
              <w:t xml:space="preserve"> emotional managem</w:t>
            </w:r>
            <w:r>
              <w:rPr>
                <w:rFonts w:ascii="Times New Roman" w:hAnsi="Times New Roman" w:cs="Times New Roman"/>
                <w:sz w:val="24"/>
                <w:szCs w:val="24"/>
              </w:rPr>
              <w:t>ent skills and provides a template for healthy</w:t>
            </w:r>
            <w:r w:rsidRPr="00940D52">
              <w:rPr>
                <w:rFonts w:ascii="Times New Roman" w:hAnsi="Times New Roman" w:cs="Times New Roman"/>
                <w:sz w:val="24"/>
                <w:szCs w:val="24"/>
              </w:rPr>
              <w:t xml:space="preserve"> relationships (Howe et al., 1999).  An insecure </w:t>
            </w:r>
            <w:r>
              <w:rPr>
                <w:rFonts w:ascii="Times New Roman" w:hAnsi="Times New Roman" w:cs="Times New Roman"/>
                <w:sz w:val="24"/>
                <w:szCs w:val="24"/>
              </w:rPr>
              <w:t>relationship</w:t>
            </w:r>
            <w:r w:rsidRPr="00940D52">
              <w:rPr>
                <w:rFonts w:ascii="Times New Roman" w:hAnsi="Times New Roman" w:cs="Times New Roman"/>
                <w:sz w:val="24"/>
                <w:szCs w:val="24"/>
              </w:rPr>
              <w:t>, ca</w:t>
            </w:r>
            <w:r>
              <w:rPr>
                <w:rFonts w:ascii="Times New Roman" w:hAnsi="Times New Roman" w:cs="Times New Roman"/>
                <w:sz w:val="24"/>
                <w:szCs w:val="24"/>
              </w:rPr>
              <w:t xml:space="preserve">tegorised into </w:t>
            </w:r>
            <w:r w:rsidRPr="00940D52">
              <w:rPr>
                <w:rFonts w:ascii="Times New Roman" w:hAnsi="Times New Roman" w:cs="Times New Roman"/>
                <w:sz w:val="24"/>
                <w:szCs w:val="24"/>
              </w:rPr>
              <w:t>ambivalent</w:t>
            </w:r>
            <w:r>
              <w:rPr>
                <w:rFonts w:ascii="Times New Roman" w:hAnsi="Times New Roman" w:cs="Times New Roman"/>
                <w:sz w:val="24"/>
                <w:szCs w:val="24"/>
              </w:rPr>
              <w:t>, avoidant</w:t>
            </w:r>
            <w:r w:rsidRPr="00940D52">
              <w:rPr>
                <w:rFonts w:ascii="Times New Roman" w:hAnsi="Times New Roman" w:cs="Times New Roman"/>
                <w:sz w:val="24"/>
                <w:szCs w:val="24"/>
              </w:rPr>
              <w:t xml:space="preserve"> or disorganised</w:t>
            </w:r>
            <w:r>
              <w:rPr>
                <w:rFonts w:ascii="Times New Roman" w:hAnsi="Times New Roman" w:cs="Times New Roman"/>
                <w:sz w:val="24"/>
                <w:szCs w:val="24"/>
              </w:rPr>
              <w:t xml:space="preserve"> types, can create an adverse internal working</w:t>
            </w:r>
            <w:r w:rsidRPr="00940D52">
              <w:rPr>
                <w:rFonts w:ascii="Times New Roman" w:hAnsi="Times New Roman" w:cs="Times New Roman"/>
                <w:sz w:val="24"/>
                <w:szCs w:val="24"/>
              </w:rPr>
              <w:t xml:space="preserve"> </w:t>
            </w:r>
            <w:r>
              <w:rPr>
                <w:rFonts w:ascii="Times New Roman" w:hAnsi="Times New Roman" w:cs="Times New Roman"/>
                <w:sz w:val="24"/>
                <w:szCs w:val="24"/>
              </w:rPr>
              <w:t xml:space="preserve">model for </w:t>
            </w:r>
            <w:r w:rsidRPr="00940D52">
              <w:rPr>
                <w:rFonts w:ascii="Times New Roman" w:hAnsi="Times New Roman" w:cs="Times New Roman"/>
                <w:sz w:val="24"/>
                <w:szCs w:val="24"/>
              </w:rPr>
              <w:t xml:space="preserve">relationships, </w:t>
            </w:r>
            <w:r>
              <w:rPr>
                <w:rFonts w:ascii="Times New Roman" w:hAnsi="Times New Roman" w:cs="Times New Roman"/>
                <w:sz w:val="24"/>
                <w:szCs w:val="24"/>
              </w:rPr>
              <w:t>theorised to result in</w:t>
            </w:r>
            <w:r w:rsidRPr="00940D52">
              <w:rPr>
                <w:rFonts w:ascii="Times New Roman" w:hAnsi="Times New Roman" w:cs="Times New Roman"/>
                <w:sz w:val="24"/>
                <w:szCs w:val="24"/>
              </w:rPr>
              <w:t xml:space="preserve"> difficulties </w:t>
            </w:r>
            <w:r>
              <w:rPr>
                <w:rFonts w:ascii="Times New Roman" w:hAnsi="Times New Roman" w:cs="Times New Roman"/>
                <w:sz w:val="24"/>
                <w:szCs w:val="24"/>
              </w:rPr>
              <w:t>with establishing and maintaining</w:t>
            </w:r>
            <w:r w:rsidRPr="00940D52">
              <w:rPr>
                <w:rFonts w:ascii="Times New Roman" w:hAnsi="Times New Roman" w:cs="Times New Roman"/>
                <w:sz w:val="24"/>
                <w:szCs w:val="24"/>
              </w:rPr>
              <w:t xml:space="preserve"> future ones</w:t>
            </w:r>
            <w:r>
              <w:rPr>
                <w:rFonts w:ascii="Times New Roman" w:hAnsi="Times New Roman" w:cs="Times New Roman"/>
                <w:sz w:val="24"/>
                <w:szCs w:val="24"/>
              </w:rPr>
              <w:t xml:space="preserve">, as well as challenges to coping in </w:t>
            </w:r>
            <w:r w:rsidRPr="00940D52">
              <w:rPr>
                <w:rFonts w:ascii="Times New Roman" w:hAnsi="Times New Roman" w:cs="Times New Roman"/>
                <w:sz w:val="24"/>
                <w:szCs w:val="24"/>
              </w:rPr>
              <w:t>social environment</w:t>
            </w:r>
            <w:r>
              <w:rPr>
                <w:rFonts w:ascii="Times New Roman" w:hAnsi="Times New Roman" w:cs="Times New Roman"/>
                <w:sz w:val="24"/>
                <w:szCs w:val="24"/>
              </w:rPr>
              <w:t>s</w:t>
            </w:r>
            <w:r w:rsidRPr="00940D52">
              <w:rPr>
                <w:rFonts w:ascii="Times New Roman" w:hAnsi="Times New Roman" w:cs="Times New Roman"/>
                <w:sz w:val="24"/>
                <w:szCs w:val="24"/>
              </w:rPr>
              <w:t xml:space="preserve"> (Howe, 1996).  </w:t>
            </w:r>
            <w:r>
              <w:rPr>
                <w:rFonts w:ascii="Times New Roman" w:hAnsi="Times New Roman" w:cs="Times New Roman"/>
                <w:sz w:val="24"/>
                <w:szCs w:val="24"/>
              </w:rPr>
              <w:t>Based on information provided by 2’s social worker, 2 experienced abuse and neglect in the foundational early months of their life. Research has found that around eighty percent of children who have experienced elements of abuse and/or neglect develop a disorganised attachment style (Brown &amp; Ward, 2013).  High anxiety in early childhood impacts upon brain development, resulting in difficulties with behavioural organisation and emotional regulation, with children with a disorganised attachment style often displaying controlling behaviours as they grow up (Shemmings et al., 2016).  This could aid with insight into the coercive and controlling element in 1 and 2’s relationship.</w:t>
            </w:r>
            <w:r w:rsidRPr="0039464B">
              <w:rPr>
                <w:rFonts w:ascii="Times New Roman" w:hAnsi="Times New Roman" w:cs="Times New Roman"/>
                <w:sz w:val="24"/>
                <w:szCs w:val="24"/>
              </w:rPr>
              <w:t xml:space="preserve"> </w:t>
            </w:r>
            <w:r>
              <w:rPr>
                <w:rFonts w:ascii="Times New Roman" w:hAnsi="Times New Roman" w:cs="Times New Roman"/>
                <w:sz w:val="24"/>
                <w:szCs w:val="24"/>
              </w:rPr>
              <w:t>The loss</w:t>
            </w:r>
            <w:r w:rsidRPr="00940D52">
              <w:rPr>
                <w:rFonts w:ascii="Times New Roman" w:hAnsi="Times New Roman" w:cs="Times New Roman"/>
                <w:sz w:val="24"/>
                <w:szCs w:val="24"/>
              </w:rPr>
              <w:t xml:space="preserve"> of</w:t>
            </w:r>
            <w:r>
              <w:rPr>
                <w:rFonts w:ascii="Times New Roman" w:hAnsi="Times New Roman" w:cs="Times New Roman"/>
                <w:sz w:val="24"/>
                <w:szCs w:val="24"/>
              </w:rPr>
              <w:t xml:space="preserve"> an</w:t>
            </w:r>
            <w:r w:rsidRPr="00940D52">
              <w:rPr>
                <w:rFonts w:ascii="Times New Roman" w:hAnsi="Times New Roman" w:cs="Times New Roman"/>
                <w:sz w:val="24"/>
                <w:szCs w:val="24"/>
              </w:rPr>
              <w:t xml:space="preserve"> attachment, such as </w:t>
            </w:r>
            <w:r>
              <w:rPr>
                <w:rFonts w:ascii="Times New Roman" w:hAnsi="Times New Roman" w:cs="Times New Roman"/>
                <w:sz w:val="24"/>
                <w:szCs w:val="24"/>
              </w:rPr>
              <w:t>2</w:t>
            </w:r>
            <w:r w:rsidRPr="00940D52">
              <w:rPr>
                <w:rFonts w:ascii="Times New Roman" w:hAnsi="Times New Roman" w:cs="Times New Roman"/>
                <w:sz w:val="24"/>
                <w:szCs w:val="24"/>
              </w:rPr>
              <w:t>’s loss of the</w:t>
            </w:r>
            <w:r>
              <w:rPr>
                <w:rFonts w:ascii="Times New Roman" w:hAnsi="Times New Roman" w:cs="Times New Roman"/>
                <w:sz w:val="24"/>
                <w:szCs w:val="24"/>
              </w:rPr>
              <w:t xml:space="preserve"> </w:t>
            </w:r>
            <w:r w:rsidRPr="00940D52">
              <w:rPr>
                <w:rFonts w:ascii="Times New Roman" w:hAnsi="Times New Roman" w:cs="Times New Roman"/>
                <w:sz w:val="24"/>
                <w:szCs w:val="24"/>
              </w:rPr>
              <w:t xml:space="preserve">relationship with </w:t>
            </w:r>
            <w:r>
              <w:rPr>
                <w:rFonts w:ascii="Times New Roman" w:hAnsi="Times New Roman" w:cs="Times New Roman"/>
                <w:sz w:val="24"/>
                <w:szCs w:val="24"/>
              </w:rPr>
              <w:t>their biological family when they were adopted by 1,</w:t>
            </w:r>
            <w:r w:rsidRPr="00940D52">
              <w:rPr>
                <w:rFonts w:ascii="Times New Roman" w:hAnsi="Times New Roman" w:cs="Times New Roman"/>
                <w:sz w:val="24"/>
                <w:szCs w:val="24"/>
              </w:rPr>
              <w:t xml:space="preserve"> </w:t>
            </w:r>
            <w:r w:rsidRPr="000E77C3">
              <w:rPr>
                <w:rFonts w:ascii="Times New Roman" w:hAnsi="Times New Roman" w:cs="Times New Roman"/>
                <w:sz w:val="24"/>
                <w:szCs w:val="24"/>
              </w:rPr>
              <w:t>has been associated with negative outcomes (Rutter, 1981).  Knowledge of this theory and research helped to inform my understanding of the safeguarding concerns and CPVA observed (SCW, 2017).</w:t>
            </w:r>
          </w:p>
          <w:p w14:paraId="15E53CCB" w14:textId="77777777" w:rsidR="00110EF1" w:rsidRPr="000E77C3" w:rsidRDefault="00110EF1" w:rsidP="00587ED3">
            <w:pPr>
              <w:spacing w:line="480" w:lineRule="auto"/>
              <w:rPr>
                <w:rFonts w:ascii="Times New Roman" w:hAnsi="Times New Roman" w:cs="Times New Roman"/>
                <w:sz w:val="24"/>
                <w:szCs w:val="24"/>
              </w:rPr>
            </w:pPr>
            <w:r w:rsidRPr="000E77C3">
              <w:rPr>
                <w:rFonts w:ascii="Times New Roman" w:hAnsi="Times New Roman" w:cs="Times New Roman"/>
                <w:sz w:val="24"/>
                <w:szCs w:val="24"/>
              </w:rPr>
              <w:tab/>
            </w:r>
            <w:r>
              <w:rPr>
                <w:rStyle w:val="normaltextrun"/>
                <w:rFonts w:ascii="Times New Roman" w:hAnsi="Times New Roman" w:cs="Times New Roman"/>
                <w:sz w:val="24"/>
                <w:szCs w:val="24"/>
                <w:shd w:val="clear" w:color="auto" w:fill="FFFFFF"/>
              </w:rPr>
              <w:t>Some commentators argue that Attachment Theory</w:t>
            </w:r>
            <w:r w:rsidRPr="000E77C3">
              <w:rPr>
                <w:rStyle w:val="normaltextrun"/>
                <w:rFonts w:ascii="Times New Roman" w:hAnsi="Times New Roman" w:cs="Times New Roman"/>
                <w:sz w:val="24"/>
                <w:szCs w:val="24"/>
                <w:shd w:val="clear" w:color="auto" w:fill="FFFFFF"/>
              </w:rPr>
              <w:t xml:space="preserve"> should not</w:t>
            </w:r>
            <w:r>
              <w:rPr>
                <w:rStyle w:val="normaltextrun"/>
                <w:rFonts w:ascii="Times New Roman" w:hAnsi="Times New Roman" w:cs="Times New Roman"/>
                <w:sz w:val="24"/>
                <w:szCs w:val="24"/>
                <w:shd w:val="clear" w:color="auto" w:fill="FFFFFF"/>
              </w:rPr>
              <w:t xml:space="preserve"> inform practice </w:t>
            </w:r>
            <w:r w:rsidRPr="000E77C3">
              <w:rPr>
                <w:rStyle w:val="normaltextrun"/>
                <w:rFonts w:ascii="Times New Roman" w:hAnsi="Times New Roman" w:cs="Times New Roman"/>
                <w:sz w:val="24"/>
                <w:szCs w:val="24"/>
                <w:shd w:val="clear" w:color="auto" w:fill="FFFFFF"/>
              </w:rPr>
              <w:t xml:space="preserve">without critical consideration. The influence of </w:t>
            </w:r>
            <w:r>
              <w:rPr>
                <w:rStyle w:val="normaltextrun"/>
                <w:rFonts w:ascii="Times New Roman" w:hAnsi="Times New Roman" w:cs="Times New Roman"/>
                <w:sz w:val="24"/>
                <w:szCs w:val="24"/>
                <w:shd w:val="clear" w:color="auto" w:fill="FFFFFF"/>
              </w:rPr>
              <w:t xml:space="preserve">wider structures, as well as </w:t>
            </w:r>
            <w:r w:rsidRPr="000E77C3">
              <w:rPr>
                <w:rStyle w:val="normaltextrun"/>
                <w:rFonts w:ascii="Times New Roman" w:hAnsi="Times New Roman" w:cs="Times New Roman"/>
                <w:sz w:val="24"/>
                <w:szCs w:val="24"/>
                <w:shd w:val="clear" w:color="auto" w:fill="FFFFFF"/>
              </w:rPr>
              <w:t>societal factors</w:t>
            </w:r>
            <w:r>
              <w:rPr>
                <w:rStyle w:val="normaltextrun"/>
                <w:rFonts w:ascii="Times New Roman" w:hAnsi="Times New Roman" w:cs="Times New Roman"/>
                <w:sz w:val="24"/>
                <w:szCs w:val="24"/>
                <w:shd w:val="clear" w:color="auto" w:fill="FFFFFF"/>
              </w:rPr>
              <w:t>, must</w:t>
            </w:r>
            <w:r w:rsidRPr="000E77C3">
              <w:rPr>
                <w:rStyle w:val="normaltextrun"/>
                <w:rFonts w:ascii="Times New Roman" w:hAnsi="Times New Roman" w:cs="Times New Roman"/>
                <w:sz w:val="24"/>
                <w:szCs w:val="24"/>
                <w:shd w:val="clear" w:color="auto" w:fill="FFFFFF"/>
              </w:rPr>
              <w:t xml:space="preserve"> be considered </w:t>
            </w:r>
            <w:r>
              <w:rPr>
                <w:rStyle w:val="normaltextrun"/>
                <w:rFonts w:ascii="Times New Roman" w:hAnsi="Times New Roman" w:cs="Times New Roman"/>
                <w:sz w:val="24"/>
                <w:szCs w:val="24"/>
                <w:shd w:val="clear" w:color="auto" w:fill="FFFFFF"/>
              </w:rPr>
              <w:t xml:space="preserve">to ensure a non-judgemental approach </w:t>
            </w:r>
            <w:r w:rsidRPr="000E77C3">
              <w:rPr>
                <w:rStyle w:val="normaltextrun"/>
                <w:rFonts w:ascii="Times New Roman" w:hAnsi="Times New Roman" w:cs="Times New Roman"/>
                <w:sz w:val="24"/>
                <w:szCs w:val="24"/>
                <w:shd w:val="clear" w:color="auto" w:fill="FFFFFF"/>
              </w:rPr>
              <w:t xml:space="preserve">(Buchanan, 2013), hence </w:t>
            </w:r>
            <w:r>
              <w:rPr>
                <w:rStyle w:val="normaltextrun"/>
                <w:rFonts w:ascii="Times New Roman" w:hAnsi="Times New Roman" w:cs="Times New Roman"/>
                <w:sz w:val="24"/>
                <w:szCs w:val="24"/>
                <w:shd w:val="clear" w:color="auto" w:fill="FFFFFF"/>
              </w:rPr>
              <w:t xml:space="preserve">the </w:t>
            </w:r>
            <w:r w:rsidRPr="000E77C3">
              <w:rPr>
                <w:rStyle w:val="normaltextrun"/>
                <w:rFonts w:ascii="Times New Roman" w:hAnsi="Times New Roman" w:cs="Times New Roman"/>
                <w:sz w:val="24"/>
                <w:szCs w:val="24"/>
                <w:shd w:val="clear" w:color="auto" w:fill="FFFFFF"/>
              </w:rPr>
              <w:t xml:space="preserve">importance of also </w:t>
            </w:r>
            <w:r>
              <w:rPr>
                <w:rStyle w:val="normaltextrun"/>
                <w:rFonts w:ascii="Times New Roman" w:hAnsi="Times New Roman" w:cs="Times New Roman"/>
                <w:sz w:val="24"/>
                <w:szCs w:val="24"/>
                <w:shd w:val="clear" w:color="auto" w:fill="FFFFFF"/>
              </w:rPr>
              <w:t>evaluating</w:t>
            </w:r>
            <w:r w:rsidRPr="000E77C3">
              <w:rPr>
                <w:rStyle w:val="normaltextrun"/>
                <w:rFonts w:ascii="Times New Roman" w:hAnsi="Times New Roman" w:cs="Times New Roman"/>
                <w:sz w:val="24"/>
                <w:szCs w:val="24"/>
                <w:shd w:val="clear" w:color="auto" w:fill="FFFFFF"/>
              </w:rPr>
              <w:t xml:space="preserve"> this case study </w:t>
            </w:r>
            <w:r>
              <w:rPr>
                <w:rStyle w:val="normaltextrun"/>
                <w:rFonts w:ascii="Times New Roman" w:hAnsi="Times New Roman" w:cs="Times New Roman"/>
                <w:sz w:val="24"/>
                <w:szCs w:val="24"/>
                <w:shd w:val="clear" w:color="auto" w:fill="FFFFFF"/>
              </w:rPr>
              <w:t>through the lens of</w:t>
            </w:r>
            <w:r w:rsidRPr="000E77C3">
              <w:rPr>
                <w:rStyle w:val="normaltextrun"/>
                <w:rFonts w:ascii="Times New Roman" w:hAnsi="Times New Roman" w:cs="Times New Roman"/>
                <w:sz w:val="24"/>
                <w:szCs w:val="24"/>
                <w:shd w:val="clear" w:color="auto" w:fill="FFFFFF"/>
              </w:rPr>
              <w:t xml:space="preserve"> Systems Theory.  </w:t>
            </w:r>
            <w:r>
              <w:rPr>
                <w:rStyle w:val="normaltextrun"/>
                <w:rFonts w:ascii="Times New Roman" w:hAnsi="Times New Roman" w:cs="Times New Roman"/>
                <w:sz w:val="24"/>
                <w:szCs w:val="24"/>
                <w:shd w:val="clear" w:color="auto" w:fill="FFFFFF"/>
              </w:rPr>
              <w:t xml:space="preserve">These theories are </w:t>
            </w:r>
            <w:r w:rsidRPr="000E77C3">
              <w:rPr>
                <w:rStyle w:val="normaltextrun"/>
                <w:rFonts w:ascii="Times New Roman" w:hAnsi="Times New Roman" w:cs="Times New Roman"/>
                <w:sz w:val="24"/>
                <w:szCs w:val="24"/>
                <w:shd w:val="clear" w:color="auto" w:fill="FFFFFF"/>
              </w:rPr>
              <w:t xml:space="preserve">only </w:t>
            </w:r>
            <w:r>
              <w:rPr>
                <w:rStyle w:val="normaltextrun"/>
                <w:rFonts w:ascii="Times New Roman" w:hAnsi="Times New Roman" w:cs="Times New Roman"/>
                <w:sz w:val="24"/>
                <w:szCs w:val="24"/>
                <w:shd w:val="clear" w:color="auto" w:fill="FFFFFF"/>
              </w:rPr>
              <w:t>able to inform (Collingwood, 2005</w:t>
            </w:r>
            <w:r w:rsidRPr="000E77C3">
              <w:rPr>
                <w:rStyle w:val="normaltextrun"/>
                <w:rFonts w:ascii="Times New Roman" w:hAnsi="Times New Roman" w:cs="Times New Roman"/>
                <w:sz w:val="24"/>
                <w:szCs w:val="24"/>
                <w:shd w:val="clear" w:color="auto" w:fill="FFFFFF"/>
              </w:rPr>
              <w:t xml:space="preserve">), but </w:t>
            </w:r>
            <w:r>
              <w:rPr>
                <w:rStyle w:val="normaltextrun"/>
                <w:rFonts w:ascii="Times New Roman" w:hAnsi="Times New Roman" w:cs="Times New Roman"/>
                <w:sz w:val="24"/>
                <w:szCs w:val="24"/>
                <w:shd w:val="clear" w:color="auto" w:fill="FFFFFF"/>
              </w:rPr>
              <w:t xml:space="preserve">they provided me with understanding which helped me to apply professional judgement and work collaboratively in this practice.  Positive facets of the relationship between 1 and 2 and positive aspects in </w:t>
            </w:r>
            <w:r>
              <w:rPr>
                <w:rStyle w:val="normaltextrun"/>
                <w:rFonts w:ascii="Times New Roman" w:hAnsi="Times New Roman" w:cs="Times New Roman"/>
                <w:sz w:val="24"/>
                <w:szCs w:val="24"/>
                <w:shd w:val="clear" w:color="auto" w:fill="FFFFFF"/>
              </w:rPr>
              <w:lastRenderedPageBreak/>
              <w:t xml:space="preserve">their systems were identified by application of these theories, and these could then be targeted with a theory for intervention - a </w:t>
            </w:r>
            <w:r w:rsidRPr="000E77C3">
              <w:rPr>
                <w:rStyle w:val="normaltextrun"/>
                <w:rFonts w:ascii="Times New Roman" w:hAnsi="Times New Roman" w:cs="Times New Roman"/>
                <w:sz w:val="24"/>
                <w:szCs w:val="24"/>
                <w:shd w:val="clear" w:color="auto" w:fill="FFFFFF"/>
              </w:rPr>
              <w:t xml:space="preserve">Strengths-based Approach.  </w:t>
            </w:r>
            <w:r>
              <w:rPr>
                <w:rStyle w:val="normaltextrun"/>
                <w:rFonts w:ascii="Times New Roman" w:hAnsi="Times New Roman" w:cs="Times New Roman"/>
                <w:sz w:val="24"/>
                <w:szCs w:val="24"/>
                <w:shd w:val="clear" w:color="auto" w:fill="FFFFFF"/>
              </w:rPr>
              <w:t>This approach looks at an individual’s assets, finding where there is resilience and then building on this, rather than concentrating on deficits (Baron et al., 2019).  I did this</w:t>
            </w:r>
            <w:r w:rsidRPr="000E77C3">
              <w:rPr>
                <w:rStyle w:val="normaltextrun"/>
                <w:rFonts w:ascii="Times New Roman" w:hAnsi="Times New Roman" w:cs="Times New Roman"/>
                <w:sz w:val="24"/>
                <w:szCs w:val="24"/>
                <w:shd w:val="clear" w:color="auto" w:fill="FFFFFF"/>
              </w:rPr>
              <w:t xml:space="preserve"> in the risk assessment, </w:t>
            </w:r>
            <w:r>
              <w:rPr>
                <w:rStyle w:val="normaltextrun"/>
                <w:rFonts w:ascii="Times New Roman" w:hAnsi="Times New Roman" w:cs="Times New Roman"/>
                <w:sz w:val="24"/>
                <w:szCs w:val="24"/>
                <w:shd w:val="clear" w:color="auto" w:fill="FFFFFF"/>
              </w:rPr>
              <w:t>with the</w:t>
            </w:r>
            <w:r w:rsidRPr="000E77C3">
              <w:rPr>
                <w:rStyle w:val="normaltextrun"/>
                <w:rFonts w:ascii="Times New Roman" w:hAnsi="Times New Roman" w:cs="Times New Roman"/>
                <w:sz w:val="24"/>
                <w:szCs w:val="24"/>
                <w:shd w:val="clear" w:color="auto" w:fill="FFFFFF"/>
              </w:rPr>
              <w:t xml:space="preserve"> section for risk</w:t>
            </w:r>
            <w:r>
              <w:rPr>
                <w:rStyle w:val="normaltextrun"/>
                <w:rFonts w:ascii="Times New Roman" w:hAnsi="Times New Roman" w:cs="Times New Roman"/>
                <w:sz w:val="24"/>
                <w:szCs w:val="24"/>
                <w:shd w:val="clear" w:color="auto" w:fill="FFFFFF"/>
              </w:rPr>
              <w:t xml:space="preserve"> reduction strategies highlighting 1’s </w:t>
            </w:r>
            <w:r w:rsidRPr="000E77C3">
              <w:rPr>
                <w:rStyle w:val="normaltextrun"/>
                <w:rFonts w:ascii="Times New Roman" w:hAnsi="Times New Roman" w:cs="Times New Roman"/>
                <w:sz w:val="24"/>
                <w:szCs w:val="24"/>
                <w:shd w:val="clear" w:color="auto" w:fill="FFFFFF"/>
              </w:rPr>
              <w:t>protective factors</w:t>
            </w:r>
            <w:r>
              <w:rPr>
                <w:rStyle w:val="normaltextrun"/>
                <w:rFonts w:ascii="Times New Roman" w:hAnsi="Times New Roman" w:cs="Times New Roman"/>
                <w:sz w:val="24"/>
                <w:szCs w:val="24"/>
                <w:shd w:val="clear" w:color="auto" w:fill="FFFFFF"/>
              </w:rPr>
              <w:t xml:space="preserve"> and strengths, which in</w:t>
            </w:r>
            <w:r w:rsidRPr="000E77C3">
              <w:rPr>
                <w:rStyle w:val="normaltextrun"/>
                <w:rFonts w:ascii="Times New Roman" w:hAnsi="Times New Roman" w:cs="Times New Roman"/>
                <w:sz w:val="24"/>
                <w:szCs w:val="24"/>
                <w:shd w:val="clear" w:color="auto" w:fill="FFFFFF"/>
              </w:rPr>
              <w:t xml:space="preserve">cluded </w:t>
            </w:r>
            <w:r>
              <w:rPr>
                <w:rStyle w:val="normaltextrun"/>
                <w:rFonts w:ascii="Times New Roman" w:hAnsi="Times New Roman" w:cs="Times New Roman"/>
                <w:sz w:val="24"/>
                <w:szCs w:val="24"/>
                <w:shd w:val="clear" w:color="auto" w:fill="FFFFFF"/>
              </w:rPr>
              <w:t xml:space="preserve">the </w:t>
            </w:r>
            <w:r w:rsidRPr="000E77C3">
              <w:rPr>
                <w:rStyle w:val="normaltextrun"/>
                <w:rFonts w:ascii="Times New Roman" w:hAnsi="Times New Roman" w:cs="Times New Roman"/>
                <w:sz w:val="24"/>
                <w:szCs w:val="24"/>
                <w:shd w:val="clear" w:color="auto" w:fill="FFFFFF"/>
              </w:rPr>
              <w:t xml:space="preserve">close bond </w:t>
            </w:r>
            <w:r>
              <w:rPr>
                <w:rStyle w:val="normaltextrun"/>
                <w:rFonts w:ascii="Times New Roman" w:hAnsi="Times New Roman" w:cs="Times New Roman"/>
                <w:sz w:val="24"/>
                <w:szCs w:val="24"/>
                <w:shd w:val="clear" w:color="auto" w:fill="FFFFFF"/>
              </w:rPr>
              <w:t xml:space="preserve">which she has with 2 </w:t>
            </w:r>
            <w:r w:rsidRPr="000E77C3">
              <w:rPr>
                <w:rStyle w:val="normaltextrun"/>
                <w:rFonts w:ascii="Times New Roman" w:hAnsi="Times New Roman" w:cs="Times New Roman"/>
                <w:sz w:val="24"/>
                <w:szCs w:val="24"/>
                <w:shd w:val="clear" w:color="auto" w:fill="FFFFFF"/>
              </w:rPr>
              <w:t xml:space="preserve">and </w:t>
            </w:r>
            <w:r>
              <w:rPr>
                <w:rStyle w:val="normaltextrun"/>
                <w:rFonts w:ascii="Times New Roman" w:hAnsi="Times New Roman" w:cs="Times New Roman"/>
                <w:sz w:val="24"/>
                <w:szCs w:val="24"/>
                <w:shd w:val="clear" w:color="auto" w:fill="FFFFFF"/>
              </w:rPr>
              <w:t xml:space="preserve">her openness </w:t>
            </w:r>
            <w:r w:rsidRPr="000E77C3">
              <w:rPr>
                <w:rStyle w:val="normaltextrun"/>
                <w:rFonts w:ascii="Times New Roman" w:hAnsi="Times New Roman" w:cs="Times New Roman"/>
                <w:sz w:val="24"/>
                <w:szCs w:val="24"/>
                <w:shd w:val="clear" w:color="auto" w:fill="FFFFFF"/>
              </w:rPr>
              <w:t xml:space="preserve">to work with </w:t>
            </w:r>
            <w:r>
              <w:rPr>
                <w:rStyle w:val="normaltextrun"/>
                <w:rFonts w:ascii="Times New Roman" w:hAnsi="Times New Roman" w:cs="Times New Roman"/>
                <w:sz w:val="24"/>
                <w:szCs w:val="24"/>
                <w:shd w:val="clear" w:color="auto" w:fill="FFFFFF"/>
              </w:rPr>
              <w:t>prof</w:t>
            </w:r>
            <w:r w:rsidRPr="000E77C3">
              <w:rPr>
                <w:rStyle w:val="normaltextrun"/>
                <w:rFonts w:ascii="Times New Roman" w:hAnsi="Times New Roman" w:cs="Times New Roman"/>
                <w:sz w:val="24"/>
                <w:szCs w:val="24"/>
                <w:shd w:val="clear" w:color="auto" w:fill="FFFFFF"/>
              </w:rPr>
              <w:t xml:space="preserve">essionals.  The </w:t>
            </w:r>
            <w:r w:rsidRPr="000E77C3">
              <w:rPr>
                <w:rStyle w:val="findhit"/>
                <w:rFonts w:ascii="Times New Roman" w:hAnsi="Times New Roman" w:cs="Times New Roman"/>
                <w:sz w:val="24"/>
                <w:szCs w:val="24"/>
                <w:shd w:val="clear" w:color="auto" w:fill="FFFFFF"/>
              </w:rPr>
              <w:t>attachment</w:t>
            </w:r>
            <w:r w:rsidRPr="000E77C3">
              <w:rPr>
                <w:rStyle w:val="normaltextrun"/>
                <w:rFonts w:ascii="Times New Roman" w:hAnsi="Times New Roman" w:cs="Times New Roman"/>
                <w:sz w:val="24"/>
                <w:szCs w:val="24"/>
                <w:shd w:val="clear" w:color="auto" w:fill="FFFFFF"/>
              </w:rPr>
              <w:t xml:space="preserve"> relationship between </w:t>
            </w:r>
            <w:r>
              <w:rPr>
                <w:rStyle w:val="normaltextrun"/>
                <w:rFonts w:ascii="Times New Roman" w:hAnsi="Times New Roman" w:cs="Times New Roman"/>
                <w:sz w:val="24"/>
                <w:szCs w:val="24"/>
                <w:shd w:val="clear" w:color="auto" w:fill="FFFFFF"/>
              </w:rPr>
              <w:t xml:space="preserve">a </w:t>
            </w:r>
            <w:r w:rsidRPr="000E77C3">
              <w:rPr>
                <w:rStyle w:val="normaltextrun"/>
                <w:rFonts w:ascii="Times New Roman" w:hAnsi="Times New Roman" w:cs="Times New Roman"/>
                <w:sz w:val="24"/>
                <w:szCs w:val="24"/>
                <w:shd w:val="clear" w:color="auto" w:fill="FFFFFF"/>
              </w:rPr>
              <w:t xml:space="preserve">practitioner and </w:t>
            </w:r>
            <w:r>
              <w:rPr>
                <w:rStyle w:val="normaltextrun"/>
                <w:rFonts w:ascii="Times New Roman" w:hAnsi="Times New Roman" w:cs="Times New Roman"/>
                <w:sz w:val="24"/>
                <w:szCs w:val="24"/>
                <w:shd w:val="clear" w:color="auto" w:fill="FFFFFF"/>
              </w:rPr>
              <w:t xml:space="preserve">an </w:t>
            </w:r>
            <w:r w:rsidRPr="000E77C3">
              <w:rPr>
                <w:rStyle w:val="normaltextrun"/>
                <w:rFonts w:ascii="Times New Roman" w:hAnsi="Times New Roman" w:cs="Times New Roman"/>
                <w:sz w:val="24"/>
                <w:szCs w:val="24"/>
                <w:shd w:val="clear" w:color="auto" w:fill="FFFFFF"/>
              </w:rPr>
              <w:t>individual</w:t>
            </w:r>
            <w:r>
              <w:rPr>
                <w:rStyle w:val="normaltextrun"/>
                <w:rFonts w:ascii="Times New Roman" w:hAnsi="Times New Roman" w:cs="Times New Roman"/>
                <w:sz w:val="24"/>
                <w:szCs w:val="24"/>
                <w:shd w:val="clear" w:color="auto" w:fill="FFFFFF"/>
              </w:rPr>
              <w:t xml:space="preserve"> </w:t>
            </w:r>
            <w:r w:rsidRPr="000E77C3">
              <w:rPr>
                <w:rStyle w:val="normaltextrun"/>
                <w:rFonts w:ascii="Times New Roman" w:hAnsi="Times New Roman" w:cs="Times New Roman"/>
                <w:sz w:val="24"/>
                <w:szCs w:val="24"/>
                <w:shd w:val="clear" w:color="auto" w:fill="FFFFFF"/>
              </w:rPr>
              <w:t xml:space="preserve">may be able to </w:t>
            </w:r>
            <w:r>
              <w:rPr>
                <w:rStyle w:val="normaltextrun"/>
                <w:rFonts w:ascii="Times New Roman" w:hAnsi="Times New Roman" w:cs="Times New Roman"/>
                <w:sz w:val="24"/>
                <w:szCs w:val="24"/>
                <w:shd w:val="clear" w:color="auto" w:fill="FFFFFF"/>
              </w:rPr>
              <w:t>support</w:t>
            </w:r>
            <w:r w:rsidRPr="000E77C3">
              <w:rPr>
                <w:rStyle w:val="normaltextrun"/>
                <w:rFonts w:ascii="Times New Roman" w:hAnsi="Times New Roman" w:cs="Times New Roman"/>
                <w:sz w:val="24"/>
                <w:szCs w:val="24"/>
                <w:shd w:val="clear" w:color="auto" w:fill="FFFFFF"/>
              </w:rPr>
              <w:t xml:space="preserve"> in </w:t>
            </w:r>
            <w:r>
              <w:rPr>
                <w:rStyle w:val="normaltextrun"/>
                <w:rFonts w:ascii="Times New Roman" w:hAnsi="Times New Roman" w:cs="Times New Roman"/>
                <w:sz w:val="24"/>
                <w:szCs w:val="24"/>
                <w:shd w:val="clear" w:color="auto" w:fill="FFFFFF"/>
              </w:rPr>
              <w:t>disrupting</w:t>
            </w:r>
            <w:r w:rsidRPr="000E77C3">
              <w:rPr>
                <w:rStyle w:val="normaltextrun"/>
                <w:rFonts w:ascii="Times New Roman" w:hAnsi="Times New Roman" w:cs="Times New Roman"/>
                <w:sz w:val="24"/>
                <w:szCs w:val="24"/>
                <w:shd w:val="clear" w:color="auto" w:fill="FFFFFF"/>
              </w:rPr>
              <w:t xml:space="preserve"> the </w:t>
            </w:r>
            <w:r>
              <w:rPr>
                <w:rStyle w:val="normaltextrun"/>
                <w:rFonts w:ascii="Times New Roman" w:hAnsi="Times New Roman" w:cs="Times New Roman"/>
                <w:sz w:val="24"/>
                <w:szCs w:val="24"/>
                <w:shd w:val="clear" w:color="auto" w:fill="FFFFFF"/>
              </w:rPr>
              <w:t>conveyance</w:t>
            </w:r>
            <w:r w:rsidRPr="000E77C3">
              <w:rPr>
                <w:rStyle w:val="normaltextrun"/>
                <w:rFonts w:ascii="Times New Roman" w:hAnsi="Times New Roman" w:cs="Times New Roman"/>
                <w:sz w:val="24"/>
                <w:szCs w:val="24"/>
                <w:shd w:val="clear" w:color="auto" w:fill="FFFFFF"/>
              </w:rPr>
              <w:t xml:space="preserve"> of insecure </w:t>
            </w:r>
            <w:r w:rsidRPr="000E77C3">
              <w:rPr>
                <w:rStyle w:val="findhit"/>
                <w:rFonts w:ascii="Times New Roman" w:hAnsi="Times New Roman" w:cs="Times New Roman"/>
                <w:sz w:val="24"/>
                <w:szCs w:val="24"/>
                <w:shd w:val="clear" w:color="auto" w:fill="FFFFFF"/>
              </w:rPr>
              <w:t>attachment</w:t>
            </w:r>
            <w:r w:rsidRPr="000E77C3">
              <w:rPr>
                <w:rStyle w:val="normaltextrun"/>
                <w:rFonts w:ascii="Times New Roman" w:hAnsi="Times New Roman" w:cs="Times New Roman"/>
                <w:sz w:val="24"/>
                <w:szCs w:val="24"/>
                <w:shd w:val="clear" w:color="auto" w:fill="FFFFFF"/>
              </w:rPr>
              <w:t xml:space="preserve"> styles (Howe et al., 1999), </w:t>
            </w:r>
            <w:r>
              <w:rPr>
                <w:rStyle w:val="normaltextrun"/>
                <w:rFonts w:ascii="Times New Roman" w:hAnsi="Times New Roman" w:cs="Times New Roman"/>
                <w:sz w:val="24"/>
                <w:szCs w:val="24"/>
                <w:shd w:val="clear" w:color="auto" w:fill="FFFFFF"/>
              </w:rPr>
              <w:t>also congruent</w:t>
            </w:r>
            <w:r w:rsidRPr="000E77C3">
              <w:rPr>
                <w:rStyle w:val="normaltextrun"/>
                <w:rFonts w:ascii="Times New Roman" w:hAnsi="Times New Roman" w:cs="Times New Roman"/>
                <w:sz w:val="24"/>
                <w:szCs w:val="24"/>
                <w:shd w:val="clear" w:color="auto" w:fill="FFFFFF"/>
              </w:rPr>
              <w:t xml:space="preserve"> with Relationship-based Practice.  </w:t>
            </w:r>
            <w:r>
              <w:rPr>
                <w:rStyle w:val="normaltextrun"/>
                <w:rFonts w:ascii="Times New Roman" w:hAnsi="Times New Roman" w:cs="Times New Roman"/>
                <w:sz w:val="24"/>
                <w:szCs w:val="24"/>
                <w:shd w:val="clear" w:color="auto" w:fill="FFFFFF"/>
              </w:rPr>
              <w:t>As well as providing further rationale for</w:t>
            </w:r>
            <w:r w:rsidRPr="000E77C3">
              <w:rPr>
                <w:rStyle w:val="normaltextrun"/>
                <w:rFonts w:ascii="Times New Roman" w:hAnsi="Times New Roman" w:cs="Times New Roman"/>
                <w:sz w:val="24"/>
                <w:szCs w:val="24"/>
                <w:shd w:val="clear" w:color="auto" w:fill="FFFFFF"/>
              </w:rPr>
              <w:t xml:space="preserve"> visiting with 2’s social worker to share</w:t>
            </w:r>
            <w:r>
              <w:rPr>
                <w:rStyle w:val="normaltextrun"/>
                <w:rFonts w:ascii="Times New Roman" w:hAnsi="Times New Roman" w:cs="Times New Roman"/>
                <w:sz w:val="24"/>
                <w:szCs w:val="24"/>
                <w:shd w:val="clear" w:color="auto" w:fill="FFFFFF"/>
              </w:rPr>
              <w:t xml:space="preserve"> the</w:t>
            </w:r>
            <w:r w:rsidRPr="000E77C3">
              <w:rPr>
                <w:rStyle w:val="normaltextrun"/>
                <w:rFonts w:ascii="Times New Roman" w:hAnsi="Times New Roman" w:cs="Times New Roman"/>
                <w:sz w:val="24"/>
                <w:szCs w:val="24"/>
                <w:shd w:val="clear" w:color="auto" w:fill="FFFFFF"/>
              </w:rPr>
              <w:t xml:space="preserve"> risk assessment, </w:t>
            </w:r>
            <w:r>
              <w:rPr>
                <w:rStyle w:val="normaltextrun"/>
                <w:rFonts w:ascii="Times New Roman" w:hAnsi="Times New Roman" w:cs="Times New Roman"/>
                <w:sz w:val="24"/>
                <w:szCs w:val="24"/>
                <w:shd w:val="clear" w:color="auto" w:fill="FFFFFF"/>
              </w:rPr>
              <w:t>not only to ensure 2’s understanding, but also with the aim of continuing to</w:t>
            </w:r>
            <w:r w:rsidRPr="000E77C3">
              <w:rPr>
                <w:rStyle w:val="normaltextrun"/>
                <w:rFonts w:ascii="Times New Roman" w:hAnsi="Times New Roman" w:cs="Times New Roman"/>
                <w:sz w:val="24"/>
                <w:szCs w:val="24"/>
                <w:shd w:val="clear" w:color="auto" w:fill="FFFFFF"/>
              </w:rPr>
              <w:t xml:space="preserve"> build positive working relationships between all of those involved in 1’s network (SCW, 2017).</w:t>
            </w:r>
            <w:r>
              <w:rPr>
                <w:rStyle w:val="normaltextrun"/>
                <w:rFonts w:ascii="Times New Roman" w:hAnsi="Times New Roman" w:cs="Times New Roman"/>
                <w:sz w:val="24"/>
                <w:szCs w:val="24"/>
                <w:shd w:val="clear" w:color="auto" w:fill="FFFFFF"/>
              </w:rPr>
              <w:t xml:space="preserve">  </w:t>
            </w:r>
          </w:p>
          <w:p w14:paraId="165A00CE" w14:textId="77777777" w:rsidR="00110EF1" w:rsidRDefault="00110EF1" w:rsidP="00587ED3">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Professional ethics were also an important consideration in this case study, as well as being fundamental to all social work practice.  The British Association of Social Workers sets out a Code of Ethics (2021) upon which the profession should be based, which I signed up to discharge when becoming a member.  The Code identifies the three core values of human rights, social justice, and professional integrity.  With each of these having a subset of principles which practitioners should adhere to (BASW, 2021).  The main principles which I applied during this practice included working with other professionals to gain a holistic view of 1’s circumstances.  Whilst 2’s difficulties are also subject to a high level of social work input, my practice with 1, such as attending 2’s MDT meetings to represent 1’s views and wishes, helped to ensure that her outcomes were raised to same level of importance as 2’s.  I respected 1’s right to self-determination and encouraged her participation.  My work with 1 identified a number of strengths, and my collaboration with the MDT worked towards developing these.  The Code also provides </w:t>
            </w:r>
            <w:r>
              <w:rPr>
                <w:rFonts w:ascii="Times New Roman" w:hAnsi="Times New Roman" w:cs="Times New Roman"/>
                <w:sz w:val="24"/>
                <w:szCs w:val="24"/>
              </w:rPr>
              <w:lastRenderedPageBreak/>
              <w:t>guidelines for how to practice ethically, which I followed by: developing a professional relationship with 1 and 2; assessment of the risks; the sharing of information appropriately; working within 1’s boundaries of consent; and the creation and maintenance of clear and accurate records.  Additionally, I took responsibility for my own learning and development by: looking into research around CPVA; accessing the Wales Safeguarding Procedures app and using the practice guidance; and speaking with the practitioners in the Safeguarding Team for advice and consultation (BASW, 2021).</w:t>
            </w:r>
          </w:p>
          <w:p w14:paraId="15DD9623" w14:textId="77777777" w:rsidR="00110EF1" w:rsidRDefault="00110EF1" w:rsidP="00587ED3">
            <w:pPr>
              <w:spacing w:line="480" w:lineRule="auto"/>
              <w:ind w:firstLine="360"/>
              <w:rPr>
                <w:rFonts w:ascii="Times New Roman" w:hAnsi="Times New Roman" w:cs="Times New Roman"/>
                <w:sz w:val="24"/>
                <w:szCs w:val="24"/>
              </w:rPr>
            </w:pPr>
            <w:r>
              <w:rPr>
                <w:rFonts w:ascii="Times New Roman" w:hAnsi="Times New Roman" w:cs="Times New Roman"/>
                <w:sz w:val="24"/>
                <w:szCs w:val="24"/>
              </w:rPr>
              <w:t>Reflection also an important facet of ethical practice (BASW, 2021).  I did this both in peer supervision sessions, as well as during formal supervision with my line manager.  I found these forums useful to discuss areas of the practice which I found difficult, such as sharing some aspects of risk identified in assessment with 1, as I know how I would feel seeing things like that written about myself.  However, identifying and acknowledging this feeling meant that I was able to approach these areas in a sensitive manner.  I also found the Weather Model by Maclean (2016) to be of use when reflecting on my experience from this case study.  The Weather Model includes four stages: sunshine – what went well; rain – what did not go well; lightning – what was shocking or surprising; and fog – what was not understood.  My ‘sunshine’ was supporting 1 to gain an understanding of CPVA, and observing how having some knowledge and understanding was empowering for her.  What I felt did not go as well was feeling that despite the input, that 1’s circumstances have not improved enough for her to no longer be considered at risk, and in the time since this particular safeguarding incident occurred, there have been further concerns.  However, I have been able to reflect on this and consolidate</w:t>
            </w:r>
            <w:r w:rsidRPr="00BC5A04">
              <w:rPr>
                <w:rFonts w:ascii="Times New Roman" w:hAnsi="Times New Roman" w:cs="Times New Roman"/>
                <w:sz w:val="24"/>
                <w:szCs w:val="24"/>
              </w:rPr>
              <w:t xml:space="preserve"> that </w:t>
            </w:r>
            <w:r>
              <w:rPr>
                <w:rFonts w:ascii="Times New Roman" w:hAnsi="Times New Roman" w:cs="Times New Roman"/>
                <w:sz w:val="24"/>
                <w:szCs w:val="24"/>
              </w:rPr>
              <w:t>view that it is not possible to ever completely</w:t>
            </w:r>
            <w:r w:rsidRPr="00BC5A04">
              <w:rPr>
                <w:rFonts w:ascii="Times New Roman" w:hAnsi="Times New Roman" w:cs="Times New Roman"/>
                <w:sz w:val="24"/>
                <w:szCs w:val="24"/>
              </w:rPr>
              <w:t xml:space="preserve"> remove risk, </w:t>
            </w:r>
            <w:r>
              <w:rPr>
                <w:rFonts w:ascii="Times New Roman" w:hAnsi="Times New Roman" w:cs="Times New Roman"/>
                <w:sz w:val="24"/>
                <w:szCs w:val="24"/>
              </w:rPr>
              <w:t xml:space="preserve">but simply work towards reduction and minimisation (Kemshall, 2013), particularly when respecting an individual’s self-determination and, ultimately, human rights.  What I found most surprising was witnessing the impact which coercion and </w:t>
            </w:r>
            <w:r>
              <w:rPr>
                <w:rFonts w:ascii="Times New Roman" w:hAnsi="Times New Roman" w:cs="Times New Roman"/>
                <w:sz w:val="24"/>
                <w:szCs w:val="24"/>
              </w:rPr>
              <w:lastRenderedPageBreak/>
              <w:t xml:space="preserve">control had on 1’s recollection of events, which had changed drastically during the screening process from the initial safeguarding report.  I had worked with individuals experiencing domestic abuse in a previous role, and believed that I good knowledge and understanding in this area, but this practice highlights the importance of tailoring all work to the needs of each individual/family due to complexities of the human experience (Beckett &amp; Taylor, 2016).  The ‘fog’ in this practice was also related to 1 and 2’s differing accounts of their circumstances.  2’s additional needs and vulnerabilities must be considered, which adds further complexities when assessing the veracity of some their reports and when planning intervention.  </w:t>
            </w:r>
          </w:p>
          <w:p w14:paraId="70D57223" w14:textId="77777777" w:rsidR="00110EF1" w:rsidRPr="00BC5A04" w:rsidRDefault="00110EF1" w:rsidP="00587ED3">
            <w:pPr>
              <w:spacing w:line="480" w:lineRule="auto"/>
              <w:ind w:firstLine="360"/>
              <w:rPr>
                <w:rFonts w:ascii="Times New Roman" w:hAnsi="Times New Roman" w:cs="Times New Roman"/>
                <w:sz w:val="24"/>
                <w:szCs w:val="24"/>
              </w:rPr>
            </w:pPr>
            <w:r>
              <w:rPr>
                <w:rFonts w:ascii="Times New Roman" w:hAnsi="Times New Roman" w:cs="Times New Roman"/>
                <w:sz w:val="24"/>
                <w:szCs w:val="24"/>
              </w:rPr>
              <w:t>Following the safeguarding incident and initial intervention which this case study concentrates upon, the policies and principles which have been discussed throughout this essay have been continually applied to my ongoing practice with 1.  I continued to convene regular MDT meetings for the monitoring of risks and updates from all practitioners on how they were being managed.  In these meetings 1’s risk assessment was always shared, updated and then uploaded onto the recording system.  Through this practice I believe that I have developed my knowledge around the safeguarding process as well as the application of the necessary skills, values and ethics of social work.  This is learning and professional judgement which I can apply to future safeguarding casework, in particular the importance and effectiveness of collaborative working.  Reflecting on the case has consolidated the utility of social work theory for both informing my understanding of increasingly complex situations and my hands on work, as well as the legislative framework which underpins safeguarding practice in social work.</w:t>
            </w:r>
          </w:p>
          <w:p w14:paraId="4788961C" w14:textId="77777777" w:rsidR="00110EF1" w:rsidRPr="00BC5A04" w:rsidRDefault="00110EF1" w:rsidP="00587ED3">
            <w:pPr>
              <w:rPr>
                <w:rFonts w:ascii="Times New Roman" w:hAnsi="Times New Roman" w:cs="Times New Roman"/>
                <w:sz w:val="24"/>
                <w:szCs w:val="24"/>
              </w:rPr>
            </w:pPr>
            <w:bookmarkStart w:id="0" w:name="_GoBack"/>
            <w:bookmarkEnd w:id="0"/>
          </w:p>
          <w:p w14:paraId="5DF39181" w14:textId="74905E42" w:rsidR="00110EF1" w:rsidRPr="00BC5A04" w:rsidRDefault="00110EF1" w:rsidP="00587ED3">
            <w:pPr>
              <w:rPr>
                <w:rFonts w:ascii="Times New Roman" w:hAnsi="Times New Roman" w:cs="Times New Roman"/>
                <w:sz w:val="24"/>
                <w:szCs w:val="24"/>
              </w:rPr>
            </w:pPr>
            <w:r>
              <w:rPr>
                <w:rFonts w:ascii="Times New Roman" w:hAnsi="Times New Roman" w:cs="Times New Roman"/>
                <w:b/>
                <w:sz w:val="24"/>
                <w:szCs w:val="24"/>
              </w:rPr>
              <w:t>Word Co</w:t>
            </w:r>
            <w:r>
              <w:rPr>
                <w:rFonts w:ascii="Times New Roman" w:hAnsi="Times New Roman" w:cs="Times New Roman"/>
                <w:b/>
                <w:sz w:val="24"/>
                <w:szCs w:val="24"/>
              </w:rPr>
              <w:t>unt: 4169</w:t>
            </w:r>
          </w:p>
          <w:p w14:paraId="6421D9D4" w14:textId="77777777" w:rsidR="00110EF1" w:rsidRPr="008B28E7" w:rsidRDefault="00110EF1" w:rsidP="00587ED3">
            <w:pPr>
              <w:jc w:val="both"/>
              <w:rPr>
                <w:sz w:val="24"/>
                <w:szCs w:val="24"/>
              </w:rPr>
            </w:pPr>
          </w:p>
        </w:tc>
      </w:tr>
    </w:tbl>
    <w:p w14:paraId="0D7B037A" w14:textId="77777777" w:rsidR="00E83C79" w:rsidRPr="00110EF1" w:rsidRDefault="00E83C79" w:rsidP="00110EF1"/>
    <w:sectPr w:rsidR="00E83C79" w:rsidRPr="00110EF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7B037D" w14:textId="77777777" w:rsidR="00245737" w:rsidRDefault="00245737" w:rsidP="00BE5654">
      <w:r>
        <w:separator/>
      </w:r>
    </w:p>
  </w:endnote>
  <w:endnote w:type="continuationSeparator" w:id="0">
    <w:p w14:paraId="0D7B037E" w14:textId="77777777" w:rsidR="00245737" w:rsidRDefault="00245737" w:rsidP="00BE5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0632305"/>
      <w:docPartObj>
        <w:docPartGallery w:val="Page Numbers (Bottom of Page)"/>
        <w:docPartUnique/>
      </w:docPartObj>
    </w:sdtPr>
    <w:sdtEndPr>
      <w:rPr>
        <w:noProof/>
      </w:rPr>
    </w:sdtEndPr>
    <w:sdtContent>
      <w:p w14:paraId="0D7B037F" w14:textId="7AC50EC1" w:rsidR="00BE5654" w:rsidRDefault="00BE5654">
        <w:pPr>
          <w:pStyle w:val="Footer"/>
          <w:jc w:val="center"/>
        </w:pPr>
        <w:r>
          <w:fldChar w:fldCharType="begin"/>
        </w:r>
        <w:r>
          <w:instrText xml:space="preserve"> PAGE   \* MERGEFORMAT </w:instrText>
        </w:r>
        <w:r>
          <w:fldChar w:fldCharType="separate"/>
        </w:r>
        <w:r w:rsidR="00110EF1">
          <w:rPr>
            <w:noProof/>
          </w:rPr>
          <w:t>1</w:t>
        </w:r>
        <w:r>
          <w:rPr>
            <w:noProof/>
          </w:rPr>
          <w:fldChar w:fldCharType="end"/>
        </w:r>
      </w:p>
    </w:sdtContent>
  </w:sdt>
  <w:p w14:paraId="0D7B0380" w14:textId="77777777" w:rsidR="00BE5654" w:rsidRDefault="00BE56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7B037B" w14:textId="77777777" w:rsidR="00245737" w:rsidRDefault="00245737" w:rsidP="00BE5654">
      <w:r>
        <w:separator/>
      </w:r>
    </w:p>
  </w:footnote>
  <w:footnote w:type="continuationSeparator" w:id="0">
    <w:p w14:paraId="0D7B037C" w14:textId="77777777" w:rsidR="00245737" w:rsidRDefault="00245737" w:rsidP="00BE56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F6831"/>
    <w:multiLevelType w:val="hybridMultilevel"/>
    <w:tmpl w:val="04AA66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5077"/>
    <w:rsid w:val="00110EF1"/>
    <w:rsid w:val="00134162"/>
    <w:rsid w:val="00245737"/>
    <w:rsid w:val="003F7B08"/>
    <w:rsid w:val="00BE5654"/>
    <w:rsid w:val="00CC5077"/>
    <w:rsid w:val="00E83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B034D"/>
  <w15:chartTrackingRefBased/>
  <w15:docId w15:val="{78B99BD0-1980-4B8A-91C9-54D0456D8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B08"/>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3F7B08"/>
  </w:style>
  <w:style w:type="paragraph" w:styleId="ListParagraph">
    <w:name w:val="List Paragraph"/>
    <w:basedOn w:val="Normal"/>
    <w:uiPriority w:val="34"/>
    <w:qFormat/>
    <w:rsid w:val="003F7B08"/>
    <w:pPr>
      <w:ind w:left="720"/>
      <w:contextualSpacing/>
    </w:pPr>
  </w:style>
  <w:style w:type="character" w:customStyle="1" w:styleId="findhit">
    <w:name w:val="findhit"/>
    <w:basedOn w:val="DefaultParagraphFont"/>
    <w:rsid w:val="003F7B08"/>
  </w:style>
  <w:style w:type="paragraph" w:styleId="Header">
    <w:name w:val="header"/>
    <w:basedOn w:val="Normal"/>
    <w:link w:val="HeaderChar"/>
    <w:uiPriority w:val="99"/>
    <w:unhideWhenUsed/>
    <w:rsid w:val="00BE5654"/>
    <w:pPr>
      <w:tabs>
        <w:tab w:val="center" w:pos="4513"/>
        <w:tab w:val="right" w:pos="9026"/>
      </w:tabs>
    </w:pPr>
  </w:style>
  <w:style w:type="character" w:customStyle="1" w:styleId="HeaderChar">
    <w:name w:val="Header Char"/>
    <w:basedOn w:val="DefaultParagraphFont"/>
    <w:link w:val="Header"/>
    <w:uiPriority w:val="99"/>
    <w:rsid w:val="00BE5654"/>
    <w:rPr>
      <w:rFonts w:ascii="Arial" w:eastAsia="Times New Roman" w:hAnsi="Arial" w:cs="Arial"/>
      <w:color w:val="000000"/>
      <w:sz w:val="20"/>
      <w:szCs w:val="20"/>
      <w:lang w:eastAsia="en-GB"/>
    </w:rPr>
  </w:style>
  <w:style w:type="paragraph" w:styleId="Footer">
    <w:name w:val="footer"/>
    <w:basedOn w:val="Normal"/>
    <w:link w:val="FooterChar"/>
    <w:uiPriority w:val="99"/>
    <w:unhideWhenUsed/>
    <w:rsid w:val="00BE5654"/>
    <w:pPr>
      <w:tabs>
        <w:tab w:val="center" w:pos="4513"/>
        <w:tab w:val="right" w:pos="9026"/>
      </w:tabs>
    </w:pPr>
  </w:style>
  <w:style w:type="character" w:customStyle="1" w:styleId="FooterChar">
    <w:name w:val="Footer Char"/>
    <w:basedOn w:val="DefaultParagraphFont"/>
    <w:link w:val="Footer"/>
    <w:uiPriority w:val="99"/>
    <w:rsid w:val="00BE5654"/>
    <w:rPr>
      <w:rFonts w:ascii="Arial" w:eastAsia="Times New Roman" w:hAnsi="Arial" w:cs="Arial"/>
      <w:color w:val="000000"/>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4091</Words>
  <Characters>23321</Characters>
  <Application>Microsoft Office Word</Application>
  <DocSecurity>0</DocSecurity>
  <Lines>194</Lines>
  <Paragraphs>54</Paragraphs>
  <ScaleCrop>false</ScaleCrop>
  <Company>Conwy County Borough Council</Company>
  <LinksUpToDate>false</LinksUpToDate>
  <CharactersWithSpaces>27358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Thomas</dc:creator>
  <cp:keywords/>
  <dc:description/>
  <cp:lastModifiedBy>Kate Thomas</cp:lastModifiedBy>
  <cp:revision>4</cp:revision>
  <dcterms:created xsi:type="dcterms:W3CDTF">2023-02-09T19:05:00Z</dcterms:created>
  <dcterms:modified xsi:type="dcterms:W3CDTF">2023-02-18T15:54:00Z</dcterms:modified>
</cp:coreProperties>
</file>