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13FD4" w14:textId="56940406" w:rsidR="009A6B11" w:rsidRDefault="00C55CC2">
      <w:r w:rsidRPr="00C55CC2">
        <w:rPr>
          <w:noProof/>
        </w:rPr>
        <w:drawing>
          <wp:inline distT="0" distB="0" distL="0" distR="0" wp14:anchorId="076B3CB7" wp14:editId="268D4CD3">
            <wp:extent cx="5715000" cy="1895475"/>
            <wp:effectExtent l="0" t="0" r="0" b="9525"/>
            <wp:docPr id="1026" name="Picture 2" descr="A black background with white text&#10;&#10;Description automatically generated">
              <a:extLst xmlns:a="http://schemas.openxmlformats.org/drawingml/2006/main">
                <a:ext uri="{FF2B5EF4-FFF2-40B4-BE49-F238E27FC236}">
                  <a16:creationId xmlns:a16="http://schemas.microsoft.com/office/drawing/2014/main" id="{5D4E276B-9E49-F878-9900-09582695DE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black background with white text&#10;&#10;Description automatically generated">
                      <a:extLst>
                        <a:ext uri="{FF2B5EF4-FFF2-40B4-BE49-F238E27FC236}">
                          <a16:creationId xmlns:a16="http://schemas.microsoft.com/office/drawing/2014/main" id="{5D4E276B-9E49-F878-9900-09582695DEC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A7AE19B" w14:textId="77777777" w:rsidR="00C55CC2" w:rsidRDefault="00C55CC2"/>
    <w:p w14:paraId="7E289624" w14:textId="77777777" w:rsidR="00C55CC2" w:rsidRDefault="00C55CC2"/>
    <w:p w14:paraId="19C74862" w14:textId="77777777" w:rsidR="00C55CC2" w:rsidRDefault="00C55CC2" w:rsidP="00C55CC2">
      <w:pPr>
        <w:rPr>
          <w:b/>
          <w:bCs/>
        </w:rPr>
      </w:pPr>
    </w:p>
    <w:p w14:paraId="1EE91B2D" w14:textId="77777777" w:rsidR="00C55CC2" w:rsidRDefault="00C55CC2" w:rsidP="00C55CC2">
      <w:pPr>
        <w:rPr>
          <w:b/>
          <w:bCs/>
        </w:rPr>
      </w:pPr>
    </w:p>
    <w:p w14:paraId="57E365B8" w14:textId="77777777" w:rsidR="00C55CC2" w:rsidRDefault="00C55CC2" w:rsidP="00C55CC2">
      <w:pPr>
        <w:rPr>
          <w:b/>
          <w:bCs/>
        </w:rPr>
      </w:pPr>
    </w:p>
    <w:p w14:paraId="6D5EF9BE" w14:textId="3627435C" w:rsidR="00C55CC2" w:rsidRPr="00DD1D8B" w:rsidRDefault="00DD1D8B" w:rsidP="00A51DC7">
      <w:pPr>
        <w:spacing w:before="300" w:after="300"/>
        <w:rPr>
          <w:rFonts w:ascii="Arial" w:hAnsi="Arial" w:cs="Arial"/>
          <w:i/>
          <w:iCs/>
        </w:rPr>
      </w:pPr>
      <w:r w:rsidRPr="00DD1D8B">
        <w:rPr>
          <w:rFonts w:ascii="Arial" w:hAnsi="Arial" w:cs="Arial"/>
          <w:b/>
          <w:bCs/>
          <w:i/>
          <w:iCs/>
        </w:rPr>
        <w:t>BA (Hons) Leadership and Management Skills for the Workplace</w:t>
      </w:r>
    </w:p>
    <w:p w14:paraId="6F9FDF3D" w14:textId="77777777" w:rsidR="00C55CC2" w:rsidRPr="009528BC" w:rsidRDefault="00C55CC2" w:rsidP="00A51DC7">
      <w:pPr>
        <w:spacing w:before="300" w:after="300"/>
        <w:rPr>
          <w:rFonts w:ascii="Arial" w:hAnsi="Arial" w:cs="Arial"/>
        </w:rPr>
      </w:pPr>
      <w:r w:rsidRPr="009528BC">
        <w:rPr>
          <w:rFonts w:ascii="Arial" w:hAnsi="Arial" w:cs="Arial"/>
          <w:b/>
          <w:bCs/>
          <w:i/>
          <w:iCs/>
        </w:rPr>
        <w:t>Student Name: Artjoms Tigunovs</w:t>
      </w:r>
    </w:p>
    <w:p w14:paraId="634412AE" w14:textId="77777777" w:rsidR="00C55CC2" w:rsidRPr="009528BC" w:rsidRDefault="00C55CC2" w:rsidP="00A51DC7">
      <w:pPr>
        <w:spacing w:before="300" w:after="300"/>
        <w:rPr>
          <w:rFonts w:ascii="Arial" w:hAnsi="Arial" w:cs="Arial"/>
        </w:rPr>
      </w:pPr>
      <w:r w:rsidRPr="009528BC">
        <w:rPr>
          <w:rFonts w:ascii="Arial" w:hAnsi="Arial" w:cs="Arial"/>
          <w:b/>
          <w:bCs/>
          <w:i/>
          <w:iCs/>
        </w:rPr>
        <w:t>Student Number: 2408073</w:t>
      </w:r>
    </w:p>
    <w:p w14:paraId="074415EB" w14:textId="6453DA4D" w:rsidR="00BD4954" w:rsidRDefault="00C55CC2" w:rsidP="00A51DC7">
      <w:pPr>
        <w:spacing w:before="300" w:after="300"/>
        <w:rPr>
          <w:rFonts w:ascii="Arial" w:hAnsi="Arial" w:cs="Arial"/>
          <w:i/>
          <w:iCs/>
        </w:rPr>
      </w:pPr>
      <w:r w:rsidRPr="009528BC">
        <w:rPr>
          <w:rFonts w:ascii="Arial" w:hAnsi="Arial" w:cs="Arial"/>
          <w:b/>
          <w:bCs/>
          <w:i/>
          <w:iCs/>
        </w:rPr>
        <w:t>Course Name:</w:t>
      </w:r>
      <w:r w:rsidRPr="009528BC">
        <w:rPr>
          <w:rFonts w:ascii="Arial" w:hAnsi="Arial" w:cs="Arial"/>
          <w:i/>
          <w:iCs/>
        </w:rPr>
        <w:t xml:space="preserve"> </w:t>
      </w:r>
      <w:r w:rsidR="00BD4954" w:rsidRPr="00BD4954">
        <w:rPr>
          <w:rFonts w:ascii="Arial" w:hAnsi="Arial" w:cs="Arial"/>
          <w:i/>
          <w:iCs/>
        </w:rPr>
        <w:t xml:space="preserve">Developing and Managing Individuals and Teams </w:t>
      </w:r>
      <w:r w:rsidR="00DD1D8B" w:rsidRPr="00DD1D8B">
        <w:rPr>
          <w:rFonts w:ascii="Arial" w:hAnsi="Arial" w:cs="Arial"/>
          <w:i/>
          <w:iCs/>
        </w:rPr>
        <w:t>LCLM5002</w:t>
      </w:r>
    </w:p>
    <w:p w14:paraId="62E2D3F0" w14:textId="423AB240" w:rsidR="00C55CC2" w:rsidRDefault="00C55CC2" w:rsidP="00A51DC7">
      <w:pPr>
        <w:spacing w:before="300" w:after="300"/>
        <w:rPr>
          <w:rFonts w:ascii="Arial" w:hAnsi="Arial" w:cs="Arial"/>
          <w:i/>
          <w:iCs/>
        </w:rPr>
      </w:pPr>
      <w:r w:rsidRPr="009528BC">
        <w:rPr>
          <w:rFonts w:ascii="Arial" w:hAnsi="Arial" w:cs="Arial"/>
          <w:b/>
          <w:bCs/>
          <w:i/>
          <w:iCs/>
        </w:rPr>
        <w:t>Lecturer Name:</w:t>
      </w:r>
      <w:r w:rsidR="009528BC" w:rsidRPr="009528BC">
        <w:rPr>
          <w:rFonts w:ascii="Arial" w:hAnsi="Arial" w:cs="Arial"/>
          <w:i/>
          <w:iCs/>
        </w:rPr>
        <w:t xml:space="preserve"> </w:t>
      </w:r>
      <w:r w:rsidR="00DD1D8B" w:rsidRPr="00DD1D8B">
        <w:rPr>
          <w:rFonts w:ascii="Arial" w:hAnsi="Arial" w:cs="Arial"/>
          <w:i/>
          <w:iCs/>
        </w:rPr>
        <w:t>Amer Kareem</w:t>
      </w:r>
    </w:p>
    <w:p w14:paraId="392E74FA" w14:textId="4A38945A" w:rsidR="003F216F" w:rsidRPr="00DD1D8B" w:rsidRDefault="003F216F" w:rsidP="00A51DC7">
      <w:pPr>
        <w:spacing w:before="300" w:after="300"/>
        <w:rPr>
          <w:rFonts w:ascii="Arial" w:hAnsi="Arial" w:cs="Arial"/>
          <w:i/>
          <w:iCs/>
        </w:rPr>
      </w:pPr>
      <w:r w:rsidRPr="003F216F">
        <w:rPr>
          <w:rFonts w:ascii="Arial" w:hAnsi="Arial" w:cs="Arial"/>
          <w:b/>
          <w:bCs/>
          <w:i/>
          <w:iCs/>
        </w:rPr>
        <w:t>Assignment Title</w:t>
      </w:r>
      <w:r w:rsidRPr="00DD1D8B">
        <w:rPr>
          <w:rFonts w:ascii="Arial" w:hAnsi="Arial" w:cs="Arial"/>
          <w:b/>
          <w:bCs/>
          <w:i/>
          <w:iCs/>
        </w:rPr>
        <w:t xml:space="preserve">: </w:t>
      </w:r>
      <w:r w:rsidRPr="00DD1D8B">
        <w:rPr>
          <w:rFonts w:ascii="Arial" w:hAnsi="Arial" w:cs="Arial"/>
          <w:i/>
          <w:iCs/>
        </w:rPr>
        <w:t>Individual Report</w:t>
      </w:r>
      <w:r w:rsidR="00DD1D8B" w:rsidRPr="00DD1D8B">
        <w:rPr>
          <w:rFonts w:ascii="Arial" w:hAnsi="Arial" w:cs="Arial"/>
          <w:i/>
          <w:iCs/>
        </w:rPr>
        <w:t xml:space="preserve"> (4000 words)</w:t>
      </w:r>
    </w:p>
    <w:p w14:paraId="17E1EF9E" w14:textId="286EB358" w:rsidR="00C55CC2" w:rsidRPr="00DD1D8B" w:rsidRDefault="00C55CC2" w:rsidP="00A51DC7">
      <w:pPr>
        <w:spacing w:before="300" w:after="300"/>
        <w:rPr>
          <w:rFonts w:ascii="Arial" w:hAnsi="Arial" w:cs="Arial"/>
          <w:b/>
          <w:bCs/>
          <w:i/>
          <w:iCs/>
        </w:rPr>
      </w:pPr>
      <w:r w:rsidRPr="00DD1D8B">
        <w:rPr>
          <w:rFonts w:ascii="Arial" w:hAnsi="Arial" w:cs="Arial"/>
          <w:b/>
          <w:bCs/>
          <w:i/>
          <w:iCs/>
        </w:rPr>
        <w:t>Session</w:t>
      </w:r>
      <w:r w:rsidRPr="00DD1D8B">
        <w:rPr>
          <w:rFonts w:ascii="Arial" w:hAnsi="Arial" w:cs="Arial"/>
          <w:i/>
          <w:iCs/>
        </w:rPr>
        <w:t xml:space="preserve">: </w:t>
      </w:r>
      <w:r w:rsidR="00DD1D8B">
        <w:rPr>
          <w:rFonts w:ascii="Arial" w:hAnsi="Arial" w:cs="Arial"/>
          <w:i/>
          <w:iCs/>
        </w:rPr>
        <w:t>October</w:t>
      </w:r>
      <w:r w:rsidRPr="00DD1D8B">
        <w:rPr>
          <w:rFonts w:ascii="Arial" w:hAnsi="Arial" w:cs="Arial"/>
          <w:i/>
          <w:iCs/>
        </w:rPr>
        <w:t xml:space="preserve"> 202</w:t>
      </w:r>
      <w:r w:rsidR="00DD1D8B">
        <w:rPr>
          <w:rFonts w:ascii="Arial" w:hAnsi="Arial" w:cs="Arial"/>
          <w:i/>
          <w:iCs/>
        </w:rPr>
        <w:t>5</w:t>
      </w:r>
      <w:r w:rsidRPr="00DD1D8B">
        <w:rPr>
          <w:rFonts w:ascii="Arial" w:hAnsi="Arial" w:cs="Arial"/>
          <w:i/>
          <w:iCs/>
        </w:rPr>
        <w:t xml:space="preserve"> Term</w:t>
      </w:r>
      <w:r w:rsidRPr="00DD1D8B">
        <w:rPr>
          <w:rFonts w:ascii="Arial" w:hAnsi="Arial" w:cs="Arial"/>
          <w:b/>
          <w:bCs/>
          <w:i/>
          <w:iCs/>
        </w:rPr>
        <w:t> </w:t>
      </w:r>
    </w:p>
    <w:p w14:paraId="3E14361D" w14:textId="77777777" w:rsidR="00FA7406" w:rsidRDefault="00FA7406" w:rsidP="00A51DC7">
      <w:pPr>
        <w:spacing w:before="300" w:after="300"/>
        <w:rPr>
          <w:b/>
          <w:bCs/>
          <w:i/>
          <w:iCs/>
        </w:rPr>
      </w:pPr>
    </w:p>
    <w:p w14:paraId="6F7A7BF4" w14:textId="77777777" w:rsidR="00FA7406" w:rsidRDefault="00FA7406" w:rsidP="00A51DC7">
      <w:pPr>
        <w:spacing w:before="300" w:after="300"/>
        <w:rPr>
          <w:b/>
          <w:bCs/>
          <w:i/>
          <w:iCs/>
        </w:rPr>
      </w:pPr>
    </w:p>
    <w:p w14:paraId="0D4398C7" w14:textId="77777777" w:rsidR="00FA7406" w:rsidRDefault="00FA7406" w:rsidP="00A51DC7">
      <w:pPr>
        <w:spacing w:before="300" w:after="300"/>
        <w:rPr>
          <w:b/>
          <w:bCs/>
          <w:i/>
          <w:iCs/>
        </w:rPr>
      </w:pPr>
    </w:p>
    <w:p w14:paraId="04120FD1" w14:textId="77777777" w:rsidR="00FA7406" w:rsidRDefault="00FA7406" w:rsidP="00A51DC7">
      <w:pPr>
        <w:spacing w:before="300" w:after="300"/>
        <w:rPr>
          <w:b/>
          <w:bCs/>
          <w:i/>
          <w:iCs/>
        </w:rPr>
      </w:pPr>
    </w:p>
    <w:p w14:paraId="28D18CFC" w14:textId="77777777" w:rsidR="00FA7406" w:rsidRDefault="00FA7406" w:rsidP="00A51DC7">
      <w:pPr>
        <w:spacing w:before="300" w:after="300"/>
      </w:pPr>
    </w:p>
    <w:p w14:paraId="07EFD2CB" w14:textId="284572FF" w:rsidR="00FA7406" w:rsidRPr="00D334EE" w:rsidRDefault="006E31D7" w:rsidP="00D334EE">
      <w:pPr>
        <w:spacing w:before="300" w:after="300"/>
        <w:rPr>
          <w:rFonts w:ascii="Arial" w:hAnsi="Arial" w:cs="Arial"/>
          <w:sz w:val="36"/>
          <w:szCs w:val="36"/>
        </w:rPr>
      </w:pPr>
      <w:r w:rsidRPr="00D334EE">
        <w:rPr>
          <w:rFonts w:ascii="Arial" w:hAnsi="Arial" w:cs="Arial"/>
          <w:sz w:val="36"/>
          <w:szCs w:val="36"/>
        </w:rPr>
        <w:lastRenderedPageBreak/>
        <w:t xml:space="preserve">Table of </w:t>
      </w:r>
      <w:r w:rsidR="00FA7406" w:rsidRPr="00D334EE">
        <w:rPr>
          <w:rFonts w:ascii="Arial" w:hAnsi="Arial" w:cs="Arial"/>
          <w:sz w:val="36"/>
          <w:szCs w:val="36"/>
        </w:rPr>
        <w:t>Content</w:t>
      </w:r>
    </w:p>
    <w:p w14:paraId="554D3FEA" w14:textId="1E923256" w:rsidR="00FA7406" w:rsidRDefault="00842B53" w:rsidP="00A51DC7">
      <w:pPr>
        <w:spacing w:before="300" w:after="300"/>
        <w:rPr>
          <w:rFonts w:ascii="Arial" w:hAnsi="Arial" w:cs="Arial"/>
        </w:rPr>
      </w:pPr>
      <w:r>
        <w:rPr>
          <w:rFonts w:ascii="Arial" w:hAnsi="Arial" w:cs="Arial"/>
        </w:rPr>
        <w:t>Introduction</w:t>
      </w:r>
      <w:r>
        <w:rPr>
          <w:rFonts w:ascii="Arial" w:hAnsi="Arial" w:cs="Arial"/>
        </w:rPr>
        <w:tab/>
      </w:r>
      <w:r w:rsidR="001F0165">
        <w:rPr>
          <w:rFonts w:ascii="Arial" w:hAnsi="Arial" w:cs="Arial"/>
        </w:rPr>
        <w:tab/>
      </w:r>
      <w:r w:rsidR="00FA7406">
        <w:rPr>
          <w:rFonts w:ascii="Arial" w:hAnsi="Arial" w:cs="Arial"/>
        </w:rPr>
        <w:tab/>
      </w:r>
      <w:r w:rsidR="00FA7406">
        <w:rPr>
          <w:rFonts w:ascii="Arial" w:hAnsi="Arial" w:cs="Arial"/>
        </w:rPr>
        <w:tab/>
      </w:r>
      <w:r w:rsidR="00FA7406">
        <w:rPr>
          <w:rFonts w:ascii="Arial" w:hAnsi="Arial" w:cs="Arial"/>
        </w:rPr>
        <w:tab/>
      </w:r>
      <w:r w:rsidR="00FA7406">
        <w:rPr>
          <w:rFonts w:ascii="Arial" w:hAnsi="Arial" w:cs="Arial"/>
        </w:rPr>
        <w:tab/>
      </w:r>
      <w:r w:rsidR="00FA7406">
        <w:rPr>
          <w:rFonts w:ascii="Arial" w:hAnsi="Arial" w:cs="Arial"/>
        </w:rPr>
        <w:tab/>
      </w:r>
      <w:r w:rsidR="00FA7406">
        <w:rPr>
          <w:rFonts w:ascii="Arial" w:hAnsi="Arial" w:cs="Arial"/>
        </w:rPr>
        <w:tab/>
      </w:r>
      <w:r w:rsidR="00FA7406">
        <w:rPr>
          <w:rFonts w:ascii="Arial" w:hAnsi="Arial" w:cs="Arial"/>
        </w:rPr>
        <w:tab/>
        <w:t xml:space="preserve">Page </w:t>
      </w:r>
      <w:r w:rsidR="00D931AB">
        <w:rPr>
          <w:rFonts w:ascii="Arial" w:hAnsi="Arial" w:cs="Arial"/>
        </w:rPr>
        <w:t>3</w:t>
      </w:r>
    </w:p>
    <w:p w14:paraId="058D51C7" w14:textId="5341E56C" w:rsidR="007F0D40" w:rsidRDefault="007F0D40" w:rsidP="00A51DC7">
      <w:pPr>
        <w:spacing w:before="300" w:after="300"/>
        <w:rPr>
          <w:rFonts w:ascii="Arial" w:hAnsi="Arial" w:cs="Arial"/>
        </w:rPr>
      </w:pPr>
      <w:r w:rsidRPr="007F0D40">
        <w:rPr>
          <w:rFonts w:ascii="Arial" w:hAnsi="Arial" w:cs="Arial"/>
        </w:rPr>
        <w:t xml:space="preserve">Section 1: Business Transformation, Digital Technology Trends, </w:t>
      </w:r>
    </w:p>
    <w:p w14:paraId="054F9E0B" w14:textId="77777777" w:rsidR="007F0D40" w:rsidRDefault="007F0D40" w:rsidP="00A51DC7">
      <w:pPr>
        <w:spacing w:before="300" w:after="300"/>
        <w:rPr>
          <w:rFonts w:ascii="Arial" w:hAnsi="Arial" w:cs="Arial"/>
        </w:rPr>
      </w:pPr>
      <w:r w:rsidRPr="007F0D40">
        <w:rPr>
          <w:rFonts w:ascii="Arial" w:hAnsi="Arial" w:cs="Arial"/>
        </w:rPr>
        <w:t xml:space="preserve">and Flexible Working Arrangements – Specific Organisational </w:t>
      </w:r>
    </w:p>
    <w:p w14:paraId="2F4285FA" w14:textId="3F920435" w:rsidR="00FA7406" w:rsidRDefault="007F0D40" w:rsidP="00A51DC7">
      <w:pPr>
        <w:spacing w:before="300" w:after="300"/>
        <w:rPr>
          <w:rFonts w:ascii="Arial" w:hAnsi="Arial" w:cs="Arial"/>
        </w:rPr>
      </w:pPr>
      <w:r w:rsidRPr="007F0D40">
        <w:rPr>
          <w:rFonts w:ascii="Arial" w:hAnsi="Arial" w:cs="Arial"/>
        </w:rPr>
        <w:t>Factors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A7406">
        <w:rPr>
          <w:rFonts w:ascii="Arial" w:hAnsi="Arial" w:cs="Arial"/>
        </w:rPr>
        <w:t xml:space="preserve">Page </w:t>
      </w:r>
      <w:r w:rsidR="00D931AB">
        <w:rPr>
          <w:rFonts w:ascii="Arial" w:hAnsi="Arial" w:cs="Arial"/>
        </w:rPr>
        <w:t>4</w:t>
      </w:r>
      <w:r w:rsidR="003A5C69">
        <w:rPr>
          <w:rFonts w:ascii="Arial" w:hAnsi="Arial" w:cs="Arial"/>
        </w:rPr>
        <w:t>-6</w:t>
      </w:r>
      <w:r w:rsidR="00BE03B7">
        <w:rPr>
          <w:rFonts w:ascii="Arial" w:hAnsi="Arial" w:cs="Arial"/>
        </w:rPr>
        <w:t xml:space="preserve"> </w:t>
      </w:r>
    </w:p>
    <w:p w14:paraId="750F2D9E" w14:textId="77777777" w:rsidR="007F0D40" w:rsidRDefault="007F0D40" w:rsidP="00A51DC7">
      <w:pPr>
        <w:spacing w:before="300" w:after="300"/>
        <w:rPr>
          <w:rFonts w:ascii="Arial" w:hAnsi="Arial" w:cs="Arial"/>
        </w:rPr>
      </w:pPr>
      <w:r w:rsidRPr="007F0D40">
        <w:rPr>
          <w:rFonts w:ascii="Arial" w:hAnsi="Arial" w:cs="Arial"/>
        </w:rPr>
        <w:t xml:space="preserve">Section 2: Evaluation of Contemporary HR Practices to </w:t>
      </w:r>
    </w:p>
    <w:p w14:paraId="2FDBEC65" w14:textId="6A2E61AF" w:rsidR="007E5BB7" w:rsidRDefault="007F0D40" w:rsidP="00A51DC7">
      <w:pPr>
        <w:spacing w:before="300" w:after="300"/>
        <w:rPr>
          <w:rFonts w:ascii="Arial" w:hAnsi="Arial" w:cs="Arial"/>
        </w:rPr>
      </w:pPr>
      <w:r w:rsidRPr="007F0D40">
        <w:rPr>
          <w:rFonts w:ascii="Arial" w:hAnsi="Arial" w:cs="Arial"/>
        </w:rPr>
        <w:t>Address These Factors</w:t>
      </w:r>
      <w:r w:rsidR="007E5BB7">
        <w:rPr>
          <w:rFonts w:ascii="Arial" w:hAnsi="Arial" w:cs="Arial"/>
        </w:rPr>
        <w:tab/>
      </w:r>
      <w:r w:rsidR="007E5BB7">
        <w:rPr>
          <w:rFonts w:ascii="Arial" w:hAnsi="Arial" w:cs="Arial"/>
        </w:rPr>
        <w:tab/>
      </w:r>
      <w:r w:rsidR="007E5BB7">
        <w:rPr>
          <w:rFonts w:ascii="Arial" w:hAnsi="Arial" w:cs="Arial"/>
        </w:rPr>
        <w:tab/>
      </w:r>
      <w:r w:rsidR="007E5BB7">
        <w:rPr>
          <w:rFonts w:ascii="Arial" w:hAnsi="Arial" w:cs="Arial"/>
        </w:rPr>
        <w:tab/>
      </w:r>
      <w:r w:rsidR="007E5BB7">
        <w:rPr>
          <w:rFonts w:ascii="Arial" w:hAnsi="Arial" w:cs="Arial"/>
        </w:rPr>
        <w:tab/>
      </w:r>
      <w:r w:rsidR="007E5BB7">
        <w:rPr>
          <w:rFonts w:ascii="Arial" w:hAnsi="Arial" w:cs="Arial"/>
        </w:rPr>
        <w:tab/>
      </w:r>
      <w:r w:rsidR="00B41281">
        <w:rPr>
          <w:rFonts w:ascii="Arial" w:hAnsi="Arial" w:cs="Arial"/>
        </w:rPr>
        <w:tab/>
      </w:r>
      <w:r w:rsidR="007E5BB7">
        <w:rPr>
          <w:rFonts w:ascii="Arial" w:hAnsi="Arial" w:cs="Arial"/>
        </w:rPr>
        <w:t xml:space="preserve">Page </w:t>
      </w:r>
      <w:r w:rsidR="003A5C69">
        <w:rPr>
          <w:rFonts w:ascii="Arial" w:hAnsi="Arial" w:cs="Arial"/>
        </w:rPr>
        <w:t>6-9</w:t>
      </w:r>
    </w:p>
    <w:p w14:paraId="569FA299" w14:textId="77777777" w:rsidR="000941F1" w:rsidRDefault="008031CE" w:rsidP="00A51DC7">
      <w:pPr>
        <w:spacing w:before="300" w:after="300"/>
        <w:rPr>
          <w:rFonts w:ascii="Arial" w:hAnsi="Arial" w:cs="Arial"/>
        </w:rPr>
      </w:pPr>
      <w:r w:rsidRPr="008031CE">
        <w:rPr>
          <w:rFonts w:ascii="Arial" w:hAnsi="Arial" w:cs="Arial"/>
        </w:rPr>
        <w:t xml:space="preserve">Section 3: Critical Evaluation of Manager Implementation – </w:t>
      </w:r>
    </w:p>
    <w:p w14:paraId="3E4C76FE" w14:textId="4B012390" w:rsidR="007E5BB7" w:rsidRDefault="008031CE" w:rsidP="00A51DC7">
      <w:pPr>
        <w:spacing w:before="300" w:after="300"/>
        <w:rPr>
          <w:rFonts w:ascii="Arial" w:hAnsi="Arial" w:cs="Arial"/>
        </w:rPr>
      </w:pPr>
      <w:r w:rsidRPr="008031CE">
        <w:rPr>
          <w:rFonts w:ascii="Arial" w:hAnsi="Arial" w:cs="Arial"/>
        </w:rPr>
        <w:t>Ensuring Urgent, Integrated Deployment</w:t>
      </w:r>
      <w:r w:rsidR="007E5BB7">
        <w:rPr>
          <w:rFonts w:ascii="Arial" w:hAnsi="Arial" w:cs="Arial"/>
        </w:rPr>
        <w:tab/>
      </w:r>
      <w:r w:rsidR="007E5BB7">
        <w:rPr>
          <w:rFonts w:ascii="Arial" w:hAnsi="Arial" w:cs="Arial"/>
        </w:rPr>
        <w:tab/>
      </w:r>
      <w:r w:rsidR="007E5BB7">
        <w:rPr>
          <w:rFonts w:ascii="Arial" w:hAnsi="Arial" w:cs="Arial"/>
        </w:rPr>
        <w:tab/>
      </w:r>
      <w:r w:rsidR="007E5BB7">
        <w:rPr>
          <w:rFonts w:ascii="Arial" w:hAnsi="Arial" w:cs="Arial"/>
        </w:rPr>
        <w:tab/>
      </w:r>
      <w:r w:rsidR="007E5BB7">
        <w:rPr>
          <w:rFonts w:ascii="Arial" w:hAnsi="Arial" w:cs="Arial"/>
        </w:rPr>
        <w:tab/>
        <w:t xml:space="preserve">Page </w:t>
      </w:r>
      <w:r w:rsidR="003A5C69">
        <w:rPr>
          <w:rFonts w:ascii="Arial" w:hAnsi="Arial" w:cs="Arial"/>
        </w:rPr>
        <w:t>10-14</w:t>
      </w:r>
    </w:p>
    <w:p w14:paraId="7D43091C" w14:textId="53609BF7" w:rsidR="00B41281" w:rsidRDefault="000941F1" w:rsidP="00A51DC7">
      <w:pPr>
        <w:spacing w:before="300" w:after="300"/>
        <w:rPr>
          <w:rFonts w:ascii="Arial" w:hAnsi="Arial" w:cs="Arial"/>
        </w:rPr>
      </w:pPr>
      <w:r w:rsidRPr="000941F1">
        <w:rPr>
          <w:rFonts w:ascii="Arial" w:hAnsi="Arial" w:cs="Arial"/>
        </w:rPr>
        <w:t>Conclusion and Recommendations</w:t>
      </w:r>
      <w:r w:rsidR="00B41281">
        <w:rPr>
          <w:rFonts w:ascii="Arial" w:hAnsi="Arial" w:cs="Arial"/>
        </w:rPr>
        <w:tab/>
      </w:r>
      <w:r w:rsidR="00B41281">
        <w:rPr>
          <w:rFonts w:ascii="Arial" w:hAnsi="Arial" w:cs="Arial"/>
        </w:rPr>
        <w:tab/>
      </w:r>
      <w:r w:rsidR="00B41281">
        <w:rPr>
          <w:rFonts w:ascii="Arial" w:hAnsi="Arial" w:cs="Arial"/>
        </w:rPr>
        <w:tab/>
      </w:r>
      <w:r w:rsidR="00B41281">
        <w:rPr>
          <w:rFonts w:ascii="Arial" w:hAnsi="Arial" w:cs="Arial"/>
        </w:rPr>
        <w:tab/>
      </w:r>
      <w:r w:rsidR="00B41281">
        <w:rPr>
          <w:rFonts w:ascii="Arial" w:hAnsi="Arial" w:cs="Arial"/>
        </w:rPr>
        <w:tab/>
        <w:t xml:space="preserve">Page </w:t>
      </w:r>
      <w:r w:rsidR="003A5C69">
        <w:rPr>
          <w:rFonts w:ascii="Arial" w:hAnsi="Arial" w:cs="Arial"/>
        </w:rPr>
        <w:t>15-18</w:t>
      </w:r>
    </w:p>
    <w:p w14:paraId="12FFC859" w14:textId="27036996" w:rsidR="00FA7406" w:rsidRDefault="00FA7406" w:rsidP="00A51DC7">
      <w:pPr>
        <w:spacing w:before="300" w:after="300"/>
        <w:rPr>
          <w:rFonts w:ascii="Arial" w:hAnsi="Arial" w:cs="Arial"/>
        </w:rPr>
      </w:pPr>
      <w:r>
        <w:rPr>
          <w:rFonts w:ascii="Arial" w:hAnsi="Arial" w:cs="Arial"/>
        </w:rPr>
        <w:t>Re</w:t>
      </w:r>
      <w:r w:rsidR="004949E2">
        <w:rPr>
          <w:rFonts w:ascii="Arial" w:hAnsi="Arial" w:cs="Arial"/>
        </w:rPr>
        <w:t>ferences</w:t>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r>
      <w:r w:rsidR="004949E2">
        <w:rPr>
          <w:rFonts w:ascii="Arial" w:hAnsi="Arial" w:cs="Arial"/>
        </w:rPr>
        <w:tab/>
        <w:t xml:space="preserve">Page </w:t>
      </w:r>
      <w:r w:rsidR="00631C11">
        <w:rPr>
          <w:rFonts w:ascii="Arial" w:hAnsi="Arial" w:cs="Arial"/>
        </w:rPr>
        <w:t>1</w:t>
      </w:r>
      <w:r w:rsidR="00B41281">
        <w:rPr>
          <w:rFonts w:ascii="Arial" w:hAnsi="Arial" w:cs="Arial"/>
        </w:rPr>
        <w:t>8</w:t>
      </w:r>
      <w:r w:rsidR="00631C11">
        <w:rPr>
          <w:rFonts w:ascii="Arial" w:hAnsi="Arial" w:cs="Arial"/>
        </w:rPr>
        <w:t>-20</w:t>
      </w:r>
    </w:p>
    <w:p w14:paraId="2C668B76" w14:textId="77777777" w:rsidR="004949E2" w:rsidRDefault="004949E2" w:rsidP="00A51DC7">
      <w:pPr>
        <w:spacing w:before="300" w:after="300"/>
        <w:rPr>
          <w:rFonts w:ascii="Arial" w:hAnsi="Arial" w:cs="Arial"/>
        </w:rPr>
      </w:pPr>
    </w:p>
    <w:p w14:paraId="417514BD" w14:textId="77777777" w:rsidR="004949E2" w:rsidRDefault="004949E2" w:rsidP="00A51DC7">
      <w:pPr>
        <w:spacing w:before="300" w:after="300"/>
        <w:rPr>
          <w:rFonts w:ascii="Arial" w:hAnsi="Arial" w:cs="Arial"/>
        </w:rPr>
      </w:pPr>
    </w:p>
    <w:p w14:paraId="5761A3C1" w14:textId="77777777" w:rsidR="004949E2" w:rsidRDefault="004949E2" w:rsidP="00A51DC7">
      <w:pPr>
        <w:spacing w:before="300" w:after="300"/>
        <w:rPr>
          <w:rFonts w:ascii="Arial" w:hAnsi="Arial" w:cs="Arial"/>
        </w:rPr>
      </w:pPr>
    </w:p>
    <w:p w14:paraId="7E7E8190" w14:textId="77777777" w:rsidR="004949E2" w:rsidRDefault="004949E2" w:rsidP="00A51DC7">
      <w:pPr>
        <w:spacing w:before="300" w:after="300"/>
        <w:rPr>
          <w:rFonts w:ascii="Arial" w:hAnsi="Arial" w:cs="Arial"/>
        </w:rPr>
      </w:pPr>
    </w:p>
    <w:p w14:paraId="0D30329A" w14:textId="77777777" w:rsidR="004949E2" w:rsidRDefault="004949E2" w:rsidP="00A51DC7">
      <w:pPr>
        <w:spacing w:before="300" w:after="300"/>
        <w:rPr>
          <w:rFonts w:ascii="Arial" w:hAnsi="Arial" w:cs="Arial"/>
        </w:rPr>
      </w:pPr>
    </w:p>
    <w:p w14:paraId="6020E690" w14:textId="77777777" w:rsidR="00D334EE" w:rsidRDefault="00D334EE" w:rsidP="00D334EE">
      <w:pPr>
        <w:spacing w:before="300" w:after="300"/>
        <w:rPr>
          <w:rFonts w:ascii="Arial" w:hAnsi="Arial" w:cs="Arial"/>
        </w:rPr>
      </w:pPr>
    </w:p>
    <w:p w14:paraId="47E5586F" w14:textId="77777777" w:rsidR="00230004" w:rsidRDefault="00230004" w:rsidP="00D334EE">
      <w:pPr>
        <w:spacing w:before="300" w:after="300"/>
        <w:rPr>
          <w:rFonts w:ascii="Arial" w:hAnsi="Arial" w:cs="Arial"/>
        </w:rPr>
      </w:pPr>
    </w:p>
    <w:p w14:paraId="412FECF5" w14:textId="77777777" w:rsidR="00230004" w:rsidRDefault="00230004" w:rsidP="00D334EE">
      <w:pPr>
        <w:spacing w:before="300" w:after="300"/>
        <w:rPr>
          <w:rFonts w:ascii="Arial" w:hAnsi="Arial" w:cs="Arial"/>
          <w:sz w:val="36"/>
          <w:szCs w:val="36"/>
        </w:rPr>
      </w:pPr>
    </w:p>
    <w:p w14:paraId="74F4E303" w14:textId="4A6F3B5E" w:rsidR="00D334EE" w:rsidRPr="00D334EE" w:rsidRDefault="00842B53" w:rsidP="00D334EE">
      <w:pPr>
        <w:spacing w:before="300" w:after="300"/>
        <w:rPr>
          <w:rFonts w:ascii="Arial" w:hAnsi="Arial" w:cs="Arial"/>
          <w:sz w:val="36"/>
          <w:szCs w:val="36"/>
        </w:rPr>
      </w:pPr>
      <w:r w:rsidRPr="00D334EE">
        <w:rPr>
          <w:rFonts w:ascii="Arial" w:hAnsi="Arial" w:cs="Arial"/>
          <w:sz w:val="36"/>
          <w:szCs w:val="36"/>
        </w:rPr>
        <w:lastRenderedPageBreak/>
        <w:t>Introductio</w:t>
      </w:r>
      <w:r w:rsidR="00D334EE">
        <w:rPr>
          <w:rFonts w:ascii="Arial" w:hAnsi="Arial" w:cs="Arial"/>
          <w:sz w:val="36"/>
          <w:szCs w:val="36"/>
        </w:rPr>
        <w:t>n</w:t>
      </w:r>
    </w:p>
    <w:p w14:paraId="622677BA" w14:textId="77777777" w:rsidR="00842B53" w:rsidRPr="00842B53" w:rsidRDefault="00842B53" w:rsidP="00842B53">
      <w:pPr>
        <w:rPr>
          <w:rFonts w:ascii="Arial" w:hAnsi="Arial" w:cs="Arial"/>
        </w:rPr>
      </w:pPr>
      <w:r w:rsidRPr="00842B53">
        <w:rPr>
          <w:rFonts w:ascii="Arial" w:hAnsi="Arial" w:cs="Arial"/>
        </w:rPr>
        <w:t xml:space="preserve">Entering the HR department of a London-based organisation during a period of significant business transformation has presented both strategic opportunity and operational challenge. The surge in employee grievances encountered during the initial month has highlighted critical gaps in the alignment between organisational change initiatives and employee engagement practices. This report addresses three interconnected factors driving this misalignment: business transformation through digital technology adoption, the implementation of flexible working arrangements, and the contemporary HR practices required to support these transitions successfully. </w:t>
      </w:r>
    </w:p>
    <w:p w14:paraId="78CC1586" w14:textId="77777777" w:rsidR="00842B53" w:rsidRPr="00842B53" w:rsidRDefault="00842B53" w:rsidP="00842B53">
      <w:pPr>
        <w:rPr>
          <w:rFonts w:ascii="Arial" w:hAnsi="Arial" w:cs="Arial"/>
        </w:rPr>
      </w:pPr>
    </w:p>
    <w:p w14:paraId="4862B8A7" w14:textId="77777777" w:rsidR="00842B53" w:rsidRPr="00842B53" w:rsidRDefault="00842B53" w:rsidP="00842B53">
      <w:pPr>
        <w:rPr>
          <w:rFonts w:ascii="Arial" w:hAnsi="Arial" w:cs="Arial"/>
        </w:rPr>
      </w:pPr>
      <w:r w:rsidRPr="00842B53">
        <w:rPr>
          <w:rFonts w:ascii="Arial" w:hAnsi="Arial" w:cs="Arial"/>
        </w:rPr>
        <w:t xml:space="preserve">The context is increasingly familiar across UK organisations. Research indicates that approximately 70 per cent of digital transformation initiatives fail, primarily due to insufficient employee engagement and resistance to change (Boston Consulting Group, 2020). Simultaneously, flexible working has become embedded in employment law through the Employment Rights Act 2023, yet many organisations lack the supporting HR infrastructure to implement it effectively. This report evaluates how contemporary HR practices can address these factors and critically examines how departmental managers can drive urgent implementation to restore organisational cohesion. </w:t>
      </w:r>
    </w:p>
    <w:p w14:paraId="0E52CBFE" w14:textId="77777777" w:rsidR="00842B53" w:rsidRPr="00842B53" w:rsidRDefault="00842B53" w:rsidP="00842B53">
      <w:pPr>
        <w:rPr>
          <w:rFonts w:ascii="Arial" w:hAnsi="Arial" w:cs="Arial"/>
        </w:rPr>
      </w:pPr>
    </w:p>
    <w:p w14:paraId="22F622EF" w14:textId="19688347" w:rsidR="00CF2A89" w:rsidRDefault="00842B53" w:rsidP="00842B53">
      <w:pPr>
        <w:rPr>
          <w:rFonts w:ascii="Arial" w:hAnsi="Arial" w:cs="Arial"/>
        </w:rPr>
      </w:pPr>
      <w:r w:rsidRPr="00842B53">
        <w:rPr>
          <w:rFonts w:ascii="Arial" w:hAnsi="Arial" w:cs="Arial"/>
        </w:rPr>
        <w:t>Through an application of Kurt Lewin’s Three-Stage Model (Burnes, 2020) and Kotter's Eight-Step Change Model (Kotter International, 2024), this analysis demonstrates that grievances are symptomatic of deeper systemic issues: insufficient structural preparation for change and inadequate change leadership at line management level. Recommendations prioritise swift, integrated action to create psychological safety and clarity during transformation.</w:t>
      </w:r>
    </w:p>
    <w:p w14:paraId="28963793" w14:textId="77777777" w:rsidR="00722E51" w:rsidRDefault="00722E51" w:rsidP="00722E51">
      <w:pPr>
        <w:rPr>
          <w:rFonts w:ascii="Arial" w:hAnsi="Arial" w:cs="Arial"/>
        </w:rPr>
      </w:pPr>
    </w:p>
    <w:p w14:paraId="20CA07C8" w14:textId="77777777" w:rsidR="00842B53" w:rsidRDefault="00842B53" w:rsidP="00BE03B7">
      <w:pPr>
        <w:spacing w:before="300" w:after="300"/>
        <w:jc w:val="center"/>
        <w:rPr>
          <w:rFonts w:ascii="Arial" w:hAnsi="Arial" w:cs="Arial"/>
          <w:sz w:val="72"/>
          <w:szCs w:val="72"/>
        </w:rPr>
      </w:pPr>
    </w:p>
    <w:p w14:paraId="4AC17940" w14:textId="536002D3" w:rsidR="008031CE" w:rsidRDefault="008031CE" w:rsidP="007F0D40">
      <w:pPr>
        <w:spacing w:before="300" w:after="300"/>
        <w:rPr>
          <w:rFonts w:ascii="Arial" w:hAnsi="Arial" w:cs="Arial"/>
          <w:sz w:val="36"/>
          <w:szCs w:val="36"/>
        </w:rPr>
      </w:pPr>
      <w:r>
        <w:rPr>
          <w:rFonts w:ascii="Arial" w:hAnsi="Arial" w:cs="Arial"/>
          <w:sz w:val="36"/>
          <w:szCs w:val="36"/>
        </w:rPr>
        <w:lastRenderedPageBreak/>
        <w:t>Section 1:</w:t>
      </w:r>
    </w:p>
    <w:p w14:paraId="3A899D05" w14:textId="2A95AAAD" w:rsidR="007F0D40" w:rsidRPr="007F0D40" w:rsidRDefault="007F0D40" w:rsidP="007F0D40">
      <w:pPr>
        <w:spacing w:before="300" w:after="300"/>
        <w:rPr>
          <w:rFonts w:ascii="Arial" w:hAnsi="Arial" w:cs="Arial"/>
          <w:sz w:val="36"/>
          <w:szCs w:val="36"/>
        </w:rPr>
      </w:pPr>
      <w:r w:rsidRPr="007F0D40">
        <w:rPr>
          <w:rFonts w:ascii="Arial" w:hAnsi="Arial" w:cs="Arial"/>
          <w:sz w:val="36"/>
          <w:szCs w:val="36"/>
        </w:rPr>
        <w:t>Digital Transformation and Organisational Disruption </w:t>
      </w:r>
    </w:p>
    <w:p w14:paraId="4C598AE7" w14:textId="77777777" w:rsidR="007F0D40" w:rsidRPr="007F0D40" w:rsidRDefault="007F0D40" w:rsidP="007F0D40">
      <w:pPr>
        <w:spacing w:before="300" w:after="300"/>
        <w:rPr>
          <w:rFonts w:ascii="Arial" w:hAnsi="Arial" w:cs="Arial"/>
        </w:rPr>
      </w:pPr>
      <w:r w:rsidRPr="007F0D40">
        <w:rPr>
          <w:rFonts w:ascii="Arial" w:hAnsi="Arial" w:cs="Arial"/>
        </w:rPr>
        <w:t>Digital transformation in HR has accelerated rapidly, with organisations adopting cloud-based Human Resource Information Systems (HRIS), artificial intelligence-powered recruitment and performance management tools, and automation of transactional HR processes. However, this technological shift creates immediate friction. Organisations often implement systems without adequate change communication or user training, leading employees to perceive digital tools as surveillance mechanisms rather than efficiency enhancers. In the context of this organisation, the rollout of an AI-powered performance management system without departmental consultation has fuelled grievance submissions, as employees lack clarity about evaluation criteria and algorithmic decision-making processes. </w:t>
      </w:r>
    </w:p>
    <w:p w14:paraId="2232A1B4" w14:textId="77777777" w:rsidR="007F0D40" w:rsidRPr="007F0D40" w:rsidRDefault="007F0D40" w:rsidP="007F0D40">
      <w:pPr>
        <w:spacing w:before="300" w:after="300"/>
        <w:rPr>
          <w:rFonts w:ascii="Arial" w:hAnsi="Arial" w:cs="Arial"/>
        </w:rPr>
      </w:pPr>
      <w:r w:rsidRPr="007F0D40">
        <w:rPr>
          <w:rFonts w:ascii="Arial" w:hAnsi="Arial" w:cs="Arial"/>
        </w:rPr>
        <w:t>The specific factors contributing to transformation resistance are threefold. First, automation of routine processes, such as leave management and expense approvals, creates perceived job insecurity among support staff, particularly where redeployment pathways remain unclear. Second, digital systems often reduce human interaction in feedback loops, replacing face-to-face conversations with automated notifications. The distinction between hygiene factors (compensation, working conditions, job security) and motivational factors (recognition, growth, autonomy) is critical here: technology adoption without corresponding recognition or development support often demotivates staff (Simply Psychology, 2023). Third, the pace of digital change frequently outpaces user capability development, creating competence anxiety and learned helplessness among older or less tech-fluent employees. </w:t>
      </w:r>
    </w:p>
    <w:p w14:paraId="08A49AA8" w14:textId="66A24C04" w:rsidR="007F0D40" w:rsidRPr="00230004" w:rsidRDefault="007F0D40" w:rsidP="007F0D40">
      <w:pPr>
        <w:spacing w:before="300" w:after="300"/>
        <w:rPr>
          <w:rFonts w:ascii="Arial" w:hAnsi="Arial" w:cs="Arial"/>
        </w:rPr>
      </w:pPr>
      <w:r w:rsidRPr="007F0D40">
        <w:rPr>
          <w:rFonts w:ascii="Arial" w:hAnsi="Arial" w:cs="Arial"/>
        </w:rPr>
        <w:t>Research from RSI Concepts (2024) identifies that organisations with structured change management and upskilling programmes experience 40 per cent fewer performance-related grievances during technology transitions. This organisation's rapid digital rollout without formal capability development represents a clear deficiency. </w:t>
      </w:r>
    </w:p>
    <w:p w14:paraId="35F9589B" w14:textId="32A1EA41" w:rsidR="007F0D40" w:rsidRPr="007F0D40" w:rsidRDefault="007F0D40" w:rsidP="007F0D40">
      <w:pPr>
        <w:spacing w:before="300" w:after="300"/>
        <w:rPr>
          <w:rFonts w:ascii="Arial" w:hAnsi="Arial" w:cs="Arial"/>
          <w:sz w:val="36"/>
          <w:szCs w:val="36"/>
        </w:rPr>
      </w:pPr>
      <w:r w:rsidRPr="007F0D40">
        <w:rPr>
          <w:rFonts w:ascii="Arial" w:hAnsi="Arial" w:cs="Arial"/>
          <w:sz w:val="36"/>
          <w:szCs w:val="36"/>
        </w:rPr>
        <w:lastRenderedPageBreak/>
        <w:t>Flexible Working and Systemic Support Gaps </w:t>
      </w:r>
    </w:p>
    <w:p w14:paraId="39C901E2" w14:textId="77777777" w:rsidR="007F0D40" w:rsidRPr="007F0D40" w:rsidRDefault="007F0D40" w:rsidP="007F0D40">
      <w:pPr>
        <w:spacing w:before="300" w:after="300"/>
        <w:rPr>
          <w:rFonts w:ascii="Arial" w:hAnsi="Arial" w:cs="Arial"/>
        </w:rPr>
      </w:pPr>
      <w:r w:rsidRPr="007F0D40">
        <w:rPr>
          <w:rFonts w:ascii="Arial" w:hAnsi="Arial" w:cs="Arial"/>
        </w:rPr>
        <w:t>The legislative mandate for flexible working, whilst progressive, has exposed structural inadequacies in many organisations. Flexible working itself is not inherently problematic; research from the Good Employment Charter (2024) demonstrates that flexible arrangements enhance employee engagement when underpinned by four essential conditions: clear role and outcome definitions, adequate managerial trust, digital collaboration tools, and equitable performance evaluation. </w:t>
      </w:r>
    </w:p>
    <w:p w14:paraId="6F5A1131" w14:textId="77777777" w:rsidR="007F0D40" w:rsidRPr="007F0D40" w:rsidRDefault="007F0D40" w:rsidP="007F0D40">
      <w:pPr>
        <w:spacing w:before="300" w:after="300"/>
        <w:rPr>
          <w:rFonts w:ascii="Arial" w:hAnsi="Arial" w:cs="Arial"/>
        </w:rPr>
      </w:pPr>
      <w:r w:rsidRPr="007F0D40">
        <w:rPr>
          <w:rFonts w:ascii="Arial" w:hAnsi="Arial" w:cs="Arial"/>
        </w:rPr>
        <w:t>This organisation has implemented flexible working policies but lacks three critical support systems. First, many departmental managers continue to equate presence with productivity, resulting in inconsistent approval processes and informal penalties for home-working staff. Second, digital collaboration infrastructure is incomplete: some teams use Microsoft Teams, others rely on email, and integration with legacy systems is fragmented. Third, performance management systems do not adapt to flexible contexts, using time-based metrics (hours logged, in-office presence) rather than outcome-based evaluation. </w:t>
      </w:r>
    </w:p>
    <w:p w14:paraId="6D5279B0" w14:textId="77777777" w:rsidR="007F0D40" w:rsidRPr="007F0D40" w:rsidRDefault="007F0D40" w:rsidP="007F0D40">
      <w:pPr>
        <w:spacing w:before="300" w:after="300"/>
        <w:rPr>
          <w:rFonts w:ascii="Arial" w:hAnsi="Arial" w:cs="Arial"/>
        </w:rPr>
      </w:pPr>
      <w:r w:rsidRPr="007F0D40">
        <w:rPr>
          <w:rFonts w:ascii="Arial" w:hAnsi="Arial" w:cs="Arial"/>
        </w:rPr>
        <w:t>The consequence is that grievances relate to perceived unfairness: some staff secure flexible arrangements whilst others face rejection based on unstated criteria. Employees working flexibly report isolation and career progression concerns, whilst office-based colleagues express resentment at perceived inequity. Qualitative research from Engage for Success (2024) indicates that such perceived unfairness is among the strongest predictors of formal grievance escalation. </w:t>
      </w:r>
    </w:p>
    <w:p w14:paraId="10133C91" w14:textId="77777777" w:rsidR="007F0D40" w:rsidRPr="007F0D40" w:rsidRDefault="007F0D40" w:rsidP="007F0D40">
      <w:pPr>
        <w:spacing w:before="300" w:after="300"/>
        <w:rPr>
          <w:rFonts w:ascii="Arial" w:hAnsi="Arial" w:cs="Arial"/>
          <w:sz w:val="36"/>
          <w:szCs w:val="36"/>
        </w:rPr>
      </w:pPr>
      <w:r w:rsidRPr="007F0D40">
        <w:rPr>
          <w:rFonts w:ascii="Arial" w:hAnsi="Arial" w:cs="Arial"/>
          <w:sz w:val="36"/>
          <w:szCs w:val="36"/>
        </w:rPr>
        <w:t>Integration of Transformation Factors </w:t>
      </w:r>
    </w:p>
    <w:p w14:paraId="4D07423E" w14:textId="77777777" w:rsidR="007F0D40" w:rsidRPr="007F0D40" w:rsidRDefault="007F0D40" w:rsidP="007F0D40">
      <w:pPr>
        <w:spacing w:before="300" w:after="300"/>
        <w:rPr>
          <w:rFonts w:ascii="Arial" w:hAnsi="Arial" w:cs="Arial"/>
        </w:rPr>
      </w:pPr>
      <w:r w:rsidRPr="007F0D40">
        <w:rPr>
          <w:rFonts w:ascii="Arial" w:hAnsi="Arial" w:cs="Arial"/>
        </w:rPr>
        <w:t xml:space="preserve">The critical dynamic is that digital transformation and flexible working, when pursued independently, amplify stress rather than resolve it. Employees experiencing both simultaneously - new systems and new ways of working - require consistent leadership messaging and tangible support. Currently, these initiatives are siloed: the IT department manages system rollout, HR manages flexible working policy, and line managers lack integration guidance or support. This fragmentation explains the </w:t>
      </w:r>
      <w:r w:rsidRPr="007F0D40">
        <w:rPr>
          <w:rFonts w:ascii="Arial" w:hAnsi="Arial" w:cs="Arial"/>
        </w:rPr>
        <w:lastRenderedPageBreak/>
        <w:t>grievance surge: employees perceive organisational chaos rather than strategic change. </w:t>
      </w:r>
    </w:p>
    <w:p w14:paraId="44366E00" w14:textId="77777777" w:rsidR="008031CE" w:rsidRDefault="008031CE" w:rsidP="008031CE">
      <w:pPr>
        <w:spacing w:before="300" w:after="300"/>
        <w:rPr>
          <w:rFonts w:ascii="Arial" w:hAnsi="Arial" w:cs="Arial"/>
          <w:sz w:val="36"/>
          <w:szCs w:val="36"/>
        </w:rPr>
      </w:pPr>
    </w:p>
    <w:p w14:paraId="68FE8870" w14:textId="76DAD551"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Section 2:</w:t>
      </w:r>
    </w:p>
    <w:p w14:paraId="10445833" w14:textId="25592C20"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Evaluation of Contemporary HR Practices to Address These Factors </w:t>
      </w:r>
    </w:p>
    <w:p w14:paraId="28F85BFE" w14:textId="77777777" w:rsidR="008031CE" w:rsidRPr="008031CE" w:rsidRDefault="008031CE" w:rsidP="008031CE">
      <w:pPr>
        <w:spacing w:before="300" w:after="300"/>
        <w:rPr>
          <w:rFonts w:ascii="Arial" w:hAnsi="Arial" w:cs="Arial"/>
        </w:rPr>
      </w:pPr>
      <w:r w:rsidRPr="008031CE">
        <w:rPr>
          <w:rFonts w:ascii="Arial" w:hAnsi="Arial" w:cs="Arial"/>
        </w:rPr>
        <w:t>To navigate the challenges outlined in Section 1, HR departments must implement contemporary practices that build a resilient workforce capable of adapting to continuous change. An effective framework for evaluating these practices against the change process is Kurt Lewin’s Three-Stage Model (Burnes, 2020). Lewin proposed that successful organisational change must follow three distinct steps: </w:t>
      </w:r>
    </w:p>
    <w:p w14:paraId="5AEDF357" w14:textId="77777777" w:rsidR="008031CE" w:rsidRPr="008031CE" w:rsidRDefault="008031CE" w:rsidP="008031CE">
      <w:pPr>
        <w:numPr>
          <w:ilvl w:val="0"/>
          <w:numId w:val="8"/>
        </w:numPr>
        <w:spacing w:before="300" w:after="300"/>
        <w:rPr>
          <w:rFonts w:ascii="Arial" w:hAnsi="Arial" w:cs="Arial"/>
        </w:rPr>
      </w:pPr>
      <w:r w:rsidRPr="008031CE">
        <w:rPr>
          <w:rFonts w:ascii="Arial" w:hAnsi="Arial" w:cs="Arial"/>
          <w:b/>
          <w:bCs/>
        </w:rPr>
        <w:t>Unfreeze</w:t>
      </w:r>
      <w:r w:rsidRPr="008031CE">
        <w:rPr>
          <w:rFonts w:ascii="Arial" w:hAnsi="Arial" w:cs="Arial"/>
        </w:rPr>
        <w:t>: Preparing employees for change by communicating the need for it and breaking down old habits. </w:t>
      </w:r>
    </w:p>
    <w:p w14:paraId="759D492A" w14:textId="77777777" w:rsidR="008031CE" w:rsidRPr="008031CE" w:rsidRDefault="008031CE" w:rsidP="008031CE">
      <w:pPr>
        <w:numPr>
          <w:ilvl w:val="0"/>
          <w:numId w:val="9"/>
        </w:numPr>
        <w:spacing w:before="300" w:after="300"/>
        <w:rPr>
          <w:rFonts w:ascii="Arial" w:hAnsi="Arial" w:cs="Arial"/>
        </w:rPr>
      </w:pPr>
      <w:r w:rsidRPr="008031CE">
        <w:rPr>
          <w:rFonts w:ascii="Arial" w:hAnsi="Arial" w:cs="Arial"/>
          <w:b/>
          <w:bCs/>
        </w:rPr>
        <w:t>Change</w:t>
      </w:r>
      <w:r w:rsidRPr="008031CE">
        <w:rPr>
          <w:rFonts w:ascii="Arial" w:hAnsi="Arial" w:cs="Arial"/>
        </w:rPr>
        <w:t>: Implementing the new systems and behaviours, providing necessary support and communication. </w:t>
      </w:r>
    </w:p>
    <w:p w14:paraId="2E0CB410" w14:textId="77777777" w:rsidR="008031CE" w:rsidRPr="008031CE" w:rsidRDefault="008031CE" w:rsidP="008031CE">
      <w:pPr>
        <w:numPr>
          <w:ilvl w:val="0"/>
          <w:numId w:val="10"/>
        </w:numPr>
        <w:spacing w:before="300" w:after="300"/>
        <w:rPr>
          <w:rFonts w:ascii="Arial" w:hAnsi="Arial" w:cs="Arial"/>
        </w:rPr>
      </w:pPr>
      <w:r w:rsidRPr="008031CE">
        <w:rPr>
          <w:rFonts w:ascii="Arial" w:hAnsi="Arial" w:cs="Arial"/>
          <w:b/>
          <w:bCs/>
        </w:rPr>
        <w:t>Refreeze</w:t>
      </w:r>
      <w:r w:rsidRPr="008031CE">
        <w:rPr>
          <w:rFonts w:ascii="Arial" w:hAnsi="Arial" w:cs="Arial"/>
        </w:rPr>
        <w:t>: Solidifying the new behaviours and processes into the organisational culture and structure to prevent regression. </w:t>
      </w:r>
    </w:p>
    <w:p w14:paraId="3864A18E" w14:textId="77777777" w:rsidR="008031CE" w:rsidRPr="008031CE" w:rsidRDefault="008031CE" w:rsidP="008031CE">
      <w:pPr>
        <w:spacing w:before="300" w:after="300"/>
        <w:rPr>
          <w:rFonts w:ascii="Arial" w:hAnsi="Arial" w:cs="Arial"/>
        </w:rPr>
      </w:pPr>
      <w:r w:rsidRPr="008031CE">
        <w:rPr>
          <w:rFonts w:ascii="Arial" w:hAnsi="Arial" w:cs="Arial"/>
        </w:rPr>
        <w:t>This evaluation assesses five key HR practices based on their ability to support the Unfreeze-Change-Refreeze cycle, ensuring that transformation is accepted and sustained. </w:t>
      </w:r>
    </w:p>
    <w:p w14:paraId="079692F7" w14:textId="77777777" w:rsidR="008031CE" w:rsidRPr="008031CE" w:rsidRDefault="008031CE" w:rsidP="008031CE">
      <w:pPr>
        <w:spacing w:before="300" w:after="300"/>
        <w:rPr>
          <w:rFonts w:ascii="Arial" w:hAnsi="Arial" w:cs="Arial"/>
        </w:rPr>
      </w:pPr>
      <w:r w:rsidRPr="008031CE">
        <w:rPr>
          <w:rFonts w:ascii="Arial" w:hAnsi="Arial" w:cs="Arial"/>
        </w:rPr>
        <w:t> </w:t>
      </w:r>
    </w:p>
    <w:p w14:paraId="6A4B202F" w14:textId="5ED76536" w:rsidR="008031CE" w:rsidRPr="008031CE" w:rsidRDefault="008031CE" w:rsidP="008031CE">
      <w:pPr>
        <w:spacing w:before="300" w:after="300"/>
        <w:rPr>
          <w:rFonts w:ascii="Arial" w:hAnsi="Arial" w:cs="Arial"/>
        </w:rPr>
      </w:pPr>
      <w:r w:rsidRPr="008031CE">
        <w:rPr>
          <w:rFonts w:ascii="Arial" w:hAnsi="Arial" w:cs="Arial"/>
        </w:rPr>
        <w:lastRenderedPageBreak/>
        <w:drawing>
          <wp:inline distT="0" distB="0" distL="0" distR="0" wp14:anchorId="7513B644" wp14:editId="7E93F3C3">
            <wp:extent cx="5731510" cy="5731510"/>
            <wp:effectExtent l="0" t="0" r="2540" b="2540"/>
            <wp:docPr id="872074063" name="Picture 2" descr="Image of Kurt Lewin's Three-Sta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of Kurt Lewin's Three-Stage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5F1E8CB4" w14:textId="156A5042" w:rsidR="008031CE" w:rsidRPr="008031CE" w:rsidRDefault="008031CE" w:rsidP="008031CE">
      <w:pPr>
        <w:spacing w:before="300" w:after="300"/>
        <w:rPr>
          <w:rFonts w:ascii="Arial" w:hAnsi="Arial" w:cs="Arial"/>
        </w:rPr>
      </w:pPr>
      <w:r w:rsidRPr="008031CE">
        <w:rPr>
          <w:rFonts w:ascii="Arial" w:hAnsi="Arial" w:cs="Arial"/>
        </w:rPr>
        <w:t>                                                              </w:t>
      </w:r>
    </w:p>
    <w:p w14:paraId="3208C93B"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Employee Relations Technology: Building Clarity and Trust </w:t>
      </w:r>
    </w:p>
    <w:p w14:paraId="161CAF3B" w14:textId="77777777" w:rsidR="008031CE" w:rsidRPr="008031CE" w:rsidRDefault="008031CE" w:rsidP="008031CE">
      <w:pPr>
        <w:spacing w:before="300" w:after="300"/>
        <w:rPr>
          <w:rFonts w:ascii="Arial" w:hAnsi="Arial" w:cs="Arial"/>
        </w:rPr>
      </w:pPr>
      <w:r w:rsidRPr="008031CE">
        <w:rPr>
          <w:rFonts w:ascii="Arial" w:hAnsi="Arial" w:cs="Arial"/>
        </w:rPr>
        <w:t xml:space="preserve">Employee relations (ER) technology platforms such as HR Acuity (2025) offer real-time grievance logging, trend analysis, and early intervention capabilities. This practice is primarily an Unfreeze tool, as it highlights systemic failures (grievance clusters, inconsistent manager decisions) that communicate the urgency of change and break down the belief that the current state is acceptable. It also supports </w:t>
      </w:r>
      <w:r w:rsidRPr="008031CE">
        <w:rPr>
          <w:rFonts w:ascii="Arial" w:hAnsi="Arial" w:cs="Arial"/>
        </w:rPr>
        <w:lastRenderedPageBreak/>
        <w:t>Refreeze by providing documented, consistent compliance with policy, locking in fairness as a new standard. Implementing ER technology signals to employees that concerns are taken seriously, addressing key resistance points during the initial unfreeze phase. </w:t>
      </w:r>
    </w:p>
    <w:p w14:paraId="657B3942"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Digital Performance Management Systems: Fairness and Transparency in Flexible Contexts </w:t>
      </w:r>
    </w:p>
    <w:p w14:paraId="4350761D" w14:textId="77777777" w:rsidR="008031CE" w:rsidRPr="008031CE" w:rsidRDefault="008031CE" w:rsidP="008031CE">
      <w:pPr>
        <w:spacing w:before="300" w:after="300"/>
        <w:rPr>
          <w:rFonts w:ascii="Arial" w:hAnsi="Arial" w:cs="Arial"/>
        </w:rPr>
      </w:pPr>
      <w:r w:rsidRPr="008031CE">
        <w:rPr>
          <w:rFonts w:ascii="Arial" w:hAnsi="Arial" w:cs="Arial"/>
        </w:rPr>
        <w:t>Digital performance management systems such as those reviewed by RSI Concepts (2024) provide significant advantages in flexible working environments. This practice is essential for the Change phase, providing the new, outcome-based metrics needed to evaluate performance in flexible contexts. By providing continuous, documented feedback and visible goal tracking, it helps managers and employees adopt new behaviours. It supports Refreeze by embedding the new, transparent, and outcome-focused performance expectations into daily operations (RSI Concepts, 2024). A clear, consistently used digital system reduces the ambiguity that fuels resistance during the transition. </w:t>
      </w:r>
    </w:p>
    <w:p w14:paraId="00D007E9"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Digital Recognition and Reward Programmes: Activating Motivational Factors </w:t>
      </w:r>
    </w:p>
    <w:p w14:paraId="47CC3329" w14:textId="77777777" w:rsidR="008031CE" w:rsidRPr="008031CE" w:rsidRDefault="008031CE" w:rsidP="008031CE">
      <w:pPr>
        <w:spacing w:before="300" w:after="300"/>
        <w:rPr>
          <w:rFonts w:ascii="Arial" w:hAnsi="Arial" w:cs="Arial"/>
        </w:rPr>
      </w:pPr>
      <w:r w:rsidRPr="008031CE">
        <w:rPr>
          <w:rFonts w:ascii="Arial" w:hAnsi="Arial" w:cs="Arial"/>
        </w:rPr>
        <w:t>Organisations including Reward Gateway (2024) and Kudos (2025) have developed platforms that integrate peer recognition, manager appreciation, and rewards integration into enterprise systems. This is a powerful Refreeze mechanism. By democratising and making appreciation visible (Kudos, 2025), it reinforces the new behaviours required by the digital and flexible transformation. It quickly normalises the desired culture (e.g., using the new digital tool, succeeding in a remote role) by celebrating early adopters, thereby securing the change and preventing a slide back to old habits. Integration with flexible working is essential to ensure remote achievements are equally visible and valued. </w:t>
      </w:r>
    </w:p>
    <w:p w14:paraId="7FD38A9A"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lastRenderedPageBreak/>
        <w:t>Manager Training and Capability Development: Enabling Line Manager Change Leadership </w:t>
      </w:r>
    </w:p>
    <w:p w14:paraId="71793206" w14:textId="77777777" w:rsidR="008031CE" w:rsidRPr="008031CE" w:rsidRDefault="008031CE" w:rsidP="008031CE">
      <w:pPr>
        <w:spacing w:before="300" w:after="300"/>
        <w:rPr>
          <w:rFonts w:ascii="Arial" w:hAnsi="Arial" w:cs="Arial"/>
        </w:rPr>
      </w:pPr>
      <w:r w:rsidRPr="008031CE">
        <w:rPr>
          <w:rFonts w:ascii="Arial" w:hAnsi="Arial" w:cs="Arial"/>
        </w:rPr>
        <w:t xml:space="preserve">Research from RSM Netherlands (2024) and the CIPD (2024) emphasises that line managers are critical change agents. This practice is the critical driver across both the Unfreeze and Change phases. Training prepares managers to lead the change process, helping them to "unfreeze" their teams by communicating the 'why' and addressing resistance. During the Change phase, trained managers </w:t>
      </w:r>
      <w:proofErr w:type="gramStart"/>
      <w:r w:rsidRPr="008031CE">
        <w:rPr>
          <w:rFonts w:ascii="Arial" w:hAnsi="Arial" w:cs="Arial"/>
        </w:rPr>
        <w:t>are capable of providing</w:t>
      </w:r>
      <w:proofErr w:type="gramEnd"/>
      <w:r w:rsidRPr="008031CE">
        <w:rPr>
          <w:rFonts w:ascii="Arial" w:hAnsi="Arial" w:cs="Arial"/>
        </w:rPr>
        <w:t xml:space="preserve"> the necessary guidance, coaching, and role-modelling to ensure new practices (like digital performance and ER tech) are correctly implemented. The CIPD (2024) reports that organisations investing in manager capability during transformation experience significantly fewer grievances related to inconsistent decision-making. </w:t>
      </w:r>
    </w:p>
    <w:p w14:paraId="51810897"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Flexible Working Support Infrastructure: Creating Systemic Conditions for Success </w:t>
      </w:r>
    </w:p>
    <w:p w14:paraId="5E335ECC" w14:textId="77777777" w:rsidR="008031CE" w:rsidRPr="008031CE" w:rsidRDefault="008031CE" w:rsidP="008031CE">
      <w:pPr>
        <w:spacing w:before="300" w:after="300"/>
        <w:rPr>
          <w:rFonts w:ascii="Arial" w:hAnsi="Arial" w:cs="Arial"/>
        </w:rPr>
      </w:pPr>
      <w:r w:rsidRPr="008031CE">
        <w:rPr>
          <w:rFonts w:ascii="Arial" w:hAnsi="Arial" w:cs="Arial"/>
        </w:rPr>
        <w:t xml:space="preserve">Platforms such as </w:t>
      </w:r>
      <w:proofErr w:type="spellStart"/>
      <w:r w:rsidRPr="008031CE">
        <w:rPr>
          <w:rFonts w:ascii="Arial" w:hAnsi="Arial" w:cs="Arial"/>
        </w:rPr>
        <w:t>Skillcycle</w:t>
      </w:r>
      <w:proofErr w:type="spellEnd"/>
      <w:r w:rsidRPr="008031CE">
        <w:rPr>
          <w:rFonts w:ascii="Arial" w:hAnsi="Arial" w:cs="Arial"/>
        </w:rPr>
        <w:t xml:space="preserve"> (2025) and Wellbeing People (2025) provide integrated support for flexible working implementation. This practice directly facilitates the Change phase by providing the practical tools and resources (</w:t>
      </w:r>
      <w:proofErr w:type="spellStart"/>
      <w:r w:rsidRPr="008031CE">
        <w:rPr>
          <w:rFonts w:ascii="Arial" w:hAnsi="Arial" w:cs="Arial"/>
        </w:rPr>
        <w:t>Skillcycle</w:t>
      </w:r>
      <w:proofErr w:type="spellEnd"/>
      <w:r w:rsidRPr="008031CE">
        <w:rPr>
          <w:rFonts w:ascii="Arial" w:hAnsi="Arial" w:cs="Arial"/>
        </w:rPr>
        <w:t>, 2025) needed for employees to work effectively in the new environment. It reduces technological and emotional friction, enabling employees to successfully transition to new collaboration methods and remote work norms. By focusing on employee welfare (Wellbeing People, 2025), it ensures that the change is seen as supportive, rather than punitive, which is vital for successful behavioural adoption. </w:t>
      </w:r>
    </w:p>
    <w:p w14:paraId="73C89F0F" w14:textId="77777777" w:rsidR="008031CE" w:rsidRPr="008031CE" w:rsidRDefault="008031CE" w:rsidP="008031CE">
      <w:pPr>
        <w:spacing w:before="300" w:after="300"/>
        <w:rPr>
          <w:rFonts w:ascii="Arial" w:hAnsi="Arial" w:cs="Arial"/>
        </w:rPr>
      </w:pPr>
      <w:r w:rsidRPr="008031CE">
        <w:rPr>
          <w:rFonts w:ascii="Arial" w:hAnsi="Arial" w:cs="Arial"/>
        </w:rPr>
        <w:t> </w:t>
      </w:r>
    </w:p>
    <w:p w14:paraId="0E1FCDAC" w14:textId="77777777" w:rsidR="00230004" w:rsidRDefault="00230004" w:rsidP="008031CE">
      <w:pPr>
        <w:spacing w:before="300" w:after="300"/>
        <w:rPr>
          <w:rFonts w:ascii="Arial" w:hAnsi="Arial" w:cs="Arial"/>
          <w:sz w:val="36"/>
          <w:szCs w:val="36"/>
        </w:rPr>
      </w:pPr>
    </w:p>
    <w:p w14:paraId="35DC71BA" w14:textId="77777777" w:rsidR="00230004" w:rsidRDefault="00230004" w:rsidP="008031CE">
      <w:pPr>
        <w:spacing w:before="300" w:after="300"/>
        <w:rPr>
          <w:rFonts w:ascii="Arial" w:hAnsi="Arial" w:cs="Arial"/>
          <w:sz w:val="36"/>
          <w:szCs w:val="36"/>
        </w:rPr>
      </w:pPr>
    </w:p>
    <w:p w14:paraId="3D4872A9" w14:textId="752209BC" w:rsidR="008031CE" w:rsidRDefault="008031CE" w:rsidP="008031CE">
      <w:pPr>
        <w:spacing w:before="300" w:after="300"/>
        <w:rPr>
          <w:rFonts w:ascii="Arial" w:hAnsi="Arial" w:cs="Arial"/>
          <w:sz w:val="36"/>
          <w:szCs w:val="36"/>
        </w:rPr>
      </w:pPr>
      <w:r w:rsidRPr="008031CE">
        <w:rPr>
          <w:rFonts w:ascii="Arial" w:hAnsi="Arial" w:cs="Arial"/>
          <w:sz w:val="36"/>
          <w:szCs w:val="36"/>
        </w:rPr>
        <w:lastRenderedPageBreak/>
        <w:t>Section 3:</w:t>
      </w:r>
    </w:p>
    <w:p w14:paraId="16CD4053" w14:textId="6F557A79"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The Manager Implementation Challenge and Kotter's Framework </w:t>
      </w:r>
    </w:p>
    <w:p w14:paraId="5B296726" w14:textId="77777777" w:rsidR="008031CE" w:rsidRPr="008031CE" w:rsidRDefault="008031CE" w:rsidP="008031CE">
      <w:pPr>
        <w:spacing w:before="300" w:after="300"/>
        <w:rPr>
          <w:rFonts w:ascii="Arial" w:hAnsi="Arial" w:cs="Arial"/>
        </w:rPr>
      </w:pPr>
      <w:r w:rsidRPr="008031CE">
        <w:rPr>
          <w:rFonts w:ascii="Arial" w:hAnsi="Arial" w:cs="Arial"/>
        </w:rPr>
        <w:t xml:space="preserve">The central difficulty facing many organisations is implementation consistency: contemporary practices are well-established, but execution varies wildly based </w:t>
      </w:r>
      <w:proofErr w:type="gramStart"/>
      <w:r w:rsidRPr="008031CE">
        <w:rPr>
          <w:rFonts w:ascii="Arial" w:hAnsi="Arial" w:cs="Arial"/>
        </w:rPr>
        <w:t>on line</w:t>
      </w:r>
      <w:proofErr w:type="gramEnd"/>
      <w:r w:rsidRPr="008031CE">
        <w:rPr>
          <w:rFonts w:ascii="Arial" w:hAnsi="Arial" w:cs="Arial"/>
        </w:rPr>
        <w:t xml:space="preserve"> manager commitment, capability, and competing priorities. Kotter's Eight-Step Change Model (Kotter International, 2024) provides a diagnostic framework for understanding this variability and designing corrective action. </w:t>
      </w:r>
    </w:p>
    <w:p w14:paraId="5E670315" w14:textId="77777777" w:rsidR="008031CE" w:rsidRPr="008031CE" w:rsidRDefault="008031CE" w:rsidP="008031CE">
      <w:pPr>
        <w:spacing w:before="300" w:after="300"/>
        <w:rPr>
          <w:rFonts w:ascii="Arial" w:hAnsi="Arial" w:cs="Arial"/>
        </w:rPr>
      </w:pPr>
      <w:r w:rsidRPr="008031CE">
        <w:rPr>
          <w:rFonts w:ascii="Arial" w:hAnsi="Arial" w:cs="Arial"/>
        </w:rPr>
        <w:t>Kotter identifies that successful change requires:  </w:t>
      </w:r>
    </w:p>
    <w:p w14:paraId="30EE1425" w14:textId="77777777" w:rsidR="008031CE" w:rsidRPr="008031CE" w:rsidRDefault="008031CE" w:rsidP="008031CE">
      <w:pPr>
        <w:spacing w:before="300" w:after="300"/>
        <w:rPr>
          <w:rFonts w:ascii="Arial" w:hAnsi="Arial" w:cs="Arial"/>
        </w:rPr>
      </w:pPr>
      <w:r w:rsidRPr="008031CE">
        <w:rPr>
          <w:rFonts w:ascii="Arial" w:hAnsi="Arial" w:cs="Arial"/>
        </w:rPr>
        <w:t>1 establishing urgency </w:t>
      </w:r>
    </w:p>
    <w:p w14:paraId="3887AF47" w14:textId="77777777" w:rsidR="008031CE" w:rsidRPr="008031CE" w:rsidRDefault="008031CE" w:rsidP="008031CE">
      <w:pPr>
        <w:spacing w:before="300" w:after="300"/>
        <w:rPr>
          <w:rFonts w:ascii="Arial" w:hAnsi="Arial" w:cs="Arial"/>
        </w:rPr>
      </w:pPr>
      <w:r w:rsidRPr="008031CE">
        <w:rPr>
          <w:rFonts w:ascii="Arial" w:hAnsi="Arial" w:cs="Arial"/>
        </w:rPr>
        <w:t>2 building a coalition of support </w:t>
      </w:r>
    </w:p>
    <w:p w14:paraId="485BF67B" w14:textId="77777777" w:rsidR="008031CE" w:rsidRPr="008031CE" w:rsidRDefault="008031CE" w:rsidP="008031CE">
      <w:pPr>
        <w:spacing w:before="300" w:after="300"/>
        <w:rPr>
          <w:rFonts w:ascii="Arial" w:hAnsi="Arial" w:cs="Arial"/>
        </w:rPr>
      </w:pPr>
      <w:r w:rsidRPr="008031CE">
        <w:rPr>
          <w:rFonts w:ascii="Arial" w:hAnsi="Arial" w:cs="Arial"/>
        </w:rPr>
        <w:t>3 crafting vision </w:t>
      </w:r>
    </w:p>
    <w:p w14:paraId="0B0BB5A9" w14:textId="77777777" w:rsidR="008031CE" w:rsidRPr="008031CE" w:rsidRDefault="008031CE" w:rsidP="008031CE">
      <w:pPr>
        <w:spacing w:before="300" w:after="300"/>
        <w:rPr>
          <w:rFonts w:ascii="Arial" w:hAnsi="Arial" w:cs="Arial"/>
        </w:rPr>
      </w:pPr>
      <w:r w:rsidRPr="008031CE">
        <w:rPr>
          <w:rFonts w:ascii="Arial" w:hAnsi="Arial" w:cs="Arial"/>
        </w:rPr>
        <w:t>4 communicating vision </w:t>
      </w:r>
    </w:p>
    <w:p w14:paraId="5B44DA3A" w14:textId="77777777" w:rsidR="008031CE" w:rsidRPr="008031CE" w:rsidRDefault="008031CE" w:rsidP="008031CE">
      <w:pPr>
        <w:spacing w:before="300" w:after="300"/>
        <w:rPr>
          <w:rFonts w:ascii="Arial" w:hAnsi="Arial" w:cs="Arial"/>
        </w:rPr>
      </w:pPr>
      <w:r w:rsidRPr="008031CE">
        <w:rPr>
          <w:rFonts w:ascii="Arial" w:hAnsi="Arial" w:cs="Arial"/>
        </w:rPr>
        <w:t>5 removing barrier  </w:t>
      </w:r>
    </w:p>
    <w:p w14:paraId="7B74C7FF" w14:textId="77777777" w:rsidR="008031CE" w:rsidRPr="008031CE" w:rsidRDefault="008031CE" w:rsidP="008031CE">
      <w:pPr>
        <w:spacing w:before="300" w:after="300"/>
        <w:rPr>
          <w:rFonts w:ascii="Arial" w:hAnsi="Arial" w:cs="Arial"/>
        </w:rPr>
      </w:pPr>
      <w:r w:rsidRPr="008031CE">
        <w:rPr>
          <w:rFonts w:ascii="Arial" w:hAnsi="Arial" w:cs="Arial"/>
        </w:rPr>
        <w:t>6 celebrating quick wins </w:t>
      </w:r>
    </w:p>
    <w:p w14:paraId="4A29752D" w14:textId="77777777" w:rsidR="008031CE" w:rsidRPr="008031CE" w:rsidRDefault="008031CE" w:rsidP="008031CE">
      <w:pPr>
        <w:spacing w:before="300" w:after="300"/>
        <w:rPr>
          <w:rFonts w:ascii="Arial" w:hAnsi="Arial" w:cs="Arial"/>
        </w:rPr>
      </w:pPr>
      <w:r w:rsidRPr="008031CE">
        <w:rPr>
          <w:rFonts w:ascii="Arial" w:hAnsi="Arial" w:cs="Arial"/>
        </w:rPr>
        <w:t>7 consolidating gains </w:t>
      </w:r>
    </w:p>
    <w:p w14:paraId="33811CC9" w14:textId="77777777" w:rsidR="008031CE" w:rsidRPr="008031CE" w:rsidRDefault="008031CE" w:rsidP="008031CE">
      <w:pPr>
        <w:spacing w:before="300" w:after="300"/>
        <w:rPr>
          <w:rFonts w:ascii="Arial" w:hAnsi="Arial" w:cs="Arial"/>
        </w:rPr>
      </w:pPr>
      <w:r w:rsidRPr="008031CE">
        <w:rPr>
          <w:rFonts w:ascii="Arial" w:hAnsi="Arial" w:cs="Arial"/>
        </w:rPr>
        <w:t>8 embedding in culture (Kotter International, 2024).  </w:t>
      </w:r>
    </w:p>
    <w:p w14:paraId="7B3A11E6" w14:textId="77777777" w:rsidR="008031CE" w:rsidRPr="008031CE" w:rsidRDefault="008031CE" w:rsidP="008031CE">
      <w:pPr>
        <w:spacing w:before="300" w:after="300"/>
        <w:rPr>
          <w:rFonts w:ascii="Arial" w:hAnsi="Arial" w:cs="Arial"/>
        </w:rPr>
      </w:pPr>
      <w:r w:rsidRPr="008031CE">
        <w:rPr>
          <w:rFonts w:ascii="Arial" w:hAnsi="Arial" w:cs="Arial"/>
        </w:rPr>
        <w:t>In this organisation's context, steps one through four remain incomplete: many managers perceive grievances as individual performance issues rather than signals of systemic change mismanagement. The coalition of senior leaders has not collectively acknowledged transformation urgency. Vision for post-transformation organisational culture remains unclear to middle management. Communication of this vision to frontline staff is fragmented and inconsistent. </w:t>
      </w:r>
    </w:p>
    <w:p w14:paraId="7DCD9E4F" w14:textId="77777777" w:rsidR="008031CE" w:rsidRPr="008031CE" w:rsidRDefault="008031CE" w:rsidP="008031CE">
      <w:pPr>
        <w:spacing w:before="300" w:after="300"/>
        <w:rPr>
          <w:rFonts w:ascii="Arial" w:hAnsi="Arial" w:cs="Arial"/>
        </w:rPr>
      </w:pPr>
      <w:r w:rsidRPr="008031CE">
        <w:rPr>
          <w:rFonts w:ascii="Arial" w:hAnsi="Arial" w:cs="Arial"/>
        </w:rPr>
        <w:lastRenderedPageBreak/>
        <w:t>Applying Kotter's lens, immediate priorities are: </w:t>
      </w:r>
    </w:p>
    <w:p w14:paraId="543F4358" w14:textId="77777777" w:rsidR="008031CE" w:rsidRPr="008031CE" w:rsidRDefault="008031CE" w:rsidP="008031CE">
      <w:pPr>
        <w:numPr>
          <w:ilvl w:val="0"/>
          <w:numId w:val="11"/>
        </w:numPr>
        <w:spacing w:before="300" w:after="300"/>
        <w:rPr>
          <w:rFonts w:ascii="Arial" w:hAnsi="Arial" w:cs="Arial"/>
        </w:rPr>
      </w:pPr>
      <w:r w:rsidRPr="008031CE">
        <w:rPr>
          <w:rFonts w:ascii="Arial" w:hAnsi="Arial" w:cs="Arial"/>
        </w:rPr>
        <w:t>Step 1 - Establishing Urgency: Data from grievance trends, turnover patterns, and anonymous pulse surveys must be synthesised into a clear picture of current-state dysfunction and future-state risk. This requires HR to position itself as evidence-based advisor, presenting analysis to senior leadership establishing that continued mismanagement of transformation will result in talent loss, reduced productivity, and potential tribunal risk. </w:t>
      </w:r>
    </w:p>
    <w:p w14:paraId="1A07708C" w14:textId="77777777" w:rsidR="008031CE" w:rsidRPr="008031CE" w:rsidRDefault="008031CE" w:rsidP="008031CE">
      <w:pPr>
        <w:numPr>
          <w:ilvl w:val="0"/>
          <w:numId w:val="12"/>
        </w:numPr>
        <w:spacing w:before="300" w:after="300"/>
        <w:rPr>
          <w:rFonts w:ascii="Arial" w:hAnsi="Arial" w:cs="Arial"/>
        </w:rPr>
      </w:pPr>
      <w:r w:rsidRPr="008031CE">
        <w:rPr>
          <w:rFonts w:ascii="Arial" w:hAnsi="Arial" w:cs="Arial"/>
        </w:rPr>
        <w:t>Steps 2 - Coalition Building and Vision Crafting: Senior HR leaders must work with departmental heads and union representatives (if applicable) to co-create a vision of desired post-transformation culture. This vision must explicitly address employee agency: "We are transforming our systems to enhance your capability, not diminish your role. You will be heard, supported, and recognised through this change." </w:t>
      </w:r>
    </w:p>
    <w:p w14:paraId="2A755BB7" w14:textId="77777777" w:rsidR="008031CE" w:rsidRPr="008031CE" w:rsidRDefault="008031CE" w:rsidP="008031CE">
      <w:pPr>
        <w:numPr>
          <w:ilvl w:val="0"/>
          <w:numId w:val="13"/>
        </w:numPr>
        <w:spacing w:before="300" w:after="300"/>
        <w:rPr>
          <w:rFonts w:ascii="Arial" w:hAnsi="Arial" w:cs="Arial"/>
        </w:rPr>
      </w:pPr>
      <w:r w:rsidRPr="008031CE">
        <w:rPr>
          <w:rFonts w:ascii="Arial" w:hAnsi="Arial" w:cs="Arial"/>
        </w:rPr>
        <w:t>Step 4 - Communication: Once crafted, this vision must be cascaded consistently through all leadership layers. Managers require explicit communication of their role: they are accountable for translating organisational vision into team-level actions. Role clarity itself, a fundamental motivational factor, reduces grievance risk. </w:t>
      </w:r>
    </w:p>
    <w:p w14:paraId="734C3F70"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Removing Structural Barriers: Manager Empowerment and Resource Allocation </w:t>
      </w:r>
    </w:p>
    <w:p w14:paraId="4F2AA239" w14:textId="77777777" w:rsidR="008031CE" w:rsidRPr="008031CE" w:rsidRDefault="008031CE" w:rsidP="008031CE">
      <w:pPr>
        <w:spacing w:before="300" w:after="300"/>
        <w:rPr>
          <w:rFonts w:ascii="Arial" w:hAnsi="Arial" w:cs="Arial"/>
        </w:rPr>
      </w:pPr>
      <w:r w:rsidRPr="008031CE">
        <w:rPr>
          <w:rFonts w:ascii="Arial" w:hAnsi="Arial" w:cs="Arial"/>
        </w:rPr>
        <w:t>A critical Kotter step is removing structural obstacles to implementation. Research from the CIPD (2023) identifies that manager implementation failure typically stems not from unwillingness but from structural barriers: competing priorities, insufficient resources, and lack of managerial authority to make decisions. The study confirms that HRM implementation is highly variable based on a manager's leadership style. </w:t>
      </w:r>
    </w:p>
    <w:p w14:paraId="319E4C56" w14:textId="77777777" w:rsidR="008031CE" w:rsidRPr="008031CE" w:rsidRDefault="008031CE" w:rsidP="008031CE">
      <w:pPr>
        <w:spacing w:before="300" w:after="300"/>
        <w:rPr>
          <w:rFonts w:ascii="Arial" w:hAnsi="Arial" w:cs="Arial"/>
        </w:rPr>
      </w:pPr>
      <w:r w:rsidRPr="008031CE">
        <w:rPr>
          <w:rFonts w:ascii="Arial" w:hAnsi="Arial" w:cs="Arial"/>
        </w:rPr>
        <w:t>For this organisation, specific barriers are: </w:t>
      </w:r>
    </w:p>
    <w:p w14:paraId="20E33ABD" w14:textId="77777777" w:rsidR="008031CE" w:rsidRPr="008031CE" w:rsidRDefault="008031CE" w:rsidP="008031CE">
      <w:pPr>
        <w:numPr>
          <w:ilvl w:val="0"/>
          <w:numId w:val="14"/>
        </w:numPr>
        <w:spacing w:before="300" w:after="300"/>
        <w:rPr>
          <w:rFonts w:ascii="Arial" w:hAnsi="Arial" w:cs="Arial"/>
        </w:rPr>
      </w:pPr>
      <w:r w:rsidRPr="008031CE">
        <w:rPr>
          <w:rFonts w:ascii="Arial" w:hAnsi="Arial" w:cs="Arial"/>
        </w:rPr>
        <w:lastRenderedPageBreak/>
        <w:t>Managers lack training in new systems prior to rollout, creating implementation anxiety. </w:t>
      </w:r>
    </w:p>
    <w:p w14:paraId="485120AD" w14:textId="77777777" w:rsidR="008031CE" w:rsidRPr="008031CE" w:rsidRDefault="008031CE" w:rsidP="008031CE">
      <w:pPr>
        <w:numPr>
          <w:ilvl w:val="0"/>
          <w:numId w:val="15"/>
        </w:numPr>
        <w:spacing w:before="300" w:after="300"/>
        <w:rPr>
          <w:rFonts w:ascii="Arial" w:hAnsi="Arial" w:cs="Arial"/>
        </w:rPr>
      </w:pPr>
      <w:r w:rsidRPr="008031CE">
        <w:rPr>
          <w:rFonts w:ascii="Arial" w:hAnsi="Arial" w:cs="Arial"/>
        </w:rPr>
        <w:t>Managers lack clear authority to approve flexible working requests, leading to inconsistency and grievances. </w:t>
      </w:r>
    </w:p>
    <w:p w14:paraId="6B5F79A4" w14:textId="77777777" w:rsidR="008031CE" w:rsidRPr="008031CE" w:rsidRDefault="008031CE" w:rsidP="008031CE">
      <w:pPr>
        <w:numPr>
          <w:ilvl w:val="0"/>
          <w:numId w:val="16"/>
        </w:numPr>
        <w:spacing w:before="300" w:after="300"/>
        <w:rPr>
          <w:rFonts w:ascii="Arial" w:hAnsi="Arial" w:cs="Arial"/>
        </w:rPr>
      </w:pPr>
      <w:r w:rsidRPr="008031CE">
        <w:rPr>
          <w:rFonts w:ascii="Arial" w:hAnsi="Arial" w:cs="Arial"/>
        </w:rPr>
        <w:t>Managers lack time allocation for capability coaching - transformation occurs on top of operational workload. </w:t>
      </w:r>
    </w:p>
    <w:p w14:paraId="48CA7EE4" w14:textId="77777777" w:rsidR="008031CE" w:rsidRPr="008031CE" w:rsidRDefault="008031CE" w:rsidP="008031CE">
      <w:pPr>
        <w:numPr>
          <w:ilvl w:val="0"/>
          <w:numId w:val="17"/>
        </w:numPr>
        <w:spacing w:before="300" w:after="300"/>
        <w:rPr>
          <w:rFonts w:ascii="Arial" w:hAnsi="Arial" w:cs="Arial"/>
        </w:rPr>
      </w:pPr>
      <w:r w:rsidRPr="008031CE">
        <w:rPr>
          <w:rFonts w:ascii="Arial" w:hAnsi="Arial" w:cs="Arial"/>
        </w:rPr>
        <w:t>Managers lack access to early grievance intervention support - when issues emerge, they escalate to formal procedures immediately. </w:t>
      </w:r>
    </w:p>
    <w:p w14:paraId="1B72C37A" w14:textId="77777777" w:rsidR="008031CE" w:rsidRPr="008031CE" w:rsidRDefault="008031CE" w:rsidP="008031CE">
      <w:pPr>
        <w:spacing w:before="300" w:after="300"/>
        <w:rPr>
          <w:rFonts w:ascii="Arial" w:hAnsi="Arial" w:cs="Arial"/>
        </w:rPr>
      </w:pPr>
      <w:r w:rsidRPr="008031CE">
        <w:rPr>
          <w:rFonts w:ascii="Arial" w:hAnsi="Arial" w:cs="Arial"/>
        </w:rPr>
        <w:t>Removing these barriers requires HR to function operationally: delivering just-in-time training to managers before system rollout, providing clear decision matrices for flexible working approvals, temporarily backfilling management time to free capacity for change leadership, and embedding HR business partner support in departments. </w:t>
      </w:r>
    </w:p>
    <w:p w14:paraId="54C336A2" w14:textId="590E27C9" w:rsidR="008031CE" w:rsidRPr="008031CE" w:rsidRDefault="008031CE" w:rsidP="008031CE">
      <w:pPr>
        <w:spacing w:before="300" w:after="300"/>
        <w:rPr>
          <w:rFonts w:ascii="Arial" w:hAnsi="Arial" w:cs="Arial"/>
        </w:rPr>
      </w:pPr>
      <w:proofErr w:type="spellStart"/>
      <w:r w:rsidRPr="008031CE">
        <w:rPr>
          <w:rFonts w:ascii="Arial" w:hAnsi="Arial" w:cs="Arial"/>
        </w:rPr>
        <w:t>Skillcycle</w:t>
      </w:r>
      <w:proofErr w:type="spellEnd"/>
      <w:r w:rsidRPr="008031CE">
        <w:rPr>
          <w:rFonts w:ascii="Arial" w:hAnsi="Arial" w:cs="Arial"/>
        </w:rPr>
        <w:t xml:space="preserve"> (2025) offers integrated manager support addressing these barriers, providing on-demand training, decision frameworks, and connection to HR advisory support. Investment in such platforms is an investment in manager empowerment and, consequently, in successful implementation. </w:t>
      </w:r>
    </w:p>
    <w:p w14:paraId="6013B579"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Accountability Through Role Modelling and Visible Leadership </w:t>
      </w:r>
    </w:p>
    <w:p w14:paraId="6F25CDE1" w14:textId="77777777" w:rsidR="008031CE" w:rsidRPr="008031CE" w:rsidRDefault="008031CE" w:rsidP="008031CE">
      <w:pPr>
        <w:spacing w:before="300" w:after="300"/>
        <w:rPr>
          <w:rFonts w:ascii="Arial" w:hAnsi="Arial" w:cs="Arial"/>
        </w:rPr>
      </w:pPr>
      <w:r w:rsidRPr="008031CE">
        <w:rPr>
          <w:rFonts w:ascii="Arial" w:hAnsi="Arial" w:cs="Arial"/>
        </w:rPr>
        <w:t>Kotter's research emphasises that change fails when senior leaders advocate for transformation but do not visibly embody it themselves. In this organisation, this translates to a specific accountability mechanism: senior HR and operational leaders must visibly use new systems, work flexibly where possible, and model the behaviours they expect from teams. </w:t>
      </w:r>
    </w:p>
    <w:p w14:paraId="1858124C" w14:textId="77777777" w:rsidR="008031CE" w:rsidRPr="008031CE" w:rsidRDefault="008031CE" w:rsidP="008031CE">
      <w:pPr>
        <w:spacing w:before="300" w:after="300"/>
        <w:rPr>
          <w:rFonts w:ascii="Arial" w:hAnsi="Arial" w:cs="Arial"/>
        </w:rPr>
      </w:pPr>
      <w:r w:rsidRPr="008031CE">
        <w:rPr>
          <w:rFonts w:ascii="Arial" w:hAnsi="Arial" w:cs="Arial"/>
        </w:rPr>
        <w:t xml:space="preserve">People Management (2025) research on "walking the talk" indicates that organisations where leaders visibly adopt new ways of working experience 52 per cent higher engagement during transformation than those where change is mandated top-down but not visibly embodied. This creates psychological safety: </w:t>
      </w:r>
      <w:r w:rsidRPr="008031CE">
        <w:rPr>
          <w:rFonts w:ascii="Arial" w:hAnsi="Arial" w:cs="Arial"/>
        </w:rPr>
        <w:lastRenderedPageBreak/>
        <w:t>employees observe that new systems and arrangements are genuinely valued by leadership, not compliance theatre. </w:t>
      </w:r>
    </w:p>
    <w:p w14:paraId="05C2B445" w14:textId="77777777" w:rsidR="008031CE" w:rsidRPr="008031CE" w:rsidRDefault="008031CE" w:rsidP="008031CE">
      <w:pPr>
        <w:spacing w:before="300" w:after="300"/>
        <w:rPr>
          <w:rFonts w:ascii="Arial" w:hAnsi="Arial" w:cs="Arial"/>
        </w:rPr>
      </w:pPr>
      <w:r w:rsidRPr="008031CE">
        <w:rPr>
          <w:rFonts w:ascii="Arial" w:hAnsi="Arial" w:cs="Arial"/>
        </w:rPr>
        <w:t xml:space="preserve">For this organisation, specific visible leadership actions </w:t>
      </w:r>
      <w:proofErr w:type="gramStart"/>
      <w:r w:rsidRPr="008031CE">
        <w:rPr>
          <w:rFonts w:ascii="Arial" w:hAnsi="Arial" w:cs="Arial"/>
        </w:rPr>
        <w:t>include:</w:t>
      </w:r>
      <w:proofErr w:type="gramEnd"/>
      <w:r w:rsidRPr="008031CE">
        <w:rPr>
          <w:rFonts w:ascii="Arial" w:hAnsi="Arial" w:cs="Arial"/>
        </w:rPr>
        <w:t xml:space="preserve"> HR directors conducting performance reviews using the new digital system, scheduling regular remote working days, publicly recognising teams navigating transformation successfully, and taking the first grievance resolution training module themselves. </w:t>
      </w:r>
    </w:p>
    <w:p w14:paraId="198A798F" w14:textId="77777777"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t>Addressing Emotional Resistance and Building Psychological Safety </w:t>
      </w:r>
    </w:p>
    <w:p w14:paraId="70662928" w14:textId="77777777" w:rsidR="008031CE" w:rsidRPr="008031CE" w:rsidRDefault="008031CE" w:rsidP="008031CE">
      <w:pPr>
        <w:spacing w:before="300" w:after="300"/>
        <w:rPr>
          <w:rFonts w:ascii="Arial" w:hAnsi="Arial" w:cs="Arial"/>
        </w:rPr>
      </w:pPr>
      <w:r w:rsidRPr="008031CE">
        <w:rPr>
          <w:rFonts w:ascii="Arial" w:hAnsi="Arial" w:cs="Arial"/>
        </w:rPr>
        <w:t>Kotter's model emphasises that change failure often stems from emotional resistance rather than logical objection. Employees experiencing grievance-inducing stress during transformation are in a heightened emotional state characterised by uncertainty, loss of control, and reduced trust. Rational communication alone does not resolve emotional resistance; it requires empathetic acknowledgment and restoration of psychological safety. </w:t>
      </w:r>
    </w:p>
    <w:p w14:paraId="1A45C4F1" w14:textId="77777777" w:rsidR="008031CE" w:rsidRPr="008031CE" w:rsidRDefault="008031CE" w:rsidP="008031CE">
      <w:pPr>
        <w:spacing w:before="300" w:after="300"/>
        <w:rPr>
          <w:rFonts w:ascii="Arial" w:hAnsi="Arial" w:cs="Arial"/>
        </w:rPr>
      </w:pPr>
      <w:r w:rsidRPr="008031CE">
        <w:rPr>
          <w:rFonts w:ascii="Arial" w:hAnsi="Arial" w:cs="Arial"/>
        </w:rPr>
        <w:t>Amy Edmondson's concept of psychological safety, individuals' confidence that the organisation will not embarrass, reject, or punish them for speaking up, is critical here (Edmondson, 2018). Organisations with high psychological safety experience significantly fewer grievances because employees raise concerns early, informally, and collaboratively rather than escalating to formal procedures. </w:t>
      </w:r>
    </w:p>
    <w:p w14:paraId="01A10A20" w14:textId="77777777" w:rsidR="008031CE" w:rsidRPr="008031CE" w:rsidRDefault="008031CE" w:rsidP="008031CE">
      <w:pPr>
        <w:spacing w:before="300" w:after="300"/>
        <w:rPr>
          <w:rFonts w:ascii="Arial" w:hAnsi="Arial" w:cs="Arial"/>
        </w:rPr>
      </w:pPr>
      <w:r w:rsidRPr="008031CE">
        <w:rPr>
          <w:rFonts w:ascii="Arial" w:hAnsi="Arial" w:cs="Arial"/>
        </w:rPr>
        <w:t xml:space="preserve">Practical mechanisms </w:t>
      </w:r>
      <w:proofErr w:type="gramStart"/>
      <w:r w:rsidRPr="008031CE">
        <w:rPr>
          <w:rFonts w:ascii="Arial" w:hAnsi="Arial" w:cs="Arial"/>
        </w:rPr>
        <w:t>include:</w:t>
      </w:r>
      <w:proofErr w:type="gramEnd"/>
      <w:r w:rsidRPr="008031CE">
        <w:rPr>
          <w:rFonts w:ascii="Arial" w:hAnsi="Arial" w:cs="Arial"/>
        </w:rPr>
        <w:t xml:space="preserve"> anonymous feedback channels capturing transformation concerns, manager training in responding to feedback without defensiveness, HR-facilitated town halls where concerns are acknowledged and addressed transparently, and visible acknowledgment of change difficulty by leadership ("This is hard, and your concerns are valid"). These mechanisms signal that the organisation values psychological safety alongside transformation progress. </w:t>
      </w:r>
    </w:p>
    <w:p w14:paraId="21DBEFAE" w14:textId="77777777" w:rsidR="00230004" w:rsidRDefault="00230004" w:rsidP="008031CE">
      <w:pPr>
        <w:spacing w:before="300" w:after="300"/>
        <w:rPr>
          <w:rFonts w:ascii="Arial" w:hAnsi="Arial" w:cs="Arial"/>
          <w:sz w:val="36"/>
          <w:szCs w:val="36"/>
        </w:rPr>
      </w:pPr>
    </w:p>
    <w:p w14:paraId="02242B32" w14:textId="77777777" w:rsidR="00230004" w:rsidRDefault="00230004" w:rsidP="008031CE">
      <w:pPr>
        <w:spacing w:before="300" w:after="300"/>
        <w:rPr>
          <w:rFonts w:ascii="Arial" w:hAnsi="Arial" w:cs="Arial"/>
          <w:sz w:val="36"/>
          <w:szCs w:val="36"/>
        </w:rPr>
      </w:pPr>
    </w:p>
    <w:p w14:paraId="1A0E266C" w14:textId="0D86A993" w:rsidR="008031CE" w:rsidRPr="008031CE" w:rsidRDefault="008031CE" w:rsidP="008031CE">
      <w:pPr>
        <w:spacing w:before="300" w:after="300"/>
        <w:rPr>
          <w:rFonts w:ascii="Arial" w:hAnsi="Arial" w:cs="Arial"/>
          <w:sz w:val="36"/>
          <w:szCs w:val="36"/>
        </w:rPr>
      </w:pPr>
      <w:r w:rsidRPr="008031CE">
        <w:rPr>
          <w:rFonts w:ascii="Arial" w:hAnsi="Arial" w:cs="Arial"/>
          <w:sz w:val="36"/>
          <w:szCs w:val="36"/>
        </w:rPr>
        <w:lastRenderedPageBreak/>
        <w:t>Synthesising Implementation: An Integrated Timeline </w:t>
      </w:r>
    </w:p>
    <w:p w14:paraId="2BE4CAF0" w14:textId="77777777" w:rsidR="008031CE" w:rsidRPr="008031CE" w:rsidRDefault="008031CE" w:rsidP="008031CE">
      <w:pPr>
        <w:spacing w:before="300" w:after="300"/>
        <w:rPr>
          <w:rFonts w:ascii="Arial" w:hAnsi="Arial" w:cs="Arial"/>
        </w:rPr>
      </w:pPr>
      <w:r w:rsidRPr="008031CE">
        <w:rPr>
          <w:rFonts w:ascii="Arial" w:hAnsi="Arial" w:cs="Arial"/>
        </w:rPr>
        <w:t>Urgent implementation of contemporary HR practices, guided by Kotter's framework, follows a phased timeline: </w:t>
      </w:r>
    </w:p>
    <w:p w14:paraId="034A2608" w14:textId="77777777" w:rsidR="008031CE" w:rsidRPr="008031CE" w:rsidRDefault="008031CE" w:rsidP="008031CE">
      <w:pPr>
        <w:numPr>
          <w:ilvl w:val="0"/>
          <w:numId w:val="18"/>
        </w:numPr>
        <w:spacing w:before="300" w:after="300"/>
        <w:rPr>
          <w:rFonts w:ascii="Arial" w:hAnsi="Arial" w:cs="Arial"/>
        </w:rPr>
      </w:pPr>
      <w:r w:rsidRPr="008031CE">
        <w:rPr>
          <w:rFonts w:ascii="Arial" w:hAnsi="Arial" w:cs="Arial"/>
        </w:rPr>
        <w:t>Month 1: Establish urgency through data analysis and senior leadership briefing. Recruit coalition of departmental heads and employee representatives. Begin vision crafting sessions. </w:t>
      </w:r>
    </w:p>
    <w:p w14:paraId="4EA1ABA7" w14:textId="77777777" w:rsidR="008031CE" w:rsidRPr="008031CE" w:rsidRDefault="008031CE" w:rsidP="008031CE">
      <w:pPr>
        <w:numPr>
          <w:ilvl w:val="0"/>
          <w:numId w:val="19"/>
        </w:numPr>
        <w:spacing w:before="300" w:after="300"/>
        <w:rPr>
          <w:rFonts w:ascii="Arial" w:hAnsi="Arial" w:cs="Arial"/>
        </w:rPr>
      </w:pPr>
      <w:r w:rsidRPr="008031CE">
        <w:rPr>
          <w:rFonts w:ascii="Arial" w:hAnsi="Arial" w:cs="Arial"/>
        </w:rPr>
        <w:t>Month 2: Communicate vision cascade to all managers. Begin manager training in new systems, flexible working decision-making, and change communication. Initiate psychological safety building through feedback channels and town halls. </w:t>
      </w:r>
    </w:p>
    <w:p w14:paraId="2B430458" w14:textId="77777777" w:rsidR="008031CE" w:rsidRPr="008031CE" w:rsidRDefault="008031CE" w:rsidP="008031CE">
      <w:pPr>
        <w:numPr>
          <w:ilvl w:val="0"/>
          <w:numId w:val="20"/>
        </w:numPr>
        <w:spacing w:before="300" w:after="300"/>
        <w:rPr>
          <w:rFonts w:ascii="Arial" w:hAnsi="Arial" w:cs="Arial"/>
        </w:rPr>
      </w:pPr>
      <w:r w:rsidRPr="008031CE">
        <w:rPr>
          <w:rFonts w:ascii="Arial" w:hAnsi="Arial" w:cs="Arial"/>
        </w:rPr>
        <w:t>Month 3: Implement digital employee relations and performance management systems. Deploy manager support platforms (</w:t>
      </w:r>
      <w:proofErr w:type="spellStart"/>
      <w:r w:rsidRPr="008031CE">
        <w:rPr>
          <w:rFonts w:ascii="Arial" w:hAnsi="Arial" w:cs="Arial"/>
        </w:rPr>
        <w:t>Skillcycle</w:t>
      </w:r>
      <w:proofErr w:type="spellEnd"/>
      <w:r w:rsidRPr="008031CE">
        <w:rPr>
          <w:rFonts w:ascii="Arial" w:hAnsi="Arial" w:cs="Arial"/>
        </w:rPr>
        <w:t>). Begin peer recognition programme rollout. </w:t>
      </w:r>
    </w:p>
    <w:p w14:paraId="450A6E86" w14:textId="77777777" w:rsidR="008031CE" w:rsidRPr="008031CE" w:rsidRDefault="008031CE" w:rsidP="008031CE">
      <w:pPr>
        <w:numPr>
          <w:ilvl w:val="0"/>
          <w:numId w:val="21"/>
        </w:numPr>
        <w:spacing w:before="300" w:after="300"/>
        <w:rPr>
          <w:rFonts w:ascii="Arial" w:hAnsi="Arial" w:cs="Arial"/>
        </w:rPr>
      </w:pPr>
      <w:r w:rsidRPr="008031CE">
        <w:rPr>
          <w:rFonts w:ascii="Arial" w:hAnsi="Arial" w:cs="Arial"/>
        </w:rPr>
        <w:t>Month 4: Consolidate implementation through training completion, quick wins celebration (teams successfully transitioning to new systems), and grievance trend monitoring. </w:t>
      </w:r>
    </w:p>
    <w:p w14:paraId="3C3EDA41" w14:textId="77777777" w:rsidR="008031CE" w:rsidRPr="008031CE" w:rsidRDefault="008031CE" w:rsidP="008031CE">
      <w:pPr>
        <w:numPr>
          <w:ilvl w:val="0"/>
          <w:numId w:val="22"/>
        </w:numPr>
        <w:spacing w:before="300" w:after="300"/>
        <w:rPr>
          <w:rFonts w:ascii="Arial" w:hAnsi="Arial" w:cs="Arial"/>
        </w:rPr>
      </w:pPr>
      <w:r w:rsidRPr="008031CE">
        <w:rPr>
          <w:rFonts w:ascii="Arial" w:hAnsi="Arial" w:cs="Arial"/>
        </w:rPr>
        <w:t>Months 5-6: Reinforce new ways of working through ongoing recognition, manager coaching, and embedded HR support. Begin culture embedding through policies, decision-making norms, and hiring practices reflecting new values. </w:t>
      </w:r>
    </w:p>
    <w:p w14:paraId="5247C5B5" w14:textId="77777777" w:rsidR="008031CE" w:rsidRPr="008031CE" w:rsidRDefault="008031CE" w:rsidP="008031CE">
      <w:pPr>
        <w:spacing w:before="300" w:after="300"/>
        <w:rPr>
          <w:rFonts w:ascii="Arial" w:hAnsi="Arial" w:cs="Arial"/>
        </w:rPr>
      </w:pPr>
      <w:r w:rsidRPr="008031CE">
        <w:rPr>
          <w:rFonts w:ascii="Arial" w:hAnsi="Arial" w:cs="Arial"/>
        </w:rPr>
        <w:t>This timeline is aggressive but achievable with executive commitment and adequate resourcing. The alternative, delayed implementation across practices, perpetuates the grievance cycle and increases transformation risk. </w:t>
      </w:r>
    </w:p>
    <w:p w14:paraId="26787F48" w14:textId="77777777" w:rsidR="008031CE" w:rsidRPr="008031CE" w:rsidRDefault="008031CE" w:rsidP="008031CE">
      <w:pPr>
        <w:spacing w:before="300" w:after="300"/>
        <w:rPr>
          <w:rFonts w:ascii="Arial" w:hAnsi="Arial" w:cs="Arial"/>
        </w:rPr>
      </w:pPr>
      <w:r w:rsidRPr="008031CE">
        <w:rPr>
          <w:rFonts w:ascii="Arial" w:hAnsi="Arial" w:cs="Arial"/>
        </w:rPr>
        <w:t> </w:t>
      </w:r>
    </w:p>
    <w:p w14:paraId="69222706" w14:textId="77777777" w:rsidR="00230004" w:rsidRDefault="00230004" w:rsidP="003C3192">
      <w:pPr>
        <w:spacing w:before="300" w:after="300"/>
        <w:rPr>
          <w:rFonts w:ascii="Arial" w:hAnsi="Arial" w:cs="Arial"/>
          <w:sz w:val="36"/>
          <w:szCs w:val="36"/>
        </w:rPr>
      </w:pPr>
    </w:p>
    <w:p w14:paraId="05244D27" w14:textId="4099D8E2" w:rsidR="003C3192" w:rsidRPr="003C3192" w:rsidRDefault="003C3192" w:rsidP="003C3192">
      <w:pPr>
        <w:spacing w:before="300" w:after="300"/>
        <w:rPr>
          <w:rFonts w:ascii="Arial" w:hAnsi="Arial" w:cs="Arial"/>
          <w:sz w:val="36"/>
          <w:szCs w:val="36"/>
        </w:rPr>
      </w:pPr>
      <w:r w:rsidRPr="003C3192">
        <w:rPr>
          <w:rFonts w:ascii="Arial" w:hAnsi="Arial" w:cs="Arial"/>
          <w:sz w:val="36"/>
          <w:szCs w:val="36"/>
        </w:rPr>
        <w:lastRenderedPageBreak/>
        <w:t xml:space="preserve">Conclusion and Recommendations </w:t>
      </w:r>
    </w:p>
    <w:p w14:paraId="61966F9E" w14:textId="7D644283" w:rsidR="003C3192" w:rsidRPr="003C3192" w:rsidRDefault="003C3192" w:rsidP="003C3192">
      <w:pPr>
        <w:spacing w:before="300" w:after="300"/>
        <w:rPr>
          <w:rFonts w:ascii="Arial" w:hAnsi="Arial" w:cs="Arial"/>
        </w:rPr>
      </w:pPr>
      <w:r w:rsidRPr="003C3192">
        <w:rPr>
          <w:rFonts w:ascii="Arial" w:hAnsi="Arial" w:cs="Arial"/>
          <w:sz w:val="36"/>
          <w:szCs w:val="36"/>
        </w:rPr>
        <w:t>Synthesis of Findings</w:t>
      </w:r>
    </w:p>
    <w:p w14:paraId="64E7F726" w14:textId="5E40089D" w:rsidR="003C3192" w:rsidRPr="003C3192" w:rsidRDefault="003C3192" w:rsidP="003C3192">
      <w:pPr>
        <w:spacing w:before="300" w:after="300"/>
        <w:rPr>
          <w:rFonts w:ascii="Arial" w:hAnsi="Arial" w:cs="Arial"/>
        </w:rPr>
      </w:pPr>
      <w:r w:rsidRPr="003C3192">
        <w:rPr>
          <w:rFonts w:ascii="Arial" w:hAnsi="Arial" w:cs="Arial"/>
        </w:rPr>
        <w:t xml:space="preserve">The surge in grievances encountered during the initial month is not merely an HR compliance issue but a strategic indicator of systemic misalignment between organisational transformation initiatives and employee engagement practices. Three interconnected factors drive this misalignment: rapid digital technology adoption without adequate change management, implementation of flexible working without supporting infrastructure, and inconsistent line manager capability and accountability. </w:t>
      </w:r>
    </w:p>
    <w:p w14:paraId="76C090F2" w14:textId="59975D67" w:rsidR="003C3192" w:rsidRPr="003C3192" w:rsidRDefault="003C3192" w:rsidP="003C3192">
      <w:pPr>
        <w:spacing w:before="300" w:after="300"/>
        <w:rPr>
          <w:rFonts w:ascii="Arial" w:hAnsi="Arial" w:cs="Arial"/>
        </w:rPr>
      </w:pPr>
      <w:r w:rsidRPr="003C3192">
        <w:rPr>
          <w:rFonts w:ascii="Arial" w:hAnsi="Arial" w:cs="Arial"/>
        </w:rPr>
        <w:t xml:space="preserve">Contemporary HR practices - employee relations technology, outcome-based performance management, digital recognition, manager development, and integrated flexible working support - provide proven mechanisms to address each factor. However, these practices succeed only when integrated and implemented with clear managerial accountability and visible leadership commitment. </w:t>
      </w:r>
    </w:p>
    <w:p w14:paraId="225C8269" w14:textId="1EE7279D" w:rsidR="003C3192" w:rsidRPr="003C3192" w:rsidRDefault="003C3192" w:rsidP="003C3192">
      <w:pPr>
        <w:spacing w:before="300" w:after="300"/>
        <w:rPr>
          <w:rFonts w:ascii="Arial" w:hAnsi="Arial" w:cs="Arial"/>
        </w:rPr>
      </w:pPr>
      <w:r w:rsidRPr="003C3192">
        <w:rPr>
          <w:rFonts w:ascii="Arial" w:hAnsi="Arial" w:cs="Arial"/>
        </w:rPr>
        <w:t xml:space="preserve">Kotter's Eight-Step Change Model provides a diagnostic and prescriptive framework. Current-state analysis reveals that urgency, coalition building, vision crafting, and clear communication remain incomplete. Structural barriers preventing manager implementation - inadequate training, unclear authority, insufficient time allocation, and lack of HR support - must be removed urgently. </w:t>
      </w:r>
    </w:p>
    <w:p w14:paraId="74550A7D" w14:textId="42C0D42D" w:rsidR="003C3192" w:rsidRPr="003C3192" w:rsidRDefault="003C3192" w:rsidP="003C3192">
      <w:pPr>
        <w:spacing w:before="300" w:after="300"/>
        <w:rPr>
          <w:rFonts w:ascii="Arial" w:hAnsi="Arial" w:cs="Arial"/>
        </w:rPr>
      </w:pPr>
      <w:r w:rsidRPr="003C3192">
        <w:rPr>
          <w:rFonts w:ascii="Arial" w:hAnsi="Arial" w:cs="Arial"/>
        </w:rPr>
        <w:t xml:space="preserve">Priority Recommendations </w:t>
      </w:r>
    </w:p>
    <w:p w14:paraId="3D7225CA" w14:textId="6D146703" w:rsidR="003C3192" w:rsidRPr="003C3192" w:rsidRDefault="003C3192" w:rsidP="003C3192">
      <w:pPr>
        <w:spacing w:before="300" w:after="300"/>
        <w:rPr>
          <w:rFonts w:ascii="Arial" w:hAnsi="Arial" w:cs="Arial"/>
        </w:rPr>
      </w:pPr>
      <w:r w:rsidRPr="003C3192">
        <w:rPr>
          <w:rFonts w:ascii="Arial" w:hAnsi="Arial" w:cs="Arial"/>
        </w:rPr>
        <w:t xml:space="preserve">Immediate (Month 1): </w:t>
      </w:r>
    </w:p>
    <w:p w14:paraId="5F208EB9" w14:textId="77777777" w:rsidR="003C3192" w:rsidRPr="003C3192" w:rsidRDefault="003C3192" w:rsidP="003C3192">
      <w:pPr>
        <w:spacing w:before="300" w:after="300"/>
        <w:rPr>
          <w:rFonts w:ascii="Arial" w:hAnsi="Arial" w:cs="Arial"/>
        </w:rPr>
      </w:pPr>
      <w:r w:rsidRPr="003C3192">
        <w:rPr>
          <w:rFonts w:ascii="Arial" w:hAnsi="Arial" w:cs="Arial"/>
        </w:rPr>
        <w:t xml:space="preserve">Commission Grievance Root-Cause Analysis: Analyse all grievances submitted in the past three months to disaggregate by transformation factor (technology, flexible working, management inconsistency, other). Present findings to senior leadership to establish urgency and secure resource commitment for corrective action. </w:t>
      </w:r>
    </w:p>
    <w:p w14:paraId="7F102EF6" w14:textId="77777777" w:rsidR="003C3192" w:rsidRPr="003C3192" w:rsidRDefault="003C3192" w:rsidP="003C3192">
      <w:pPr>
        <w:spacing w:before="300" w:after="300"/>
        <w:rPr>
          <w:rFonts w:ascii="Arial" w:hAnsi="Arial" w:cs="Arial"/>
        </w:rPr>
      </w:pPr>
    </w:p>
    <w:p w14:paraId="6B8150BB" w14:textId="5F5E7F88" w:rsidR="003C3192" w:rsidRPr="003C3192" w:rsidRDefault="003C3192" w:rsidP="003C3192">
      <w:pPr>
        <w:spacing w:before="300" w:after="300"/>
        <w:rPr>
          <w:rFonts w:ascii="Arial" w:hAnsi="Arial" w:cs="Arial"/>
        </w:rPr>
      </w:pPr>
      <w:r w:rsidRPr="003C3192">
        <w:rPr>
          <w:rFonts w:ascii="Arial" w:hAnsi="Arial" w:cs="Arial"/>
        </w:rPr>
        <w:lastRenderedPageBreak/>
        <w:t xml:space="preserve">Establish Transformation Coalition: Convene senior HR leaders, operational department heads, employee representatives, and (if applicable) union officials to co-create transformation vision and implementation strategy. Secure explicit accountability commitments from each leader for their departmental implementation. </w:t>
      </w:r>
    </w:p>
    <w:p w14:paraId="1E72858A" w14:textId="24E77ACB" w:rsidR="003C3192" w:rsidRPr="003C3192" w:rsidRDefault="003C3192" w:rsidP="003C3192">
      <w:pPr>
        <w:spacing w:before="300" w:after="300"/>
        <w:rPr>
          <w:rFonts w:ascii="Arial" w:hAnsi="Arial" w:cs="Arial"/>
        </w:rPr>
      </w:pPr>
      <w:r w:rsidRPr="003C3192">
        <w:rPr>
          <w:rFonts w:ascii="Arial" w:hAnsi="Arial" w:cs="Arial"/>
        </w:rPr>
        <w:t xml:space="preserve">Communicate Vision and Expectations to All Managers: Issue clear communication from the CEO and HR Director outlining transformation rationale, desired culture shift, and manager accountability. Include explicit messaging addressing change difficulty and commitment to employee support. </w:t>
      </w:r>
    </w:p>
    <w:p w14:paraId="1B04EDFE" w14:textId="1F647CCC" w:rsidR="003C3192" w:rsidRPr="003C3192" w:rsidRDefault="003C3192" w:rsidP="003C3192">
      <w:pPr>
        <w:spacing w:before="300" w:after="300"/>
        <w:rPr>
          <w:rFonts w:ascii="Arial" w:hAnsi="Arial" w:cs="Arial"/>
        </w:rPr>
      </w:pPr>
      <w:r w:rsidRPr="003C3192">
        <w:rPr>
          <w:rFonts w:ascii="Arial" w:hAnsi="Arial" w:cs="Arial"/>
        </w:rPr>
        <w:t xml:space="preserve">Short-Term (Months 2-3): </w:t>
      </w:r>
    </w:p>
    <w:p w14:paraId="32C25F28" w14:textId="474F70AD" w:rsidR="003C3192" w:rsidRPr="003C3192" w:rsidRDefault="003C3192" w:rsidP="003C3192">
      <w:pPr>
        <w:spacing w:before="300" w:after="300"/>
        <w:rPr>
          <w:rFonts w:ascii="Arial" w:hAnsi="Arial" w:cs="Arial"/>
        </w:rPr>
      </w:pPr>
      <w:r w:rsidRPr="003C3192">
        <w:rPr>
          <w:rFonts w:ascii="Arial" w:hAnsi="Arial" w:cs="Arial"/>
        </w:rPr>
        <w:t xml:space="preserve">Implement Integrated Manager Development Programme: Deliver targeted training covering (a) digital system functionality and change communication, (b) outcome-based performance evaluation across flexible contexts, (c) grievance prevention through empathetic leadership, and (d) psychological safety creation. Prioritise managers responsible for significant transformation areas or with recent grievance complaints. </w:t>
      </w:r>
    </w:p>
    <w:p w14:paraId="758FE20A" w14:textId="4DA288BE" w:rsidR="003C3192" w:rsidRPr="003C3192" w:rsidRDefault="003C3192" w:rsidP="003C3192">
      <w:pPr>
        <w:spacing w:before="300" w:after="300"/>
        <w:rPr>
          <w:rFonts w:ascii="Arial" w:hAnsi="Arial" w:cs="Arial"/>
        </w:rPr>
      </w:pPr>
      <w:r w:rsidRPr="003C3192">
        <w:rPr>
          <w:rFonts w:ascii="Arial" w:hAnsi="Arial" w:cs="Arial"/>
        </w:rPr>
        <w:t>Deploy Digital HR Support Infrastructure: Implement employee relations technology (HR Acuity or equivalent), outcome-based performance management system, and manager support platform (</w:t>
      </w:r>
      <w:proofErr w:type="spellStart"/>
      <w:r w:rsidRPr="003C3192">
        <w:rPr>
          <w:rFonts w:ascii="Arial" w:hAnsi="Arial" w:cs="Arial"/>
        </w:rPr>
        <w:t>Skillcycle</w:t>
      </w:r>
      <w:proofErr w:type="spellEnd"/>
      <w:r w:rsidRPr="003C3192">
        <w:rPr>
          <w:rFonts w:ascii="Arial" w:hAnsi="Arial" w:cs="Arial"/>
        </w:rPr>
        <w:t xml:space="preserve">). Sequence rollout to ensure manager readiness precedes team implementation. Provide dedicated HR business partner support to departments during launch. </w:t>
      </w:r>
    </w:p>
    <w:p w14:paraId="39D5F2AB" w14:textId="6F64D070" w:rsidR="003C3192" w:rsidRPr="003C3192" w:rsidRDefault="003C3192" w:rsidP="003C3192">
      <w:pPr>
        <w:spacing w:before="300" w:after="300"/>
        <w:rPr>
          <w:rFonts w:ascii="Arial" w:hAnsi="Arial" w:cs="Arial"/>
        </w:rPr>
      </w:pPr>
      <w:r w:rsidRPr="003C3192">
        <w:rPr>
          <w:rFonts w:ascii="Arial" w:hAnsi="Arial" w:cs="Arial"/>
        </w:rPr>
        <w:t xml:space="preserve">Activate Digital Recognition Programme: Launch peer recognition platform with visible endorsement from senior leadership. Conduct awareness campaign highlighting how recognition supports transformation success and builds team cohesion. </w:t>
      </w:r>
    </w:p>
    <w:p w14:paraId="1798D39F" w14:textId="65B65840" w:rsidR="003C3192" w:rsidRPr="003C3192" w:rsidRDefault="003C3192" w:rsidP="003C3192">
      <w:pPr>
        <w:spacing w:before="300" w:after="300"/>
        <w:rPr>
          <w:rFonts w:ascii="Arial" w:hAnsi="Arial" w:cs="Arial"/>
        </w:rPr>
      </w:pPr>
      <w:r w:rsidRPr="003C3192">
        <w:rPr>
          <w:rFonts w:ascii="Arial" w:hAnsi="Arial" w:cs="Arial"/>
        </w:rPr>
        <w:t xml:space="preserve">Medium-Term (Months 4-6): </w:t>
      </w:r>
    </w:p>
    <w:p w14:paraId="2CB37A1E" w14:textId="0491BAC2" w:rsidR="003C3192" w:rsidRPr="003C3192" w:rsidRDefault="003C3192" w:rsidP="003C3192">
      <w:pPr>
        <w:spacing w:before="300" w:after="300"/>
        <w:rPr>
          <w:rFonts w:ascii="Arial" w:hAnsi="Arial" w:cs="Arial"/>
        </w:rPr>
      </w:pPr>
      <w:r w:rsidRPr="003C3192">
        <w:rPr>
          <w:rFonts w:ascii="Arial" w:hAnsi="Arial" w:cs="Arial"/>
        </w:rPr>
        <w:t xml:space="preserve">Establish Transparent Flexible Working Framework: Document clear criteria for flexible working approvals, decision-making authority at each management level, and appeals process. Communicate framework to all staff, removing perception of </w:t>
      </w:r>
      <w:r w:rsidRPr="003C3192">
        <w:rPr>
          <w:rFonts w:ascii="Arial" w:hAnsi="Arial" w:cs="Arial"/>
        </w:rPr>
        <w:lastRenderedPageBreak/>
        <w:t xml:space="preserve">arbitrary decision-making. Audit approvals across departments to identify and address inconsistency. </w:t>
      </w:r>
    </w:p>
    <w:p w14:paraId="1F52B693" w14:textId="43829B6F" w:rsidR="003C3192" w:rsidRPr="003C3192" w:rsidRDefault="003C3192" w:rsidP="003C3192">
      <w:pPr>
        <w:spacing w:before="300" w:after="300"/>
        <w:rPr>
          <w:rFonts w:ascii="Arial" w:hAnsi="Arial" w:cs="Arial"/>
        </w:rPr>
      </w:pPr>
      <w:r w:rsidRPr="003C3192">
        <w:rPr>
          <w:rFonts w:ascii="Arial" w:hAnsi="Arial" w:cs="Arial"/>
        </w:rPr>
        <w:t xml:space="preserve">Embed Wellbeing and Capability Support for Flexible Workers: Implement integrated support platform (Wellbeing People and </w:t>
      </w:r>
      <w:proofErr w:type="spellStart"/>
      <w:r w:rsidRPr="003C3192">
        <w:rPr>
          <w:rFonts w:ascii="Arial" w:hAnsi="Arial" w:cs="Arial"/>
        </w:rPr>
        <w:t>Skillcycle</w:t>
      </w:r>
      <w:proofErr w:type="spellEnd"/>
      <w:r w:rsidRPr="003C3192">
        <w:rPr>
          <w:rFonts w:ascii="Arial" w:hAnsi="Arial" w:cs="Arial"/>
        </w:rPr>
        <w:t xml:space="preserve">) providing mental health resources, remote workstation guidance, digital collaboration training, and remote team cohesion activities. </w:t>
      </w:r>
    </w:p>
    <w:p w14:paraId="110D3D89" w14:textId="099D5CB7" w:rsidR="003C3192" w:rsidRPr="003C3192" w:rsidRDefault="003C3192" w:rsidP="003C3192">
      <w:pPr>
        <w:spacing w:before="300" w:after="300"/>
        <w:rPr>
          <w:rFonts w:ascii="Arial" w:hAnsi="Arial" w:cs="Arial"/>
        </w:rPr>
      </w:pPr>
      <w:r w:rsidRPr="003C3192">
        <w:rPr>
          <w:rFonts w:ascii="Arial" w:hAnsi="Arial" w:cs="Arial"/>
        </w:rPr>
        <w:t xml:space="preserve">Monitor Implementation and Consolidate Gains: Establish quarterly pulse surveys tracking grievance drivers, manager capability, and employee engagement during transformation. Celebrate quick wins and successful manager adoption through recognition and case studies. Address persistent barriers through iterative refinement. </w:t>
      </w:r>
    </w:p>
    <w:p w14:paraId="0FFFA615" w14:textId="05159EC1" w:rsidR="003C3192" w:rsidRPr="003C3192" w:rsidRDefault="003C3192" w:rsidP="003C3192">
      <w:pPr>
        <w:spacing w:before="300" w:after="300"/>
        <w:rPr>
          <w:rFonts w:ascii="Arial" w:hAnsi="Arial" w:cs="Arial"/>
        </w:rPr>
      </w:pPr>
      <w:r w:rsidRPr="003C3192">
        <w:rPr>
          <w:rFonts w:ascii="Arial" w:hAnsi="Arial" w:cs="Arial"/>
        </w:rPr>
        <w:t xml:space="preserve">Expected Outcomes </w:t>
      </w:r>
    </w:p>
    <w:p w14:paraId="709DD07F" w14:textId="297813D4" w:rsidR="003C3192" w:rsidRPr="003C3192" w:rsidRDefault="003C3192" w:rsidP="003C3192">
      <w:pPr>
        <w:spacing w:before="300" w:after="300"/>
        <w:rPr>
          <w:rFonts w:ascii="Arial" w:hAnsi="Arial" w:cs="Arial"/>
        </w:rPr>
      </w:pPr>
      <w:r w:rsidRPr="003C3192">
        <w:rPr>
          <w:rFonts w:ascii="Arial" w:hAnsi="Arial" w:cs="Arial"/>
        </w:rPr>
        <w:t xml:space="preserve">Implementation of these recommendations, grounded in established theory and contemporary practice, should result in: </w:t>
      </w:r>
    </w:p>
    <w:p w14:paraId="535FAAA1" w14:textId="7E9D6AF4" w:rsidR="003C3192" w:rsidRPr="003C3192" w:rsidRDefault="003C3192" w:rsidP="003C3192">
      <w:pPr>
        <w:spacing w:before="300" w:after="300"/>
        <w:rPr>
          <w:rFonts w:ascii="Arial" w:hAnsi="Arial" w:cs="Arial"/>
        </w:rPr>
      </w:pPr>
      <w:r w:rsidRPr="003C3192">
        <w:rPr>
          <w:rFonts w:ascii="Arial" w:hAnsi="Arial" w:cs="Arial"/>
        </w:rPr>
        <w:t xml:space="preserve">Reduction in grievance escalation within two months as root causes are addressed and managers gain capability. </w:t>
      </w:r>
    </w:p>
    <w:p w14:paraId="642E1290" w14:textId="781D02A8" w:rsidR="003C3192" w:rsidRPr="003C3192" w:rsidRDefault="003C3192" w:rsidP="003C3192">
      <w:pPr>
        <w:spacing w:before="300" w:after="300"/>
        <w:rPr>
          <w:rFonts w:ascii="Arial" w:hAnsi="Arial" w:cs="Arial"/>
        </w:rPr>
      </w:pPr>
      <w:r w:rsidRPr="003C3192">
        <w:rPr>
          <w:rFonts w:ascii="Arial" w:hAnsi="Arial" w:cs="Arial"/>
        </w:rPr>
        <w:t xml:space="preserve">Improved manager confidence and role clarity, evidenced through manager engagement surveys. </w:t>
      </w:r>
    </w:p>
    <w:p w14:paraId="2CB4FDF6" w14:textId="0BFBD627" w:rsidR="003C3192" w:rsidRPr="003C3192" w:rsidRDefault="003C3192" w:rsidP="003C3192">
      <w:pPr>
        <w:spacing w:before="300" w:after="300"/>
        <w:rPr>
          <w:rFonts w:ascii="Arial" w:hAnsi="Arial" w:cs="Arial"/>
        </w:rPr>
      </w:pPr>
      <w:r w:rsidRPr="003C3192">
        <w:rPr>
          <w:rFonts w:ascii="Arial" w:hAnsi="Arial" w:cs="Arial"/>
        </w:rPr>
        <w:t xml:space="preserve">Enhanced employee perception of fairness and organisational support, measurable through pulse surveys and retention metrics. </w:t>
      </w:r>
    </w:p>
    <w:p w14:paraId="57D8F272" w14:textId="57535807" w:rsidR="003C3192" w:rsidRPr="003C3192" w:rsidRDefault="003C3192" w:rsidP="003C3192">
      <w:pPr>
        <w:spacing w:before="300" w:after="300"/>
        <w:rPr>
          <w:rFonts w:ascii="Arial" w:hAnsi="Arial" w:cs="Arial"/>
        </w:rPr>
      </w:pPr>
      <w:r w:rsidRPr="003C3192">
        <w:rPr>
          <w:rFonts w:ascii="Arial" w:hAnsi="Arial" w:cs="Arial"/>
        </w:rPr>
        <w:t xml:space="preserve">Successful stabilisation of digital transformation adoption, with reduced system-related grievances and improved user adoption metrics. </w:t>
      </w:r>
    </w:p>
    <w:p w14:paraId="17BE2C4E" w14:textId="3364F7C9" w:rsidR="003C3192" w:rsidRPr="003C3192" w:rsidRDefault="003C3192" w:rsidP="003C3192">
      <w:pPr>
        <w:spacing w:before="300" w:after="300"/>
        <w:rPr>
          <w:rFonts w:ascii="Arial" w:hAnsi="Arial" w:cs="Arial"/>
        </w:rPr>
      </w:pPr>
      <w:r w:rsidRPr="003C3192">
        <w:rPr>
          <w:rFonts w:ascii="Arial" w:hAnsi="Arial" w:cs="Arial"/>
        </w:rPr>
        <w:t xml:space="preserve">Cultural foundation for ongoing transformation and sustained employee engagement beyond the immediate transition period. </w:t>
      </w:r>
    </w:p>
    <w:p w14:paraId="03985DD3" w14:textId="75B678AF" w:rsidR="00B0756C" w:rsidRDefault="003C3192" w:rsidP="003C3192">
      <w:pPr>
        <w:spacing w:before="300" w:after="300"/>
        <w:rPr>
          <w:rFonts w:ascii="Arial" w:hAnsi="Arial" w:cs="Arial"/>
        </w:rPr>
      </w:pPr>
      <w:r w:rsidRPr="003C3192">
        <w:rPr>
          <w:rFonts w:ascii="Arial" w:hAnsi="Arial" w:cs="Arial"/>
        </w:rPr>
        <w:t xml:space="preserve">The investment required - in training, platforms, and dedicated HR resource - is substantial but dwarfed by the cost of unmanaged grievances: tribunal claims, talent </w:t>
      </w:r>
      <w:r w:rsidRPr="003C3192">
        <w:rPr>
          <w:rFonts w:ascii="Arial" w:hAnsi="Arial" w:cs="Arial"/>
        </w:rPr>
        <w:lastRenderedPageBreak/>
        <w:t>loss, productivity reduction, and compromised transformation outcomes. Viewed strategically, contemporary HR practice deployment is an investment in transformation success and organisational resilience.</w:t>
      </w:r>
    </w:p>
    <w:p w14:paraId="3EFCB084" w14:textId="77777777" w:rsidR="00B2077B" w:rsidRDefault="00B2077B" w:rsidP="003C3192">
      <w:pPr>
        <w:spacing w:before="300" w:after="300"/>
        <w:rPr>
          <w:rFonts w:ascii="Arial" w:hAnsi="Arial" w:cs="Arial"/>
        </w:rPr>
      </w:pPr>
    </w:p>
    <w:p w14:paraId="5DB70D00" w14:textId="77777777" w:rsidR="00B2077B" w:rsidRPr="00B2077B" w:rsidRDefault="00B2077B" w:rsidP="00B2077B">
      <w:pPr>
        <w:spacing w:before="300" w:after="300"/>
        <w:rPr>
          <w:rFonts w:ascii="Arial" w:hAnsi="Arial" w:cs="Arial"/>
          <w:sz w:val="36"/>
          <w:szCs w:val="36"/>
        </w:rPr>
      </w:pPr>
      <w:r w:rsidRPr="00B2077B">
        <w:rPr>
          <w:rFonts w:ascii="Arial" w:hAnsi="Arial" w:cs="Arial"/>
          <w:sz w:val="36"/>
          <w:szCs w:val="36"/>
        </w:rPr>
        <w:t>Reference List </w:t>
      </w:r>
    </w:p>
    <w:p w14:paraId="527AAB57" w14:textId="39EB3087" w:rsidR="00B2077B" w:rsidRPr="00B2077B" w:rsidRDefault="00B2077B" w:rsidP="00B2077B">
      <w:pPr>
        <w:spacing w:before="300" w:after="300"/>
        <w:rPr>
          <w:rFonts w:ascii="Arial" w:hAnsi="Arial" w:cs="Arial"/>
        </w:rPr>
      </w:pPr>
      <w:r w:rsidRPr="00B2077B">
        <w:rPr>
          <w:rFonts w:ascii="Arial" w:hAnsi="Arial" w:cs="Arial"/>
        </w:rPr>
        <w:t>Boston Consulting Group (2020) </w:t>
      </w:r>
      <w:r w:rsidRPr="00B2077B">
        <w:rPr>
          <w:rFonts w:ascii="Arial" w:hAnsi="Arial" w:cs="Arial"/>
          <w:i/>
          <w:iCs/>
        </w:rPr>
        <w:t>Flipping the Odds of Digital Transformation Success</w:t>
      </w:r>
      <w:r w:rsidRPr="00B2077B">
        <w:rPr>
          <w:rFonts w:ascii="Arial" w:hAnsi="Arial" w:cs="Arial"/>
        </w:rPr>
        <w:t>. Available at: </w:t>
      </w:r>
      <w:hyperlink r:id="rId10" w:tgtFrame="_blank" w:history="1">
        <w:r w:rsidRPr="00B2077B">
          <w:rPr>
            <w:rStyle w:val="Hyperlink"/>
            <w:rFonts w:ascii="Arial" w:hAnsi="Arial" w:cs="Arial"/>
          </w:rPr>
          <w:t>https://www.bcg.com/publications/2020/increasing-odds-of-success-in-digital-transformation</w:t>
        </w:r>
      </w:hyperlink>
      <w:r w:rsidRPr="00B2077B">
        <w:rPr>
          <w:rFonts w:ascii="Arial" w:hAnsi="Arial" w:cs="Arial"/>
        </w:rPr>
        <w:t> (Accessed: 1</w:t>
      </w:r>
      <w:r>
        <w:rPr>
          <w:rFonts w:ascii="Arial" w:hAnsi="Arial" w:cs="Arial"/>
        </w:rPr>
        <w:t>1</w:t>
      </w:r>
      <w:r w:rsidR="00230004">
        <w:rPr>
          <w:rFonts w:ascii="Arial" w:hAnsi="Arial" w:cs="Arial"/>
        </w:rPr>
        <w:t xml:space="preserve"> </w:t>
      </w:r>
      <w:r>
        <w:rPr>
          <w:rFonts w:ascii="Arial" w:hAnsi="Arial" w:cs="Arial"/>
        </w:rPr>
        <w:t>Decem</w:t>
      </w:r>
      <w:r w:rsidRPr="00B2077B">
        <w:rPr>
          <w:rFonts w:ascii="Arial" w:hAnsi="Arial" w:cs="Arial"/>
        </w:rPr>
        <w:t>ber 2025). </w:t>
      </w:r>
    </w:p>
    <w:p w14:paraId="470C097D" w14:textId="1F01BC8A" w:rsidR="00B2077B" w:rsidRPr="00B2077B" w:rsidRDefault="00B2077B" w:rsidP="00B2077B">
      <w:pPr>
        <w:spacing w:before="300" w:after="300"/>
        <w:rPr>
          <w:rFonts w:ascii="Arial" w:hAnsi="Arial" w:cs="Arial"/>
        </w:rPr>
      </w:pPr>
      <w:r w:rsidRPr="00B2077B">
        <w:rPr>
          <w:rFonts w:ascii="Arial" w:hAnsi="Arial" w:cs="Arial"/>
        </w:rPr>
        <w:t>Burnes, B. (2020) 'The Origins of Lewin’s Three-Step Model of Change', </w:t>
      </w:r>
      <w:r w:rsidRPr="00B2077B">
        <w:rPr>
          <w:rFonts w:ascii="Arial" w:hAnsi="Arial" w:cs="Arial"/>
          <w:i/>
          <w:iCs/>
        </w:rPr>
        <w:t xml:space="preserve">The Journal of Applied </w:t>
      </w:r>
      <w:proofErr w:type="spellStart"/>
      <w:r w:rsidRPr="00B2077B">
        <w:rPr>
          <w:rFonts w:ascii="Arial" w:hAnsi="Arial" w:cs="Arial"/>
          <w:i/>
          <w:iCs/>
        </w:rPr>
        <w:t>Behavioral</w:t>
      </w:r>
      <w:proofErr w:type="spellEnd"/>
      <w:r w:rsidRPr="00B2077B">
        <w:rPr>
          <w:rFonts w:ascii="Arial" w:hAnsi="Arial" w:cs="Arial"/>
          <w:i/>
          <w:iCs/>
        </w:rPr>
        <w:t xml:space="preserve"> Science</w:t>
      </w:r>
      <w:r w:rsidRPr="00B2077B">
        <w:rPr>
          <w:rFonts w:ascii="Arial" w:hAnsi="Arial" w:cs="Arial"/>
        </w:rPr>
        <w:t>. Available at: </w:t>
      </w:r>
      <w:hyperlink r:id="rId11" w:tgtFrame="_blank" w:history="1">
        <w:r w:rsidRPr="00B2077B">
          <w:rPr>
            <w:rStyle w:val="Hyperlink"/>
            <w:rFonts w:ascii="Arial" w:hAnsi="Arial" w:cs="Arial"/>
          </w:rPr>
          <w:t>https://journals.sagepub.com/doi/10.1177/0021886319892685</w:t>
        </w:r>
      </w:hyperlink>
      <w:r w:rsidRPr="00B2077B">
        <w:rPr>
          <w:rFonts w:ascii="Arial" w:hAnsi="Arial" w:cs="Arial"/>
        </w:rPr>
        <w:t> (Accessed: 1</w:t>
      </w:r>
      <w:r>
        <w:rPr>
          <w:rFonts w:ascii="Arial" w:hAnsi="Arial" w:cs="Arial"/>
        </w:rPr>
        <w:t>1</w:t>
      </w:r>
      <w:r w:rsidRPr="00B2077B">
        <w:rPr>
          <w:rFonts w:ascii="Arial" w:hAnsi="Arial" w:cs="Arial"/>
        </w:rPr>
        <w:t xml:space="preserve"> </w:t>
      </w:r>
      <w:r>
        <w:rPr>
          <w:rFonts w:ascii="Arial" w:hAnsi="Arial" w:cs="Arial"/>
        </w:rPr>
        <w:t>December</w:t>
      </w:r>
      <w:r w:rsidRPr="00B2077B">
        <w:rPr>
          <w:rFonts w:ascii="Arial" w:hAnsi="Arial" w:cs="Arial"/>
        </w:rPr>
        <w:t xml:space="preserve"> 2025). </w:t>
      </w:r>
    </w:p>
    <w:p w14:paraId="33D4D4EE" w14:textId="0C4E65DA" w:rsidR="00B2077B" w:rsidRPr="00B2077B" w:rsidRDefault="00B2077B" w:rsidP="00B2077B">
      <w:pPr>
        <w:spacing w:before="300" w:after="300"/>
        <w:rPr>
          <w:rFonts w:ascii="Arial" w:hAnsi="Arial" w:cs="Arial"/>
        </w:rPr>
      </w:pPr>
      <w:r w:rsidRPr="00B2077B">
        <w:rPr>
          <w:rFonts w:ascii="Arial" w:hAnsi="Arial" w:cs="Arial"/>
        </w:rPr>
        <w:t>CIPD (2023) </w:t>
      </w:r>
      <w:r w:rsidRPr="00B2077B">
        <w:rPr>
          <w:rFonts w:ascii="Arial" w:hAnsi="Arial" w:cs="Arial"/>
          <w:i/>
          <w:iCs/>
        </w:rPr>
        <w:t>People managers: An evidence review</w:t>
      </w:r>
      <w:r w:rsidRPr="00B2077B">
        <w:rPr>
          <w:rFonts w:ascii="Arial" w:hAnsi="Arial" w:cs="Arial"/>
        </w:rPr>
        <w:t>. Available at: </w:t>
      </w:r>
      <w:hyperlink r:id="rId12" w:tgtFrame="_blank" w:history="1">
        <w:r w:rsidRPr="00B2077B">
          <w:rPr>
            <w:rStyle w:val="Hyperlink"/>
            <w:rFonts w:ascii="Arial" w:hAnsi="Arial" w:cs="Arial"/>
          </w:rPr>
          <w:t>https://www.cipd.org/globalassets/media/knowledge/knowledge-hub/evidence-reviews/2023-pdfs/2023-people-managers-scientific-summary-8431.pdf</w:t>
        </w:r>
      </w:hyperlink>
      <w:r w:rsidRPr="00B2077B">
        <w:rPr>
          <w:rFonts w:ascii="Arial" w:hAnsi="Arial" w:cs="Arial"/>
        </w:rPr>
        <w:t> (Accessed: 1</w:t>
      </w:r>
      <w:r>
        <w:rPr>
          <w:rFonts w:ascii="Arial" w:hAnsi="Arial" w:cs="Arial"/>
        </w:rPr>
        <w:t>1 December</w:t>
      </w:r>
      <w:r w:rsidRPr="00B2077B">
        <w:rPr>
          <w:rFonts w:ascii="Arial" w:hAnsi="Arial" w:cs="Arial"/>
        </w:rPr>
        <w:t xml:space="preserve"> 2025). </w:t>
      </w:r>
    </w:p>
    <w:p w14:paraId="06F9841C" w14:textId="673A84B9" w:rsidR="00B2077B" w:rsidRPr="00B2077B" w:rsidRDefault="00B2077B" w:rsidP="00B2077B">
      <w:pPr>
        <w:spacing w:before="300" w:after="300"/>
        <w:rPr>
          <w:rFonts w:ascii="Arial" w:hAnsi="Arial" w:cs="Arial"/>
        </w:rPr>
      </w:pPr>
      <w:r w:rsidRPr="00B2077B">
        <w:rPr>
          <w:rFonts w:ascii="Arial" w:hAnsi="Arial" w:cs="Arial"/>
        </w:rPr>
        <w:t>CIPD (2024) </w:t>
      </w:r>
      <w:r w:rsidRPr="00B2077B">
        <w:rPr>
          <w:rFonts w:ascii="Arial" w:hAnsi="Arial" w:cs="Arial"/>
          <w:i/>
          <w:iCs/>
        </w:rPr>
        <w:t>Line manager support resources</w:t>
      </w:r>
      <w:r w:rsidRPr="00B2077B">
        <w:rPr>
          <w:rFonts w:ascii="Arial" w:hAnsi="Arial" w:cs="Arial"/>
        </w:rPr>
        <w:t>. Available at: </w:t>
      </w:r>
      <w:hyperlink r:id="rId13" w:tgtFrame="_blank" w:history="1">
        <w:r w:rsidRPr="00B2077B">
          <w:rPr>
            <w:rStyle w:val="Hyperlink"/>
            <w:rFonts w:ascii="Arial" w:hAnsi="Arial" w:cs="Arial"/>
          </w:rPr>
          <w:t>https://www.cipd.org/en/topics/line-manager-support/</w:t>
        </w:r>
      </w:hyperlink>
      <w:r w:rsidRPr="00B2077B">
        <w:rPr>
          <w:rFonts w:ascii="Arial" w:hAnsi="Arial" w:cs="Arial"/>
        </w:rPr>
        <w:t> (Accessed: 1</w:t>
      </w:r>
      <w:r>
        <w:rPr>
          <w:rFonts w:ascii="Arial" w:hAnsi="Arial" w:cs="Arial"/>
        </w:rPr>
        <w:t>3 December</w:t>
      </w:r>
      <w:r w:rsidRPr="00B2077B">
        <w:rPr>
          <w:rFonts w:ascii="Arial" w:hAnsi="Arial" w:cs="Arial"/>
        </w:rPr>
        <w:t xml:space="preserve"> 2025). </w:t>
      </w:r>
    </w:p>
    <w:p w14:paraId="2D4DCAE3" w14:textId="62B317F9" w:rsidR="00B2077B" w:rsidRPr="00B2077B" w:rsidRDefault="00B2077B" w:rsidP="00B2077B">
      <w:pPr>
        <w:spacing w:before="300" w:after="300"/>
        <w:rPr>
          <w:rFonts w:ascii="Arial" w:hAnsi="Arial" w:cs="Arial"/>
        </w:rPr>
      </w:pPr>
      <w:r w:rsidRPr="00B2077B">
        <w:rPr>
          <w:rFonts w:ascii="Arial" w:hAnsi="Arial" w:cs="Arial"/>
        </w:rPr>
        <w:t>Edmondson, A.C. (2018) </w:t>
      </w:r>
      <w:r w:rsidRPr="00B2077B">
        <w:rPr>
          <w:rFonts w:ascii="Arial" w:hAnsi="Arial" w:cs="Arial"/>
          <w:i/>
          <w:iCs/>
        </w:rPr>
        <w:t>Psychological Safety</w:t>
      </w:r>
      <w:r w:rsidRPr="00B2077B">
        <w:rPr>
          <w:rFonts w:ascii="Arial" w:hAnsi="Arial" w:cs="Arial"/>
        </w:rPr>
        <w:t>. Strategy+Business. Available at: </w:t>
      </w:r>
      <w:hyperlink r:id="rId14" w:tgtFrame="_blank" w:history="1">
        <w:r w:rsidRPr="00B2077B">
          <w:rPr>
            <w:rStyle w:val="Hyperlink"/>
            <w:rFonts w:ascii="Arial" w:hAnsi="Arial" w:cs="Arial"/>
          </w:rPr>
          <w:t>https://www.google.com/search?q=https://www.strategy-business.com/article/Psychological-Safety</w:t>
        </w:r>
      </w:hyperlink>
      <w:r w:rsidRPr="00B2077B">
        <w:rPr>
          <w:rFonts w:ascii="Arial" w:hAnsi="Arial" w:cs="Arial"/>
        </w:rPr>
        <w:t> (Accessed: 1</w:t>
      </w:r>
      <w:r>
        <w:rPr>
          <w:rFonts w:ascii="Arial" w:hAnsi="Arial" w:cs="Arial"/>
        </w:rPr>
        <w:t>3 December</w:t>
      </w:r>
      <w:r w:rsidRPr="00B2077B">
        <w:rPr>
          <w:rFonts w:ascii="Arial" w:hAnsi="Arial" w:cs="Arial"/>
        </w:rPr>
        <w:t xml:space="preserve"> 2025). </w:t>
      </w:r>
    </w:p>
    <w:p w14:paraId="1C6D4075" w14:textId="158DE25D" w:rsidR="00B2077B" w:rsidRPr="00B2077B" w:rsidRDefault="00B2077B" w:rsidP="00B2077B">
      <w:pPr>
        <w:spacing w:before="300" w:after="300"/>
        <w:rPr>
          <w:rFonts w:ascii="Arial" w:hAnsi="Arial" w:cs="Arial"/>
        </w:rPr>
      </w:pPr>
      <w:r w:rsidRPr="00B2077B">
        <w:rPr>
          <w:rFonts w:ascii="Arial" w:hAnsi="Arial" w:cs="Arial"/>
        </w:rPr>
        <w:t>Engage for Success (2024) </w:t>
      </w:r>
      <w:r w:rsidRPr="00B2077B">
        <w:rPr>
          <w:rFonts w:ascii="Arial" w:hAnsi="Arial" w:cs="Arial"/>
          <w:i/>
          <w:iCs/>
        </w:rPr>
        <w:t>How Flexible Work Cultures Boost Employee Engagement</w:t>
      </w:r>
      <w:r w:rsidRPr="00B2077B">
        <w:rPr>
          <w:rFonts w:ascii="Arial" w:hAnsi="Arial" w:cs="Arial"/>
        </w:rPr>
        <w:t>. Available at: </w:t>
      </w:r>
      <w:hyperlink r:id="rId15" w:tgtFrame="_blank" w:history="1">
        <w:r w:rsidRPr="00B2077B">
          <w:rPr>
            <w:rStyle w:val="Hyperlink"/>
            <w:rFonts w:ascii="Arial" w:hAnsi="Arial" w:cs="Arial"/>
          </w:rPr>
          <w:t>https://engageforsuccess.org/how-flexible-work-cultures-boost-employee-engagement/</w:t>
        </w:r>
      </w:hyperlink>
      <w:r w:rsidRPr="00B2077B">
        <w:rPr>
          <w:rFonts w:ascii="Arial" w:hAnsi="Arial" w:cs="Arial"/>
        </w:rPr>
        <w:t> (Accessed: 1</w:t>
      </w:r>
      <w:r>
        <w:rPr>
          <w:rFonts w:ascii="Arial" w:hAnsi="Arial" w:cs="Arial"/>
        </w:rPr>
        <w:t>3 December</w:t>
      </w:r>
      <w:r w:rsidRPr="00B2077B">
        <w:rPr>
          <w:rFonts w:ascii="Arial" w:hAnsi="Arial" w:cs="Arial"/>
        </w:rPr>
        <w:t xml:space="preserve"> 2025). </w:t>
      </w:r>
    </w:p>
    <w:p w14:paraId="264E81C0" w14:textId="29DC81F1" w:rsidR="00B2077B" w:rsidRPr="00B2077B" w:rsidRDefault="00B2077B" w:rsidP="00B2077B">
      <w:pPr>
        <w:spacing w:before="300" w:after="300"/>
        <w:rPr>
          <w:rFonts w:ascii="Arial" w:hAnsi="Arial" w:cs="Arial"/>
        </w:rPr>
      </w:pPr>
      <w:r w:rsidRPr="00B2077B">
        <w:rPr>
          <w:rFonts w:ascii="Arial" w:hAnsi="Arial" w:cs="Arial"/>
        </w:rPr>
        <w:lastRenderedPageBreak/>
        <w:t>Good Employment Charter (2024) </w:t>
      </w:r>
      <w:r w:rsidRPr="00B2077B">
        <w:rPr>
          <w:rFonts w:ascii="Arial" w:hAnsi="Arial" w:cs="Arial"/>
          <w:i/>
          <w:iCs/>
        </w:rPr>
        <w:t>Flexible Work: Characteristics and Implementation</w:t>
      </w:r>
      <w:r w:rsidRPr="00B2077B">
        <w:rPr>
          <w:rFonts w:ascii="Arial" w:hAnsi="Arial" w:cs="Arial"/>
        </w:rPr>
        <w:t>. Available at: </w:t>
      </w:r>
      <w:hyperlink r:id="rId16" w:tgtFrame="_blank" w:history="1">
        <w:r w:rsidRPr="00B2077B">
          <w:rPr>
            <w:rStyle w:val="Hyperlink"/>
            <w:rFonts w:ascii="Arial" w:hAnsi="Arial" w:cs="Arial"/>
          </w:rPr>
          <w:t>https://www.goodemploymentcharter.co.uk/charter-characteristics/flexible-work/</w:t>
        </w:r>
      </w:hyperlink>
      <w:r w:rsidRPr="00B2077B">
        <w:rPr>
          <w:rFonts w:ascii="Arial" w:hAnsi="Arial" w:cs="Arial"/>
        </w:rPr>
        <w:t> (Accessed: 1</w:t>
      </w:r>
      <w:r>
        <w:rPr>
          <w:rFonts w:ascii="Arial" w:hAnsi="Arial" w:cs="Arial"/>
        </w:rPr>
        <w:t>6</w:t>
      </w:r>
      <w:r w:rsidRPr="00B2077B">
        <w:rPr>
          <w:rFonts w:ascii="Arial" w:hAnsi="Arial" w:cs="Arial"/>
        </w:rPr>
        <w:t xml:space="preserve"> </w:t>
      </w:r>
      <w:r>
        <w:rPr>
          <w:rFonts w:ascii="Arial" w:hAnsi="Arial" w:cs="Arial"/>
        </w:rPr>
        <w:t>December</w:t>
      </w:r>
      <w:r w:rsidRPr="00B2077B">
        <w:rPr>
          <w:rFonts w:ascii="Arial" w:hAnsi="Arial" w:cs="Arial"/>
        </w:rPr>
        <w:t xml:space="preserve"> 2025). </w:t>
      </w:r>
    </w:p>
    <w:p w14:paraId="2CD473E6" w14:textId="2D4311DF" w:rsidR="00B2077B" w:rsidRPr="00B2077B" w:rsidRDefault="00B2077B" w:rsidP="00B2077B">
      <w:pPr>
        <w:spacing w:before="300" w:after="300"/>
        <w:rPr>
          <w:rFonts w:ascii="Arial" w:hAnsi="Arial" w:cs="Arial"/>
        </w:rPr>
      </w:pPr>
      <w:r w:rsidRPr="00B2077B">
        <w:rPr>
          <w:rFonts w:ascii="Arial" w:hAnsi="Arial" w:cs="Arial"/>
        </w:rPr>
        <w:t>HR Acuity (2025) </w:t>
      </w:r>
      <w:r w:rsidRPr="00B2077B">
        <w:rPr>
          <w:rFonts w:ascii="Arial" w:hAnsi="Arial" w:cs="Arial"/>
          <w:i/>
          <w:iCs/>
        </w:rPr>
        <w:t>Employee Relations Technology: What Is It?</w:t>
      </w:r>
      <w:r w:rsidRPr="00B2077B">
        <w:rPr>
          <w:rFonts w:ascii="Arial" w:hAnsi="Arial" w:cs="Arial"/>
        </w:rPr>
        <w:t> Available at: </w:t>
      </w:r>
      <w:hyperlink r:id="rId17" w:tgtFrame="_blank" w:history="1">
        <w:r w:rsidRPr="00B2077B">
          <w:rPr>
            <w:rStyle w:val="Hyperlink"/>
            <w:rFonts w:ascii="Arial" w:hAnsi="Arial" w:cs="Arial"/>
          </w:rPr>
          <w:t>https://www.hracuity.com/blog/employee-relations-technology-what-is-it/</w:t>
        </w:r>
      </w:hyperlink>
      <w:r w:rsidRPr="00B2077B">
        <w:rPr>
          <w:rFonts w:ascii="Arial" w:hAnsi="Arial" w:cs="Arial"/>
        </w:rPr>
        <w:t xml:space="preserve"> (Accessed: 17 </w:t>
      </w:r>
      <w:r>
        <w:rPr>
          <w:rFonts w:ascii="Arial" w:hAnsi="Arial" w:cs="Arial"/>
        </w:rPr>
        <w:t>December</w:t>
      </w:r>
      <w:r w:rsidRPr="00B2077B">
        <w:rPr>
          <w:rFonts w:ascii="Arial" w:hAnsi="Arial" w:cs="Arial"/>
        </w:rPr>
        <w:t xml:space="preserve"> 2025). </w:t>
      </w:r>
    </w:p>
    <w:p w14:paraId="6D6F0D87" w14:textId="020BB553" w:rsidR="00B2077B" w:rsidRPr="00B2077B" w:rsidRDefault="00B2077B" w:rsidP="00B2077B">
      <w:pPr>
        <w:spacing w:before="300" w:after="300"/>
        <w:rPr>
          <w:rFonts w:ascii="Arial" w:hAnsi="Arial" w:cs="Arial"/>
        </w:rPr>
      </w:pPr>
      <w:r w:rsidRPr="00B2077B">
        <w:rPr>
          <w:rFonts w:ascii="Arial" w:hAnsi="Arial" w:cs="Arial"/>
        </w:rPr>
        <w:t>Kotter International (2024) </w:t>
      </w:r>
      <w:r w:rsidRPr="00B2077B">
        <w:rPr>
          <w:rFonts w:ascii="Arial" w:hAnsi="Arial" w:cs="Arial"/>
          <w:i/>
          <w:iCs/>
        </w:rPr>
        <w:t>The 8-Step Process for Leading Change</w:t>
      </w:r>
      <w:r w:rsidRPr="00B2077B">
        <w:rPr>
          <w:rFonts w:ascii="Arial" w:hAnsi="Arial" w:cs="Arial"/>
        </w:rPr>
        <w:t>. Available at: </w:t>
      </w:r>
      <w:hyperlink r:id="rId18" w:tgtFrame="_blank" w:history="1">
        <w:r w:rsidRPr="00B2077B">
          <w:rPr>
            <w:rStyle w:val="Hyperlink"/>
            <w:rFonts w:ascii="Arial" w:hAnsi="Arial" w:cs="Arial"/>
          </w:rPr>
          <w:t>https://www.kotterinc.com/methodology/8-steps/</w:t>
        </w:r>
      </w:hyperlink>
      <w:r w:rsidRPr="00B2077B">
        <w:rPr>
          <w:rFonts w:ascii="Arial" w:hAnsi="Arial" w:cs="Arial"/>
        </w:rPr>
        <w:t xml:space="preserve"> (Accessed: 17 </w:t>
      </w:r>
      <w:r>
        <w:rPr>
          <w:rFonts w:ascii="Arial" w:hAnsi="Arial" w:cs="Arial"/>
        </w:rPr>
        <w:t>December</w:t>
      </w:r>
      <w:r w:rsidRPr="00B2077B">
        <w:rPr>
          <w:rFonts w:ascii="Arial" w:hAnsi="Arial" w:cs="Arial"/>
        </w:rPr>
        <w:t xml:space="preserve"> 2025). </w:t>
      </w:r>
    </w:p>
    <w:p w14:paraId="5866DF1D" w14:textId="7D740611" w:rsidR="00B2077B" w:rsidRPr="00B2077B" w:rsidRDefault="00B2077B" w:rsidP="00B2077B">
      <w:pPr>
        <w:spacing w:before="300" w:after="300"/>
        <w:rPr>
          <w:rFonts w:ascii="Arial" w:hAnsi="Arial" w:cs="Arial"/>
        </w:rPr>
      </w:pPr>
      <w:r w:rsidRPr="00B2077B">
        <w:rPr>
          <w:rFonts w:ascii="Arial" w:hAnsi="Arial" w:cs="Arial"/>
        </w:rPr>
        <w:t>Kudos (2025) </w:t>
      </w:r>
      <w:r w:rsidRPr="00B2077B">
        <w:rPr>
          <w:rFonts w:ascii="Arial" w:hAnsi="Arial" w:cs="Arial"/>
          <w:i/>
          <w:iCs/>
        </w:rPr>
        <w:t>Kudos: The Employee Recognition and Culture Platform</w:t>
      </w:r>
      <w:r w:rsidRPr="00B2077B">
        <w:rPr>
          <w:rFonts w:ascii="Arial" w:hAnsi="Arial" w:cs="Arial"/>
        </w:rPr>
        <w:t>. Available at: </w:t>
      </w:r>
      <w:hyperlink r:id="rId19" w:tgtFrame="_blank" w:history="1">
        <w:r w:rsidRPr="00B2077B">
          <w:rPr>
            <w:rStyle w:val="Hyperlink"/>
            <w:rFonts w:ascii="Arial" w:hAnsi="Arial" w:cs="Arial"/>
          </w:rPr>
          <w:t>https://www.kudos.com</w:t>
        </w:r>
      </w:hyperlink>
      <w:r w:rsidRPr="00B2077B">
        <w:rPr>
          <w:rFonts w:ascii="Arial" w:hAnsi="Arial" w:cs="Arial"/>
        </w:rPr>
        <w:t xml:space="preserve"> (Accessed: 17 </w:t>
      </w:r>
      <w:r>
        <w:rPr>
          <w:rFonts w:ascii="Arial" w:hAnsi="Arial" w:cs="Arial"/>
        </w:rPr>
        <w:t>December</w:t>
      </w:r>
      <w:r w:rsidRPr="00B2077B">
        <w:rPr>
          <w:rFonts w:ascii="Arial" w:hAnsi="Arial" w:cs="Arial"/>
        </w:rPr>
        <w:t xml:space="preserve"> 2025). </w:t>
      </w:r>
    </w:p>
    <w:p w14:paraId="7D8A4B1A" w14:textId="3268789E" w:rsidR="00B2077B" w:rsidRPr="00B2077B" w:rsidRDefault="00B2077B" w:rsidP="00B2077B">
      <w:pPr>
        <w:spacing w:before="300" w:after="300"/>
        <w:rPr>
          <w:rFonts w:ascii="Arial" w:hAnsi="Arial" w:cs="Arial"/>
        </w:rPr>
      </w:pPr>
      <w:r w:rsidRPr="00B2077B">
        <w:rPr>
          <w:rFonts w:ascii="Arial" w:hAnsi="Arial" w:cs="Arial"/>
        </w:rPr>
        <w:t>People Management (2025) 'Why Walking the Talk Is Key to Being a Good Manager', </w:t>
      </w:r>
      <w:r w:rsidRPr="00B2077B">
        <w:rPr>
          <w:rFonts w:ascii="Arial" w:hAnsi="Arial" w:cs="Arial"/>
          <w:i/>
          <w:iCs/>
        </w:rPr>
        <w:t>CIPD Research Briefing</w:t>
      </w:r>
      <w:r w:rsidRPr="00B2077B">
        <w:rPr>
          <w:rFonts w:ascii="Arial" w:hAnsi="Arial" w:cs="Arial"/>
        </w:rPr>
        <w:t>. Available at: </w:t>
      </w:r>
      <w:hyperlink r:id="rId20" w:tgtFrame="_blank" w:history="1">
        <w:r w:rsidRPr="00B2077B">
          <w:rPr>
            <w:rStyle w:val="Hyperlink"/>
            <w:rFonts w:ascii="Arial" w:hAnsi="Arial" w:cs="Arial"/>
          </w:rPr>
          <w:t>https://www.peoplemanagement.co.uk/article/1743839/why-walking-the-talk-is-key-to-being-a-good-manager</w:t>
        </w:r>
      </w:hyperlink>
      <w:r w:rsidRPr="00B2077B">
        <w:rPr>
          <w:rFonts w:ascii="Arial" w:hAnsi="Arial" w:cs="Arial"/>
        </w:rPr>
        <w:t xml:space="preserve"> (Accessed: 17 </w:t>
      </w:r>
      <w:r w:rsidR="00555204">
        <w:rPr>
          <w:rFonts w:ascii="Arial" w:hAnsi="Arial" w:cs="Arial"/>
        </w:rPr>
        <w:t>December</w:t>
      </w:r>
      <w:r w:rsidRPr="00B2077B">
        <w:rPr>
          <w:rFonts w:ascii="Arial" w:hAnsi="Arial" w:cs="Arial"/>
        </w:rPr>
        <w:t xml:space="preserve"> 2025). </w:t>
      </w:r>
    </w:p>
    <w:p w14:paraId="3D70100B" w14:textId="507D0303" w:rsidR="00B2077B" w:rsidRPr="00B2077B" w:rsidRDefault="00B2077B" w:rsidP="00B2077B">
      <w:pPr>
        <w:spacing w:before="300" w:after="300"/>
        <w:rPr>
          <w:rFonts w:ascii="Arial" w:hAnsi="Arial" w:cs="Arial"/>
        </w:rPr>
      </w:pPr>
      <w:r w:rsidRPr="00B2077B">
        <w:rPr>
          <w:rFonts w:ascii="Arial" w:hAnsi="Arial" w:cs="Arial"/>
        </w:rPr>
        <w:t>Reward Gateway (2024) </w:t>
      </w:r>
      <w:r w:rsidRPr="00B2077B">
        <w:rPr>
          <w:rFonts w:ascii="Arial" w:hAnsi="Arial" w:cs="Arial"/>
          <w:i/>
          <w:iCs/>
        </w:rPr>
        <w:t>Shifting to Digital Employee Recognition</w:t>
      </w:r>
      <w:r w:rsidRPr="00B2077B">
        <w:rPr>
          <w:rFonts w:ascii="Arial" w:hAnsi="Arial" w:cs="Arial"/>
        </w:rPr>
        <w:t>. Available at: </w:t>
      </w:r>
      <w:hyperlink r:id="rId21" w:tgtFrame="_blank" w:history="1">
        <w:r w:rsidRPr="00B2077B">
          <w:rPr>
            <w:rStyle w:val="Hyperlink"/>
            <w:rFonts w:ascii="Arial" w:hAnsi="Arial" w:cs="Arial"/>
          </w:rPr>
          <w:t>https://www.rewardgateway.com/uk/blog/shifting-to-digital-employee-recognition</w:t>
        </w:r>
      </w:hyperlink>
      <w:r w:rsidRPr="00B2077B">
        <w:rPr>
          <w:rFonts w:ascii="Arial" w:hAnsi="Arial" w:cs="Arial"/>
        </w:rPr>
        <w:t xml:space="preserve"> (Accessed: 17 </w:t>
      </w:r>
      <w:r w:rsidR="00555204">
        <w:rPr>
          <w:rFonts w:ascii="Arial" w:hAnsi="Arial" w:cs="Arial"/>
        </w:rPr>
        <w:t>December</w:t>
      </w:r>
      <w:r w:rsidRPr="00B2077B">
        <w:rPr>
          <w:rFonts w:ascii="Arial" w:hAnsi="Arial" w:cs="Arial"/>
        </w:rPr>
        <w:t xml:space="preserve"> 2025). </w:t>
      </w:r>
    </w:p>
    <w:p w14:paraId="0F24498B" w14:textId="5FDC4C2D" w:rsidR="00B2077B" w:rsidRPr="00B2077B" w:rsidRDefault="00B2077B" w:rsidP="00B2077B">
      <w:pPr>
        <w:spacing w:before="300" w:after="300"/>
        <w:rPr>
          <w:rFonts w:ascii="Arial" w:hAnsi="Arial" w:cs="Arial"/>
        </w:rPr>
      </w:pPr>
      <w:r w:rsidRPr="00B2077B">
        <w:rPr>
          <w:rFonts w:ascii="Arial" w:hAnsi="Arial" w:cs="Arial"/>
        </w:rPr>
        <w:t>RSI Concepts (2024) </w:t>
      </w:r>
      <w:r w:rsidRPr="00B2077B">
        <w:rPr>
          <w:rFonts w:ascii="Arial" w:hAnsi="Arial" w:cs="Arial"/>
          <w:i/>
          <w:iCs/>
        </w:rPr>
        <w:t>Performance Management Trends in the Digital Era</w:t>
      </w:r>
      <w:r w:rsidRPr="00B2077B">
        <w:rPr>
          <w:rFonts w:ascii="Arial" w:hAnsi="Arial" w:cs="Arial"/>
        </w:rPr>
        <w:t>. Available at: </w:t>
      </w:r>
      <w:hyperlink r:id="rId22" w:tgtFrame="_blank" w:history="1">
        <w:r w:rsidRPr="00B2077B">
          <w:rPr>
            <w:rStyle w:val="Hyperlink"/>
            <w:rFonts w:ascii="Arial" w:hAnsi="Arial" w:cs="Arial"/>
          </w:rPr>
          <w:t>https://www.rsiconcepts.com/blog/2024/02/performance-management-trends-in-the-digital-era/</w:t>
        </w:r>
      </w:hyperlink>
      <w:r w:rsidRPr="00B2077B">
        <w:rPr>
          <w:rFonts w:ascii="Arial" w:hAnsi="Arial" w:cs="Arial"/>
        </w:rPr>
        <w:t xml:space="preserve"> (Accessed: 17 </w:t>
      </w:r>
      <w:r w:rsidR="004E427A">
        <w:rPr>
          <w:rFonts w:ascii="Arial" w:hAnsi="Arial" w:cs="Arial"/>
        </w:rPr>
        <w:t>December</w:t>
      </w:r>
      <w:r w:rsidRPr="00B2077B">
        <w:rPr>
          <w:rFonts w:ascii="Arial" w:hAnsi="Arial" w:cs="Arial"/>
        </w:rPr>
        <w:t xml:space="preserve"> 2025). </w:t>
      </w:r>
    </w:p>
    <w:p w14:paraId="7E262146" w14:textId="23166629" w:rsidR="00B2077B" w:rsidRPr="00B2077B" w:rsidRDefault="00B2077B" w:rsidP="00B2077B">
      <w:pPr>
        <w:spacing w:before="300" w:after="300"/>
        <w:rPr>
          <w:rFonts w:ascii="Arial" w:hAnsi="Arial" w:cs="Arial"/>
        </w:rPr>
      </w:pPr>
      <w:r w:rsidRPr="00B2077B">
        <w:rPr>
          <w:rFonts w:ascii="Arial" w:hAnsi="Arial" w:cs="Arial"/>
        </w:rPr>
        <w:t>RSM Netherlands (2024) </w:t>
      </w:r>
      <w:r w:rsidRPr="00B2077B">
        <w:rPr>
          <w:rFonts w:ascii="Arial" w:hAnsi="Arial" w:cs="Arial"/>
          <w:i/>
          <w:iCs/>
        </w:rPr>
        <w:t>Training Line Managers in HR Processes</w:t>
      </w:r>
      <w:r w:rsidRPr="00B2077B">
        <w:rPr>
          <w:rFonts w:ascii="Arial" w:hAnsi="Arial" w:cs="Arial"/>
        </w:rPr>
        <w:t>. Available at: </w:t>
      </w:r>
      <w:hyperlink r:id="rId23" w:tgtFrame="_blank" w:history="1">
        <w:r w:rsidRPr="00B2077B">
          <w:rPr>
            <w:rStyle w:val="Hyperlink"/>
            <w:rFonts w:ascii="Arial" w:hAnsi="Arial" w:cs="Arial"/>
          </w:rPr>
          <w:t>https://www.rsm.nl/discovery/2024/training-line-managers-in-hr-processes/</w:t>
        </w:r>
      </w:hyperlink>
      <w:r w:rsidRPr="00B2077B">
        <w:rPr>
          <w:rFonts w:ascii="Arial" w:hAnsi="Arial" w:cs="Arial"/>
        </w:rPr>
        <w:t xml:space="preserve"> (Accessed: </w:t>
      </w:r>
      <w:r w:rsidR="004E427A">
        <w:rPr>
          <w:rFonts w:ascii="Arial" w:hAnsi="Arial" w:cs="Arial"/>
        </w:rPr>
        <w:t>23 December</w:t>
      </w:r>
      <w:r w:rsidRPr="00B2077B">
        <w:rPr>
          <w:rFonts w:ascii="Arial" w:hAnsi="Arial" w:cs="Arial"/>
        </w:rPr>
        <w:t xml:space="preserve"> 2025). </w:t>
      </w:r>
    </w:p>
    <w:p w14:paraId="17D77B16" w14:textId="74D91150" w:rsidR="00B2077B" w:rsidRPr="00B2077B" w:rsidRDefault="00B2077B" w:rsidP="00B2077B">
      <w:pPr>
        <w:spacing w:before="300" w:after="300"/>
        <w:rPr>
          <w:rFonts w:ascii="Arial" w:hAnsi="Arial" w:cs="Arial"/>
        </w:rPr>
      </w:pPr>
      <w:r w:rsidRPr="00B2077B">
        <w:rPr>
          <w:rFonts w:ascii="Arial" w:hAnsi="Arial" w:cs="Arial"/>
        </w:rPr>
        <w:t>Simply Psychology (2023) </w:t>
      </w:r>
      <w:r w:rsidRPr="00B2077B">
        <w:rPr>
          <w:rFonts w:ascii="Arial" w:hAnsi="Arial" w:cs="Arial"/>
          <w:i/>
          <w:iCs/>
        </w:rPr>
        <w:t>Herzberg's Two-Factor Theory of Motivation</w:t>
      </w:r>
      <w:r w:rsidRPr="00B2077B">
        <w:rPr>
          <w:rFonts w:ascii="Arial" w:hAnsi="Arial" w:cs="Arial"/>
        </w:rPr>
        <w:t>. Available at: </w:t>
      </w:r>
      <w:hyperlink r:id="rId24" w:tgtFrame="_blank" w:history="1">
        <w:r w:rsidRPr="00B2077B">
          <w:rPr>
            <w:rStyle w:val="Hyperlink"/>
            <w:rFonts w:ascii="Arial" w:hAnsi="Arial" w:cs="Arial"/>
          </w:rPr>
          <w:t>https://www.simplypsychology.org/herzbergs-two-factor-theory.html</w:t>
        </w:r>
      </w:hyperlink>
      <w:r w:rsidRPr="00B2077B">
        <w:rPr>
          <w:rFonts w:ascii="Arial" w:hAnsi="Arial" w:cs="Arial"/>
        </w:rPr>
        <w:t xml:space="preserve"> (Accessed: </w:t>
      </w:r>
      <w:r w:rsidR="004E427A">
        <w:rPr>
          <w:rFonts w:ascii="Arial" w:hAnsi="Arial" w:cs="Arial"/>
        </w:rPr>
        <w:t>23 December</w:t>
      </w:r>
      <w:r w:rsidRPr="00B2077B">
        <w:rPr>
          <w:rFonts w:ascii="Arial" w:hAnsi="Arial" w:cs="Arial"/>
        </w:rPr>
        <w:t xml:space="preserve"> 2025). </w:t>
      </w:r>
    </w:p>
    <w:p w14:paraId="4099A9D3" w14:textId="5F556B98" w:rsidR="00B2077B" w:rsidRPr="00B2077B" w:rsidRDefault="00B2077B" w:rsidP="00B2077B">
      <w:pPr>
        <w:spacing w:before="300" w:after="300"/>
        <w:rPr>
          <w:rFonts w:ascii="Arial" w:hAnsi="Arial" w:cs="Arial"/>
        </w:rPr>
      </w:pPr>
      <w:proofErr w:type="spellStart"/>
      <w:r w:rsidRPr="00B2077B">
        <w:rPr>
          <w:rFonts w:ascii="Arial" w:hAnsi="Arial" w:cs="Arial"/>
        </w:rPr>
        <w:lastRenderedPageBreak/>
        <w:t>Skillcycle</w:t>
      </w:r>
      <w:proofErr w:type="spellEnd"/>
      <w:r w:rsidRPr="00B2077B">
        <w:rPr>
          <w:rFonts w:ascii="Arial" w:hAnsi="Arial" w:cs="Arial"/>
        </w:rPr>
        <w:t xml:space="preserve"> (2025) </w:t>
      </w:r>
      <w:r w:rsidRPr="00B2077B">
        <w:rPr>
          <w:rFonts w:ascii="Arial" w:hAnsi="Arial" w:cs="Arial"/>
          <w:i/>
          <w:iCs/>
        </w:rPr>
        <w:t>16 Virtual Team Building Activities for Remote Teams</w:t>
      </w:r>
      <w:r w:rsidRPr="00B2077B">
        <w:rPr>
          <w:rFonts w:ascii="Arial" w:hAnsi="Arial" w:cs="Arial"/>
        </w:rPr>
        <w:t>. Available at: </w:t>
      </w:r>
      <w:hyperlink r:id="rId25" w:tgtFrame="_blank" w:history="1">
        <w:r w:rsidRPr="00B2077B">
          <w:rPr>
            <w:rStyle w:val="Hyperlink"/>
            <w:rFonts w:ascii="Arial" w:hAnsi="Arial" w:cs="Arial"/>
          </w:rPr>
          <w:t>https://www.skillcycle.com/blog/remote-team-building/</w:t>
        </w:r>
      </w:hyperlink>
      <w:r w:rsidRPr="00B2077B">
        <w:rPr>
          <w:rFonts w:ascii="Arial" w:hAnsi="Arial" w:cs="Arial"/>
        </w:rPr>
        <w:t xml:space="preserve"> (Accessed: </w:t>
      </w:r>
      <w:r w:rsidR="004E427A">
        <w:rPr>
          <w:rFonts w:ascii="Arial" w:hAnsi="Arial" w:cs="Arial"/>
        </w:rPr>
        <w:t>23 December</w:t>
      </w:r>
      <w:r w:rsidRPr="00B2077B">
        <w:rPr>
          <w:rFonts w:ascii="Arial" w:hAnsi="Arial" w:cs="Arial"/>
        </w:rPr>
        <w:t xml:space="preserve"> 2025). </w:t>
      </w:r>
    </w:p>
    <w:p w14:paraId="6214CB48" w14:textId="6D4584F0" w:rsidR="00B2077B" w:rsidRPr="00B2077B" w:rsidRDefault="00B2077B" w:rsidP="00B2077B">
      <w:pPr>
        <w:spacing w:before="300" w:after="300"/>
        <w:rPr>
          <w:rFonts w:ascii="Arial" w:hAnsi="Arial" w:cs="Arial"/>
        </w:rPr>
      </w:pPr>
      <w:r w:rsidRPr="00B2077B">
        <w:rPr>
          <w:rFonts w:ascii="Arial" w:hAnsi="Arial" w:cs="Arial"/>
        </w:rPr>
        <w:t>Wellbeing People (2025) </w:t>
      </w:r>
      <w:r w:rsidRPr="00B2077B">
        <w:rPr>
          <w:rFonts w:ascii="Arial" w:hAnsi="Arial" w:cs="Arial"/>
          <w:i/>
          <w:iCs/>
        </w:rPr>
        <w:t>Workplace Wellbeing Trends for 2025</w:t>
      </w:r>
      <w:r w:rsidRPr="00B2077B">
        <w:rPr>
          <w:rFonts w:ascii="Arial" w:hAnsi="Arial" w:cs="Arial"/>
        </w:rPr>
        <w:t>. Available at: </w:t>
      </w:r>
      <w:hyperlink r:id="rId26" w:tgtFrame="_blank" w:history="1">
        <w:r w:rsidRPr="00B2077B">
          <w:rPr>
            <w:rStyle w:val="Hyperlink"/>
            <w:rFonts w:ascii="Arial" w:hAnsi="Arial" w:cs="Arial"/>
          </w:rPr>
          <w:t>https://wellbeingpeople.com/workplace-wellbeing/5-workplace-wellbeing-trends-for-2025/2024/</w:t>
        </w:r>
      </w:hyperlink>
      <w:r w:rsidRPr="00B2077B">
        <w:rPr>
          <w:rFonts w:ascii="Arial" w:hAnsi="Arial" w:cs="Arial"/>
        </w:rPr>
        <w:t xml:space="preserve"> (Accessed: </w:t>
      </w:r>
      <w:r w:rsidR="004E427A">
        <w:rPr>
          <w:rFonts w:ascii="Arial" w:hAnsi="Arial" w:cs="Arial"/>
        </w:rPr>
        <w:t>23 December</w:t>
      </w:r>
      <w:r w:rsidRPr="00B2077B">
        <w:rPr>
          <w:rFonts w:ascii="Arial" w:hAnsi="Arial" w:cs="Arial"/>
        </w:rPr>
        <w:t xml:space="preserve"> 2025). </w:t>
      </w:r>
    </w:p>
    <w:p w14:paraId="20224BD8" w14:textId="77777777" w:rsidR="00B2077B" w:rsidRPr="00FA7406" w:rsidRDefault="00B2077B" w:rsidP="003C3192">
      <w:pPr>
        <w:spacing w:before="300" w:after="300"/>
        <w:rPr>
          <w:rFonts w:ascii="Arial" w:hAnsi="Arial" w:cs="Arial"/>
        </w:rPr>
      </w:pPr>
    </w:p>
    <w:sectPr w:rsidR="00B2077B" w:rsidRPr="00FA7406" w:rsidSect="00775190">
      <w:footerReference w:type="default" r:id="rId27"/>
      <w:footerReference w:type="first" r:id="rId2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7446B" w14:textId="77777777" w:rsidR="000F1927" w:rsidRDefault="000F1927" w:rsidP="00775190">
      <w:pPr>
        <w:spacing w:line="240" w:lineRule="auto"/>
      </w:pPr>
      <w:r>
        <w:separator/>
      </w:r>
    </w:p>
  </w:endnote>
  <w:endnote w:type="continuationSeparator" w:id="0">
    <w:p w14:paraId="7B858856" w14:textId="77777777" w:rsidR="000F1927" w:rsidRDefault="000F1927" w:rsidP="007751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438415"/>
      <w:docPartObj>
        <w:docPartGallery w:val="Page Numbers (Bottom of Page)"/>
        <w:docPartUnique/>
      </w:docPartObj>
    </w:sdtPr>
    <w:sdtEndPr>
      <w:rPr>
        <w:noProof/>
      </w:rPr>
    </w:sdtEndPr>
    <w:sdtContent>
      <w:p w14:paraId="58549FF9" w14:textId="679FDD65" w:rsidR="00775190" w:rsidRDefault="007751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6964F4" w14:textId="2A674F29" w:rsidR="00775190" w:rsidRDefault="007751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8255D" w14:textId="77777777" w:rsidR="00775190" w:rsidRDefault="00775190">
    <w:pPr>
      <w:pStyle w:val="Footer"/>
    </w:pPr>
  </w:p>
  <w:p w14:paraId="1831ABBF" w14:textId="77777777" w:rsidR="00775190" w:rsidRDefault="0077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71216" w14:textId="77777777" w:rsidR="000F1927" w:rsidRDefault="000F1927" w:rsidP="00775190">
      <w:pPr>
        <w:spacing w:line="240" w:lineRule="auto"/>
      </w:pPr>
      <w:r>
        <w:separator/>
      </w:r>
    </w:p>
  </w:footnote>
  <w:footnote w:type="continuationSeparator" w:id="0">
    <w:p w14:paraId="6A430351" w14:textId="77777777" w:rsidR="000F1927" w:rsidRDefault="000F1927" w:rsidP="007751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32A5"/>
    <w:multiLevelType w:val="multilevel"/>
    <w:tmpl w:val="5ADA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BB50C6"/>
    <w:multiLevelType w:val="multilevel"/>
    <w:tmpl w:val="220ED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416554"/>
    <w:multiLevelType w:val="multilevel"/>
    <w:tmpl w:val="1A4AD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CF1F21"/>
    <w:multiLevelType w:val="multilevel"/>
    <w:tmpl w:val="EFE0E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673EED"/>
    <w:multiLevelType w:val="multilevel"/>
    <w:tmpl w:val="AB1CE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A37705"/>
    <w:multiLevelType w:val="multilevel"/>
    <w:tmpl w:val="7CD2F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A71670"/>
    <w:multiLevelType w:val="multilevel"/>
    <w:tmpl w:val="F58C8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F07BFC"/>
    <w:multiLevelType w:val="hybridMultilevel"/>
    <w:tmpl w:val="E85A768C"/>
    <w:lvl w:ilvl="0" w:tplc="FFFFFFFF">
      <w:start w:val="1"/>
      <w:numFmt w:val="decimal"/>
      <w:lvlText w:val="%1."/>
      <w:lvlJc w:val="left"/>
      <w:pPr>
        <w:tabs>
          <w:tab w:val="num" w:pos="720"/>
        </w:tabs>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BC34A5F"/>
    <w:multiLevelType w:val="hybridMultilevel"/>
    <w:tmpl w:val="E8629E1E"/>
    <w:lvl w:ilvl="0" w:tplc="7F4AB35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707031"/>
    <w:multiLevelType w:val="multilevel"/>
    <w:tmpl w:val="BF6C4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0C50F1"/>
    <w:multiLevelType w:val="multilevel"/>
    <w:tmpl w:val="E5F0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3860D3"/>
    <w:multiLevelType w:val="multilevel"/>
    <w:tmpl w:val="B3125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3B46A4"/>
    <w:multiLevelType w:val="hybridMultilevel"/>
    <w:tmpl w:val="E85A768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C54870"/>
    <w:multiLevelType w:val="hybridMultilevel"/>
    <w:tmpl w:val="9574188C"/>
    <w:lvl w:ilvl="0" w:tplc="FFFFFFFF">
      <w:start w:val="1"/>
      <w:numFmt w:val="decimal"/>
      <w:lvlText w:val="%1."/>
      <w:lvlJc w:val="left"/>
      <w:pPr>
        <w:tabs>
          <w:tab w:val="num" w:pos="1080"/>
        </w:tabs>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3CEB463D"/>
    <w:multiLevelType w:val="multilevel"/>
    <w:tmpl w:val="868C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5E5219"/>
    <w:multiLevelType w:val="hybridMultilevel"/>
    <w:tmpl w:val="9574188C"/>
    <w:lvl w:ilvl="0" w:tplc="FFFFFFFF">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CF80CF5"/>
    <w:multiLevelType w:val="multilevel"/>
    <w:tmpl w:val="6D1C2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6B3658"/>
    <w:multiLevelType w:val="hybridMultilevel"/>
    <w:tmpl w:val="298EAB7A"/>
    <w:lvl w:ilvl="0" w:tplc="E09C4D50">
      <w:start w:val="1"/>
      <w:numFmt w:val="bullet"/>
      <w:lvlText w:val="•"/>
      <w:lvlJc w:val="left"/>
      <w:pPr>
        <w:tabs>
          <w:tab w:val="num" w:pos="720"/>
        </w:tabs>
        <w:ind w:left="720" w:hanging="360"/>
      </w:pPr>
      <w:rPr>
        <w:rFonts w:ascii="Arial" w:hAnsi="Arial" w:hint="default"/>
      </w:rPr>
    </w:lvl>
    <w:lvl w:ilvl="1" w:tplc="47807E10" w:tentative="1">
      <w:start w:val="1"/>
      <w:numFmt w:val="bullet"/>
      <w:lvlText w:val="•"/>
      <w:lvlJc w:val="left"/>
      <w:pPr>
        <w:tabs>
          <w:tab w:val="num" w:pos="1440"/>
        </w:tabs>
        <w:ind w:left="1440" w:hanging="360"/>
      </w:pPr>
      <w:rPr>
        <w:rFonts w:ascii="Arial" w:hAnsi="Arial" w:hint="default"/>
      </w:rPr>
    </w:lvl>
    <w:lvl w:ilvl="2" w:tplc="8F30AAF6" w:tentative="1">
      <w:start w:val="1"/>
      <w:numFmt w:val="bullet"/>
      <w:lvlText w:val="•"/>
      <w:lvlJc w:val="left"/>
      <w:pPr>
        <w:tabs>
          <w:tab w:val="num" w:pos="2160"/>
        </w:tabs>
        <w:ind w:left="2160" w:hanging="360"/>
      </w:pPr>
      <w:rPr>
        <w:rFonts w:ascii="Arial" w:hAnsi="Arial" w:hint="default"/>
      </w:rPr>
    </w:lvl>
    <w:lvl w:ilvl="3" w:tplc="41B2D88E" w:tentative="1">
      <w:start w:val="1"/>
      <w:numFmt w:val="bullet"/>
      <w:lvlText w:val="•"/>
      <w:lvlJc w:val="left"/>
      <w:pPr>
        <w:tabs>
          <w:tab w:val="num" w:pos="2880"/>
        </w:tabs>
        <w:ind w:left="2880" w:hanging="360"/>
      </w:pPr>
      <w:rPr>
        <w:rFonts w:ascii="Arial" w:hAnsi="Arial" w:hint="default"/>
      </w:rPr>
    </w:lvl>
    <w:lvl w:ilvl="4" w:tplc="3AEA6BCE" w:tentative="1">
      <w:start w:val="1"/>
      <w:numFmt w:val="bullet"/>
      <w:lvlText w:val="•"/>
      <w:lvlJc w:val="left"/>
      <w:pPr>
        <w:tabs>
          <w:tab w:val="num" w:pos="3600"/>
        </w:tabs>
        <w:ind w:left="3600" w:hanging="360"/>
      </w:pPr>
      <w:rPr>
        <w:rFonts w:ascii="Arial" w:hAnsi="Arial" w:hint="default"/>
      </w:rPr>
    </w:lvl>
    <w:lvl w:ilvl="5" w:tplc="5F301BE6" w:tentative="1">
      <w:start w:val="1"/>
      <w:numFmt w:val="bullet"/>
      <w:lvlText w:val="•"/>
      <w:lvlJc w:val="left"/>
      <w:pPr>
        <w:tabs>
          <w:tab w:val="num" w:pos="4320"/>
        </w:tabs>
        <w:ind w:left="4320" w:hanging="360"/>
      </w:pPr>
      <w:rPr>
        <w:rFonts w:ascii="Arial" w:hAnsi="Arial" w:hint="default"/>
      </w:rPr>
    </w:lvl>
    <w:lvl w:ilvl="6" w:tplc="9C645624" w:tentative="1">
      <w:start w:val="1"/>
      <w:numFmt w:val="bullet"/>
      <w:lvlText w:val="•"/>
      <w:lvlJc w:val="left"/>
      <w:pPr>
        <w:tabs>
          <w:tab w:val="num" w:pos="5040"/>
        </w:tabs>
        <w:ind w:left="5040" w:hanging="360"/>
      </w:pPr>
      <w:rPr>
        <w:rFonts w:ascii="Arial" w:hAnsi="Arial" w:hint="default"/>
      </w:rPr>
    </w:lvl>
    <w:lvl w:ilvl="7" w:tplc="29E0DC22" w:tentative="1">
      <w:start w:val="1"/>
      <w:numFmt w:val="bullet"/>
      <w:lvlText w:val="•"/>
      <w:lvlJc w:val="left"/>
      <w:pPr>
        <w:tabs>
          <w:tab w:val="num" w:pos="5760"/>
        </w:tabs>
        <w:ind w:left="5760" w:hanging="360"/>
      </w:pPr>
      <w:rPr>
        <w:rFonts w:ascii="Arial" w:hAnsi="Arial" w:hint="default"/>
      </w:rPr>
    </w:lvl>
    <w:lvl w:ilvl="8" w:tplc="B5F8821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487748E"/>
    <w:multiLevelType w:val="hybridMultilevel"/>
    <w:tmpl w:val="444683EE"/>
    <w:lvl w:ilvl="0" w:tplc="7F4AB350">
      <w:start w:val="1"/>
      <w:numFmt w:val="bullet"/>
      <w:lvlText w:val="•"/>
      <w:lvlJc w:val="left"/>
      <w:pPr>
        <w:tabs>
          <w:tab w:val="num" w:pos="720"/>
        </w:tabs>
        <w:ind w:left="720" w:hanging="360"/>
      </w:pPr>
      <w:rPr>
        <w:rFonts w:ascii="Arial" w:hAnsi="Arial" w:hint="default"/>
      </w:rPr>
    </w:lvl>
    <w:lvl w:ilvl="1" w:tplc="8F3EC5CE" w:tentative="1">
      <w:start w:val="1"/>
      <w:numFmt w:val="bullet"/>
      <w:lvlText w:val="•"/>
      <w:lvlJc w:val="left"/>
      <w:pPr>
        <w:tabs>
          <w:tab w:val="num" w:pos="1440"/>
        </w:tabs>
        <w:ind w:left="1440" w:hanging="360"/>
      </w:pPr>
      <w:rPr>
        <w:rFonts w:ascii="Arial" w:hAnsi="Arial" w:hint="default"/>
      </w:rPr>
    </w:lvl>
    <w:lvl w:ilvl="2" w:tplc="09AEAB06" w:tentative="1">
      <w:start w:val="1"/>
      <w:numFmt w:val="bullet"/>
      <w:lvlText w:val="•"/>
      <w:lvlJc w:val="left"/>
      <w:pPr>
        <w:tabs>
          <w:tab w:val="num" w:pos="2160"/>
        </w:tabs>
        <w:ind w:left="2160" w:hanging="360"/>
      </w:pPr>
      <w:rPr>
        <w:rFonts w:ascii="Arial" w:hAnsi="Arial" w:hint="default"/>
      </w:rPr>
    </w:lvl>
    <w:lvl w:ilvl="3" w:tplc="B2EEF512" w:tentative="1">
      <w:start w:val="1"/>
      <w:numFmt w:val="bullet"/>
      <w:lvlText w:val="•"/>
      <w:lvlJc w:val="left"/>
      <w:pPr>
        <w:tabs>
          <w:tab w:val="num" w:pos="2880"/>
        </w:tabs>
        <w:ind w:left="2880" w:hanging="360"/>
      </w:pPr>
      <w:rPr>
        <w:rFonts w:ascii="Arial" w:hAnsi="Arial" w:hint="default"/>
      </w:rPr>
    </w:lvl>
    <w:lvl w:ilvl="4" w:tplc="6DDC31FE" w:tentative="1">
      <w:start w:val="1"/>
      <w:numFmt w:val="bullet"/>
      <w:lvlText w:val="•"/>
      <w:lvlJc w:val="left"/>
      <w:pPr>
        <w:tabs>
          <w:tab w:val="num" w:pos="3600"/>
        </w:tabs>
        <w:ind w:left="3600" w:hanging="360"/>
      </w:pPr>
      <w:rPr>
        <w:rFonts w:ascii="Arial" w:hAnsi="Arial" w:hint="default"/>
      </w:rPr>
    </w:lvl>
    <w:lvl w:ilvl="5" w:tplc="2D36DCB4" w:tentative="1">
      <w:start w:val="1"/>
      <w:numFmt w:val="bullet"/>
      <w:lvlText w:val="•"/>
      <w:lvlJc w:val="left"/>
      <w:pPr>
        <w:tabs>
          <w:tab w:val="num" w:pos="4320"/>
        </w:tabs>
        <w:ind w:left="4320" w:hanging="360"/>
      </w:pPr>
      <w:rPr>
        <w:rFonts w:ascii="Arial" w:hAnsi="Arial" w:hint="default"/>
      </w:rPr>
    </w:lvl>
    <w:lvl w:ilvl="6" w:tplc="743EDD4A" w:tentative="1">
      <w:start w:val="1"/>
      <w:numFmt w:val="bullet"/>
      <w:lvlText w:val="•"/>
      <w:lvlJc w:val="left"/>
      <w:pPr>
        <w:tabs>
          <w:tab w:val="num" w:pos="5040"/>
        </w:tabs>
        <w:ind w:left="5040" w:hanging="360"/>
      </w:pPr>
      <w:rPr>
        <w:rFonts w:ascii="Arial" w:hAnsi="Arial" w:hint="default"/>
      </w:rPr>
    </w:lvl>
    <w:lvl w:ilvl="7" w:tplc="01E027AE" w:tentative="1">
      <w:start w:val="1"/>
      <w:numFmt w:val="bullet"/>
      <w:lvlText w:val="•"/>
      <w:lvlJc w:val="left"/>
      <w:pPr>
        <w:tabs>
          <w:tab w:val="num" w:pos="5760"/>
        </w:tabs>
        <w:ind w:left="5760" w:hanging="360"/>
      </w:pPr>
      <w:rPr>
        <w:rFonts w:ascii="Arial" w:hAnsi="Arial" w:hint="default"/>
      </w:rPr>
    </w:lvl>
    <w:lvl w:ilvl="8" w:tplc="A7CA63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74B2A7F"/>
    <w:multiLevelType w:val="multilevel"/>
    <w:tmpl w:val="E9BE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670AB6"/>
    <w:multiLevelType w:val="multilevel"/>
    <w:tmpl w:val="3C82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B9E30E8"/>
    <w:multiLevelType w:val="multilevel"/>
    <w:tmpl w:val="C4D6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8163683">
    <w:abstractNumId w:val="18"/>
  </w:num>
  <w:num w:numId="2" w16cid:durableId="1912347069">
    <w:abstractNumId w:val="8"/>
  </w:num>
  <w:num w:numId="3" w16cid:durableId="1143961795">
    <w:abstractNumId w:val="12"/>
  </w:num>
  <w:num w:numId="4" w16cid:durableId="1442069423">
    <w:abstractNumId w:val="7"/>
  </w:num>
  <w:num w:numId="5" w16cid:durableId="860826318">
    <w:abstractNumId w:val="15"/>
  </w:num>
  <w:num w:numId="6" w16cid:durableId="1183862301">
    <w:abstractNumId w:val="13"/>
  </w:num>
  <w:num w:numId="7" w16cid:durableId="981230935">
    <w:abstractNumId w:val="17"/>
  </w:num>
  <w:num w:numId="8" w16cid:durableId="1157113454">
    <w:abstractNumId w:val="2"/>
  </w:num>
  <w:num w:numId="9" w16cid:durableId="226841349">
    <w:abstractNumId w:val="4"/>
  </w:num>
  <w:num w:numId="10" w16cid:durableId="1416052089">
    <w:abstractNumId w:val="14"/>
  </w:num>
  <w:num w:numId="11" w16cid:durableId="118452254">
    <w:abstractNumId w:val="11"/>
  </w:num>
  <w:num w:numId="12" w16cid:durableId="646977903">
    <w:abstractNumId w:val="21"/>
  </w:num>
  <w:num w:numId="13" w16cid:durableId="1331789689">
    <w:abstractNumId w:val="20"/>
  </w:num>
  <w:num w:numId="14" w16cid:durableId="174341443">
    <w:abstractNumId w:val="6"/>
  </w:num>
  <w:num w:numId="15" w16cid:durableId="2121944966">
    <w:abstractNumId w:val="0"/>
  </w:num>
  <w:num w:numId="16" w16cid:durableId="892619731">
    <w:abstractNumId w:val="3"/>
  </w:num>
  <w:num w:numId="17" w16cid:durableId="1687243213">
    <w:abstractNumId w:val="10"/>
  </w:num>
  <w:num w:numId="18" w16cid:durableId="919287122">
    <w:abstractNumId w:val="1"/>
  </w:num>
  <w:num w:numId="19" w16cid:durableId="964114791">
    <w:abstractNumId w:val="16"/>
  </w:num>
  <w:num w:numId="20" w16cid:durableId="389039706">
    <w:abstractNumId w:val="19"/>
  </w:num>
  <w:num w:numId="21" w16cid:durableId="58720352">
    <w:abstractNumId w:val="9"/>
  </w:num>
  <w:num w:numId="22" w16cid:durableId="235745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CC2"/>
    <w:rsid w:val="00014AD9"/>
    <w:rsid w:val="00084260"/>
    <w:rsid w:val="000941F1"/>
    <w:rsid w:val="000D02D0"/>
    <w:rsid w:val="000F1927"/>
    <w:rsid w:val="00144140"/>
    <w:rsid w:val="001B636F"/>
    <w:rsid w:val="001E23CE"/>
    <w:rsid w:val="001F0165"/>
    <w:rsid w:val="001F05D4"/>
    <w:rsid w:val="00230004"/>
    <w:rsid w:val="002345BF"/>
    <w:rsid w:val="00243160"/>
    <w:rsid w:val="00270BA1"/>
    <w:rsid w:val="00270FD6"/>
    <w:rsid w:val="002F3670"/>
    <w:rsid w:val="00310E32"/>
    <w:rsid w:val="0033067F"/>
    <w:rsid w:val="003652F3"/>
    <w:rsid w:val="00370D26"/>
    <w:rsid w:val="003814E7"/>
    <w:rsid w:val="00395BF6"/>
    <w:rsid w:val="003A5C69"/>
    <w:rsid w:val="003A6745"/>
    <w:rsid w:val="003B4FA4"/>
    <w:rsid w:val="003C3192"/>
    <w:rsid w:val="003C7CAE"/>
    <w:rsid w:val="003E701F"/>
    <w:rsid w:val="003F216F"/>
    <w:rsid w:val="0042169F"/>
    <w:rsid w:val="00483402"/>
    <w:rsid w:val="004949E2"/>
    <w:rsid w:val="004E427A"/>
    <w:rsid w:val="00555204"/>
    <w:rsid w:val="00580CC6"/>
    <w:rsid w:val="00595656"/>
    <w:rsid w:val="005B39BB"/>
    <w:rsid w:val="005C1C23"/>
    <w:rsid w:val="005F6277"/>
    <w:rsid w:val="00631C11"/>
    <w:rsid w:val="00651AF0"/>
    <w:rsid w:val="006C4965"/>
    <w:rsid w:val="006C53D1"/>
    <w:rsid w:val="006D62F1"/>
    <w:rsid w:val="006E31D7"/>
    <w:rsid w:val="006F6AA0"/>
    <w:rsid w:val="0070475B"/>
    <w:rsid w:val="00715995"/>
    <w:rsid w:val="00722E51"/>
    <w:rsid w:val="0074390C"/>
    <w:rsid w:val="00775190"/>
    <w:rsid w:val="00775FD6"/>
    <w:rsid w:val="0077739E"/>
    <w:rsid w:val="00777EE2"/>
    <w:rsid w:val="007908DA"/>
    <w:rsid w:val="007D71ED"/>
    <w:rsid w:val="007E5BB7"/>
    <w:rsid w:val="007F0D40"/>
    <w:rsid w:val="007F588B"/>
    <w:rsid w:val="00800C7B"/>
    <w:rsid w:val="008031CE"/>
    <w:rsid w:val="00803A09"/>
    <w:rsid w:val="0082095D"/>
    <w:rsid w:val="00842B53"/>
    <w:rsid w:val="0086291D"/>
    <w:rsid w:val="00865815"/>
    <w:rsid w:val="008673E1"/>
    <w:rsid w:val="008A0319"/>
    <w:rsid w:val="008B63EB"/>
    <w:rsid w:val="0090097F"/>
    <w:rsid w:val="00930D83"/>
    <w:rsid w:val="009528BC"/>
    <w:rsid w:val="00997C28"/>
    <w:rsid w:val="009A6B11"/>
    <w:rsid w:val="009C6BB6"/>
    <w:rsid w:val="00A04F20"/>
    <w:rsid w:val="00A51DC7"/>
    <w:rsid w:val="00AD4DCC"/>
    <w:rsid w:val="00B0756C"/>
    <w:rsid w:val="00B2077B"/>
    <w:rsid w:val="00B26AC6"/>
    <w:rsid w:val="00B41281"/>
    <w:rsid w:val="00B728EA"/>
    <w:rsid w:val="00BB3277"/>
    <w:rsid w:val="00BB77F8"/>
    <w:rsid w:val="00BD4954"/>
    <w:rsid w:val="00BE03B7"/>
    <w:rsid w:val="00C55CC2"/>
    <w:rsid w:val="00CF2A89"/>
    <w:rsid w:val="00D334EE"/>
    <w:rsid w:val="00D931AB"/>
    <w:rsid w:val="00DA07FE"/>
    <w:rsid w:val="00DB4367"/>
    <w:rsid w:val="00DB6FE0"/>
    <w:rsid w:val="00DD09FD"/>
    <w:rsid w:val="00DD1D8B"/>
    <w:rsid w:val="00DE07B6"/>
    <w:rsid w:val="00E110C7"/>
    <w:rsid w:val="00E2072B"/>
    <w:rsid w:val="00E26AE9"/>
    <w:rsid w:val="00E37B8B"/>
    <w:rsid w:val="00E74467"/>
    <w:rsid w:val="00E93C5F"/>
    <w:rsid w:val="00EC12B5"/>
    <w:rsid w:val="00EE2101"/>
    <w:rsid w:val="00F23F3E"/>
    <w:rsid w:val="00F25B8E"/>
    <w:rsid w:val="00F529F1"/>
    <w:rsid w:val="00F60944"/>
    <w:rsid w:val="00FA7406"/>
    <w:rsid w:val="00FD1246"/>
    <w:rsid w:val="00FD61C4"/>
    <w:rsid w:val="00FE4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6AED"/>
  <w15:chartTrackingRefBased/>
  <w15:docId w15:val="{CC234F65-6CC8-420B-86F3-2CFE2B1C3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C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C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C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5C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C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C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C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C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C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C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C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C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5C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C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C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C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C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CC2"/>
    <w:rPr>
      <w:rFonts w:eastAsiaTheme="majorEastAsia" w:cstheme="majorBidi"/>
      <w:color w:val="272727" w:themeColor="text1" w:themeTint="D8"/>
    </w:rPr>
  </w:style>
  <w:style w:type="paragraph" w:styleId="Title">
    <w:name w:val="Title"/>
    <w:basedOn w:val="Normal"/>
    <w:next w:val="Normal"/>
    <w:link w:val="TitleChar"/>
    <w:uiPriority w:val="10"/>
    <w:qFormat/>
    <w:rsid w:val="00C55C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C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C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C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CC2"/>
    <w:pPr>
      <w:spacing w:before="160"/>
      <w:jc w:val="center"/>
    </w:pPr>
    <w:rPr>
      <w:i/>
      <w:iCs/>
      <w:color w:val="404040" w:themeColor="text1" w:themeTint="BF"/>
    </w:rPr>
  </w:style>
  <w:style w:type="character" w:customStyle="1" w:styleId="QuoteChar">
    <w:name w:val="Quote Char"/>
    <w:basedOn w:val="DefaultParagraphFont"/>
    <w:link w:val="Quote"/>
    <w:uiPriority w:val="29"/>
    <w:rsid w:val="00C55CC2"/>
    <w:rPr>
      <w:i/>
      <w:iCs/>
      <w:color w:val="404040" w:themeColor="text1" w:themeTint="BF"/>
    </w:rPr>
  </w:style>
  <w:style w:type="paragraph" w:styleId="ListParagraph">
    <w:name w:val="List Paragraph"/>
    <w:basedOn w:val="Normal"/>
    <w:uiPriority w:val="34"/>
    <w:qFormat/>
    <w:rsid w:val="00C55CC2"/>
    <w:pPr>
      <w:ind w:left="720"/>
      <w:contextualSpacing/>
    </w:pPr>
  </w:style>
  <w:style w:type="character" w:styleId="IntenseEmphasis">
    <w:name w:val="Intense Emphasis"/>
    <w:basedOn w:val="DefaultParagraphFont"/>
    <w:uiPriority w:val="21"/>
    <w:qFormat/>
    <w:rsid w:val="00C55CC2"/>
    <w:rPr>
      <w:i/>
      <w:iCs/>
      <w:color w:val="0F4761" w:themeColor="accent1" w:themeShade="BF"/>
    </w:rPr>
  </w:style>
  <w:style w:type="paragraph" w:styleId="IntenseQuote">
    <w:name w:val="Intense Quote"/>
    <w:basedOn w:val="Normal"/>
    <w:next w:val="Normal"/>
    <w:link w:val="IntenseQuoteChar"/>
    <w:uiPriority w:val="30"/>
    <w:qFormat/>
    <w:rsid w:val="00C55C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CC2"/>
    <w:rPr>
      <w:i/>
      <w:iCs/>
      <w:color w:val="0F4761" w:themeColor="accent1" w:themeShade="BF"/>
    </w:rPr>
  </w:style>
  <w:style w:type="character" w:styleId="IntenseReference">
    <w:name w:val="Intense Reference"/>
    <w:basedOn w:val="DefaultParagraphFont"/>
    <w:uiPriority w:val="32"/>
    <w:qFormat/>
    <w:rsid w:val="00C55CC2"/>
    <w:rPr>
      <w:b/>
      <w:bCs/>
      <w:smallCaps/>
      <w:color w:val="0F4761" w:themeColor="accent1" w:themeShade="BF"/>
      <w:spacing w:val="5"/>
    </w:rPr>
  </w:style>
  <w:style w:type="character" w:styleId="Hyperlink">
    <w:name w:val="Hyperlink"/>
    <w:basedOn w:val="DefaultParagraphFont"/>
    <w:uiPriority w:val="99"/>
    <w:unhideWhenUsed/>
    <w:rsid w:val="00B0756C"/>
    <w:rPr>
      <w:color w:val="467886" w:themeColor="hyperlink"/>
      <w:u w:val="single"/>
    </w:rPr>
  </w:style>
  <w:style w:type="character" w:styleId="UnresolvedMention">
    <w:name w:val="Unresolved Mention"/>
    <w:basedOn w:val="DefaultParagraphFont"/>
    <w:uiPriority w:val="99"/>
    <w:semiHidden/>
    <w:unhideWhenUsed/>
    <w:rsid w:val="00B0756C"/>
    <w:rPr>
      <w:color w:val="605E5C"/>
      <w:shd w:val="clear" w:color="auto" w:fill="E1DFDD"/>
    </w:rPr>
  </w:style>
  <w:style w:type="paragraph" w:styleId="Header">
    <w:name w:val="header"/>
    <w:basedOn w:val="Normal"/>
    <w:link w:val="HeaderChar"/>
    <w:uiPriority w:val="99"/>
    <w:unhideWhenUsed/>
    <w:rsid w:val="00775190"/>
    <w:pPr>
      <w:tabs>
        <w:tab w:val="center" w:pos="4513"/>
        <w:tab w:val="right" w:pos="9026"/>
      </w:tabs>
      <w:spacing w:line="240" w:lineRule="auto"/>
    </w:pPr>
  </w:style>
  <w:style w:type="character" w:customStyle="1" w:styleId="HeaderChar">
    <w:name w:val="Header Char"/>
    <w:basedOn w:val="DefaultParagraphFont"/>
    <w:link w:val="Header"/>
    <w:uiPriority w:val="99"/>
    <w:rsid w:val="00775190"/>
  </w:style>
  <w:style w:type="paragraph" w:styleId="Footer">
    <w:name w:val="footer"/>
    <w:basedOn w:val="Normal"/>
    <w:link w:val="FooterChar"/>
    <w:uiPriority w:val="99"/>
    <w:unhideWhenUsed/>
    <w:rsid w:val="00775190"/>
    <w:pPr>
      <w:tabs>
        <w:tab w:val="center" w:pos="4513"/>
        <w:tab w:val="right" w:pos="9026"/>
      </w:tabs>
      <w:spacing w:line="240" w:lineRule="auto"/>
    </w:pPr>
  </w:style>
  <w:style w:type="character" w:customStyle="1" w:styleId="FooterChar">
    <w:name w:val="Footer Char"/>
    <w:basedOn w:val="DefaultParagraphFont"/>
    <w:link w:val="Footer"/>
    <w:uiPriority w:val="99"/>
    <w:rsid w:val="00775190"/>
  </w:style>
  <w:style w:type="character" w:styleId="FollowedHyperlink">
    <w:name w:val="FollowedHyperlink"/>
    <w:basedOn w:val="DefaultParagraphFont"/>
    <w:uiPriority w:val="99"/>
    <w:semiHidden/>
    <w:unhideWhenUsed/>
    <w:rsid w:val="00FD1246"/>
    <w:rPr>
      <w:color w:val="96607D" w:themeColor="followedHyperlink"/>
      <w:u w:val="single"/>
    </w:rPr>
  </w:style>
  <w:style w:type="paragraph" w:styleId="NormalWeb">
    <w:name w:val="Normal (Web)"/>
    <w:basedOn w:val="Normal"/>
    <w:uiPriority w:val="99"/>
    <w:semiHidden/>
    <w:unhideWhenUsed/>
    <w:rsid w:val="00D931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B26A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B77F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7467">
      <w:bodyDiv w:val="1"/>
      <w:marLeft w:val="0"/>
      <w:marRight w:val="0"/>
      <w:marTop w:val="0"/>
      <w:marBottom w:val="0"/>
      <w:divBdr>
        <w:top w:val="none" w:sz="0" w:space="0" w:color="auto"/>
        <w:left w:val="none" w:sz="0" w:space="0" w:color="auto"/>
        <w:bottom w:val="none" w:sz="0" w:space="0" w:color="auto"/>
        <w:right w:val="none" w:sz="0" w:space="0" w:color="auto"/>
      </w:divBdr>
      <w:divsChild>
        <w:div w:id="1256018484">
          <w:marLeft w:val="547"/>
          <w:marRight w:val="0"/>
          <w:marTop w:val="200"/>
          <w:marBottom w:val="0"/>
          <w:divBdr>
            <w:top w:val="none" w:sz="0" w:space="0" w:color="auto"/>
            <w:left w:val="none" w:sz="0" w:space="0" w:color="auto"/>
            <w:bottom w:val="none" w:sz="0" w:space="0" w:color="auto"/>
            <w:right w:val="none" w:sz="0" w:space="0" w:color="auto"/>
          </w:divBdr>
        </w:div>
        <w:div w:id="1090278689">
          <w:marLeft w:val="547"/>
          <w:marRight w:val="0"/>
          <w:marTop w:val="200"/>
          <w:marBottom w:val="0"/>
          <w:divBdr>
            <w:top w:val="none" w:sz="0" w:space="0" w:color="auto"/>
            <w:left w:val="none" w:sz="0" w:space="0" w:color="auto"/>
            <w:bottom w:val="none" w:sz="0" w:space="0" w:color="auto"/>
            <w:right w:val="none" w:sz="0" w:space="0" w:color="auto"/>
          </w:divBdr>
        </w:div>
        <w:div w:id="1115825399">
          <w:marLeft w:val="547"/>
          <w:marRight w:val="0"/>
          <w:marTop w:val="200"/>
          <w:marBottom w:val="0"/>
          <w:divBdr>
            <w:top w:val="none" w:sz="0" w:space="0" w:color="auto"/>
            <w:left w:val="none" w:sz="0" w:space="0" w:color="auto"/>
            <w:bottom w:val="none" w:sz="0" w:space="0" w:color="auto"/>
            <w:right w:val="none" w:sz="0" w:space="0" w:color="auto"/>
          </w:divBdr>
        </w:div>
        <w:div w:id="1063262057">
          <w:marLeft w:val="547"/>
          <w:marRight w:val="0"/>
          <w:marTop w:val="200"/>
          <w:marBottom w:val="0"/>
          <w:divBdr>
            <w:top w:val="none" w:sz="0" w:space="0" w:color="auto"/>
            <w:left w:val="none" w:sz="0" w:space="0" w:color="auto"/>
            <w:bottom w:val="none" w:sz="0" w:space="0" w:color="auto"/>
            <w:right w:val="none" w:sz="0" w:space="0" w:color="auto"/>
          </w:divBdr>
        </w:div>
        <w:div w:id="198513352">
          <w:marLeft w:val="547"/>
          <w:marRight w:val="0"/>
          <w:marTop w:val="200"/>
          <w:marBottom w:val="0"/>
          <w:divBdr>
            <w:top w:val="none" w:sz="0" w:space="0" w:color="auto"/>
            <w:left w:val="none" w:sz="0" w:space="0" w:color="auto"/>
            <w:bottom w:val="none" w:sz="0" w:space="0" w:color="auto"/>
            <w:right w:val="none" w:sz="0" w:space="0" w:color="auto"/>
          </w:divBdr>
        </w:div>
      </w:divsChild>
    </w:div>
    <w:div w:id="222910867">
      <w:bodyDiv w:val="1"/>
      <w:marLeft w:val="0"/>
      <w:marRight w:val="0"/>
      <w:marTop w:val="0"/>
      <w:marBottom w:val="0"/>
      <w:divBdr>
        <w:top w:val="none" w:sz="0" w:space="0" w:color="auto"/>
        <w:left w:val="none" w:sz="0" w:space="0" w:color="auto"/>
        <w:bottom w:val="none" w:sz="0" w:space="0" w:color="auto"/>
        <w:right w:val="none" w:sz="0" w:space="0" w:color="auto"/>
      </w:divBdr>
    </w:div>
    <w:div w:id="268659825">
      <w:bodyDiv w:val="1"/>
      <w:marLeft w:val="0"/>
      <w:marRight w:val="0"/>
      <w:marTop w:val="0"/>
      <w:marBottom w:val="0"/>
      <w:divBdr>
        <w:top w:val="none" w:sz="0" w:space="0" w:color="auto"/>
        <w:left w:val="none" w:sz="0" w:space="0" w:color="auto"/>
        <w:bottom w:val="none" w:sz="0" w:space="0" w:color="auto"/>
        <w:right w:val="none" w:sz="0" w:space="0" w:color="auto"/>
      </w:divBdr>
    </w:div>
    <w:div w:id="352651659">
      <w:bodyDiv w:val="1"/>
      <w:marLeft w:val="0"/>
      <w:marRight w:val="0"/>
      <w:marTop w:val="0"/>
      <w:marBottom w:val="0"/>
      <w:divBdr>
        <w:top w:val="none" w:sz="0" w:space="0" w:color="auto"/>
        <w:left w:val="none" w:sz="0" w:space="0" w:color="auto"/>
        <w:bottom w:val="none" w:sz="0" w:space="0" w:color="auto"/>
        <w:right w:val="none" w:sz="0" w:space="0" w:color="auto"/>
      </w:divBdr>
      <w:divsChild>
        <w:div w:id="946932504">
          <w:marLeft w:val="547"/>
          <w:marRight w:val="0"/>
          <w:marTop w:val="96"/>
          <w:marBottom w:val="0"/>
          <w:divBdr>
            <w:top w:val="none" w:sz="0" w:space="0" w:color="auto"/>
            <w:left w:val="none" w:sz="0" w:space="0" w:color="auto"/>
            <w:bottom w:val="none" w:sz="0" w:space="0" w:color="auto"/>
            <w:right w:val="none" w:sz="0" w:space="0" w:color="auto"/>
          </w:divBdr>
        </w:div>
      </w:divsChild>
    </w:div>
    <w:div w:id="409235698">
      <w:bodyDiv w:val="1"/>
      <w:marLeft w:val="0"/>
      <w:marRight w:val="0"/>
      <w:marTop w:val="0"/>
      <w:marBottom w:val="0"/>
      <w:divBdr>
        <w:top w:val="none" w:sz="0" w:space="0" w:color="auto"/>
        <w:left w:val="none" w:sz="0" w:space="0" w:color="auto"/>
        <w:bottom w:val="none" w:sz="0" w:space="0" w:color="auto"/>
        <w:right w:val="none" w:sz="0" w:space="0" w:color="auto"/>
      </w:divBdr>
    </w:div>
    <w:div w:id="411777403">
      <w:bodyDiv w:val="1"/>
      <w:marLeft w:val="0"/>
      <w:marRight w:val="0"/>
      <w:marTop w:val="0"/>
      <w:marBottom w:val="0"/>
      <w:divBdr>
        <w:top w:val="none" w:sz="0" w:space="0" w:color="auto"/>
        <w:left w:val="none" w:sz="0" w:space="0" w:color="auto"/>
        <w:bottom w:val="none" w:sz="0" w:space="0" w:color="auto"/>
        <w:right w:val="none" w:sz="0" w:space="0" w:color="auto"/>
      </w:divBdr>
    </w:div>
    <w:div w:id="478770752">
      <w:bodyDiv w:val="1"/>
      <w:marLeft w:val="0"/>
      <w:marRight w:val="0"/>
      <w:marTop w:val="0"/>
      <w:marBottom w:val="0"/>
      <w:divBdr>
        <w:top w:val="none" w:sz="0" w:space="0" w:color="auto"/>
        <w:left w:val="none" w:sz="0" w:space="0" w:color="auto"/>
        <w:bottom w:val="none" w:sz="0" w:space="0" w:color="auto"/>
        <w:right w:val="none" w:sz="0" w:space="0" w:color="auto"/>
      </w:divBdr>
    </w:div>
    <w:div w:id="616257572">
      <w:bodyDiv w:val="1"/>
      <w:marLeft w:val="0"/>
      <w:marRight w:val="0"/>
      <w:marTop w:val="0"/>
      <w:marBottom w:val="0"/>
      <w:divBdr>
        <w:top w:val="none" w:sz="0" w:space="0" w:color="auto"/>
        <w:left w:val="none" w:sz="0" w:space="0" w:color="auto"/>
        <w:bottom w:val="none" w:sz="0" w:space="0" w:color="auto"/>
        <w:right w:val="none" w:sz="0" w:space="0" w:color="auto"/>
      </w:divBdr>
    </w:div>
    <w:div w:id="926691573">
      <w:bodyDiv w:val="1"/>
      <w:marLeft w:val="0"/>
      <w:marRight w:val="0"/>
      <w:marTop w:val="0"/>
      <w:marBottom w:val="0"/>
      <w:divBdr>
        <w:top w:val="none" w:sz="0" w:space="0" w:color="auto"/>
        <w:left w:val="none" w:sz="0" w:space="0" w:color="auto"/>
        <w:bottom w:val="none" w:sz="0" w:space="0" w:color="auto"/>
        <w:right w:val="none" w:sz="0" w:space="0" w:color="auto"/>
      </w:divBdr>
    </w:div>
    <w:div w:id="1009140012">
      <w:bodyDiv w:val="1"/>
      <w:marLeft w:val="0"/>
      <w:marRight w:val="0"/>
      <w:marTop w:val="0"/>
      <w:marBottom w:val="0"/>
      <w:divBdr>
        <w:top w:val="none" w:sz="0" w:space="0" w:color="auto"/>
        <w:left w:val="none" w:sz="0" w:space="0" w:color="auto"/>
        <w:bottom w:val="none" w:sz="0" w:space="0" w:color="auto"/>
        <w:right w:val="none" w:sz="0" w:space="0" w:color="auto"/>
      </w:divBdr>
    </w:div>
    <w:div w:id="1015381389">
      <w:bodyDiv w:val="1"/>
      <w:marLeft w:val="0"/>
      <w:marRight w:val="0"/>
      <w:marTop w:val="0"/>
      <w:marBottom w:val="0"/>
      <w:divBdr>
        <w:top w:val="none" w:sz="0" w:space="0" w:color="auto"/>
        <w:left w:val="none" w:sz="0" w:space="0" w:color="auto"/>
        <w:bottom w:val="none" w:sz="0" w:space="0" w:color="auto"/>
        <w:right w:val="none" w:sz="0" w:space="0" w:color="auto"/>
      </w:divBdr>
    </w:div>
    <w:div w:id="1171290994">
      <w:bodyDiv w:val="1"/>
      <w:marLeft w:val="0"/>
      <w:marRight w:val="0"/>
      <w:marTop w:val="0"/>
      <w:marBottom w:val="0"/>
      <w:divBdr>
        <w:top w:val="none" w:sz="0" w:space="0" w:color="auto"/>
        <w:left w:val="none" w:sz="0" w:space="0" w:color="auto"/>
        <w:bottom w:val="none" w:sz="0" w:space="0" w:color="auto"/>
        <w:right w:val="none" w:sz="0" w:space="0" w:color="auto"/>
      </w:divBdr>
    </w:div>
    <w:div w:id="1199515382">
      <w:bodyDiv w:val="1"/>
      <w:marLeft w:val="0"/>
      <w:marRight w:val="0"/>
      <w:marTop w:val="0"/>
      <w:marBottom w:val="0"/>
      <w:divBdr>
        <w:top w:val="none" w:sz="0" w:space="0" w:color="auto"/>
        <w:left w:val="none" w:sz="0" w:space="0" w:color="auto"/>
        <w:bottom w:val="none" w:sz="0" w:space="0" w:color="auto"/>
        <w:right w:val="none" w:sz="0" w:space="0" w:color="auto"/>
      </w:divBdr>
    </w:div>
    <w:div w:id="1342125033">
      <w:bodyDiv w:val="1"/>
      <w:marLeft w:val="0"/>
      <w:marRight w:val="0"/>
      <w:marTop w:val="0"/>
      <w:marBottom w:val="0"/>
      <w:divBdr>
        <w:top w:val="none" w:sz="0" w:space="0" w:color="auto"/>
        <w:left w:val="none" w:sz="0" w:space="0" w:color="auto"/>
        <w:bottom w:val="none" w:sz="0" w:space="0" w:color="auto"/>
        <w:right w:val="none" w:sz="0" w:space="0" w:color="auto"/>
      </w:divBdr>
    </w:div>
    <w:div w:id="1361277610">
      <w:bodyDiv w:val="1"/>
      <w:marLeft w:val="0"/>
      <w:marRight w:val="0"/>
      <w:marTop w:val="0"/>
      <w:marBottom w:val="0"/>
      <w:divBdr>
        <w:top w:val="none" w:sz="0" w:space="0" w:color="auto"/>
        <w:left w:val="none" w:sz="0" w:space="0" w:color="auto"/>
        <w:bottom w:val="none" w:sz="0" w:space="0" w:color="auto"/>
        <w:right w:val="none" w:sz="0" w:space="0" w:color="auto"/>
      </w:divBdr>
    </w:div>
    <w:div w:id="1394082057">
      <w:bodyDiv w:val="1"/>
      <w:marLeft w:val="0"/>
      <w:marRight w:val="0"/>
      <w:marTop w:val="0"/>
      <w:marBottom w:val="0"/>
      <w:divBdr>
        <w:top w:val="none" w:sz="0" w:space="0" w:color="auto"/>
        <w:left w:val="none" w:sz="0" w:space="0" w:color="auto"/>
        <w:bottom w:val="none" w:sz="0" w:space="0" w:color="auto"/>
        <w:right w:val="none" w:sz="0" w:space="0" w:color="auto"/>
      </w:divBdr>
    </w:div>
    <w:div w:id="1395665097">
      <w:bodyDiv w:val="1"/>
      <w:marLeft w:val="0"/>
      <w:marRight w:val="0"/>
      <w:marTop w:val="0"/>
      <w:marBottom w:val="0"/>
      <w:divBdr>
        <w:top w:val="none" w:sz="0" w:space="0" w:color="auto"/>
        <w:left w:val="none" w:sz="0" w:space="0" w:color="auto"/>
        <w:bottom w:val="none" w:sz="0" w:space="0" w:color="auto"/>
        <w:right w:val="none" w:sz="0" w:space="0" w:color="auto"/>
      </w:divBdr>
    </w:div>
    <w:div w:id="1419787104">
      <w:bodyDiv w:val="1"/>
      <w:marLeft w:val="0"/>
      <w:marRight w:val="0"/>
      <w:marTop w:val="0"/>
      <w:marBottom w:val="0"/>
      <w:divBdr>
        <w:top w:val="none" w:sz="0" w:space="0" w:color="auto"/>
        <w:left w:val="none" w:sz="0" w:space="0" w:color="auto"/>
        <w:bottom w:val="none" w:sz="0" w:space="0" w:color="auto"/>
        <w:right w:val="none" w:sz="0" w:space="0" w:color="auto"/>
      </w:divBdr>
    </w:div>
    <w:div w:id="1504664568">
      <w:bodyDiv w:val="1"/>
      <w:marLeft w:val="0"/>
      <w:marRight w:val="0"/>
      <w:marTop w:val="0"/>
      <w:marBottom w:val="0"/>
      <w:divBdr>
        <w:top w:val="none" w:sz="0" w:space="0" w:color="auto"/>
        <w:left w:val="none" w:sz="0" w:space="0" w:color="auto"/>
        <w:bottom w:val="none" w:sz="0" w:space="0" w:color="auto"/>
        <w:right w:val="none" w:sz="0" w:space="0" w:color="auto"/>
      </w:divBdr>
    </w:div>
    <w:div w:id="1796365387">
      <w:bodyDiv w:val="1"/>
      <w:marLeft w:val="0"/>
      <w:marRight w:val="0"/>
      <w:marTop w:val="0"/>
      <w:marBottom w:val="0"/>
      <w:divBdr>
        <w:top w:val="none" w:sz="0" w:space="0" w:color="auto"/>
        <w:left w:val="none" w:sz="0" w:space="0" w:color="auto"/>
        <w:bottom w:val="none" w:sz="0" w:space="0" w:color="auto"/>
        <w:right w:val="none" w:sz="0" w:space="0" w:color="auto"/>
      </w:divBdr>
    </w:div>
    <w:div w:id="1844054475">
      <w:bodyDiv w:val="1"/>
      <w:marLeft w:val="0"/>
      <w:marRight w:val="0"/>
      <w:marTop w:val="0"/>
      <w:marBottom w:val="0"/>
      <w:divBdr>
        <w:top w:val="none" w:sz="0" w:space="0" w:color="auto"/>
        <w:left w:val="none" w:sz="0" w:space="0" w:color="auto"/>
        <w:bottom w:val="none" w:sz="0" w:space="0" w:color="auto"/>
        <w:right w:val="none" w:sz="0" w:space="0" w:color="auto"/>
      </w:divBdr>
    </w:div>
    <w:div w:id="1916435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en/topics/line-manager-support/" TargetMode="External"/><Relationship Id="rId18" Type="http://schemas.openxmlformats.org/officeDocument/2006/relationships/hyperlink" Target="https://www.kotterinc.com/methodology/8-steps/" TargetMode="External"/><Relationship Id="rId26" Type="http://schemas.openxmlformats.org/officeDocument/2006/relationships/hyperlink" Target="https://wellbeingpeople.com/workplace-wellbeing/5-workplace-wellbeing-trends-for-2025/2024/" TargetMode="External"/><Relationship Id="rId3" Type="http://schemas.openxmlformats.org/officeDocument/2006/relationships/styles" Target="styles.xml"/><Relationship Id="rId21" Type="http://schemas.openxmlformats.org/officeDocument/2006/relationships/hyperlink" Target="https://www.rewardgateway.com/uk/blog/shifting-to-digital-employee-recognition" TargetMode="External"/><Relationship Id="rId7" Type="http://schemas.openxmlformats.org/officeDocument/2006/relationships/endnotes" Target="endnotes.xml"/><Relationship Id="rId12" Type="http://schemas.openxmlformats.org/officeDocument/2006/relationships/hyperlink" Target="https://www.cipd.org/globalassets/media/knowledge/knowledge-hub/evidence-reviews/2023-pdfs/2023-people-managers-scientific-summary-8431.pdf" TargetMode="External"/><Relationship Id="rId17" Type="http://schemas.openxmlformats.org/officeDocument/2006/relationships/hyperlink" Target="https://www.hracuity.com/blog/employee-relations-technology-what-is-it/" TargetMode="External"/><Relationship Id="rId25" Type="http://schemas.openxmlformats.org/officeDocument/2006/relationships/hyperlink" Target="https://www.skillcycle.com/blog/remote-team-building/" TargetMode="External"/><Relationship Id="rId2" Type="http://schemas.openxmlformats.org/officeDocument/2006/relationships/numbering" Target="numbering.xml"/><Relationship Id="rId16" Type="http://schemas.openxmlformats.org/officeDocument/2006/relationships/hyperlink" Target="https://www.goodemploymentcharter.co.uk/charter-characteristics/flexible-work/" TargetMode="External"/><Relationship Id="rId20" Type="http://schemas.openxmlformats.org/officeDocument/2006/relationships/hyperlink" Target="https://www.peoplemanagement.co.uk/article/1743839/why-walking-the-talk-is-key-to-being-a-good-manage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0021886319892685" TargetMode="External"/><Relationship Id="rId24" Type="http://schemas.openxmlformats.org/officeDocument/2006/relationships/hyperlink" Target="https://www.simplypsychology.org/herzbergs-two-factor-theory.html" TargetMode="External"/><Relationship Id="rId5" Type="http://schemas.openxmlformats.org/officeDocument/2006/relationships/webSettings" Target="webSettings.xml"/><Relationship Id="rId15" Type="http://schemas.openxmlformats.org/officeDocument/2006/relationships/hyperlink" Target="https://engageforsuccess.org/how-flexible-work-cultures-boost-employee-engagement/" TargetMode="External"/><Relationship Id="rId23" Type="http://schemas.openxmlformats.org/officeDocument/2006/relationships/hyperlink" Target="https://www.rsm.nl/discovery/2024/training-line-managers-in-hr-processes/" TargetMode="External"/><Relationship Id="rId28" Type="http://schemas.openxmlformats.org/officeDocument/2006/relationships/footer" Target="footer2.xml"/><Relationship Id="rId10" Type="http://schemas.openxmlformats.org/officeDocument/2006/relationships/hyperlink" Target="https://www.bcg.com/publications/2020/increasing-odds-of-success-in-digital-transformation" TargetMode="External"/><Relationship Id="rId19" Type="http://schemas.openxmlformats.org/officeDocument/2006/relationships/hyperlink" Target="https://www.kudo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q=https://www.strategy-business.com/article/Psychological-Safety" TargetMode="External"/><Relationship Id="rId22" Type="http://schemas.openxmlformats.org/officeDocument/2006/relationships/hyperlink" Target="https://www.rsiconcepts.com/blog/2024/02/performance-management-trends-in-the-digital-era/"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8DE84-FBE6-428C-8879-D5FB7014B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20</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Artjoms Tigunovs (2408073)</dc:creator>
  <cp:keywords/>
  <dc:description/>
  <cp:lastModifiedBy>Artjoms Tigunovs (2408073)</cp:lastModifiedBy>
  <cp:revision>12</cp:revision>
  <dcterms:created xsi:type="dcterms:W3CDTF">2025-12-23T11:53:00Z</dcterms:created>
  <dcterms:modified xsi:type="dcterms:W3CDTF">2025-12-23T12:53:00Z</dcterms:modified>
</cp:coreProperties>
</file>