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F9FF7B" w14:textId="77777777" w:rsidR="00AC113E" w:rsidRDefault="00AC113E" w:rsidP="00AC113E">
      <w:r>
        <w:t>Introduction and Background………………………………………………. 3</w:t>
      </w:r>
    </w:p>
    <w:p w14:paraId="5ACAF257" w14:textId="77777777" w:rsidR="00AC113E" w:rsidRDefault="00AC113E" w:rsidP="00AC113E">
      <w:r>
        <w:t>Discussion/Literature Review………………………………………………. 4</w:t>
      </w:r>
    </w:p>
    <w:p w14:paraId="36BFE7F8" w14:textId="77777777" w:rsidR="00AC113E" w:rsidRDefault="00AC113E" w:rsidP="00AC113E">
      <w:r>
        <w:t>Employee Engagement………………………………………………………… 4</w:t>
      </w:r>
    </w:p>
    <w:p w14:paraId="7B32F24D" w14:textId="77777777" w:rsidR="00AC113E" w:rsidRDefault="00AC113E" w:rsidP="00AC113E">
      <w:r>
        <w:t>Importance of Employee Engagement…………………………………… 5</w:t>
      </w:r>
    </w:p>
    <w:p w14:paraId="6C8672AD" w14:textId="77777777" w:rsidR="00AC113E" w:rsidRDefault="00AC113E" w:rsidP="00AC113E">
      <w:r>
        <w:t>Measuring Employee Engagement………………………………………… 6</w:t>
      </w:r>
    </w:p>
    <w:p w14:paraId="7CEA36AD" w14:textId="77777777" w:rsidR="00AC113E" w:rsidRDefault="00AC113E" w:rsidP="00AC113E">
      <w:r>
        <w:t>Value of Measuring Employee Engagement for Hotel……………... 7</w:t>
      </w:r>
    </w:p>
    <w:p w14:paraId="2DDF522B" w14:textId="40409757" w:rsidR="00AC113E" w:rsidRDefault="00AC113E" w:rsidP="00AC113E">
      <w:pPr>
        <w:jc w:val="both"/>
        <w:rPr>
          <w:rFonts w:ascii="Arial" w:eastAsia="Arial" w:hAnsi="Arial" w:cs="Arial"/>
        </w:rPr>
      </w:pPr>
      <w:r>
        <w:t>Summary and Evaluation……………………………………………………...</w:t>
      </w:r>
    </w:p>
    <w:p w14:paraId="5B97F5EA" w14:textId="77777777" w:rsidR="00AC113E" w:rsidRDefault="00AC113E" w:rsidP="00AC113E">
      <w:pPr>
        <w:jc w:val="both"/>
        <w:rPr>
          <w:rFonts w:ascii="Arial" w:eastAsia="Arial" w:hAnsi="Arial" w:cs="Arial"/>
        </w:rPr>
      </w:pPr>
    </w:p>
    <w:p w14:paraId="005BD4A9" w14:textId="77777777" w:rsidR="00AC113E" w:rsidRDefault="00AC113E" w:rsidP="00AC113E">
      <w:pPr>
        <w:jc w:val="both"/>
        <w:rPr>
          <w:rFonts w:ascii="Arial" w:eastAsia="Arial" w:hAnsi="Arial" w:cs="Arial"/>
        </w:rPr>
      </w:pPr>
    </w:p>
    <w:p w14:paraId="422A6982" w14:textId="6FC1FEE0" w:rsidR="00AC113E" w:rsidRDefault="00AC113E" w:rsidP="00AC113E">
      <w:pPr>
        <w:jc w:val="both"/>
        <w:rPr>
          <w:rFonts w:ascii="Arial" w:eastAsia="Arial" w:hAnsi="Arial" w:cs="Arial"/>
        </w:rPr>
      </w:pPr>
      <w:r w:rsidRPr="136B9866">
        <w:rPr>
          <w:rFonts w:ascii="Arial" w:eastAsia="Arial" w:hAnsi="Arial" w:cs="Arial"/>
        </w:rPr>
        <w:t>References</w:t>
      </w:r>
    </w:p>
    <w:p w14:paraId="701E8A06" w14:textId="77777777" w:rsidR="00AC113E" w:rsidRDefault="00AC113E" w:rsidP="00AC113E">
      <w:pPr>
        <w:pStyle w:val="ListParagraph"/>
        <w:numPr>
          <w:ilvl w:val="0"/>
          <w:numId w:val="1"/>
        </w:numPr>
        <w:jc w:val="both"/>
        <w:rPr>
          <w:rFonts w:ascii="Arial" w:eastAsia="Arial" w:hAnsi="Arial" w:cs="Arial"/>
          <w:sz w:val="24"/>
          <w:szCs w:val="24"/>
        </w:rPr>
      </w:pPr>
      <w:r w:rsidRPr="136B9866">
        <w:rPr>
          <w:rFonts w:ascii="Arial" w:eastAsia="Arial" w:hAnsi="Arial" w:cs="Arial"/>
          <w:sz w:val="24"/>
          <w:szCs w:val="24"/>
        </w:rPr>
        <w:t>Armstrong, M 2000, ‗Understanding Training ‘, Human Resource Management Practice.8 the Edition. Kogan page limited, London. pp: 543</w:t>
      </w:r>
    </w:p>
    <w:p w14:paraId="5EA1F44D" w14:textId="77777777" w:rsidR="00AC113E" w:rsidRPr="00145CBD" w:rsidRDefault="00AC113E" w:rsidP="00AC113E">
      <w:pPr>
        <w:pStyle w:val="ListParagraph"/>
        <w:numPr>
          <w:ilvl w:val="0"/>
          <w:numId w:val="1"/>
        </w:numPr>
        <w:jc w:val="both"/>
        <w:rPr>
          <w:rFonts w:ascii="Arial" w:eastAsia="Arial" w:hAnsi="Arial" w:cs="Arial"/>
          <w:sz w:val="24"/>
          <w:szCs w:val="24"/>
        </w:rPr>
      </w:pPr>
      <w:r w:rsidRPr="5231A8CD">
        <w:rPr>
          <w:rFonts w:ascii="Arial" w:eastAsia="Arial" w:hAnsi="Arial" w:cs="Arial"/>
          <w:sz w:val="24"/>
          <w:szCs w:val="24"/>
        </w:rPr>
        <w:t xml:space="preserve">Wu, </w:t>
      </w:r>
      <w:proofErr w:type="spellStart"/>
      <w:r w:rsidRPr="5231A8CD">
        <w:rPr>
          <w:rFonts w:ascii="Arial" w:eastAsia="Arial" w:hAnsi="Arial" w:cs="Arial"/>
          <w:sz w:val="24"/>
          <w:szCs w:val="24"/>
        </w:rPr>
        <w:t>Peiying</w:t>
      </w:r>
      <w:proofErr w:type="spellEnd"/>
      <w:r w:rsidRPr="5231A8CD">
        <w:rPr>
          <w:rFonts w:ascii="Arial" w:eastAsia="Arial" w:hAnsi="Arial" w:cs="Arial"/>
          <w:sz w:val="24"/>
          <w:szCs w:val="24"/>
        </w:rPr>
        <w:t xml:space="preserve"> et, el, 2021.Research on the Work Engagement of Hospitality Industry Staff from the Perspective of Tourism Management Informatization,</w:t>
      </w:r>
    </w:p>
    <w:p w14:paraId="06260C03" w14:textId="77777777" w:rsidR="00AC113E" w:rsidRDefault="00AC113E" w:rsidP="00AC113E">
      <w:pPr>
        <w:jc w:val="both"/>
        <w:rPr>
          <w:rFonts w:ascii="Arial" w:eastAsia="Arial" w:hAnsi="Arial" w:cs="Arial"/>
          <w:sz w:val="24"/>
          <w:szCs w:val="24"/>
        </w:rPr>
      </w:pPr>
      <w:r w:rsidRPr="5231A8CD">
        <w:rPr>
          <w:rFonts w:ascii="Arial" w:eastAsia="Arial" w:hAnsi="Arial" w:cs="Arial"/>
          <w:sz w:val="24"/>
          <w:szCs w:val="24"/>
        </w:rPr>
        <w:t xml:space="preserve">            E3S Web of Conferences, 2021, Vol.233, p.01166</w:t>
      </w:r>
    </w:p>
    <w:p w14:paraId="7CA780FD" w14:textId="77777777" w:rsidR="00AC113E" w:rsidRDefault="00AC113E" w:rsidP="00AC113E">
      <w:pPr>
        <w:pStyle w:val="ListParagraph"/>
        <w:numPr>
          <w:ilvl w:val="0"/>
          <w:numId w:val="1"/>
        </w:numPr>
        <w:jc w:val="both"/>
        <w:rPr>
          <w:rFonts w:ascii="Arial" w:eastAsia="Arial" w:hAnsi="Arial" w:cs="Arial"/>
        </w:rPr>
      </w:pPr>
      <w:r w:rsidRPr="136B9866">
        <w:rPr>
          <w:rFonts w:ascii="Arial" w:eastAsia="Arial" w:hAnsi="Arial" w:cs="Arial"/>
        </w:rPr>
        <w:t>Robbins T L, Summers T P, Miller J L, et al. Short Research Note: Using the group-value model to explain the role of non-instrumental justice in distinguishing the effects of distributive and procedural justice[J]. Journal of Occupational &amp; Organizational Psychology, 2000, 73(73):511-518</w:t>
      </w:r>
    </w:p>
    <w:p w14:paraId="410C6910" w14:textId="77777777" w:rsidR="00AC113E" w:rsidRDefault="00AC113E" w:rsidP="00AC113E">
      <w:pPr>
        <w:pStyle w:val="ListParagraph"/>
        <w:numPr>
          <w:ilvl w:val="0"/>
          <w:numId w:val="1"/>
        </w:numPr>
        <w:jc w:val="both"/>
        <w:rPr>
          <w:rFonts w:ascii="Arial" w:eastAsia="Arial" w:hAnsi="Arial" w:cs="Arial"/>
        </w:rPr>
      </w:pPr>
      <w:hyperlink r:id="rId5" w:anchor="_ftn1">
        <w:r w:rsidRPr="136B9866">
          <w:rPr>
            <w:rStyle w:val="Hyperlink"/>
            <w:rFonts w:ascii="Arial" w:eastAsia="Arial" w:hAnsi="Arial" w:cs="Arial"/>
          </w:rPr>
          <w:t>https://aon.mediaroom.com/news-releases?item=137558#_ftn1</w:t>
        </w:r>
      </w:hyperlink>
    </w:p>
    <w:p w14:paraId="14276E18" w14:textId="77777777" w:rsidR="00AC113E" w:rsidRDefault="00AC113E" w:rsidP="00AC113E">
      <w:pPr>
        <w:jc w:val="both"/>
        <w:rPr>
          <w:rFonts w:ascii="Arial" w:eastAsia="Arial" w:hAnsi="Arial" w:cs="Arial"/>
        </w:rPr>
      </w:pPr>
    </w:p>
    <w:p w14:paraId="47B75C0B" w14:textId="77777777" w:rsidR="00AC113E" w:rsidRDefault="00AC113E" w:rsidP="00AC113E">
      <w:pPr>
        <w:pStyle w:val="ListParagraph"/>
        <w:numPr>
          <w:ilvl w:val="0"/>
          <w:numId w:val="1"/>
        </w:numPr>
        <w:jc w:val="both"/>
        <w:rPr>
          <w:rFonts w:ascii="Arial" w:eastAsia="Arial" w:hAnsi="Arial" w:cs="Arial"/>
        </w:rPr>
      </w:pPr>
      <w:r w:rsidRPr="136B9866">
        <w:rPr>
          <w:rFonts w:ascii="Arial" w:eastAsia="Arial" w:hAnsi="Arial" w:cs="Arial"/>
        </w:rPr>
        <w:t>Strom D L, Sears K L, Kelly K M. Work Engagement: The Roles of Organizational Justice and Leadership Style in Predicting Engagement Among Employees[J]. Journal of Leadership &amp; Organizational Studies, 2014, 21(1):71-82.</w:t>
      </w:r>
    </w:p>
    <w:p w14:paraId="6052FD38" w14:textId="77777777" w:rsidR="00AC113E" w:rsidRDefault="00AC113E" w:rsidP="00AC113E">
      <w:pPr>
        <w:pStyle w:val="ListParagraph"/>
        <w:numPr>
          <w:ilvl w:val="0"/>
          <w:numId w:val="1"/>
        </w:numPr>
        <w:jc w:val="both"/>
        <w:rPr>
          <w:rFonts w:ascii="Arial" w:eastAsia="Arial" w:hAnsi="Arial" w:cs="Arial"/>
        </w:rPr>
      </w:pPr>
      <w:r w:rsidRPr="5231A8CD">
        <w:rPr>
          <w:rFonts w:ascii="Arial" w:eastAsia="Arial" w:hAnsi="Arial" w:cs="Arial"/>
        </w:rPr>
        <w:t xml:space="preserve"> Magner N, Staley A B. Roles of Instrumental and No instrumental Voice </w:t>
      </w:r>
      <w:proofErr w:type="gramStart"/>
      <w:r w:rsidRPr="5231A8CD">
        <w:rPr>
          <w:rFonts w:ascii="Arial" w:eastAsia="Arial" w:hAnsi="Arial" w:cs="Arial"/>
        </w:rPr>
        <w:t>In</w:t>
      </w:r>
      <w:proofErr w:type="gramEnd"/>
      <w:r w:rsidRPr="5231A8CD">
        <w:rPr>
          <w:rFonts w:ascii="Arial" w:eastAsia="Arial" w:hAnsi="Arial" w:cs="Arial"/>
        </w:rPr>
        <w:t xml:space="preserve"> Members' Reactions E3S Web of Conferences 233, 01166 (2021) IAECST 2020 https://doi.org/10.1051/e3sconf/202123301166 4 Toward Interorganizational Committees[J]. International Journal of Organization Theory &amp; Behaviour (</w:t>
      </w:r>
      <w:proofErr w:type="spellStart"/>
      <w:r w:rsidRPr="5231A8CD">
        <w:rPr>
          <w:rFonts w:ascii="Arial" w:eastAsia="Arial" w:hAnsi="Arial" w:cs="Arial"/>
        </w:rPr>
        <w:t>Pracade</w:t>
      </w:r>
      <w:proofErr w:type="spellEnd"/>
      <w:r w:rsidRPr="5231A8CD">
        <w:rPr>
          <w:rFonts w:ascii="Arial" w:eastAsia="Arial" w:hAnsi="Arial" w:cs="Arial"/>
        </w:rPr>
        <w:t>), 2014:311-334.</w:t>
      </w:r>
    </w:p>
    <w:p w14:paraId="6AC92468" w14:textId="77777777" w:rsidR="00AC113E" w:rsidRDefault="00AC113E" w:rsidP="00AC113E">
      <w:pPr>
        <w:pStyle w:val="ListParagraph"/>
        <w:numPr>
          <w:ilvl w:val="0"/>
          <w:numId w:val="1"/>
        </w:numPr>
        <w:jc w:val="both"/>
        <w:rPr>
          <w:rFonts w:ascii="Arial" w:eastAsia="Arial" w:hAnsi="Arial" w:cs="Arial"/>
        </w:rPr>
      </w:pPr>
      <w:proofErr w:type="spellStart"/>
      <w:r w:rsidRPr="5231A8CD">
        <w:rPr>
          <w:rFonts w:ascii="Arial" w:eastAsia="Arial" w:hAnsi="Arial" w:cs="Arial"/>
        </w:rPr>
        <w:t>Tongchaiprasit</w:t>
      </w:r>
      <w:proofErr w:type="spellEnd"/>
      <w:r w:rsidRPr="5231A8CD">
        <w:rPr>
          <w:rFonts w:ascii="Arial" w:eastAsia="Arial" w:hAnsi="Arial" w:cs="Arial"/>
        </w:rPr>
        <w:t xml:space="preserve">, P. and </w:t>
      </w:r>
      <w:proofErr w:type="spellStart"/>
      <w:r w:rsidRPr="5231A8CD">
        <w:rPr>
          <w:rFonts w:ascii="Arial" w:eastAsia="Arial" w:hAnsi="Arial" w:cs="Arial"/>
        </w:rPr>
        <w:t>Ariyabuddhiphongs</w:t>
      </w:r>
      <w:proofErr w:type="spellEnd"/>
      <w:r w:rsidRPr="5231A8CD">
        <w:rPr>
          <w:rFonts w:ascii="Arial" w:eastAsia="Arial" w:hAnsi="Arial" w:cs="Arial"/>
        </w:rPr>
        <w:t>, V. (2016), “Creativity and turnover intention among hotel chefs: the mediating effects of job satisfaction and job stress”, International Journal of Hospitality Management, Vol. 55, pp. 33-40.</w:t>
      </w:r>
    </w:p>
    <w:p w14:paraId="4186AC88" w14:textId="77777777" w:rsidR="00AC113E" w:rsidRDefault="00AC113E" w:rsidP="00AC113E">
      <w:pPr>
        <w:pStyle w:val="ListParagraph"/>
        <w:numPr>
          <w:ilvl w:val="0"/>
          <w:numId w:val="1"/>
        </w:numPr>
        <w:jc w:val="both"/>
        <w:rPr>
          <w:rFonts w:ascii="Arial" w:eastAsia="Arial" w:hAnsi="Arial" w:cs="Arial"/>
        </w:rPr>
      </w:pPr>
      <w:proofErr w:type="spellStart"/>
      <w:r w:rsidRPr="5231A8CD">
        <w:rPr>
          <w:rFonts w:ascii="Arial" w:eastAsia="Arial" w:hAnsi="Arial" w:cs="Arial"/>
        </w:rPr>
        <w:t>Blau</w:t>
      </w:r>
      <w:proofErr w:type="spellEnd"/>
      <w:r w:rsidRPr="5231A8CD">
        <w:rPr>
          <w:rFonts w:ascii="Arial" w:eastAsia="Arial" w:hAnsi="Arial" w:cs="Arial"/>
        </w:rPr>
        <w:t>, P.M. (1964), Exchange and Power in Social Life, Transaction Publishers.</w:t>
      </w:r>
    </w:p>
    <w:p w14:paraId="6695B5E5" w14:textId="77777777" w:rsidR="00AC113E" w:rsidRDefault="00AC113E" w:rsidP="00AC113E">
      <w:pPr>
        <w:pStyle w:val="ListParagraph"/>
        <w:numPr>
          <w:ilvl w:val="0"/>
          <w:numId w:val="1"/>
        </w:numPr>
        <w:jc w:val="both"/>
        <w:rPr>
          <w:rFonts w:ascii="Arial" w:eastAsia="Arial" w:hAnsi="Arial" w:cs="Arial"/>
        </w:rPr>
      </w:pPr>
      <w:proofErr w:type="spellStart"/>
      <w:r w:rsidRPr="5231A8CD">
        <w:rPr>
          <w:rFonts w:ascii="Arial" w:eastAsia="Arial" w:hAnsi="Arial" w:cs="Arial"/>
        </w:rPr>
        <w:t>Alfes</w:t>
      </w:r>
      <w:proofErr w:type="spellEnd"/>
      <w:r w:rsidRPr="5231A8CD">
        <w:rPr>
          <w:rFonts w:ascii="Arial" w:eastAsia="Arial" w:hAnsi="Arial" w:cs="Arial"/>
        </w:rPr>
        <w:t>, K., Shantz, A., Truss, C. and Soane, E. (2013), “The link between perceived human resource management practices, engagement and employee behaviour: a moderated mediation model”, The International Journal of Human Resource Management, Vol. 24 No. 2, pp. 330-351.</w:t>
      </w:r>
    </w:p>
    <w:p w14:paraId="186FFFE4" w14:textId="77777777" w:rsidR="00AC113E" w:rsidRPr="00D5553B" w:rsidRDefault="00AC113E" w:rsidP="00AC113E">
      <w:pPr>
        <w:pStyle w:val="ListParagraph"/>
        <w:numPr>
          <w:ilvl w:val="0"/>
          <w:numId w:val="1"/>
        </w:numPr>
        <w:jc w:val="both"/>
        <w:rPr>
          <w:rFonts w:ascii="Arial" w:eastAsia="Arial" w:hAnsi="Arial" w:cs="Arial"/>
          <w:sz w:val="24"/>
          <w:szCs w:val="24"/>
        </w:rPr>
      </w:pPr>
      <w:proofErr w:type="gramStart"/>
      <w:r w:rsidRPr="5231A8CD">
        <w:rPr>
          <w:rFonts w:ascii="Arial" w:eastAsia="Arial" w:hAnsi="Arial" w:cs="Arial"/>
          <w:sz w:val="24"/>
          <w:szCs w:val="24"/>
        </w:rPr>
        <w:t>Javier,F</w:t>
      </w:r>
      <w:proofErr w:type="gramEnd"/>
      <w:r w:rsidRPr="5231A8CD">
        <w:rPr>
          <w:rFonts w:ascii="Arial" w:eastAsia="Arial" w:hAnsi="Arial" w:cs="Arial"/>
          <w:sz w:val="24"/>
          <w:szCs w:val="24"/>
        </w:rPr>
        <w:t xml:space="preserve">,Huertas-Valdivia,rene;Llorens-Montes,Ruiz-Moreno,Antonia     Bradford: </w:t>
      </w:r>
      <w:proofErr w:type="spellStart"/>
      <w:r w:rsidRPr="5231A8CD">
        <w:rPr>
          <w:rFonts w:ascii="Arial" w:eastAsia="Arial" w:hAnsi="Arial" w:cs="Arial"/>
          <w:sz w:val="24"/>
          <w:szCs w:val="24"/>
        </w:rPr>
        <w:t>EmeraldPublishinzLimitedInternationaljournalof</w:t>
      </w:r>
      <w:proofErr w:type="spellEnd"/>
      <w:r w:rsidRPr="5231A8CD">
        <w:rPr>
          <w:rFonts w:ascii="Arial" w:eastAsia="Arial" w:hAnsi="Arial" w:cs="Arial"/>
          <w:sz w:val="24"/>
          <w:szCs w:val="24"/>
        </w:rPr>
        <w:t xml:space="preserve">                  contemporary hospitality management, 2018, Vol.30 (1), p.217-241</w:t>
      </w:r>
    </w:p>
    <w:p w14:paraId="1BB87E4F" w14:textId="77777777" w:rsidR="00AC113E" w:rsidRPr="00D5553B" w:rsidRDefault="00AC113E" w:rsidP="00AC113E">
      <w:pPr>
        <w:pStyle w:val="ListParagraph"/>
        <w:numPr>
          <w:ilvl w:val="0"/>
          <w:numId w:val="1"/>
        </w:numPr>
        <w:jc w:val="both"/>
        <w:rPr>
          <w:rFonts w:eastAsiaTheme="minorEastAsia"/>
          <w:sz w:val="24"/>
          <w:szCs w:val="24"/>
        </w:rPr>
      </w:pPr>
      <w:r w:rsidRPr="5231A8CD">
        <w:rPr>
          <w:rFonts w:ascii="Arial" w:eastAsia="Arial" w:hAnsi="Arial" w:cs="Arial"/>
          <w:sz w:val="24"/>
          <w:szCs w:val="24"/>
        </w:rPr>
        <w:lastRenderedPageBreak/>
        <w:t xml:space="preserve">Magner N, Staley A B. Roles </w:t>
      </w:r>
      <w:proofErr w:type="gramStart"/>
      <w:r w:rsidRPr="5231A8CD">
        <w:rPr>
          <w:rFonts w:ascii="Arial" w:eastAsia="Arial" w:hAnsi="Arial" w:cs="Arial"/>
          <w:sz w:val="24"/>
          <w:szCs w:val="24"/>
        </w:rPr>
        <w:t>Of</w:t>
      </w:r>
      <w:proofErr w:type="gramEnd"/>
      <w:r w:rsidRPr="5231A8CD">
        <w:rPr>
          <w:rFonts w:ascii="Arial" w:eastAsia="Arial" w:hAnsi="Arial" w:cs="Arial"/>
          <w:sz w:val="24"/>
          <w:szCs w:val="24"/>
        </w:rPr>
        <w:t xml:space="preserve"> Instrumental And </w:t>
      </w:r>
      <w:proofErr w:type="spellStart"/>
      <w:r w:rsidRPr="5231A8CD">
        <w:rPr>
          <w:rFonts w:ascii="Arial" w:eastAsia="Arial" w:hAnsi="Arial" w:cs="Arial"/>
          <w:sz w:val="24"/>
          <w:szCs w:val="24"/>
        </w:rPr>
        <w:t>Noninstrumental</w:t>
      </w:r>
      <w:proofErr w:type="spellEnd"/>
      <w:r w:rsidRPr="5231A8CD">
        <w:rPr>
          <w:rFonts w:ascii="Arial" w:eastAsia="Arial" w:hAnsi="Arial" w:cs="Arial"/>
          <w:sz w:val="24"/>
          <w:szCs w:val="24"/>
        </w:rPr>
        <w:t xml:space="preserve"> Voice In Members' Reactions E3S Web of Conferences 233, 01166 (2021) IAECST 2020 https://doi.org/10.1051/e3sconf/202123301166 4 Toward Interorganizational Committees[J]. International Journal </w:t>
      </w:r>
      <w:proofErr w:type="gramStart"/>
      <w:r w:rsidRPr="5231A8CD">
        <w:rPr>
          <w:rFonts w:ascii="Arial" w:eastAsia="Arial" w:hAnsi="Arial" w:cs="Arial"/>
          <w:sz w:val="24"/>
          <w:szCs w:val="24"/>
        </w:rPr>
        <w:t>Of</w:t>
      </w:r>
      <w:proofErr w:type="gramEnd"/>
      <w:r w:rsidRPr="5231A8CD">
        <w:rPr>
          <w:rFonts w:ascii="Arial" w:eastAsia="Arial" w:hAnsi="Arial" w:cs="Arial"/>
          <w:sz w:val="24"/>
          <w:szCs w:val="24"/>
        </w:rPr>
        <w:t xml:space="preserve"> Organization Theory &amp; </w:t>
      </w:r>
      <w:proofErr w:type="spellStart"/>
      <w:r w:rsidRPr="5231A8CD">
        <w:rPr>
          <w:rFonts w:ascii="Arial" w:eastAsia="Arial" w:hAnsi="Arial" w:cs="Arial"/>
          <w:sz w:val="24"/>
          <w:szCs w:val="24"/>
        </w:rPr>
        <w:t>Behavior</w:t>
      </w:r>
      <w:proofErr w:type="spellEnd"/>
      <w:r w:rsidRPr="5231A8CD">
        <w:rPr>
          <w:rFonts w:ascii="Arial" w:eastAsia="Arial" w:hAnsi="Arial" w:cs="Arial"/>
          <w:sz w:val="24"/>
          <w:szCs w:val="24"/>
        </w:rPr>
        <w:t xml:space="preserve"> </w:t>
      </w:r>
      <w:r w:rsidRPr="5231A8CD">
        <w:rPr>
          <w:rFonts w:ascii="Arial" w:hAnsi="Arial" w:cs="Arial"/>
          <w:sz w:val="24"/>
          <w:szCs w:val="24"/>
        </w:rPr>
        <w:t>(</w:t>
      </w:r>
      <w:proofErr w:type="spellStart"/>
      <w:r w:rsidRPr="5231A8CD">
        <w:rPr>
          <w:rFonts w:ascii="Arial" w:hAnsi="Arial" w:cs="Arial"/>
          <w:sz w:val="24"/>
          <w:szCs w:val="24"/>
        </w:rPr>
        <w:t>Pracade</w:t>
      </w:r>
      <w:proofErr w:type="spellEnd"/>
      <w:r w:rsidRPr="5231A8CD">
        <w:rPr>
          <w:rFonts w:ascii="Arial" w:hAnsi="Arial" w:cs="Arial"/>
          <w:sz w:val="24"/>
          <w:szCs w:val="24"/>
        </w:rPr>
        <w:t>), 2014:311-334.</w:t>
      </w:r>
    </w:p>
    <w:p w14:paraId="0FD2642F" w14:textId="77777777" w:rsidR="00AC113E" w:rsidRPr="00D5553B" w:rsidRDefault="00AC113E" w:rsidP="00AC113E">
      <w:pPr>
        <w:pStyle w:val="ListParagraph"/>
        <w:numPr>
          <w:ilvl w:val="0"/>
          <w:numId w:val="1"/>
        </w:numPr>
        <w:jc w:val="both"/>
        <w:rPr>
          <w:rFonts w:eastAsiaTheme="minorEastAsia"/>
        </w:rPr>
      </w:pPr>
      <w:proofErr w:type="spellStart"/>
      <w:proofErr w:type="gramStart"/>
      <w:r w:rsidRPr="5231A8CD">
        <w:rPr>
          <w:rFonts w:ascii="Arial" w:hAnsi="Arial" w:cs="Arial"/>
          <w:sz w:val="24"/>
          <w:szCs w:val="24"/>
        </w:rPr>
        <w:t>Kumar,V</w:t>
      </w:r>
      <w:proofErr w:type="gramEnd"/>
      <w:r w:rsidRPr="5231A8CD">
        <w:rPr>
          <w:rFonts w:ascii="Arial" w:hAnsi="Arial" w:cs="Arial"/>
          <w:sz w:val="24"/>
          <w:szCs w:val="24"/>
        </w:rPr>
        <w:t>;Pansari,Anita</w:t>
      </w:r>
      <w:proofErr w:type="spellEnd"/>
      <w:r w:rsidRPr="5231A8CD">
        <w:rPr>
          <w:rFonts w:ascii="Arial" w:hAnsi="Arial" w:cs="Arial"/>
          <w:sz w:val="24"/>
          <w:szCs w:val="24"/>
        </w:rPr>
        <w:t>. </w:t>
      </w:r>
      <w:proofErr w:type="spellStart"/>
      <w:r>
        <w:t>MITSloan</w:t>
      </w:r>
      <w:proofErr w:type="spellEnd"/>
      <w:r>
        <w:t xml:space="preserve"> Management Review; Cambridge Vol. 56, </w:t>
      </w:r>
      <w:proofErr w:type="spellStart"/>
      <w:r>
        <w:t>Iss</w:t>
      </w:r>
      <w:proofErr w:type="spellEnd"/>
      <w:r>
        <w:t xml:space="preserve">. </w:t>
      </w:r>
      <w:proofErr w:type="gramStart"/>
      <w:r>
        <w:t>4,  (</w:t>
      </w:r>
      <w:proofErr w:type="gramEnd"/>
      <w:r>
        <w:t>Summer 2015): 67-72.</w:t>
      </w:r>
    </w:p>
    <w:p w14:paraId="155A1D7E" w14:textId="77777777" w:rsidR="00AC113E" w:rsidRPr="00D5553B" w:rsidRDefault="00AC113E" w:rsidP="00AC113E">
      <w:pPr>
        <w:pStyle w:val="ListParagraph"/>
        <w:numPr>
          <w:ilvl w:val="0"/>
          <w:numId w:val="1"/>
        </w:numPr>
        <w:jc w:val="both"/>
        <w:rPr>
          <w:rFonts w:eastAsiaTheme="minorEastAsia"/>
        </w:rPr>
      </w:pPr>
      <w:r w:rsidRPr="5231A8CD">
        <w:t>W.A. Kahn, “Psychological Conditions of Personal Engagement and Disengagement at Work,” Academy of Management Journal 33, no. 4 (December 1990): 692-724.</w:t>
      </w:r>
    </w:p>
    <w:p w14:paraId="3D2A2A03" w14:textId="77777777" w:rsidR="00AC113E" w:rsidRPr="00D5553B" w:rsidRDefault="00AC113E" w:rsidP="00AC113E">
      <w:pPr>
        <w:pStyle w:val="ListParagraph"/>
        <w:numPr>
          <w:ilvl w:val="0"/>
          <w:numId w:val="1"/>
        </w:numPr>
        <w:jc w:val="both"/>
        <w:rPr>
          <w:rFonts w:eastAsiaTheme="minorEastAsia"/>
          <w:sz w:val="24"/>
          <w:szCs w:val="24"/>
        </w:rPr>
      </w:pPr>
      <w:r w:rsidRPr="5231A8CD">
        <w:rPr>
          <w:rFonts w:ascii="Arial" w:hAnsi="Arial" w:cs="Arial"/>
          <w:sz w:val="24"/>
          <w:szCs w:val="24"/>
        </w:rPr>
        <w:t xml:space="preserve">Gable, S.A., </w:t>
      </w:r>
      <w:proofErr w:type="spellStart"/>
      <w:r w:rsidRPr="5231A8CD">
        <w:rPr>
          <w:rFonts w:ascii="Arial" w:hAnsi="Arial" w:cs="Arial"/>
          <w:sz w:val="24"/>
          <w:szCs w:val="24"/>
        </w:rPr>
        <w:t>Chyung</w:t>
      </w:r>
      <w:proofErr w:type="spellEnd"/>
      <w:r w:rsidRPr="5231A8CD">
        <w:rPr>
          <w:rFonts w:ascii="Arial" w:hAnsi="Arial" w:cs="Arial"/>
          <w:sz w:val="24"/>
          <w:szCs w:val="24"/>
        </w:rPr>
        <w:t xml:space="preserve">, S.Y. (Yonnie), Marker, A. and </w:t>
      </w:r>
      <w:proofErr w:type="spellStart"/>
      <w:r w:rsidRPr="5231A8CD">
        <w:rPr>
          <w:rFonts w:ascii="Arial" w:hAnsi="Arial" w:cs="Arial"/>
          <w:sz w:val="24"/>
          <w:szCs w:val="24"/>
        </w:rPr>
        <w:t>Winiecki</w:t>
      </w:r>
      <w:proofErr w:type="spellEnd"/>
      <w:r w:rsidRPr="5231A8CD">
        <w:rPr>
          <w:rFonts w:ascii="Arial" w:hAnsi="Arial" w:cs="Arial"/>
          <w:sz w:val="24"/>
          <w:szCs w:val="24"/>
        </w:rPr>
        <w:t>, D. (2010). How should organizational leaders use employee engagement survey data? Performance Improvement, 49(4), pp.17–25.</w:t>
      </w:r>
    </w:p>
    <w:p w14:paraId="25C46AAD" w14:textId="77777777" w:rsidR="00AC113E" w:rsidRDefault="00AC113E"/>
    <w:sectPr w:rsidR="00AC11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11ABFB"/>
    <w:multiLevelType w:val="hybridMultilevel"/>
    <w:tmpl w:val="F04C5A62"/>
    <w:lvl w:ilvl="0" w:tplc="C6425B48">
      <w:start w:val="1"/>
      <w:numFmt w:val="decimal"/>
      <w:lvlText w:val="%1."/>
      <w:lvlJc w:val="left"/>
      <w:pPr>
        <w:ind w:left="720" w:hanging="360"/>
      </w:pPr>
    </w:lvl>
    <w:lvl w:ilvl="1" w:tplc="384E620E">
      <w:start w:val="1"/>
      <w:numFmt w:val="lowerLetter"/>
      <w:lvlText w:val="%2."/>
      <w:lvlJc w:val="left"/>
      <w:pPr>
        <w:ind w:left="1440" w:hanging="360"/>
      </w:pPr>
    </w:lvl>
    <w:lvl w:ilvl="2" w:tplc="43E0758E">
      <w:start w:val="1"/>
      <w:numFmt w:val="lowerRoman"/>
      <w:lvlText w:val="%3."/>
      <w:lvlJc w:val="right"/>
      <w:pPr>
        <w:ind w:left="2160" w:hanging="180"/>
      </w:pPr>
    </w:lvl>
    <w:lvl w:ilvl="3" w:tplc="3C166DC4">
      <w:start w:val="1"/>
      <w:numFmt w:val="decimal"/>
      <w:lvlText w:val="%4."/>
      <w:lvlJc w:val="left"/>
      <w:pPr>
        <w:ind w:left="2880" w:hanging="360"/>
      </w:pPr>
    </w:lvl>
    <w:lvl w:ilvl="4" w:tplc="58BEC1D4">
      <w:start w:val="1"/>
      <w:numFmt w:val="lowerLetter"/>
      <w:lvlText w:val="%5."/>
      <w:lvlJc w:val="left"/>
      <w:pPr>
        <w:ind w:left="3600" w:hanging="360"/>
      </w:pPr>
    </w:lvl>
    <w:lvl w:ilvl="5" w:tplc="83F02CA6">
      <w:start w:val="1"/>
      <w:numFmt w:val="lowerRoman"/>
      <w:lvlText w:val="%6."/>
      <w:lvlJc w:val="right"/>
      <w:pPr>
        <w:ind w:left="4320" w:hanging="180"/>
      </w:pPr>
    </w:lvl>
    <w:lvl w:ilvl="6" w:tplc="3CE487F6">
      <w:start w:val="1"/>
      <w:numFmt w:val="decimal"/>
      <w:lvlText w:val="%7."/>
      <w:lvlJc w:val="left"/>
      <w:pPr>
        <w:ind w:left="5040" w:hanging="360"/>
      </w:pPr>
    </w:lvl>
    <w:lvl w:ilvl="7" w:tplc="730CF2B6">
      <w:start w:val="1"/>
      <w:numFmt w:val="lowerLetter"/>
      <w:lvlText w:val="%8."/>
      <w:lvlJc w:val="left"/>
      <w:pPr>
        <w:ind w:left="5760" w:hanging="360"/>
      </w:pPr>
    </w:lvl>
    <w:lvl w:ilvl="8" w:tplc="CAAEF5EC">
      <w:start w:val="1"/>
      <w:numFmt w:val="lowerRoman"/>
      <w:lvlText w:val="%9."/>
      <w:lvlJc w:val="right"/>
      <w:pPr>
        <w:ind w:left="6480" w:hanging="180"/>
      </w:pPr>
    </w:lvl>
  </w:abstractNum>
  <w:num w:numId="1" w16cid:durableId="36244048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113E"/>
    <w:rsid w:val="008A4DA5"/>
    <w:rsid w:val="00AC113E"/>
    <w:rsid w:val="00AD2E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59C245"/>
  <w15:chartTrackingRefBased/>
  <w15:docId w15:val="{028841AE-AFD8-4DD8-AA1E-1586B50AFE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C113E"/>
    <w:rPr>
      <w:rFonts w:eastAsiaTheme="minorHAnsi"/>
      <w:lang w:val="en-AU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C113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C113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aon.mediaroom.com/news-releases?item=137558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478</Words>
  <Characters>2731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Muhammad Ali (2021588)</dc:creator>
  <cp:keywords/>
  <dc:description/>
  <cp:lastModifiedBy>Muhammad Ali (2021588)</cp:lastModifiedBy>
  <cp:revision>2</cp:revision>
  <dcterms:created xsi:type="dcterms:W3CDTF">2022-07-14T23:18:00Z</dcterms:created>
  <dcterms:modified xsi:type="dcterms:W3CDTF">2022-07-14T23:39:00Z</dcterms:modified>
</cp:coreProperties>
</file>