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405"/>
        <w:gridCol w:w="6225"/>
      </w:tblGrid>
      <w:tr w:rsidR="00F21E38" w:rsidRPr="00F21E38" w14:paraId="4898C962" w14:textId="77777777" w:rsidTr="00F21E38">
        <w:tc>
          <w:tcPr>
            <w:tcW w:w="2405" w:type="dxa"/>
          </w:tcPr>
          <w:p w14:paraId="75201FCE" w14:textId="784CF89C" w:rsidR="00F21E38" w:rsidRPr="00F21E38" w:rsidRDefault="00F21E38" w:rsidP="00F21E38">
            <w:pPr>
              <w:spacing w:after="160" w:line="278" w:lineRule="auto"/>
              <w:jc w:val="center"/>
              <w:rPr>
                <w:rFonts w:ascii="Times New Roman" w:hAnsi="Times New Roman" w:cs="Times New Roman"/>
                <w:b/>
                <w:bCs/>
              </w:rPr>
            </w:pPr>
            <w:bookmarkStart w:id="0" w:name="_Toc223296191"/>
            <w:r w:rsidRPr="00F21E38">
              <w:rPr>
                <w:rFonts w:ascii="Times New Roman" w:hAnsi="Times New Roman" w:cs="Times New Roman"/>
                <w:b/>
                <w:bCs/>
              </w:rPr>
              <w:t>Student Name:</w:t>
            </w:r>
          </w:p>
        </w:tc>
        <w:tc>
          <w:tcPr>
            <w:tcW w:w="6225" w:type="dxa"/>
          </w:tcPr>
          <w:p w14:paraId="6C7110A7" w14:textId="7C555F7F" w:rsidR="00F21E38" w:rsidRPr="00F21E38" w:rsidRDefault="00F21E38" w:rsidP="00F21E38">
            <w:pPr>
              <w:spacing w:after="160" w:line="278" w:lineRule="auto"/>
              <w:jc w:val="center"/>
              <w:rPr>
                <w:rFonts w:ascii="Times New Roman" w:hAnsi="Times New Roman" w:cs="Times New Roman"/>
              </w:rPr>
            </w:pPr>
            <w:r w:rsidRPr="00F21E38">
              <w:rPr>
                <w:rFonts w:ascii="Times New Roman" w:hAnsi="Times New Roman" w:cs="Times New Roman"/>
              </w:rPr>
              <w:t>Ivan Tsvetkov</w:t>
            </w:r>
          </w:p>
        </w:tc>
      </w:tr>
      <w:tr w:rsidR="00F21E38" w:rsidRPr="00F21E38" w14:paraId="5372AB59" w14:textId="77777777" w:rsidTr="00F21E38">
        <w:tc>
          <w:tcPr>
            <w:tcW w:w="2405" w:type="dxa"/>
          </w:tcPr>
          <w:p w14:paraId="2872920A" w14:textId="2783CE85" w:rsidR="00F21E38" w:rsidRPr="00F21E38" w:rsidRDefault="00F21E38" w:rsidP="00F21E38">
            <w:pPr>
              <w:spacing w:after="160" w:line="278" w:lineRule="auto"/>
              <w:jc w:val="center"/>
              <w:rPr>
                <w:rFonts w:ascii="Times New Roman" w:hAnsi="Times New Roman" w:cs="Times New Roman"/>
                <w:b/>
                <w:bCs/>
              </w:rPr>
            </w:pPr>
            <w:r w:rsidRPr="00F21E38">
              <w:rPr>
                <w:rFonts w:ascii="Times New Roman" w:hAnsi="Times New Roman" w:cs="Times New Roman"/>
                <w:b/>
                <w:bCs/>
              </w:rPr>
              <w:t>Student ID:</w:t>
            </w:r>
          </w:p>
        </w:tc>
        <w:tc>
          <w:tcPr>
            <w:tcW w:w="6225" w:type="dxa"/>
          </w:tcPr>
          <w:p w14:paraId="4E595084" w14:textId="2C5CE653" w:rsidR="00F21E38" w:rsidRPr="00F21E38" w:rsidRDefault="00F21E38" w:rsidP="00F21E38">
            <w:pPr>
              <w:spacing w:after="160" w:line="278" w:lineRule="auto"/>
              <w:jc w:val="center"/>
              <w:rPr>
                <w:rFonts w:ascii="Times New Roman" w:hAnsi="Times New Roman" w:cs="Times New Roman"/>
              </w:rPr>
            </w:pPr>
            <w:r w:rsidRPr="00F21E38">
              <w:rPr>
                <w:rFonts w:ascii="Times New Roman" w:hAnsi="Times New Roman" w:cs="Times New Roman"/>
              </w:rPr>
              <w:t>2314195</w:t>
            </w:r>
          </w:p>
        </w:tc>
      </w:tr>
      <w:tr w:rsidR="00F21E38" w:rsidRPr="00F21E38" w14:paraId="04FF5B35" w14:textId="77777777" w:rsidTr="00F21E38">
        <w:tc>
          <w:tcPr>
            <w:tcW w:w="2405" w:type="dxa"/>
          </w:tcPr>
          <w:p w14:paraId="7124558A" w14:textId="78074F8B" w:rsidR="00F21E38" w:rsidRPr="00F21E38" w:rsidRDefault="00F21E38" w:rsidP="00F21E38">
            <w:pPr>
              <w:spacing w:after="160" w:line="278" w:lineRule="auto"/>
              <w:jc w:val="center"/>
              <w:rPr>
                <w:rFonts w:ascii="Times New Roman" w:hAnsi="Times New Roman" w:cs="Times New Roman"/>
                <w:b/>
                <w:bCs/>
              </w:rPr>
            </w:pPr>
            <w:r w:rsidRPr="00F21E38">
              <w:rPr>
                <w:rFonts w:ascii="Times New Roman" w:hAnsi="Times New Roman" w:cs="Times New Roman"/>
                <w:b/>
                <w:bCs/>
              </w:rPr>
              <w:t>Module:</w:t>
            </w:r>
          </w:p>
        </w:tc>
        <w:tc>
          <w:tcPr>
            <w:tcW w:w="6225" w:type="dxa"/>
          </w:tcPr>
          <w:p w14:paraId="19F271AB" w14:textId="158A8D03" w:rsidR="00F21E38" w:rsidRPr="00F21E38" w:rsidRDefault="00F21E38" w:rsidP="00F21E38">
            <w:pPr>
              <w:spacing w:after="160" w:line="278" w:lineRule="auto"/>
              <w:jc w:val="center"/>
              <w:rPr>
                <w:rFonts w:ascii="Times New Roman" w:hAnsi="Times New Roman" w:cs="Times New Roman"/>
              </w:rPr>
            </w:pPr>
            <w:r w:rsidRPr="00F21E38">
              <w:rPr>
                <w:rFonts w:ascii="Times New Roman" w:hAnsi="Times New Roman" w:cs="Times New Roman"/>
              </w:rPr>
              <w:t>Data Warehousing &amp; Data Mining</w:t>
            </w:r>
          </w:p>
        </w:tc>
      </w:tr>
      <w:tr w:rsidR="00F21E38" w:rsidRPr="00F21E38" w14:paraId="4F4617FD" w14:textId="77777777" w:rsidTr="00F21E38">
        <w:tc>
          <w:tcPr>
            <w:tcW w:w="2405" w:type="dxa"/>
          </w:tcPr>
          <w:p w14:paraId="535AA891" w14:textId="52E6C971" w:rsidR="00F21E38" w:rsidRPr="00F21E38" w:rsidRDefault="00F21E38" w:rsidP="00F21E38">
            <w:pPr>
              <w:spacing w:after="160" w:line="278" w:lineRule="auto"/>
              <w:jc w:val="center"/>
              <w:rPr>
                <w:rFonts w:ascii="Times New Roman" w:hAnsi="Times New Roman" w:cs="Times New Roman"/>
                <w:b/>
                <w:bCs/>
              </w:rPr>
            </w:pPr>
            <w:r w:rsidRPr="00F21E38">
              <w:rPr>
                <w:rFonts w:ascii="Times New Roman" w:hAnsi="Times New Roman" w:cs="Times New Roman"/>
                <w:b/>
                <w:bCs/>
              </w:rPr>
              <w:t>Module code:</w:t>
            </w:r>
          </w:p>
        </w:tc>
        <w:tc>
          <w:tcPr>
            <w:tcW w:w="6225" w:type="dxa"/>
          </w:tcPr>
          <w:p w14:paraId="580191E0" w14:textId="5D308346" w:rsidR="00F21E38" w:rsidRPr="00F21E38" w:rsidRDefault="00F21E38" w:rsidP="00F21E38">
            <w:pPr>
              <w:spacing w:after="160" w:line="278" w:lineRule="auto"/>
              <w:jc w:val="center"/>
              <w:rPr>
                <w:rFonts w:ascii="Times New Roman" w:hAnsi="Times New Roman" w:cs="Times New Roman"/>
              </w:rPr>
            </w:pPr>
            <w:r w:rsidRPr="00F21E38">
              <w:rPr>
                <w:rFonts w:ascii="Times New Roman" w:hAnsi="Times New Roman" w:cs="Times New Roman"/>
              </w:rPr>
              <w:t>ACCA6026</w:t>
            </w:r>
          </w:p>
        </w:tc>
      </w:tr>
      <w:tr w:rsidR="00F21E38" w:rsidRPr="00F21E38" w14:paraId="24E6BC11" w14:textId="77777777" w:rsidTr="00F21E38">
        <w:tc>
          <w:tcPr>
            <w:tcW w:w="2405" w:type="dxa"/>
          </w:tcPr>
          <w:p w14:paraId="4F13280A" w14:textId="1A1EB427" w:rsidR="00F21E38" w:rsidRPr="00F21E38" w:rsidRDefault="00F21E38" w:rsidP="00F21E38">
            <w:pPr>
              <w:spacing w:after="160" w:line="278" w:lineRule="auto"/>
              <w:jc w:val="center"/>
              <w:rPr>
                <w:rFonts w:ascii="Times New Roman" w:hAnsi="Times New Roman" w:cs="Times New Roman"/>
                <w:b/>
                <w:bCs/>
              </w:rPr>
            </w:pPr>
            <w:r w:rsidRPr="00F21E38">
              <w:rPr>
                <w:rFonts w:ascii="Times New Roman" w:hAnsi="Times New Roman" w:cs="Times New Roman"/>
                <w:b/>
                <w:bCs/>
              </w:rPr>
              <w:t>Submission deadline:</w:t>
            </w:r>
          </w:p>
        </w:tc>
        <w:tc>
          <w:tcPr>
            <w:tcW w:w="6225" w:type="dxa"/>
          </w:tcPr>
          <w:p w14:paraId="2CF3ED63" w14:textId="19EEFE83" w:rsidR="00F21E38" w:rsidRPr="00F21E38" w:rsidRDefault="00F21E38" w:rsidP="00F21E38">
            <w:pPr>
              <w:spacing w:after="160" w:line="278" w:lineRule="auto"/>
              <w:jc w:val="center"/>
              <w:rPr>
                <w:rFonts w:ascii="Times New Roman" w:hAnsi="Times New Roman" w:cs="Times New Roman"/>
                <w:lang w:val="en-GB"/>
              </w:rPr>
            </w:pPr>
            <w:r w:rsidRPr="00F21E38">
              <w:rPr>
                <w:rFonts w:ascii="Times New Roman" w:hAnsi="Times New Roman" w:cs="Times New Roman"/>
                <w:lang w:val="en-GB"/>
              </w:rPr>
              <w:t>4th March 2026</w:t>
            </w:r>
            <w:r w:rsidRPr="00F21E38">
              <w:rPr>
                <w:rFonts w:ascii="Times New Roman" w:hAnsi="Times New Roman" w:cs="Times New Roman"/>
                <w:lang w:val="en-GB"/>
              </w:rPr>
              <w:t xml:space="preserve"> </w:t>
            </w:r>
            <w:r w:rsidRPr="00F21E38">
              <w:rPr>
                <w:rFonts w:ascii="Times New Roman" w:hAnsi="Times New Roman" w:cs="Times New Roman"/>
                <w:lang w:val="en-GB"/>
              </w:rPr>
              <w:t>14:00</w:t>
            </w:r>
          </w:p>
        </w:tc>
      </w:tr>
    </w:tbl>
    <w:p w14:paraId="42F7BD21" w14:textId="77777777" w:rsidR="00F21E38" w:rsidRPr="00F21E38" w:rsidRDefault="00EE2C1E" w:rsidP="00B33F2E">
      <w:pPr>
        <w:spacing w:after="160" w:line="278" w:lineRule="auto"/>
        <w:rPr>
          <w:rFonts w:ascii="Times New Roman" w:eastAsiaTheme="majorEastAsia" w:hAnsi="Times New Roman" w:cs="Times New Roman"/>
          <w:color w:val="0F4761" w:themeColor="accent1" w:themeShade="BF"/>
          <w:kern w:val="2"/>
          <w:sz w:val="40"/>
          <w:szCs w:val="40"/>
          <w:lang w:val="en-GB"/>
          <w14:ligatures w14:val="standardContextual"/>
        </w:rPr>
      </w:pPr>
      <w:r w:rsidRPr="00F21E38">
        <w:rPr>
          <w:rFonts w:ascii="Times New Roman" w:hAnsi="Times New Roman" w:cs="Times New Roman"/>
        </w:rPr>
        <w:br w:type="page"/>
      </w:r>
      <w:bookmarkEnd w:id="0"/>
    </w:p>
    <w:sdt>
      <w:sdtPr>
        <w:rPr>
          <w:rFonts w:ascii="Times New Roman" w:hAnsi="Times New Roman" w:cs="Times New Roman"/>
        </w:rPr>
        <w:id w:val="345144864"/>
        <w:docPartObj>
          <w:docPartGallery w:val="Table of Contents"/>
          <w:docPartUnique/>
        </w:docPartObj>
      </w:sdtPr>
      <w:sdtEndPr>
        <w:rPr>
          <w:rFonts w:eastAsiaTheme="minorEastAsia"/>
          <w:noProof/>
          <w:color w:val="auto"/>
          <w:sz w:val="22"/>
          <w:szCs w:val="22"/>
        </w:rPr>
      </w:sdtEndPr>
      <w:sdtContent>
        <w:p w14:paraId="351F719B" w14:textId="77E43EC8" w:rsidR="00F21E38" w:rsidRPr="00F21E38" w:rsidRDefault="00F21E38">
          <w:pPr>
            <w:pStyle w:val="TOCHeading"/>
            <w:rPr>
              <w:rFonts w:ascii="Times New Roman" w:hAnsi="Times New Roman" w:cs="Times New Roman"/>
            </w:rPr>
          </w:pPr>
          <w:r w:rsidRPr="00F21E38">
            <w:rPr>
              <w:rFonts w:ascii="Times New Roman" w:hAnsi="Times New Roman" w:cs="Times New Roman"/>
            </w:rPr>
            <w:t>Contents</w:t>
          </w:r>
        </w:p>
        <w:p w14:paraId="1F1A5804" w14:textId="7B8118E9" w:rsidR="00F21E38" w:rsidRPr="00F21E38" w:rsidRDefault="00F21E38">
          <w:pPr>
            <w:pStyle w:val="TOC2"/>
            <w:tabs>
              <w:tab w:val="right" w:leader="dot" w:pos="8630"/>
            </w:tabs>
            <w:rPr>
              <w:rFonts w:ascii="Times New Roman" w:hAnsi="Times New Roman" w:cs="Times New Roman"/>
              <w:noProof/>
              <w:kern w:val="2"/>
              <w:sz w:val="24"/>
              <w:szCs w:val="24"/>
              <w:lang w:val="en-GB" w:eastAsia="en-GB"/>
              <w14:ligatures w14:val="standardContextual"/>
            </w:rPr>
          </w:pPr>
          <w:r w:rsidRPr="00F21E38">
            <w:rPr>
              <w:rFonts w:ascii="Times New Roman" w:hAnsi="Times New Roman" w:cs="Times New Roman"/>
            </w:rPr>
            <w:fldChar w:fldCharType="begin"/>
          </w:r>
          <w:r w:rsidRPr="00F21E38">
            <w:rPr>
              <w:rFonts w:ascii="Times New Roman" w:hAnsi="Times New Roman" w:cs="Times New Roman"/>
            </w:rPr>
            <w:instrText xml:space="preserve"> TOC \o "1-3" \h \z \u </w:instrText>
          </w:r>
          <w:r w:rsidRPr="00F21E38">
            <w:rPr>
              <w:rFonts w:ascii="Times New Roman" w:hAnsi="Times New Roman" w:cs="Times New Roman"/>
            </w:rPr>
            <w:fldChar w:fldCharType="separate"/>
          </w:r>
          <w:hyperlink w:anchor="_Toc223399782" w:history="1">
            <w:r w:rsidRPr="00F21E38">
              <w:rPr>
                <w:rStyle w:val="Hyperlink"/>
                <w:rFonts w:ascii="Times New Roman" w:hAnsi="Times New Roman" w:cs="Times New Roman"/>
                <w:noProof/>
              </w:rPr>
              <w:t>Introduction</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_Toc223399782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2</w:t>
            </w:r>
            <w:r w:rsidRPr="00F21E38">
              <w:rPr>
                <w:rFonts w:ascii="Times New Roman" w:hAnsi="Times New Roman" w:cs="Times New Roman"/>
                <w:noProof/>
                <w:webHidden/>
              </w:rPr>
              <w:fldChar w:fldCharType="end"/>
            </w:r>
          </w:hyperlink>
        </w:p>
        <w:p w14:paraId="50AF5BA2" w14:textId="494DDA98" w:rsidR="00F21E38" w:rsidRPr="00F21E38" w:rsidRDefault="00F21E38">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23399783" w:history="1">
            <w:r w:rsidRPr="00F21E38">
              <w:rPr>
                <w:rStyle w:val="Hyperlink"/>
                <w:rFonts w:ascii="Times New Roman" w:hAnsi="Times New Roman" w:cs="Times New Roman"/>
                <w:noProof/>
              </w:rPr>
              <w:t>Task 1</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_Toc223399783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2</w:t>
            </w:r>
            <w:r w:rsidRPr="00F21E38">
              <w:rPr>
                <w:rFonts w:ascii="Times New Roman" w:hAnsi="Times New Roman" w:cs="Times New Roman"/>
                <w:noProof/>
                <w:webHidden/>
              </w:rPr>
              <w:fldChar w:fldCharType="end"/>
            </w:r>
          </w:hyperlink>
        </w:p>
        <w:p w14:paraId="725B28F2" w14:textId="6E719E32"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84" w:history="1">
            <w:r w:rsidRPr="00F21E38">
              <w:rPr>
                <w:rStyle w:val="Hyperlink"/>
                <w:rFonts w:ascii="Times New Roman" w:hAnsi="Times New Roman" w:cs="Times New Roman"/>
                <w:noProof/>
              </w:rPr>
              <w:t>1.1 OLTP vs. Data Warehouse</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_Toc223399784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2</w:t>
            </w:r>
            <w:r w:rsidRPr="00F21E38">
              <w:rPr>
                <w:rFonts w:ascii="Times New Roman" w:hAnsi="Times New Roman" w:cs="Times New Roman"/>
                <w:noProof/>
                <w:webHidden/>
              </w:rPr>
              <w:fldChar w:fldCharType="end"/>
            </w:r>
          </w:hyperlink>
        </w:p>
        <w:p w14:paraId="2E3EB69D" w14:textId="77525983"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85" w:history="1">
            <w:r w:rsidRPr="00F21E38">
              <w:rPr>
                <w:rStyle w:val="Hyperlink"/>
                <w:rFonts w:ascii="Times New Roman" w:hAnsi="Times New Roman" w:cs="Times New Roman"/>
                <w:noProof/>
              </w:rPr>
              <w:t>1.2 Data Warehouse Architecture &amp; ETL</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_Toc223399785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4</w:t>
            </w:r>
            <w:r w:rsidRPr="00F21E38">
              <w:rPr>
                <w:rFonts w:ascii="Times New Roman" w:hAnsi="Times New Roman" w:cs="Times New Roman"/>
                <w:noProof/>
                <w:webHidden/>
              </w:rPr>
              <w:fldChar w:fldCharType="end"/>
            </w:r>
          </w:hyperlink>
        </w:p>
        <w:p w14:paraId="36F071B0" w14:textId="2C51E939"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86" w:history="1">
            <w:r w:rsidRPr="00F21E38">
              <w:rPr>
                <w:rStyle w:val="Hyperlink"/>
                <w:rFonts w:ascii="Times New Roman" w:hAnsi="Times New Roman" w:cs="Times New Roman"/>
                <w:noProof/>
              </w:rPr>
              <w:t>1.3 Data Marts for Management Decision-Making</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_Toc223399786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6</w:t>
            </w:r>
            <w:r w:rsidRPr="00F21E38">
              <w:rPr>
                <w:rFonts w:ascii="Times New Roman" w:hAnsi="Times New Roman" w:cs="Times New Roman"/>
                <w:noProof/>
                <w:webHidden/>
              </w:rPr>
              <w:fldChar w:fldCharType="end"/>
            </w:r>
          </w:hyperlink>
        </w:p>
        <w:p w14:paraId="41463FCF" w14:textId="36E3E1C5"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87" w:history="1">
            <w:r w:rsidRPr="00F21E38">
              <w:rPr>
                <w:rStyle w:val="Hyperlink"/>
                <w:rFonts w:ascii="Times New Roman" w:hAnsi="Times New Roman" w:cs="Times New Roman"/>
                <w:noProof/>
              </w:rPr>
              <w:t>1.4 OLTP Normalisation vs. Dimensional Modelling</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_Toc223399787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7</w:t>
            </w:r>
            <w:r w:rsidRPr="00F21E38">
              <w:rPr>
                <w:rFonts w:ascii="Times New Roman" w:hAnsi="Times New Roman" w:cs="Times New Roman"/>
                <w:noProof/>
                <w:webHidden/>
              </w:rPr>
              <w:fldChar w:fldCharType="end"/>
            </w:r>
          </w:hyperlink>
        </w:p>
        <w:p w14:paraId="3F0ABDFE" w14:textId="78F6EFB3" w:rsidR="00F21E38" w:rsidRPr="00F21E38" w:rsidRDefault="00F21E38">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23399788" w:history="1">
            <w:r w:rsidRPr="00F21E38">
              <w:rPr>
                <w:rStyle w:val="Hyperlink"/>
                <w:rFonts w:ascii="Times New Roman" w:hAnsi="Times New Roman" w:cs="Times New Roman"/>
                <w:noProof/>
              </w:rPr>
              <w:t>Task 2</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_Toc223399788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8</w:t>
            </w:r>
            <w:r w:rsidRPr="00F21E38">
              <w:rPr>
                <w:rFonts w:ascii="Times New Roman" w:hAnsi="Times New Roman" w:cs="Times New Roman"/>
                <w:noProof/>
                <w:webHidden/>
              </w:rPr>
              <w:fldChar w:fldCharType="end"/>
            </w:r>
          </w:hyperlink>
        </w:p>
        <w:p w14:paraId="1A27924A" w14:textId="7A791FA9"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89" w:history="1">
            <w:r w:rsidRPr="00F21E38">
              <w:rPr>
                <w:rStyle w:val="Hyperlink"/>
                <w:rFonts w:ascii="Times New Roman" w:hAnsi="Times New Roman" w:cs="Times New Roman"/>
                <w:noProof/>
              </w:rPr>
              <w:t>2.1 Source System Identification</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_Toc223399789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8</w:t>
            </w:r>
            <w:r w:rsidRPr="00F21E38">
              <w:rPr>
                <w:rFonts w:ascii="Times New Roman" w:hAnsi="Times New Roman" w:cs="Times New Roman"/>
                <w:noProof/>
                <w:webHidden/>
              </w:rPr>
              <w:fldChar w:fldCharType="end"/>
            </w:r>
          </w:hyperlink>
        </w:p>
        <w:p w14:paraId="7B23F2A0" w14:textId="5A8A0981"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90" w:history="1">
            <w:r w:rsidRPr="00F21E38">
              <w:rPr>
                <w:rStyle w:val="Hyperlink"/>
                <w:rFonts w:ascii="Times New Roman" w:hAnsi="Times New Roman" w:cs="Times New Roman"/>
                <w:noProof/>
              </w:rPr>
              <w:t>2.2 Star Schema Design</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_Toc223399790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9</w:t>
            </w:r>
            <w:r w:rsidRPr="00F21E38">
              <w:rPr>
                <w:rFonts w:ascii="Times New Roman" w:hAnsi="Times New Roman" w:cs="Times New Roman"/>
                <w:noProof/>
                <w:webHidden/>
              </w:rPr>
              <w:fldChar w:fldCharType="end"/>
            </w:r>
          </w:hyperlink>
        </w:p>
        <w:p w14:paraId="2D1FEAD9" w14:textId="7298B339"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91" w:history="1">
            <w:r w:rsidRPr="00F21E38">
              <w:rPr>
                <w:rStyle w:val="Hyperlink"/>
                <w:rFonts w:ascii="Times New Roman" w:hAnsi="Times New Roman" w:cs="Times New Roman"/>
                <w:noProof/>
              </w:rPr>
              <w:t>2.3 Data Marts and Schema</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_Toc223399791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11</w:t>
            </w:r>
            <w:r w:rsidRPr="00F21E38">
              <w:rPr>
                <w:rFonts w:ascii="Times New Roman" w:hAnsi="Times New Roman" w:cs="Times New Roman"/>
                <w:noProof/>
                <w:webHidden/>
              </w:rPr>
              <w:fldChar w:fldCharType="end"/>
            </w:r>
          </w:hyperlink>
        </w:p>
        <w:p w14:paraId="3C815116" w14:textId="674B2C3C"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92" w:history="1">
            <w:r w:rsidRPr="00F21E38">
              <w:rPr>
                <w:rStyle w:val="Hyperlink"/>
                <w:rFonts w:ascii="Times New Roman" w:hAnsi="Times New Roman" w:cs="Times New Roman"/>
                <w:noProof/>
              </w:rPr>
              <w:t>2.4 ETL Plan</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_Toc223399792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12</w:t>
            </w:r>
            <w:r w:rsidRPr="00F21E38">
              <w:rPr>
                <w:rFonts w:ascii="Times New Roman" w:hAnsi="Times New Roman" w:cs="Times New Roman"/>
                <w:noProof/>
                <w:webHidden/>
              </w:rPr>
              <w:fldChar w:fldCharType="end"/>
            </w:r>
          </w:hyperlink>
        </w:p>
        <w:p w14:paraId="4810930E" w14:textId="2090A295"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93" w:history="1">
            <w:r w:rsidRPr="00F21E38">
              <w:rPr>
                <w:rStyle w:val="Hyperlink"/>
                <w:rFonts w:ascii="Times New Roman" w:hAnsi="Times New Roman" w:cs="Times New Roman"/>
                <w:noProof/>
              </w:rPr>
              <w:t>2.5 Data Quality &amp; Governance</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_Toc223399793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12</w:t>
            </w:r>
            <w:r w:rsidRPr="00F21E38">
              <w:rPr>
                <w:rFonts w:ascii="Times New Roman" w:hAnsi="Times New Roman" w:cs="Times New Roman"/>
                <w:noProof/>
                <w:webHidden/>
              </w:rPr>
              <w:fldChar w:fldCharType="end"/>
            </w:r>
          </w:hyperlink>
        </w:p>
        <w:p w14:paraId="3EE666AA" w14:textId="64DF3D23" w:rsidR="00F21E38" w:rsidRPr="00F21E38" w:rsidRDefault="00F21E38">
          <w:pPr>
            <w:pStyle w:val="TOC3"/>
            <w:tabs>
              <w:tab w:val="right" w:leader="dot" w:pos="8630"/>
            </w:tabs>
            <w:rPr>
              <w:rFonts w:ascii="Times New Roman" w:hAnsi="Times New Roman" w:cs="Times New Roman"/>
              <w:noProof/>
              <w:kern w:val="2"/>
              <w:sz w:val="24"/>
              <w:szCs w:val="24"/>
              <w:lang w:val="en-GB" w:eastAsia="en-GB"/>
              <w14:ligatures w14:val="standardContextual"/>
            </w:rPr>
          </w:pPr>
          <w:hyperlink w:anchor="_Toc223399794" w:history="1">
            <w:r w:rsidRPr="00F21E38">
              <w:rPr>
                <w:rStyle w:val="Hyperlink"/>
                <w:rFonts w:ascii="Times New Roman" w:hAnsi="Times New Roman" w:cs="Times New Roman"/>
                <w:noProof/>
              </w:rPr>
              <w:t>Conclusion</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_Toc223399794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12</w:t>
            </w:r>
            <w:r w:rsidRPr="00F21E38">
              <w:rPr>
                <w:rFonts w:ascii="Times New Roman" w:hAnsi="Times New Roman" w:cs="Times New Roman"/>
                <w:noProof/>
                <w:webHidden/>
              </w:rPr>
              <w:fldChar w:fldCharType="end"/>
            </w:r>
          </w:hyperlink>
        </w:p>
        <w:p w14:paraId="27FD54C9" w14:textId="29DEF05E" w:rsidR="00F21E38" w:rsidRPr="00F21E38" w:rsidRDefault="00F21E38">
          <w:pPr>
            <w:pStyle w:val="TOC2"/>
            <w:tabs>
              <w:tab w:val="right" w:leader="dot" w:pos="8630"/>
            </w:tabs>
            <w:rPr>
              <w:rFonts w:ascii="Times New Roman" w:hAnsi="Times New Roman" w:cs="Times New Roman"/>
              <w:noProof/>
              <w:kern w:val="2"/>
              <w:sz w:val="24"/>
              <w:szCs w:val="24"/>
              <w:lang w:val="en-GB" w:eastAsia="en-GB"/>
              <w14:ligatures w14:val="standardContextual"/>
            </w:rPr>
          </w:pPr>
          <w:hyperlink w:anchor="_Toc223399795" w:history="1">
            <w:r w:rsidRPr="00F21E38">
              <w:rPr>
                <w:rStyle w:val="Hyperlink"/>
                <w:rFonts w:ascii="Times New Roman" w:hAnsi="Times New Roman" w:cs="Times New Roman"/>
                <w:noProof/>
              </w:rPr>
              <w:t>References</w:t>
            </w:r>
            <w:r w:rsidRPr="00F21E38">
              <w:rPr>
                <w:rFonts w:ascii="Times New Roman" w:hAnsi="Times New Roman" w:cs="Times New Roman"/>
                <w:noProof/>
                <w:webHidden/>
              </w:rPr>
              <w:tab/>
            </w:r>
            <w:r w:rsidRPr="00F21E38">
              <w:rPr>
                <w:rFonts w:ascii="Times New Roman" w:hAnsi="Times New Roman" w:cs="Times New Roman"/>
                <w:noProof/>
                <w:webHidden/>
              </w:rPr>
              <w:fldChar w:fldCharType="begin"/>
            </w:r>
            <w:r w:rsidRPr="00F21E38">
              <w:rPr>
                <w:rFonts w:ascii="Times New Roman" w:hAnsi="Times New Roman" w:cs="Times New Roman"/>
                <w:noProof/>
                <w:webHidden/>
              </w:rPr>
              <w:instrText xml:space="preserve"> PAGEREF _Toc223399795 \h </w:instrText>
            </w:r>
            <w:r w:rsidRPr="00F21E38">
              <w:rPr>
                <w:rFonts w:ascii="Times New Roman" w:hAnsi="Times New Roman" w:cs="Times New Roman"/>
                <w:noProof/>
                <w:webHidden/>
              </w:rPr>
            </w:r>
            <w:r w:rsidRPr="00F21E38">
              <w:rPr>
                <w:rFonts w:ascii="Times New Roman" w:hAnsi="Times New Roman" w:cs="Times New Roman"/>
                <w:noProof/>
                <w:webHidden/>
              </w:rPr>
              <w:fldChar w:fldCharType="separate"/>
            </w:r>
            <w:r w:rsidRPr="00F21E38">
              <w:rPr>
                <w:rFonts w:ascii="Times New Roman" w:hAnsi="Times New Roman" w:cs="Times New Roman"/>
                <w:noProof/>
                <w:webHidden/>
              </w:rPr>
              <w:t>13</w:t>
            </w:r>
            <w:r w:rsidRPr="00F21E38">
              <w:rPr>
                <w:rFonts w:ascii="Times New Roman" w:hAnsi="Times New Roman" w:cs="Times New Roman"/>
                <w:noProof/>
                <w:webHidden/>
              </w:rPr>
              <w:fldChar w:fldCharType="end"/>
            </w:r>
          </w:hyperlink>
        </w:p>
        <w:p w14:paraId="12562040" w14:textId="68B80D54" w:rsidR="00F21E38" w:rsidRPr="00F21E38" w:rsidRDefault="00F21E38">
          <w:pPr>
            <w:rPr>
              <w:rFonts w:ascii="Times New Roman" w:hAnsi="Times New Roman" w:cs="Times New Roman"/>
            </w:rPr>
          </w:pPr>
          <w:r w:rsidRPr="00F21E38">
            <w:rPr>
              <w:rFonts w:ascii="Times New Roman" w:hAnsi="Times New Roman" w:cs="Times New Roman"/>
              <w:b/>
              <w:bCs/>
              <w:noProof/>
            </w:rPr>
            <w:fldChar w:fldCharType="end"/>
          </w:r>
        </w:p>
      </w:sdtContent>
    </w:sdt>
    <w:p w14:paraId="6524F69D" w14:textId="22B440C6" w:rsidR="00F21E38" w:rsidRPr="00F21E38" w:rsidRDefault="00F21E38">
      <w:pPr>
        <w:spacing w:after="160" w:line="278" w:lineRule="auto"/>
        <w:rPr>
          <w:rFonts w:ascii="Times New Roman" w:eastAsiaTheme="majorEastAsia" w:hAnsi="Times New Roman" w:cs="Times New Roman"/>
          <w:color w:val="0F4761" w:themeColor="accent1" w:themeShade="BF"/>
          <w:kern w:val="2"/>
          <w:sz w:val="40"/>
          <w:szCs w:val="40"/>
          <w:lang w:val="en-GB"/>
          <w14:ligatures w14:val="standardContextual"/>
        </w:rPr>
      </w:pPr>
      <w:r w:rsidRPr="00F21E38">
        <w:rPr>
          <w:rFonts w:ascii="Times New Roman" w:eastAsiaTheme="majorEastAsia" w:hAnsi="Times New Roman" w:cs="Times New Roman"/>
          <w:color w:val="0F4761" w:themeColor="accent1" w:themeShade="BF"/>
          <w:kern w:val="2"/>
          <w:sz w:val="40"/>
          <w:szCs w:val="40"/>
          <w:lang w:val="en-GB"/>
          <w14:ligatures w14:val="standardContextual"/>
        </w:rPr>
        <w:br w:type="page"/>
      </w:r>
    </w:p>
    <w:p w14:paraId="7825B009" w14:textId="77777777" w:rsidR="0004508D" w:rsidRPr="00F21E38" w:rsidRDefault="0004508D" w:rsidP="00B33F2E">
      <w:pPr>
        <w:spacing w:after="160" w:line="278" w:lineRule="auto"/>
        <w:rPr>
          <w:rFonts w:ascii="Times New Roman" w:eastAsiaTheme="majorEastAsia" w:hAnsi="Times New Roman" w:cs="Times New Roman"/>
          <w:color w:val="0F4761" w:themeColor="accent1" w:themeShade="BF"/>
          <w:kern w:val="2"/>
          <w:sz w:val="40"/>
          <w:szCs w:val="40"/>
          <w:lang w:val="en-GB"/>
          <w14:ligatures w14:val="standardContextual"/>
        </w:rPr>
      </w:pPr>
    </w:p>
    <w:p w14:paraId="16FA7210" w14:textId="20F69F17" w:rsidR="00B33F2E" w:rsidRPr="00B02D0D" w:rsidRDefault="00B33F2E" w:rsidP="00B33F2E">
      <w:pPr>
        <w:pStyle w:val="Heading2"/>
        <w:rPr>
          <w:rFonts w:ascii="Times New Roman" w:hAnsi="Times New Roman" w:cs="Times New Roman"/>
          <w:b/>
          <w:bCs/>
          <w:lang w:val="en-US"/>
        </w:rPr>
      </w:pPr>
      <w:bookmarkStart w:id="1" w:name="_Toc223399782"/>
      <w:r w:rsidRPr="00B02D0D">
        <w:rPr>
          <w:rFonts w:ascii="Times New Roman" w:hAnsi="Times New Roman" w:cs="Times New Roman"/>
          <w:b/>
          <w:bCs/>
          <w:lang w:val="en-US"/>
        </w:rPr>
        <w:t>Introduction</w:t>
      </w:r>
      <w:bookmarkEnd w:id="1"/>
    </w:p>
    <w:p w14:paraId="082F28BA" w14:textId="77777777" w:rsidR="00B33F2E" w:rsidRPr="00B33F2E" w:rsidRDefault="00B33F2E" w:rsidP="00F21E38">
      <w:pPr>
        <w:spacing w:line="360" w:lineRule="auto"/>
        <w:rPr>
          <w:rFonts w:ascii="Times New Roman" w:hAnsi="Times New Roman" w:cs="Times New Roman"/>
          <w:sz w:val="24"/>
          <w:szCs w:val="24"/>
          <w:lang w:val="en-GB"/>
        </w:rPr>
      </w:pPr>
      <w:r w:rsidRPr="00B33F2E">
        <w:rPr>
          <w:rFonts w:ascii="Times New Roman" w:hAnsi="Times New Roman" w:cs="Times New Roman"/>
          <w:sz w:val="24"/>
          <w:szCs w:val="24"/>
          <w:lang w:val="en-GB"/>
        </w:rPr>
        <w:t>In an increasingly data-driven logistics environment, organisations such as DHL Supply Chain must balance operational efficiency with strategic decision-making capabilities. While Online Transaction Processing (OLTP) systems effectively support real-time warehouse and transport operations, they are not designed to provide the integrated, historical, and analytical insights required by executive leadership. As DHL operates across multiple UK and European hubs, the need for consolidated performance visibility, profitability analysis, and governance-compliant reporting becomes critical.</w:t>
      </w:r>
    </w:p>
    <w:p w14:paraId="143A21F1" w14:textId="77777777" w:rsidR="00B33F2E" w:rsidRPr="00B33F2E" w:rsidRDefault="00B33F2E" w:rsidP="00F21E38">
      <w:pPr>
        <w:spacing w:line="360" w:lineRule="auto"/>
        <w:rPr>
          <w:rFonts w:ascii="Times New Roman" w:hAnsi="Times New Roman" w:cs="Times New Roman"/>
          <w:sz w:val="24"/>
          <w:szCs w:val="24"/>
          <w:lang w:val="en-GB"/>
        </w:rPr>
      </w:pPr>
      <w:r w:rsidRPr="00B33F2E">
        <w:rPr>
          <w:rFonts w:ascii="Times New Roman" w:hAnsi="Times New Roman" w:cs="Times New Roman"/>
          <w:sz w:val="24"/>
          <w:szCs w:val="24"/>
          <w:lang w:val="en-GB"/>
        </w:rPr>
        <w:t>This report proposes a structured data warehouse solution tailored to DHL’s UK and European logistics network. Task 1 evaluates key data warehousing concepts, including the differences between OLTP and data warehouse systems, architectural layers, ETL processes, data marts, and dimensional modelling approaches. Task 2 applies these concepts to design a shipment-leg star schema model supported by conformed dimensions, departmental data marts, and a governance-aware ETL framework. The proposed solution aims to enhance analytical performance, ensure data quality and traceability, and support data-driven strategic decision-making across operations, finance, and client services.</w:t>
      </w:r>
    </w:p>
    <w:p w14:paraId="5615D0C9" w14:textId="61839000" w:rsidR="0004508D" w:rsidRPr="00F21E38" w:rsidRDefault="0004508D" w:rsidP="00BA73F0">
      <w:pPr>
        <w:rPr>
          <w:rFonts w:ascii="Times New Roman" w:hAnsi="Times New Roman" w:cs="Times New Roman"/>
        </w:rPr>
      </w:pPr>
      <w:r w:rsidRPr="00F21E38">
        <w:rPr>
          <w:rFonts w:ascii="Times New Roman" w:hAnsi="Times New Roman" w:cs="Times New Roman"/>
        </w:rPr>
        <w:fldChar w:fldCharType="begin"/>
      </w:r>
      <w:r w:rsidRPr="00F21E38">
        <w:rPr>
          <w:rFonts w:ascii="Times New Roman" w:hAnsi="Times New Roman" w:cs="Times New Roman"/>
        </w:rPr>
        <w:instrText>TOC \o "1-3" \h \z \u</w:instrText>
      </w:r>
      <w:r w:rsidRPr="00F21E38">
        <w:rPr>
          <w:rFonts w:ascii="Times New Roman" w:hAnsi="Times New Roman" w:cs="Times New Roman"/>
        </w:rPr>
        <w:fldChar w:fldCharType="separate"/>
      </w:r>
      <w:r w:rsidRPr="00F21E38">
        <w:rPr>
          <w:rFonts w:ascii="Times New Roman" w:hAnsi="Times New Roman" w:cs="Times New Roman"/>
        </w:rPr>
        <w:fldChar w:fldCharType="end"/>
      </w:r>
    </w:p>
    <w:p w14:paraId="1DF78125" w14:textId="77777777" w:rsidR="0004508D" w:rsidRPr="00B02D0D" w:rsidRDefault="0004508D" w:rsidP="00BA73F0">
      <w:pPr>
        <w:pStyle w:val="Heading2"/>
        <w:rPr>
          <w:rFonts w:ascii="Times New Roman" w:hAnsi="Times New Roman" w:cs="Times New Roman"/>
          <w:b/>
          <w:bCs/>
        </w:rPr>
      </w:pPr>
      <w:bookmarkStart w:id="2" w:name="_Toc223296192"/>
      <w:bookmarkStart w:id="3" w:name="_Toc223316017"/>
      <w:bookmarkStart w:id="4" w:name="_Toc223399783"/>
      <w:r w:rsidRPr="00B02D0D">
        <w:rPr>
          <w:rFonts w:ascii="Times New Roman" w:hAnsi="Times New Roman" w:cs="Times New Roman"/>
          <w:b/>
          <w:bCs/>
        </w:rPr>
        <w:t>Task 1</w:t>
      </w:r>
      <w:bookmarkEnd w:id="2"/>
      <w:bookmarkEnd w:id="3"/>
      <w:bookmarkEnd w:id="4"/>
    </w:p>
    <w:p w14:paraId="3B221EEA" w14:textId="77777777" w:rsidR="0004508D" w:rsidRPr="00F21E38" w:rsidRDefault="0004508D" w:rsidP="00BA73F0">
      <w:pPr>
        <w:pStyle w:val="Heading3"/>
        <w:rPr>
          <w:rFonts w:ascii="Times New Roman" w:hAnsi="Times New Roman" w:cs="Times New Roman"/>
        </w:rPr>
      </w:pPr>
      <w:bookmarkStart w:id="5" w:name="_Toc223296193"/>
      <w:bookmarkStart w:id="6" w:name="_Toc223316018"/>
      <w:bookmarkStart w:id="7" w:name="_Toc223399784"/>
      <w:r w:rsidRPr="00F21E38">
        <w:rPr>
          <w:rFonts w:ascii="Times New Roman" w:hAnsi="Times New Roman" w:cs="Times New Roman"/>
        </w:rPr>
        <w:t>1.1 OLTP vs. Data Warehouse</w:t>
      </w:r>
      <w:bookmarkEnd w:id="5"/>
      <w:bookmarkEnd w:id="6"/>
      <w:bookmarkEnd w:id="7"/>
    </w:p>
    <w:p w14:paraId="2708D2DF"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DHL Supply Chain runs its UK and European logistics through OLTP systems such as WMS, TMS, OMS and finance platforms. These systems capture and execute day-to-day work: scanning parcels, booking carriers, allocating warehouse picks, confirming departures and arrivals, recording customs milestones, processing returns status changes, and issuing invoices. Their databases are built for many short, concurrent transactions and strict consistency, so they rely on </w:t>
      </w:r>
      <w:proofErr w:type="spellStart"/>
      <w:r w:rsidRPr="00F21E38">
        <w:rPr>
          <w:rFonts w:ascii="Times New Roman" w:hAnsi="Times New Roman" w:cs="Times New Roman"/>
          <w:sz w:val="24"/>
          <w:szCs w:val="24"/>
        </w:rPr>
        <w:t>normalised</w:t>
      </w:r>
      <w:proofErr w:type="spellEnd"/>
      <w:r w:rsidRPr="00F21E38">
        <w:rPr>
          <w:rFonts w:ascii="Times New Roman" w:hAnsi="Times New Roman" w:cs="Times New Roman"/>
          <w:sz w:val="24"/>
          <w:szCs w:val="24"/>
        </w:rPr>
        <w:t xml:space="preserve"> tables, integrity constraints and indexing to prevent conflicting updates and keep response times low even at peak volumes [4], [5]. This design is ideal for operational questions like “Where is shipment X </w:t>
      </w:r>
      <w:r w:rsidRPr="00F21E38">
        <w:rPr>
          <w:rFonts w:ascii="Times New Roman" w:hAnsi="Times New Roman" w:cs="Times New Roman"/>
          <w:sz w:val="24"/>
          <w:szCs w:val="24"/>
        </w:rPr>
        <w:lastRenderedPageBreak/>
        <w:t xml:space="preserve">right now?” or “Is SKU Y available in Daventry?” because users need accurate </w:t>
      </w:r>
      <w:proofErr w:type="gramStart"/>
      <w:r w:rsidRPr="00F21E38">
        <w:rPr>
          <w:rFonts w:ascii="Times New Roman" w:hAnsi="Times New Roman" w:cs="Times New Roman"/>
          <w:sz w:val="24"/>
          <w:szCs w:val="24"/>
        </w:rPr>
        <w:t>current status</w:t>
      </w:r>
      <w:proofErr w:type="gramEnd"/>
      <w:r w:rsidRPr="00F21E38">
        <w:rPr>
          <w:rFonts w:ascii="Times New Roman" w:hAnsi="Times New Roman" w:cs="Times New Roman"/>
          <w:sz w:val="24"/>
          <w:szCs w:val="24"/>
        </w:rPr>
        <w:t xml:space="preserve"> quickly, not a long analytical report.</w:t>
      </w:r>
    </w:p>
    <w:p w14:paraId="188E8304"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The issue is that leadership needs a different type of answer. Executives want to see patterns across sites, clients and time: where delays build up between Daventry–Heathrow, Rotterdam cross-dock and Düsseldorf onward legs; why </w:t>
      </w:r>
      <w:proofErr w:type="spellStart"/>
      <w:r w:rsidRPr="00F21E38">
        <w:rPr>
          <w:rFonts w:ascii="Times New Roman" w:hAnsi="Times New Roman" w:cs="Times New Roman"/>
          <w:sz w:val="24"/>
          <w:szCs w:val="24"/>
        </w:rPr>
        <w:t>Eurocentral</w:t>
      </w:r>
      <w:proofErr w:type="spellEnd"/>
      <w:r w:rsidRPr="00F21E38">
        <w:rPr>
          <w:rFonts w:ascii="Times New Roman" w:hAnsi="Times New Roman" w:cs="Times New Roman"/>
          <w:sz w:val="24"/>
          <w:szCs w:val="24"/>
        </w:rPr>
        <w:t xml:space="preserve"> JIT deliveries behave differently from Lyon cold chain; whether Premium Express surcharges </w:t>
      </w:r>
      <w:proofErr w:type="gramStart"/>
      <w:r w:rsidRPr="00F21E38">
        <w:rPr>
          <w:rFonts w:ascii="Times New Roman" w:hAnsi="Times New Roman" w:cs="Times New Roman"/>
          <w:sz w:val="24"/>
          <w:szCs w:val="24"/>
        </w:rPr>
        <w:t>actually cover</w:t>
      </w:r>
      <w:proofErr w:type="gramEnd"/>
      <w:r w:rsidRPr="00F21E38">
        <w:rPr>
          <w:rFonts w:ascii="Times New Roman" w:hAnsi="Times New Roman" w:cs="Times New Roman"/>
          <w:sz w:val="24"/>
          <w:szCs w:val="24"/>
        </w:rPr>
        <w:t xml:space="preserve"> the true cost-to-serve; and how customs steps affect end-to-end lead times. OLTP systems do not solve this well because data is fragmented across applications, definitions differ (for example, “</w:t>
      </w:r>
      <w:proofErr w:type="gramStart"/>
      <w:r w:rsidRPr="00F21E38">
        <w:rPr>
          <w:rFonts w:ascii="Times New Roman" w:hAnsi="Times New Roman" w:cs="Times New Roman"/>
          <w:sz w:val="24"/>
          <w:szCs w:val="24"/>
        </w:rPr>
        <w:t>on-time</w:t>
      </w:r>
      <w:proofErr w:type="gramEnd"/>
      <w:r w:rsidRPr="00F21E38">
        <w:rPr>
          <w:rFonts w:ascii="Times New Roman" w:hAnsi="Times New Roman" w:cs="Times New Roman"/>
          <w:sz w:val="24"/>
          <w:szCs w:val="24"/>
        </w:rPr>
        <w:t>” or which costs belong to a contract), and heavy analytical queries can slow live operations.</w:t>
      </w:r>
    </w:p>
    <w:p w14:paraId="5D02CA89" w14:textId="77777777" w:rsidR="00BA73F0" w:rsidRPr="00F21E38" w:rsidRDefault="0004508D" w:rsidP="00F21E38">
      <w:pPr>
        <w:keepNext/>
        <w:spacing w:line="360" w:lineRule="auto"/>
        <w:rPr>
          <w:rFonts w:ascii="Times New Roman" w:hAnsi="Times New Roman" w:cs="Times New Roman"/>
        </w:rPr>
      </w:pPr>
      <w:r w:rsidRPr="00F21E38">
        <w:rPr>
          <w:rFonts w:ascii="Times New Roman" w:hAnsi="Times New Roman" w:cs="Times New Roman"/>
          <w:sz w:val="24"/>
          <w:szCs w:val="24"/>
        </w:rPr>
        <w:t xml:space="preserve">A data warehouse is designed for decision support. It integrates data from multiple sources, </w:t>
      </w:r>
      <w:proofErr w:type="spellStart"/>
      <w:r w:rsidRPr="00F21E38">
        <w:rPr>
          <w:rFonts w:ascii="Times New Roman" w:hAnsi="Times New Roman" w:cs="Times New Roman"/>
          <w:sz w:val="24"/>
          <w:szCs w:val="24"/>
        </w:rPr>
        <w:t>standardises</w:t>
      </w:r>
      <w:proofErr w:type="spellEnd"/>
      <w:r w:rsidRPr="00F21E38">
        <w:rPr>
          <w:rFonts w:ascii="Times New Roman" w:hAnsi="Times New Roman" w:cs="Times New Roman"/>
          <w:sz w:val="24"/>
          <w:szCs w:val="24"/>
        </w:rPr>
        <w:t xml:space="preserve"> business definitions, stores history and structures data for fast reporting and trends [1], [2]. For DHL, this creates a single trusted view across the UK and Europe for bottleneck detection, </w:t>
      </w:r>
      <w:proofErr w:type="spellStart"/>
      <w:r w:rsidRPr="00F21E38">
        <w:rPr>
          <w:rFonts w:ascii="Times New Roman" w:hAnsi="Times New Roman" w:cs="Times New Roman"/>
          <w:sz w:val="24"/>
          <w:szCs w:val="24"/>
        </w:rPr>
        <w:t>utilisation</w:t>
      </w:r>
      <w:proofErr w:type="spellEnd"/>
      <w:r w:rsidRPr="00F21E38">
        <w:rPr>
          <w:rFonts w:ascii="Times New Roman" w:hAnsi="Times New Roman" w:cs="Times New Roman"/>
          <w:sz w:val="24"/>
          <w:szCs w:val="24"/>
        </w:rPr>
        <w:t xml:space="preserve">, SLA adherence, profitability by contract and emissions reporting. The trade-off is </w:t>
      </w:r>
      <w:proofErr w:type="gramStart"/>
      <w:r w:rsidRPr="00F21E38">
        <w:rPr>
          <w:rFonts w:ascii="Times New Roman" w:hAnsi="Times New Roman" w:cs="Times New Roman"/>
          <w:sz w:val="24"/>
          <w:szCs w:val="24"/>
        </w:rPr>
        <w:t>refresh</w:t>
      </w:r>
      <w:proofErr w:type="gramEnd"/>
      <w:r w:rsidRPr="00F21E38">
        <w:rPr>
          <w:rFonts w:ascii="Times New Roman" w:hAnsi="Times New Roman" w:cs="Times New Roman"/>
          <w:sz w:val="24"/>
          <w:szCs w:val="24"/>
        </w:rPr>
        <w:t xml:space="preserve"> latency, but the separation protects operations while enabling better management decisions and reducing spreadsheet rework in monthly reviews.</w:t>
      </w:r>
      <w:r w:rsidR="00C30173" w:rsidRPr="00F21E38">
        <w:rPr>
          <w:rFonts w:ascii="Times New Roman" w:hAnsi="Times New Roman" w:cs="Times New Roman"/>
          <w:lang w:val="bg-BG"/>
        </w:rPr>
        <w:br/>
      </w:r>
      <w:r w:rsidR="00C30173" w:rsidRPr="00F21E38">
        <w:rPr>
          <w:rFonts w:ascii="Times New Roman" w:hAnsi="Times New Roman" w:cs="Times New Roman"/>
          <w:lang w:val="bg-BG"/>
        </w:rPr>
        <w:lastRenderedPageBreak/>
        <w:br/>
      </w:r>
      <w:r w:rsidR="00C30173" w:rsidRPr="00F21E38">
        <w:rPr>
          <w:rFonts w:ascii="Times New Roman" w:hAnsi="Times New Roman" w:cs="Times New Roman"/>
          <w:noProof/>
          <w:lang w:val="bg-BG"/>
          <w14:ligatures w14:val="standardContextual"/>
        </w:rPr>
        <w:drawing>
          <wp:inline distT="0" distB="0" distL="0" distR="0" wp14:anchorId="57A8FD56" wp14:editId="6F51AF0F">
            <wp:extent cx="5486400" cy="3657600"/>
            <wp:effectExtent l="0" t="0" r="0" b="0"/>
            <wp:docPr id="23894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48820" name="Picture 23894882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10D7146E" w14:textId="021D0EB6" w:rsidR="00C30173" w:rsidRPr="00B02D0D" w:rsidRDefault="00BA73F0" w:rsidP="00BA73F0">
      <w:pPr>
        <w:pStyle w:val="Caption"/>
        <w:jc w:val="center"/>
        <w:rPr>
          <w:rFonts w:ascii="Times New Roman" w:hAnsi="Times New Roman" w:cs="Times New Roman"/>
          <w:i w:val="0"/>
          <w:iCs w:val="0"/>
          <w:sz w:val="20"/>
          <w:szCs w:val="20"/>
          <w:lang w:val="bg-BG"/>
        </w:rPr>
      </w:pPr>
      <w:r w:rsidRPr="00B02D0D">
        <w:rPr>
          <w:rFonts w:ascii="Times New Roman" w:hAnsi="Times New Roman" w:cs="Times New Roman"/>
          <w:i w:val="0"/>
          <w:iCs w:val="0"/>
          <w:sz w:val="20"/>
          <w:szCs w:val="20"/>
        </w:rPr>
        <w:t xml:space="preserve">Figure </w:t>
      </w:r>
      <w:r w:rsidRPr="00B02D0D">
        <w:rPr>
          <w:rFonts w:ascii="Times New Roman" w:hAnsi="Times New Roman" w:cs="Times New Roman"/>
          <w:i w:val="0"/>
          <w:iCs w:val="0"/>
          <w:sz w:val="20"/>
          <w:szCs w:val="20"/>
        </w:rPr>
        <w:fldChar w:fldCharType="begin"/>
      </w:r>
      <w:r w:rsidRPr="00B02D0D">
        <w:rPr>
          <w:rFonts w:ascii="Times New Roman" w:hAnsi="Times New Roman" w:cs="Times New Roman"/>
          <w:i w:val="0"/>
          <w:iCs w:val="0"/>
          <w:sz w:val="20"/>
          <w:szCs w:val="20"/>
        </w:rPr>
        <w:instrText xml:space="preserve"> SEQ Figure \* ARABIC </w:instrText>
      </w:r>
      <w:r w:rsidRPr="00B02D0D">
        <w:rPr>
          <w:rFonts w:ascii="Times New Roman" w:hAnsi="Times New Roman" w:cs="Times New Roman"/>
          <w:i w:val="0"/>
          <w:iCs w:val="0"/>
          <w:sz w:val="20"/>
          <w:szCs w:val="20"/>
        </w:rPr>
        <w:fldChar w:fldCharType="separate"/>
      </w:r>
      <w:r w:rsidR="0095110B" w:rsidRPr="00B02D0D">
        <w:rPr>
          <w:rFonts w:ascii="Times New Roman" w:hAnsi="Times New Roman" w:cs="Times New Roman"/>
          <w:i w:val="0"/>
          <w:iCs w:val="0"/>
          <w:noProof/>
          <w:sz w:val="20"/>
          <w:szCs w:val="20"/>
        </w:rPr>
        <w:t>1</w:t>
      </w:r>
      <w:r w:rsidRPr="00B02D0D">
        <w:rPr>
          <w:rFonts w:ascii="Times New Roman" w:hAnsi="Times New Roman" w:cs="Times New Roman"/>
          <w:i w:val="0"/>
          <w:iCs w:val="0"/>
          <w:sz w:val="20"/>
          <w:szCs w:val="20"/>
        </w:rPr>
        <w:fldChar w:fldCharType="end"/>
      </w:r>
      <w:r w:rsidR="002F5C35" w:rsidRPr="00B02D0D">
        <w:rPr>
          <w:rFonts w:ascii="Times New Roman" w:hAnsi="Times New Roman" w:cs="Times New Roman"/>
          <w:i w:val="0"/>
          <w:iCs w:val="0"/>
          <w:sz w:val="20"/>
          <w:szCs w:val="20"/>
        </w:rPr>
        <w:t>.</w:t>
      </w:r>
      <w:r w:rsidRPr="00B02D0D">
        <w:rPr>
          <w:rFonts w:ascii="Times New Roman" w:hAnsi="Times New Roman" w:cs="Times New Roman"/>
          <w:i w:val="0"/>
          <w:iCs w:val="0"/>
          <w:color w:val="auto"/>
          <w:sz w:val="24"/>
          <w:szCs w:val="24"/>
        </w:rPr>
        <w:t xml:space="preserve"> </w:t>
      </w:r>
      <w:r w:rsidRPr="00B02D0D">
        <w:rPr>
          <w:rFonts w:ascii="Times New Roman" w:hAnsi="Times New Roman" w:cs="Times New Roman"/>
          <w:i w:val="0"/>
          <w:iCs w:val="0"/>
          <w:sz w:val="20"/>
          <w:szCs w:val="20"/>
        </w:rPr>
        <w:t>Conceptual comparison between OLTP systems and Data Warehouse architecture.</w:t>
      </w:r>
      <w:r w:rsidRPr="00B02D0D">
        <w:rPr>
          <w:rFonts w:ascii="Times New Roman" w:hAnsi="Times New Roman" w:cs="Times New Roman"/>
          <w:i w:val="0"/>
          <w:iCs w:val="0"/>
          <w:sz w:val="20"/>
          <w:szCs w:val="20"/>
        </w:rPr>
        <w:br/>
      </w:r>
      <w:r w:rsidRPr="00B02D0D">
        <w:rPr>
          <w:rFonts w:ascii="Times New Roman" w:hAnsi="Times New Roman" w:cs="Times New Roman"/>
          <w:i w:val="0"/>
          <w:iCs w:val="0"/>
          <w:sz w:val="20"/>
          <w:szCs w:val="20"/>
        </w:rPr>
        <w:t xml:space="preserve">The figure illustrates the structural and functional differences between transactional OLTP systems, </w:t>
      </w:r>
      <w:proofErr w:type="spellStart"/>
      <w:r w:rsidRPr="00B02D0D">
        <w:rPr>
          <w:rFonts w:ascii="Times New Roman" w:hAnsi="Times New Roman" w:cs="Times New Roman"/>
          <w:i w:val="0"/>
          <w:iCs w:val="0"/>
          <w:sz w:val="20"/>
          <w:szCs w:val="20"/>
        </w:rPr>
        <w:t>optimised</w:t>
      </w:r>
      <w:proofErr w:type="spellEnd"/>
      <w:r w:rsidRPr="00B02D0D">
        <w:rPr>
          <w:rFonts w:ascii="Times New Roman" w:hAnsi="Times New Roman" w:cs="Times New Roman"/>
          <w:i w:val="0"/>
          <w:iCs w:val="0"/>
          <w:sz w:val="20"/>
          <w:szCs w:val="20"/>
        </w:rPr>
        <w:t xml:space="preserve"> for real-time operational processing, and data warehouse environments designed for analytical reporting and decision support.</w:t>
      </w:r>
    </w:p>
    <w:p w14:paraId="2E44E74D" w14:textId="263770AB" w:rsidR="0004508D" w:rsidRPr="00F21E38" w:rsidRDefault="0004508D" w:rsidP="00BA73F0">
      <w:pPr>
        <w:rPr>
          <w:rFonts w:ascii="Times New Roman" w:hAnsi="Times New Roman" w:cs="Times New Roman"/>
          <w:lang w:val="en-GB"/>
        </w:rPr>
      </w:pPr>
    </w:p>
    <w:p w14:paraId="246A4D51" w14:textId="77777777" w:rsidR="0004508D" w:rsidRPr="00F21E38" w:rsidRDefault="0004508D" w:rsidP="00BA73F0">
      <w:pPr>
        <w:pStyle w:val="Heading3"/>
        <w:rPr>
          <w:rFonts w:ascii="Times New Roman" w:hAnsi="Times New Roman" w:cs="Times New Roman"/>
        </w:rPr>
      </w:pPr>
      <w:bookmarkStart w:id="8" w:name="_Toc223296194"/>
      <w:bookmarkStart w:id="9" w:name="_Toc223316019"/>
      <w:bookmarkStart w:id="10" w:name="_Toc223399785"/>
      <w:r w:rsidRPr="00F21E38">
        <w:rPr>
          <w:rFonts w:ascii="Times New Roman" w:hAnsi="Times New Roman" w:cs="Times New Roman"/>
        </w:rPr>
        <w:lastRenderedPageBreak/>
        <w:t>1.2 Data Warehouse Architecture &amp; ETL</w:t>
      </w:r>
      <w:bookmarkEnd w:id="8"/>
      <w:bookmarkEnd w:id="9"/>
      <w:bookmarkEnd w:id="10"/>
    </w:p>
    <w:p w14:paraId="4BFACCC2" w14:textId="3FEE66C4" w:rsidR="00BA73F0" w:rsidRPr="00F21E38" w:rsidRDefault="000F2B0C" w:rsidP="00F21E38">
      <w:pPr>
        <w:keepNext/>
        <w:spacing w:line="360" w:lineRule="auto"/>
        <w:rPr>
          <w:rFonts w:ascii="Times New Roman" w:hAnsi="Times New Roman" w:cs="Times New Roman"/>
        </w:rPr>
      </w:pPr>
      <w:r w:rsidRPr="00F21E38">
        <w:rPr>
          <w:rFonts w:ascii="Times New Roman" w:hAnsi="Times New Roman" w:cs="Times New Roman"/>
          <w:sz w:val="24"/>
          <w:szCs w:val="24"/>
        </w:rPr>
        <w:fldChar w:fldCharType="begin"/>
      </w:r>
      <w:r w:rsidRPr="00F21E38">
        <w:rPr>
          <w:rFonts w:ascii="Times New Roman" w:hAnsi="Times New Roman" w:cs="Times New Roman"/>
          <w:sz w:val="24"/>
          <w:szCs w:val="24"/>
        </w:rPr>
        <w:instrText xml:space="preserve"> REF _Ref223393968 \h </w:instrText>
      </w:r>
      <w:r w:rsidRPr="00F21E38">
        <w:rPr>
          <w:rFonts w:ascii="Times New Roman" w:hAnsi="Times New Roman" w:cs="Times New Roman"/>
          <w:sz w:val="24"/>
          <w:szCs w:val="24"/>
        </w:rPr>
      </w:r>
      <w:r w:rsidR="00F21E38" w:rsidRPr="00F21E38">
        <w:rPr>
          <w:rFonts w:ascii="Times New Roman" w:hAnsi="Times New Roman" w:cs="Times New Roman"/>
          <w:sz w:val="24"/>
          <w:szCs w:val="24"/>
        </w:rPr>
        <w:instrText xml:space="preserve"> \* MERGEFORMAT </w:instrText>
      </w:r>
      <w:r w:rsidRPr="00F21E38">
        <w:rPr>
          <w:rFonts w:ascii="Times New Roman" w:hAnsi="Times New Roman" w:cs="Times New Roman"/>
          <w:sz w:val="24"/>
          <w:szCs w:val="24"/>
        </w:rPr>
        <w:fldChar w:fldCharType="separate"/>
      </w:r>
      <w:r w:rsidRPr="00F21E38">
        <w:rPr>
          <w:rFonts w:ascii="Times New Roman" w:hAnsi="Times New Roman" w:cs="Times New Roman"/>
          <w:sz w:val="24"/>
          <w:szCs w:val="24"/>
        </w:rPr>
        <w:t>Figur</w:t>
      </w:r>
      <w:r w:rsidRPr="00F21E38">
        <w:rPr>
          <w:rFonts w:ascii="Times New Roman" w:hAnsi="Times New Roman" w:cs="Times New Roman"/>
          <w:sz w:val="24"/>
          <w:szCs w:val="24"/>
        </w:rPr>
        <w:t>e</w:t>
      </w:r>
      <w:r w:rsidRPr="00F21E38">
        <w:rPr>
          <w:rFonts w:ascii="Times New Roman" w:hAnsi="Times New Roman" w:cs="Times New Roman"/>
          <w:sz w:val="24"/>
          <w:szCs w:val="24"/>
        </w:rPr>
        <w:t xml:space="preserve"> </w:t>
      </w:r>
      <w:r w:rsidRPr="00F21E38">
        <w:rPr>
          <w:rFonts w:ascii="Times New Roman" w:hAnsi="Times New Roman" w:cs="Times New Roman"/>
          <w:noProof/>
          <w:sz w:val="24"/>
          <w:szCs w:val="24"/>
        </w:rPr>
        <w:t>2</w:t>
      </w:r>
      <w:r w:rsidRPr="00F21E38">
        <w:rPr>
          <w:rFonts w:ascii="Times New Roman" w:hAnsi="Times New Roman" w:cs="Times New Roman"/>
          <w:sz w:val="24"/>
          <w:szCs w:val="24"/>
        </w:rPr>
        <w:fldChar w:fldCharType="end"/>
      </w:r>
      <w:r w:rsidR="0004508D" w:rsidRPr="00F21E38">
        <w:rPr>
          <w:rFonts w:ascii="Times New Roman" w:hAnsi="Times New Roman" w:cs="Times New Roman"/>
          <w:sz w:val="24"/>
          <w:szCs w:val="24"/>
        </w:rPr>
        <w:t xml:space="preserve"> outlines a layered architecture suited to DHL’s UK–Europe network.</w:t>
      </w:r>
      <w:r w:rsidR="00C30173" w:rsidRPr="00F21E38">
        <w:rPr>
          <w:rFonts w:ascii="Times New Roman" w:hAnsi="Times New Roman" w:cs="Times New Roman"/>
          <w:noProof/>
          <w14:ligatures w14:val="standardContextual"/>
        </w:rPr>
        <w:drawing>
          <wp:inline distT="0" distB="0" distL="0" distR="0" wp14:anchorId="22921F15" wp14:editId="1CE74513">
            <wp:extent cx="5486400" cy="3657600"/>
            <wp:effectExtent l="0" t="0" r="0" b="0"/>
            <wp:docPr id="15696802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80212" name="Picture 15696802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r w:rsidR="0004508D" w:rsidRPr="00F21E38">
        <w:rPr>
          <w:rFonts w:ascii="Times New Roman" w:hAnsi="Times New Roman" w:cs="Times New Roman"/>
        </w:rPr>
        <w:t xml:space="preserve"> </w:t>
      </w:r>
    </w:p>
    <w:p w14:paraId="6F8E041E" w14:textId="414453B6" w:rsidR="00BA73F0" w:rsidRPr="00B02D0D" w:rsidRDefault="00BA73F0" w:rsidP="00BA73F0">
      <w:pPr>
        <w:pStyle w:val="Caption"/>
        <w:jc w:val="center"/>
        <w:rPr>
          <w:rFonts w:ascii="Times New Roman" w:hAnsi="Times New Roman" w:cs="Times New Roman"/>
          <w:i w:val="0"/>
          <w:iCs w:val="0"/>
          <w:sz w:val="20"/>
          <w:szCs w:val="20"/>
          <w:lang w:val="bg-BG"/>
        </w:rPr>
      </w:pPr>
      <w:bookmarkStart w:id="11" w:name="_Ref223393968"/>
      <w:r w:rsidRPr="00B02D0D">
        <w:rPr>
          <w:rFonts w:ascii="Times New Roman" w:hAnsi="Times New Roman" w:cs="Times New Roman"/>
          <w:i w:val="0"/>
          <w:iCs w:val="0"/>
          <w:sz w:val="20"/>
          <w:szCs w:val="20"/>
        </w:rPr>
        <w:t xml:space="preserve">Figure </w:t>
      </w:r>
      <w:r w:rsidRPr="00B02D0D">
        <w:rPr>
          <w:rFonts w:ascii="Times New Roman" w:hAnsi="Times New Roman" w:cs="Times New Roman"/>
          <w:i w:val="0"/>
          <w:iCs w:val="0"/>
          <w:sz w:val="20"/>
          <w:szCs w:val="20"/>
        </w:rPr>
        <w:fldChar w:fldCharType="begin"/>
      </w:r>
      <w:r w:rsidRPr="00B02D0D">
        <w:rPr>
          <w:rFonts w:ascii="Times New Roman" w:hAnsi="Times New Roman" w:cs="Times New Roman"/>
          <w:i w:val="0"/>
          <w:iCs w:val="0"/>
          <w:sz w:val="20"/>
          <w:szCs w:val="20"/>
        </w:rPr>
        <w:instrText xml:space="preserve"> SEQ Figure \* ARABIC </w:instrText>
      </w:r>
      <w:r w:rsidRPr="00B02D0D">
        <w:rPr>
          <w:rFonts w:ascii="Times New Roman" w:hAnsi="Times New Roman" w:cs="Times New Roman"/>
          <w:i w:val="0"/>
          <w:iCs w:val="0"/>
          <w:sz w:val="20"/>
          <w:szCs w:val="20"/>
        </w:rPr>
        <w:fldChar w:fldCharType="separate"/>
      </w:r>
      <w:r w:rsidR="0095110B" w:rsidRPr="00B02D0D">
        <w:rPr>
          <w:rFonts w:ascii="Times New Roman" w:hAnsi="Times New Roman" w:cs="Times New Roman"/>
          <w:i w:val="0"/>
          <w:iCs w:val="0"/>
          <w:noProof/>
          <w:sz w:val="20"/>
          <w:szCs w:val="20"/>
        </w:rPr>
        <w:t>2</w:t>
      </w:r>
      <w:r w:rsidRPr="00B02D0D">
        <w:rPr>
          <w:rFonts w:ascii="Times New Roman" w:hAnsi="Times New Roman" w:cs="Times New Roman"/>
          <w:i w:val="0"/>
          <w:iCs w:val="0"/>
          <w:sz w:val="20"/>
          <w:szCs w:val="20"/>
        </w:rPr>
        <w:fldChar w:fldCharType="end"/>
      </w:r>
      <w:bookmarkEnd w:id="11"/>
      <w:r w:rsidR="002F5C35" w:rsidRPr="00B02D0D">
        <w:rPr>
          <w:rFonts w:ascii="Times New Roman" w:hAnsi="Times New Roman" w:cs="Times New Roman"/>
          <w:i w:val="0"/>
          <w:iCs w:val="0"/>
          <w:sz w:val="20"/>
          <w:szCs w:val="20"/>
        </w:rPr>
        <w:t xml:space="preserve">. </w:t>
      </w:r>
      <w:r w:rsidR="002F5C35" w:rsidRPr="00B02D0D">
        <w:rPr>
          <w:rFonts w:ascii="Times New Roman" w:hAnsi="Times New Roman" w:cs="Times New Roman"/>
          <w:i w:val="0"/>
          <w:iCs w:val="0"/>
          <w:sz w:val="20"/>
          <w:szCs w:val="20"/>
        </w:rPr>
        <w:t>Layered data warehouse architecture for DHL UK &amp; European operations.</w:t>
      </w:r>
      <w:r w:rsidR="002F5C35" w:rsidRPr="00B02D0D">
        <w:rPr>
          <w:rFonts w:ascii="Times New Roman" w:hAnsi="Times New Roman" w:cs="Times New Roman"/>
          <w:i w:val="0"/>
          <w:iCs w:val="0"/>
          <w:sz w:val="20"/>
          <w:szCs w:val="20"/>
        </w:rPr>
        <w:br/>
      </w:r>
      <w:r w:rsidR="002F5C35" w:rsidRPr="00B02D0D">
        <w:rPr>
          <w:rFonts w:ascii="Times New Roman" w:hAnsi="Times New Roman" w:cs="Times New Roman"/>
          <w:i w:val="0"/>
          <w:iCs w:val="0"/>
          <w:sz w:val="20"/>
          <w:szCs w:val="20"/>
        </w:rPr>
        <w:t>The diagram presents a multi-layered architecture including source systems, staging area, ETL processes, enterprise data warehouse, and business intelligence data marts, ensuring separation between operational and analytical workloads.</w:t>
      </w:r>
    </w:p>
    <w:p w14:paraId="1D24D5D3" w14:textId="71545982" w:rsidR="0004508D" w:rsidRPr="00F21E38" w:rsidRDefault="00C30173"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lang w:val="bg-BG"/>
        </w:rPr>
        <w:br/>
      </w:r>
      <w:r w:rsidR="0004508D" w:rsidRPr="00F21E38">
        <w:rPr>
          <w:rFonts w:ascii="Times New Roman" w:hAnsi="Times New Roman" w:cs="Times New Roman"/>
          <w:sz w:val="24"/>
          <w:szCs w:val="24"/>
        </w:rPr>
        <w:t xml:space="preserve">Source systems remain the systems of record: OMS for orders and promised dates, WMS at each hub for receipts, put-away, pick/pack, </w:t>
      </w:r>
      <w:proofErr w:type="spellStart"/>
      <w:r w:rsidR="0004508D" w:rsidRPr="00F21E38">
        <w:rPr>
          <w:rFonts w:ascii="Times New Roman" w:hAnsi="Times New Roman" w:cs="Times New Roman"/>
          <w:sz w:val="24"/>
          <w:szCs w:val="24"/>
        </w:rPr>
        <w:t>labour</w:t>
      </w:r>
      <w:proofErr w:type="spellEnd"/>
      <w:r w:rsidR="0004508D" w:rsidRPr="00F21E38">
        <w:rPr>
          <w:rFonts w:ascii="Times New Roman" w:hAnsi="Times New Roman" w:cs="Times New Roman"/>
          <w:sz w:val="24"/>
          <w:szCs w:val="24"/>
        </w:rPr>
        <w:t xml:space="preserve"> assignment and space </w:t>
      </w:r>
      <w:proofErr w:type="spellStart"/>
      <w:r w:rsidR="0004508D" w:rsidRPr="00F21E38">
        <w:rPr>
          <w:rFonts w:ascii="Times New Roman" w:hAnsi="Times New Roman" w:cs="Times New Roman"/>
          <w:sz w:val="24"/>
          <w:szCs w:val="24"/>
        </w:rPr>
        <w:t>utilisation</w:t>
      </w:r>
      <w:proofErr w:type="spellEnd"/>
      <w:r w:rsidR="0004508D" w:rsidRPr="00F21E38">
        <w:rPr>
          <w:rFonts w:ascii="Times New Roman" w:hAnsi="Times New Roman" w:cs="Times New Roman"/>
          <w:sz w:val="24"/>
          <w:szCs w:val="24"/>
        </w:rPr>
        <w:t xml:space="preserve">, TMS for routing and milestone events, telematics for GPS, mileage and fuel, </w:t>
      </w:r>
      <w:proofErr w:type="spellStart"/>
      <w:r w:rsidR="0004508D" w:rsidRPr="00F21E38">
        <w:rPr>
          <w:rFonts w:ascii="Times New Roman" w:hAnsi="Times New Roman" w:cs="Times New Roman"/>
          <w:sz w:val="24"/>
          <w:szCs w:val="24"/>
        </w:rPr>
        <w:t>ePOD</w:t>
      </w:r>
      <w:proofErr w:type="spellEnd"/>
      <w:r w:rsidR="0004508D" w:rsidRPr="00F21E38">
        <w:rPr>
          <w:rFonts w:ascii="Times New Roman" w:hAnsi="Times New Roman" w:cs="Times New Roman"/>
          <w:sz w:val="24"/>
          <w:szCs w:val="24"/>
        </w:rPr>
        <w:t>/exception logs for delivery outcomes, and finance/ERP for invoices, surcharges and cost postings. External feeds (customs status, carrier tracking, emission factors and fuel indices) can enrich analysis without changing operational applications.</w:t>
      </w:r>
    </w:p>
    <w:p w14:paraId="03459F97" w14:textId="77777777" w:rsidR="00BA73F0" w:rsidRPr="00F21E38" w:rsidRDefault="0004508D" w:rsidP="00F21E38">
      <w:pPr>
        <w:keepNext/>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Data first lands in a secure staging/landing zone as time-stamped raw extracts. Keeping raw copies is not just “nice to have”; it supports traceability, reprocessing and audit—important when a client challenges an SLA, disputes a charge, or asks for evidence that a delay happened at a specific hub handover [7]. ETL/ELT </w:t>
      </w:r>
      <w:proofErr w:type="gramStart"/>
      <w:r w:rsidRPr="00F21E38">
        <w:rPr>
          <w:rFonts w:ascii="Times New Roman" w:hAnsi="Times New Roman" w:cs="Times New Roman"/>
          <w:sz w:val="24"/>
          <w:szCs w:val="24"/>
        </w:rPr>
        <w:t>then profiles and</w:t>
      </w:r>
      <w:proofErr w:type="gramEnd"/>
      <w:r w:rsidRPr="00F21E38">
        <w:rPr>
          <w:rFonts w:ascii="Times New Roman" w:hAnsi="Times New Roman" w:cs="Times New Roman"/>
          <w:sz w:val="24"/>
          <w:szCs w:val="24"/>
        </w:rPr>
        <w:t xml:space="preserve"> </w:t>
      </w:r>
      <w:proofErr w:type="gramStart"/>
      <w:r w:rsidRPr="00F21E38">
        <w:rPr>
          <w:rFonts w:ascii="Times New Roman" w:hAnsi="Times New Roman" w:cs="Times New Roman"/>
          <w:sz w:val="24"/>
          <w:szCs w:val="24"/>
        </w:rPr>
        <w:t>validates</w:t>
      </w:r>
      <w:proofErr w:type="gramEnd"/>
      <w:r w:rsidRPr="00F21E38">
        <w:rPr>
          <w:rFonts w:ascii="Times New Roman" w:hAnsi="Times New Roman" w:cs="Times New Roman"/>
          <w:sz w:val="24"/>
          <w:szCs w:val="24"/>
        </w:rPr>
        <w:t xml:space="preserve"> data </w:t>
      </w:r>
      <w:r w:rsidRPr="00F21E38">
        <w:rPr>
          <w:rFonts w:ascii="Times New Roman" w:hAnsi="Times New Roman" w:cs="Times New Roman"/>
          <w:sz w:val="24"/>
          <w:szCs w:val="24"/>
        </w:rPr>
        <w:lastRenderedPageBreak/>
        <w:t xml:space="preserve">(completeness, uniqueness, ranges), </w:t>
      </w:r>
      <w:proofErr w:type="gramStart"/>
      <w:r w:rsidRPr="00F21E38">
        <w:rPr>
          <w:rFonts w:ascii="Times New Roman" w:hAnsi="Times New Roman" w:cs="Times New Roman"/>
          <w:sz w:val="24"/>
          <w:szCs w:val="24"/>
        </w:rPr>
        <w:t>cleans</w:t>
      </w:r>
      <w:proofErr w:type="gramEnd"/>
      <w:r w:rsidRPr="00F21E38">
        <w:rPr>
          <w:rFonts w:ascii="Times New Roman" w:hAnsi="Times New Roman" w:cs="Times New Roman"/>
          <w:sz w:val="24"/>
          <w:szCs w:val="24"/>
        </w:rPr>
        <w:t xml:space="preserve"> typical problems (duplicate shipment IDs from re-sent messages, missing weights, invalid postcodes), and </w:t>
      </w:r>
      <w:proofErr w:type="spellStart"/>
      <w:r w:rsidRPr="00F21E38">
        <w:rPr>
          <w:rFonts w:ascii="Times New Roman" w:hAnsi="Times New Roman" w:cs="Times New Roman"/>
          <w:sz w:val="24"/>
          <w:szCs w:val="24"/>
        </w:rPr>
        <w:t>standardises</w:t>
      </w:r>
      <w:proofErr w:type="spellEnd"/>
      <w:r w:rsidRPr="00F21E38">
        <w:rPr>
          <w:rFonts w:ascii="Times New Roman" w:hAnsi="Times New Roman" w:cs="Times New Roman"/>
          <w:sz w:val="24"/>
          <w:szCs w:val="24"/>
        </w:rPr>
        <w:t xml:space="preserve"> units, currencies and time zones across UK and European operations. Next, conformance rules align master data: one client identifier, one contract code, one site code set, and agreed service types (Standard, Express, Premium Express, VAS). This conformance step is where many </w:t>
      </w:r>
      <w:proofErr w:type="spellStart"/>
      <w:r w:rsidRPr="00F21E38">
        <w:rPr>
          <w:rFonts w:ascii="Times New Roman" w:hAnsi="Times New Roman" w:cs="Times New Roman"/>
          <w:sz w:val="24"/>
          <w:szCs w:val="24"/>
        </w:rPr>
        <w:t>programmes</w:t>
      </w:r>
      <w:proofErr w:type="spellEnd"/>
      <w:r w:rsidRPr="00F21E38">
        <w:rPr>
          <w:rFonts w:ascii="Times New Roman" w:hAnsi="Times New Roman" w:cs="Times New Roman"/>
          <w:sz w:val="24"/>
          <w:szCs w:val="24"/>
        </w:rPr>
        <w:t xml:space="preserve"> fail, so it should be treated as a business agreement, not only an IT mapping</w:t>
      </w:r>
      <w:r w:rsidR="00EC3252" w:rsidRPr="00F21E38">
        <w:rPr>
          <w:rFonts w:ascii="Times New Roman" w:hAnsi="Times New Roman" w:cs="Times New Roman"/>
          <w:sz w:val="24"/>
          <w:szCs w:val="24"/>
          <w:lang w:val="bg-BG"/>
        </w:rPr>
        <w:t xml:space="preserve"> </w:t>
      </w:r>
      <w:r w:rsidRPr="00F21E38">
        <w:rPr>
          <w:rFonts w:ascii="Times New Roman" w:hAnsi="Times New Roman" w:cs="Times New Roman"/>
          <w:sz w:val="24"/>
          <w:szCs w:val="24"/>
        </w:rPr>
        <w:t>exercise [1].</w:t>
      </w:r>
      <w:r w:rsidR="00EC3252" w:rsidRPr="00F21E38">
        <w:rPr>
          <w:rFonts w:ascii="Times New Roman" w:hAnsi="Times New Roman" w:cs="Times New Roman"/>
          <w:noProof/>
          <w:sz w:val="24"/>
          <w:szCs w:val="24"/>
          <w14:ligatures w14:val="standardContextual"/>
        </w:rPr>
        <w:drawing>
          <wp:inline distT="0" distB="0" distL="0" distR="0" wp14:anchorId="6D08B344" wp14:editId="5E3B1DD4">
            <wp:extent cx="5486400" cy="3657600"/>
            <wp:effectExtent l="0" t="0" r="0" b="0"/>
            <wp:docPr id="13057457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45723" name="Picture 13057457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292BB860" w14:textId="645BEA41" w:rsidR="0004508D" w:rsidRPr="00B02D0D" w:rsidRDefault="00BA73F0" w:rsidP="00BA73F0">
      <w:pPr>
        <w:pStyle w:val="Caption"/>
        <w:jc w:val="center"/>
        <w:rPr>
          <w:rFonts w:ascii="Times New Roman" w:hAnsi="Times New Roman" w:cs="Times New Roman"/>
          <w:i w:val="0"/>
          <w:iCs w:val="0"/>
          <w:sz w:val="20"/>
          <w:szCs w:val="20"/>
          <w:lang w:val="bg-BG"/>
        </w:rPr>
      </w:pPr>
      <w:r w:rsidRPr="00B02D0D">
        <w:rPr>
          <w:rFonts w:ascii="Times New Roman" w:hAnsi="Times New Roman" w:cs="Times New Roman"/>
          <w:i w:val="0"/>
          <w:iCs w:val="0"/>
          <w:sz w:val="20"/>
          <w:szCs w:val="20"/>
        </w:rPr>
        <w:t xml:space="preserve">Figure </w:t>
      </w:r>
      <w:r w:rsidRPr="00B02D0D">
        <w:rPr>
          <w:rFonts w:ascii="Times New Roman" w:hAnsi="Times New Roman" w:cs="Times New Roman"/>
          <w:i w:val="0"/>
          <w:iCs w:val="0"/>
          <w:sz w:val="20"/>
          <w:szCs w:val="20"/>
        </w:rPr>
        <w:fldChar w:fldCharType="begin"/>
      </w:r>
      <w:r w:rsidRPr="00B02D0D">
        <w:rPr>
          <w:rFonts w:ascii="Times New Roman" w:hAnsi="Times New Roman" w:cs="Times New Roman"/>
          <w:i w:val="0"/>
          <w:iCs w:val="0"/>
          <w:sz w:val="20"/>
          <w:szCs w:val="20"/>
        </w:rPr>
        <w:instrText xml:space="preserve"> SEQ Figure \* ARABIC </w:instrText>
      </w:r>
      <w:r w:rsidRPr="00B02D0D">
        <w:rPr>
          <w:rFonts w:ascii="Times New Roman" w:hAnsi="Times New Roman" w:cs="Times New Roman"/>
          <w:i w:val="0"/>
          <w:iCs w:val="0"/>
          <w:sz w:val="20"/>
          <w:szCs w:val="20"/>
        </w:rPr>
        <w:fldChar w:fldCharType="separate"/>
      </w:r>
      <w:r w:rsidR="0095110B" w:rsidRPr="00B02D0D">
        <w:rPr>
          <w:rFonts w:ascii="Times New Roman" w:hAnsi="Times New Roman" w:cs="Times New Roman"/>
          <w:i w:val="0"/>
          <w:iCs w:val="0"/>
          <w:noProof/>
          <w:sz w:val="20"/>
          <w:szCs w:val="20"/>
        </w:rPr>
        <w:t>3</w:t>
      </w:r>
      <w:r w:rsidRPr="00B02D0D">
        <w:rPr>
          <w:rFonts w:ascii="Times New Roman" w:hAnsi="Times New Roman" w:cs="Times New Roman"/>
          <w:i w:val="0"/>
          <w:iCs w:val="0"/>
          <w:sz w:val="20"/>
          <w:szCs w:val="20"/>
        </w:rPr>
        <w:fldChar w:fldCharType="end"/>
      </w:r>
      <w:r w:rsidR="002F5C35" w:rsidRPr="00B02D0D">
        <w:rPr>
          <w:rFonts w:ascii="Times New Roman" w:hAnsi="Times New Roman" w:cs="Times New Roman"/>
          <w:i w:val="0"/>
          <w:iCs w:val="0"/>
          <w:sz w:val="20"/>
          <w:szCs w:val="20"/>
        </w:rPr>
        <w:t xml:space="preserve">. </w:t>
      </w:r>
      <w:r w:rsidR="002F5C35" w:rsidRPr="00B02D0D">
        <w:rPr>
          <w:rFonts w:ascii="Times New Roman" w:hAnsi="Times New Roman" w:cs="Times New Roman"/>
          <w:i w:val="0"/>
          <w:iCs w:val="0"/>
          <w:sz w:val="20"/>
          <w:szCs w:val="20"/>
        </w:rPr>
        <w:t>Extract, Transform and Load (ETL) process workflow.</w:t>
      </w:r>
      <w:r w:rsidR="002F5C35" w:rsidRPr="00B02D0D">
        <w:rPr>
          <w:rFonts w:ascii="Times New Roman" w:hAnsi="Times New Roman" w:cs="Times New Roman"/>
          <w:i w:val="0"/>
          <w:iCs w:val="0"/>
          <w:sz w:val="20"/>
          <w:szCs w:val="20"/>
        </w:rPr>
        <w:br/>
      </w:r>
      <w:r w:rsidR="002F5C35" w:rsidRPr="00B02D0D">
        <w:rPr>
          <w:rFonts w:ascii="Times New Roman" w:hAnsi="Times New Roman" w:cs="Times New Roman"/>
          <w:i w:val="0"/>
          <w:iCs w:val="0"/>
          <w:sz w:val="20"/>
          <w:szCs w:val="20"/>
        </w:rPr>
        <w:t xml:space="preserve">This figure demonstrates how operational data is extracted, cleansed, </w:t>
      </w:r>
      <w:proofErr w:type="spellStart"/>
      <w:r w:rsidR="002F5C35" w:rsidRPr="00B02D0D">
        <w:rPr>
          <w:rFonts w:ascii="Times New Roman" w:hAnsi="Times New Roman" w:cs="Times New Roman"/>
          <w:i w:val="0"/>
          <w:iCs w:val="0"/>
          <w:sz w:val="20"/>
          <w:szCs w:val="20"/>
        </w:rPr>
        <w:t>standardised</w:t>
      </w:r>
      <w:proofErr w:type="spellEnd"/>
      <w:r w:rsidR="002F5C35" w:rsidRPr="00B02D0D">
        <w:rPr>
          <w:rFonts w:ascii="Times New Roman" w:hAnsi="Times New Roman" w:cs="Times New Roman"/>
          <w:i w:val="0"/>
          <w:iCs w:val="0"/>
          <w:sz w:val="20"/>
          <w:szCs w:val="20"/>
        </w:rPr>
        <w:t>, enriched, and loaded into the enterprise data warehouse while maintaining data quality, governance, and auditability.</w:t>
      </w:r>
    </w:p>
    <w:p w14:paraId="0D4D019C"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Enrichment adds business attributes such as lane distance bands, cold-chain flags for Heathrow/Lyon flows, hazmat categories for Rotterdam chemical handling, and </w:t>
      </w:r>
      <w:proofErr w:type="spellStart"/>
      <w:r w:rsidRPr="00F21E38">
        <w:rPr>
          <w:rFonts w:ascii="Times New Roman" w:hAnsi="Times New Roman" w:cs="Times New Roman"/>
          <w:sz w:val="24"/>
          <w:szCs w:val="24"/>
        </w:rPr>
        <w:t>CO₂e</w:t>
      </w:r>
      <w:proofErr w:type="spellEnd"/>
      <w:r w:rsidRPr="00F21E38">
        <w:rPr>
          <w:rFonts w:ascii="Times New Roman" w:hAnsi="Times New Roman" w:cs="Times New Roman"/>
          <w:sz w:val="24"/>
          <w:szCs w:val="24"/>
        </w:rPr>
        <w:t xml:space="preserve"> estimates per leg using consistent factor tables. The enterprise data warehouse (EDW) then stores conformed dimensions and facts using surrogate keys and slowly changing </w:t>
      </w:r>
      <w:proofErr w:type="gramStart"/>
      <w:r w:rsidRPr="00F21E38">
        <w:rPr>
          <w:rFonts w:ascii="Times New Roman" w:hAnsi="Times New Roman" w:cs="Times New Roman"/>
          <w:sz w:val="24"/>
          <w:szCs w:val="24"/>
        </w:rPr>
        <w:t>dimensions</w:t>
      </w:r>
      <w:proofErr w:type="gramEnd"/>
      <w:r w:rsidRPr="00F21E38">
        <w:rPr>
          <w:rFonts w:ascii="Times New Roman" w:hAnsi="Times New Roman" w:cs="Times New Roman"/>
          <w:sz w:val="24"/>
          <w:szCs w:val="24"/>
        </w:rPr>
        <w:t xml:space="preserve"> so history is preserved when attributes change (for example, contract SLA tier or pricing bands) [1].</w:t>
      </w:r>
    </w:p>
    <w:p w14:paraId="5E438321"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lastRenderedPageBreak/>
        <w:t xml:space="preserve">On top, curated data marts for Operations, Finance and Client Services expose simplified star schemas and a semantic layer of agreed KPIs. To avoid disrupting daily operations, extraction must be read-only and lightweight: scheduled exports, CDC streams or read replicas, rather than heavy </w:t>
      </w:r>
      <w:proofErr w:type="gramStart"/>
      <w:r w:rsidRPr="00F21E38">
        <w:rPr>
          <w:rFonts w:ascii="Times New Roman" w:hAnsi="Times New Roman" w:cs="Times New Roman"/>
          <w:sz w:val="24"/>
          <w:szCs w:val="24"/>
        </w:rPr>
        <w:t>joins</w:t>
      </w:r>
      <w:proofErr w:type="gramEnd"/>
      <w:r w:rsidRPr="00F21E38">
        <w:rPr>
          <w:rFonts w:ascii="Times New Roman" w:hAnsi="Times New Roman" w:cs="Times New Roman"/>
          <w:sz w:val="24"/>
          <w:szCs w:val="24"/>
        </w:rPr>
        <w:t xml:space="preserve"> on production databases. Loads run off-peak where possible; jobs must be </w:t>
      </w:r>
      <w:proofErr w:type="spellStart"/>
      <w:r w:rsidRPr="00F21E38">
        <w:rPr>
          <w:rFonts w:ascii="Times New Roman" w:hAnsi="Times New Roman" w:cs="Times New Roman"/>
          <w:sz w:val="24"/>
          <w:szCs w:val="24"/>
        </w:rPr>
        <w:t>restartable</w:t>
      </w:r>
      <w:proofErr w:type="spellEnd"/>
      <w:r w:rsidRPr="00F21E38">
        <w:rPr>
          <w:rFonts w:ascii="Times New Roman" w:hAnsi="Times New Roman" w:cs="Times New Roman"/>
          <w:sz w:val="24"/>
          <w:szCs w:val="24"/>
        </w:rPr>
        <w:t xml:space="preserve"> with reconciliation checks (counts/totals vs. source), reject logs and monitoring. DHL should publish refresh SLAs (e.g., hourly ops metrics, daily finance closes) so managers know when numbers are “final”.</w:t>
      </w:r>
    </w:p>
    <w:p w14:paraId="5F0A7170"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A sensible rollout is to pilot Daventry + Heathrow plus Rotterdam first, then onboard </w:t>
      </w:r>
      <w:proofErr w:type="spellStart"/>
      <w:r w:rsidRPr="00F21E38">
        <w:rPr>
          <w:rFonts w:ascii="Times New Roman" w:hAnsi="Times New Roman" w:cs="Times New Roman"/>
          <w:sz w:val="24"/>
          <w:szCs w:val="24"/>
        </w:rPr>
        <w:t>Eurocentral</w:t>
      </w:r>
      <w:proofErr w:type="spellEnd"/>
      <w:r w:rsidRPr="00F21E38">
        <w:rPr>
          <w:rFonts w:ascii="Times New Roman" w:hAnsi="Times New Roman" w:cs="Times New Roman"/>
          <w:sz w:val="24"/>
          <w:szCs w:val="24"/>
        </w:rPr>
        <w:t>, Düsseldorf and Lyon once conformance rules are proven.</w:t>
      </w:r>
    </w:p>
    <w:p w14:paraId="3673E148" w14:textId="77777777" w:rsidR="0004508D" w:rsidRPr="00F21E38" w:rsidRDefault="0004508D" w:rsidP="00BA73F0">
      <w:pPr>
        <w:pStyle w:val="Heading3"/>
        <w:rPr>
          <w:rFonts w:ascii="Times New Roman" w:hAnsi="Times New Roman" w:cs="Times New Roman"/>
        </w:rPr>
      </w:pPr>
      <w:bookmarkStart w:id="12" w:name="_Toc223296195"/>
      <w:bookmarkStart w:id="13" w:name="_Toc223316020"/>
      <w:bookmarkStart w:id="14" w:name="_Toc223399786"/>
      <w:r w:rsidRPr="00F21E38">
        <w:rPr>
          <w:rFonts w:ascii="Times New Roman" w:hAnsi="Times New Roman" w:cs="Times New Roman"/>
        </w:rPr>
        <w:t>1.3 Data Marts for Management Decision-Making</w:t>
      </w:r>
      <w:bookmarkEnd w:id="12"/>
      <w:bookmarkEnd w:id="13"/>
      <w:bookmarkEnd w:id="14"/>
    </w:p>
    <w:p w14:paraId="78869F8F" w14:textId="77777777" w:rsidR="00BA73F0" w:rsidRPr="00F21E38" w:rsidRDefault="0004508D" w:rsidP="00F21E38">
      <w:pPr>
        <w:keepNext/>
        <w:spacing w:line="360" w:lineRule="auto"/>
        <w:rPr>
          <w:rFonts w:ascii="Times New Roman" w:hAnsi="Times New Roman" w:cs="Times New Roman"/>
        </w:rPr>
      </w:pPr>
      <w:r w:rsidRPr="00F21E38">
        <w:rPr>
          <w:rFonts w:ascii="Times New Roman" w:hAnsi="Times New Roman" w:cs="Times New Roman"/>
          <w:sz w:val="24"/>
          <w:szCs w:val="24"/>
        </w:rPr>
        <w:t xml:space="preserve">Data marts are curated slices of the EDW tailored to decision makers, but they must share conformed </w:t>
      </w:r>
      <w:proofErr w:type="gramStart"/>
      <w:r w:rsidRPr="00F21E38">
        <w:rPr>
          <w:rFonts w:ascii="Times New Roman" w:hAnsi="Times New Roman" w:cs="Times New Roman"/>
          <w:sz w:val="24"/>
          <w:szCs w:val="24"/>
        </w:rPr>
        <w:t>dimensions</w:t>
      </w:r>
      <w:proofErr w:type="gramEnd"/>
      <w:r w:rsidRPr="00F21E38">
        <w:rPr>
          <w:rFonts w:ascii="Times New Roman" w:hAnsi="Times New Roman" w:cs="Times New Roman"/>
          <w:sz w:val="24"/>
          <w:szCs w:val="24"/>
        </w:rPr>
        <w:t xml:space="preserve"> so DHL avoids “multiple versions of the truth” [1]. In practice, Date/Time, Client, Contract, Site/Hub, Service Type and Mode are reused everywhere, and KPI definitions (for example, on-time rules, “handover delay” logic, and fuel surcharge treatment) are implemented once in the semantic layer rather than re-built in </w:t>
      </w:r>
      <w:r w:rsidRPr="00F21E38">
        <w:rPr>
          <w:rFonts w:ascii="Times New Roman" w:hAnsi="Times New Roman" w:cs="Times New Roman"/>
          <w:sz w:val="24"/>
          <w:szCs w:val="24"/>
        </w:rPr>
        <w:lastRenderedPageBreak/>
        <w:t>every dashboard</w:t>
      </w:r>
      <w:r w:rsidRPr="00F21E38">
        <w:rPr>
          <w:rFonts w:ascii="Times New Roman" w:hAnsi="Times New Roman" w:cs="Times New Roman"/>
        </w:rPr>
        <w:t>.</w:t>
      </w:r>
      <w:r w:rsidR="00EC3252" w:rsidRPr="00F21E38">
        <w:rPr>
          <w:rFonts w:ascii="Times New Roman" w:hAnsi="Times New Roman" w:cs="Times New Roman"/>
          <w:noProof/>
          <w14:ligatures w14:val="standardContextual"/>
        </w:rPr>
        <w:drawing>
          <wp:inline distT="0" distB="0" distL="0" distR="0" wp14:anchorId="016C83C0" wp14:editId="205B00D1">
            <wp:extent cx="5486400" cy="3657600"/>
            <wp:effectExtent l="0" t="0" r="0" b="0"/>
            <wp:docPr id="12234530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53034" name="Picture 12234530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169656CF" w14:textId="62B44918" w:rsidR="0004508D" w:rsidRPr="00B02D0D" w:rsidRDefault="00BA73F0" w:rsidP="00BA73F0">
      <w:pPr>
        <w:pStyle w:val="Caption"/>
        <w:jc w:val="center"/>
        <w:rPr>
          <w:rFonts w:ascii="Times New Roman" w:hAnsi="Times New Roman" w:cs="Times New Roman"/>
          <w:i w:val="0"/>
          <w:iCs w:val="0"/>
          <w:sz w:val="20"/>
          <w:szCs w:val="20"/>
          <w:lang w:val="bg-BG"/>
        </w:rPr>
      </w:pPr>
      <w:r w:rsidRPr="00B02D0D">
        <w:rPr>
          <w:rFonts w:ascii="Times New Roman" w:hAnsi="Times New Roman" w:cs="Times New Roman"/>
          <w:i w:val="0"/>
          <w:iCs w:val="0"/>
          <w:sz w:val="20"/>
          <w:szCs w:val="20"/>
        </w:rPr>
        <w:t xml:space="preserve">Figure </w:t>
      </w:r>
      <w:r w:rsidRPr="00B02D0D">
        <w:rPr>
          <w:rFonts w:ascii="Times New Roman" w:hAnsi="Times New Roman" w:cs="Times New Roman"/>
          <w:i w:val="0"/>
          <w:iCs w:val="0"/>
          <w:sz w:val="20"/>
          <w:szCs w:val="20"/>
        </w:rPr>
        <w:fldChar w:fldCharType="begin"/>
      </w:r>
      <w:r w:rsidRPr="00B02D0D">
        <w:rPr>
          <w:rFonts w:ascii="Times New Roman" w:hAnsi="Times New Roman" w:cs="Times New Roman"/>
          <w:i w:val="0"/>
          <w:iCs w:val="0"/>
          <w:sz w:val="20"/>
          <w:szCs w:val="20"/>
        </w:rPr>
        <w:instrText xml:space="preserve"> SEQ Figure \* ARABIC </w:instrText>
      </w:r>
      <w:r w:rsidRPr="00B02D0D">
        <w:rPr>
          <w:rFonts w:ascii="Times New Roman" w:hAnsi="Times New Roman" w:cs="Times New Roman"/>
          <w:i w:val="0"/>
          <w:iCs w:val="0"/>
          <w:sz w:val="20"/>
          <w:szCs w:val="20"/>
        </w:rPr>
        <w:fldChar w:fldCharType="separate"/>
      </w:r>
      <w:r w:rsidR="0095110B" w:rsidRPr="00B02D0D">
        <w:rPr>
          <w:rFonts w:ascii="Times New Roman" w:hAnsi="Times New Roman" w:cs="Times New Roman"/>
          <w:i w:val="0"/>
          <w:iCs w:val="0"/>
          <w:noProof/>
          <w:sz w:val="20"/>
          <w:szCs w:val="20"/>
        </w:rPr>
        <w:t>4</w:t>
      </w:r>
      <w:r w:rsidRPr="00B02D0D">
        <w:rPr>
          <w:rFonts w:ascii="Times New Roman" w:hAnsi="Times New Roman" w:cs="Times New Roman"/>
          <w:i w:val="0"/>
          <w:iCs w:val="0"/>
          <w:sz w:val="20"/>
          <w:szCs w:val="20"/>
        </w:rPr>
        <w:fldChar w:fldCharType="end"/>
      </w:r>
      <w:r w:rsidR="002F5C35" w:rsidRPr="00B02D0D">
        <w:rPr>
          <w:rFonts w:ascii="Times New Roman" w:hAnsi="Times New Roman" w:cs="Times New Roman"/>
          <w:i w:val="0"/>
          <w:iCs w:val="0"/>
          <w:sz w:val="20"/>
          <w:szCs w:val="20"/>
        </w:rPr>
        <w:t xml:space="preserve">. </w:t>
      </w:r>
      <w:r w:rsidR="002F5C35" w:rsidRPr="00B02D0D">
        <w:rPr>
          <w:rFonts w:ascii="Times New Roman" w:hAnsi="Times New Roman" w:cs="Times New Roman"/>
          <w:i w:val="0"/>
          <w:iCs w:val="0"/>
          <w:sz w:val="20"/>
          <w:szCs w:val="20"/>
        </w:rPr>
        <w:t>Departmental data marts derived from the enterprise data warehouse.</w:t>
      </w:r>
      <w:r w:rsidR="002F5C35" w:rsidRPr="00B02D0D">
        <w:rPr>
          <w:rFonts w:ascii="Times New Roman" w:hAnsi="Times New Roman" w:cs="Times New Roman"/>
          <w:i w:val="0"/>
          <w:iCs w:val="0"/>
          <w:sz w:val="20"/>
          <w:szCs w:val="20"/>
        </w:rPr>
        <w:br/>
      </w:r>
      <w:r w:rsidR="002F5C35" w:rsidRPr="00B02D0D">
        <w:rPr>
          <w:rFonts w:ascii="Times New Roman" w:hAnsi="Times New Roman" w:cs="Times New Roman"/>
          <w:i w:val="0"/>
          <w:iCs w:val="0"/>
          <w:sz w:val="20"/>
          <w:szCs w:val="20"/>
        </w:rPr>
        <w:t xml:space="preserve">The diagram illustrates how conformed dimensions enable the creation of </w:t>
      </w:r>
      <w:proofErr w:type="spellStart"/>
      <w:r w:rsidR="002F5C35" w:rsidRPr="00B02D0D">
        <w:rPr>
          <w:rFonts w:ascii="Times New Roman" w:hAnsi="Times New Roman" w:cs="Times New Roman"/>
          <w:i w:val="0"/>
          <w:iCs w:val="0"/>
          <w:sz w:val="20"/>
          <w:szCs w:val="20"/>
        </w:rPr>
        <w:t>specialised</w:t>
      </w:r>
      <w:proofErr w:type="spellEnd"/>
      <w:r w:rsidR="002F5C35" w:rsidRPr="00B02D0D">
        <w:rPr>
          <w:rFonts w:ascii="Times New Roman" w:hAnsi="Times New Roman" w:cs="Times New Roman"/>
          <w:i w:val="0"/>
          <w:iCs w:val="0"/>
          <w:sz w:val="20"/>
          <w:szCs w:val="20"/>
        </w:rPr>
        <w:t xml:space="preserve"> data marts for Operations, Finance, and Client Services while maintaining a single version of the truth.</w:t>
      </w:r>
    </w:p>
    <w:p w14:paraId="208CF9E6"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Operations Performance mart (Managing Director): This mart combines </w:t>
      </w:r>
      <w:proofErr w:type="spellStart"/>
      <w:r w:rsidRPr="00F21E38">
        <w:rPr>
          <w:rFonts w:ascii="Times New Roman" w:hAnsi="Times New Roman" w:cs="Times New Roman"/>
          <w:sz w:val="24"/>
          <w:szCs w:val="24"/>
        </w:rPr>
        <w:t>FactShipmentLeg</w:t>
      </w:r>
      <w:proofErr w:type="spellEnd"/>
      <w:r w:rsidRPr="00F21E38">
        <w:rPr>
          <w:rFonts w:ascii="Times New Roman" w:hAnsi="Times New Roman" w:cs="Times New Roman"/>
          <w:sz w:val="24"/>
          <w:szCs w:val="24"/>
        </w:rPr>
        <w:t xml:space="preserve"> with warehouse activity and capacity snapshots to run the UK–Europe network. Typical views include lane heatmaps (</w:t>
      </w:r>
      <w:proofErr w:type="spellStart"/>
      <w:r w:rsidRPr="00F21E38">
        <w:rPr>
          <w:rFonts w:ascii="Times New Roman" w:hAnsi="Times New Roman" w:cs="Times New Roman"/>
          <w:sz w:val="24"/>
          <w:szCs w:val="24"/>
        </w:rPr>
        <w:t>Daventry→Heathrow→Rotterdam</w:t>
      </w:r>
      <w:proofErr w:type="spellEnd"/>
      <w:r w:rsidRPr="00F21E38">
        <w:rPr>
          <w:rFonts w:ascii="Times New Roman" w:hAnsi="Times New Roman" w:cs="Times New Roman"/>
          <w:sz w:val="24"/>
          <w:szCs w:val="24"/>
        </w:rPr>
        <w:t xml:space="preserve">), hub dwell-time trends, exception breakdowns (customs hold, missed cut-off, damage), and productivity dashboards for pick/pack/put-away. It supports practical decisions: whether Heathrow needs more cold-chain staging during peaks, whether Rotterdam cross-dock is </w:t>
      </w:r>
      <w:proofErr w:type="gramStart"/>
      <w:r w:rsidRPr="00F21E38">
        <w:rPr>
          <w:rFonts w:ascii="Times New Roman" w:hAnsi="Times New Roman" w:cs="Times New Roman"/>
          <w:sz w:val="24"/>
          <w:szCs w:val="24"/>
        </w:rPr>
        <w:t>saturating</w:t>
      </w:r>
      <w:proofErr w:type="gramEnd"/>
      <w:r w:rsidRPr="00F21E38">
        <w:rPr>
          <w:rFonts w:ascii="Times New Roman" w:hAnsi="Times New Roman" w:cs="Times New Roman"/>
          <w:sz w:val="24"/>
          <w:szCs w:val="24"/>
        </w:rPr>
        <w:t xml:space="preserve"> at specific shift times, or whether a Daventry outbound schedule change would reduce missed connections. Because operations teams want speed, this mart can refresh hourly and keep a short reprocessing window for late events like </w:t>
      </w:r>
      <w:proofErr w:type="spellStart"/>
      <w:r w:rsidRPr="00F21E38">
        <w:rPr>
          <w:rFonts w:ascii="Times New Roman" w:hAnsi="Times New Roman" w:cs="Times New Roman"/>
          <w:sz w:val="24"/>
          <w:szCs w:val="24"/>
        </w:rPr>
        <w:t>ePOD</w:t>
      </w:r>
      <w:proofErr w:type="spellEnd"/>
      <w:r w:rsidRPr="00F21E38">
        <w:rPr>
          <w:rFonts w:ascii="Times New Roman" w:hAnsi="Times New Roman" w:cs="Times New Roman"/>
          <w:sz w:val="24"/>
          <w:szCs w:val="24"/>
        </w:rPr>
        <w:t>.</w:t>
      </w:r>
    </w:p>
    <w:p w14:paraId="5B5BB6F5"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Finance &amp; Profitability mart (Finance Director): DHL pricing is complex (volume discounts, Premium Express surcharges, VAS fees, fuel indices), so the finance mart links </w:t>
      </w:r>
      <w:proofErr w:type="spellStart"/>
      <w:r w:rsidRPr="00F21E38">
        <w:rPr>
          <w:rFonts w:ascii="Times New Roman" w:hAnsi="Times New Roman" w:cs="Times New Roman"/>
          <w:sz w:val="24"/>
          <w:szCs w:val="24"/>
        </w:rPr>
        <w:t>FactInvoiceLine</w:t>
      </w:r>
      <w:proofErr w:type="spellEnd"/>
      <w:r w:rsidRPr="00F21E38">
        <w:rPr>
          <w:rFonts w:ascii="Times New Roman" w:hAnsi="Times New Roman" w:cs="Times New Roman"/>
          <w:sz w:val="24"/>
          <w:szCs w:val="24"/>
        </w:rPr>
        <w:t xml:space="preserve"> and </w:t>
      </w:r>
      <w:proofErr w:type="spellStart"/>
      <w:r w:rsidRPr="00F21E38">
        <w:rPr>
          <w:rFonts w:ascii="Times New Roman" w:hAnsi="Times New Roman" w:cs="Times New Roman"/>
          <w:sz w:val="24"/>
          <w:szCs w:val="24"/>
        </w:rPr>
        <w:t>FactCostLine</w:t>
      </w:r>
      <w:proofErr w:type="spellEnd"/>
      <w:r w:rsidRPr="00F21E38">
        <w:rPr>
          <w:rFonts w:ascii="Times New Roman" w:hAnsi="Times New Roman" w:cs="Times New Roman"/>
          <w:sz w:val="24"/>
          <w:szCs w:val="24"/>
        </w:rPr>
        <w:t xml:space="preserve"> to the same operational dimensions. This enables margin and cost-to-serve by client, contract, lane and site, with reconciliation back to </w:t>
      </w:r>
      <w:r w:rsidRPr="00F21E38">
        <w:rPr>
          <w:rFonts w:ascii="Times New Roman" w:hAnsi="Times New Roman" w:cs="Times New Roman"/>
          <w:sz w:val="24"/>
          <w:szCs w:val="24"/>
        </w:rPr>
        <w:lastRenderedPageBreak/>
        <w:t>ERP totals and GL accounts [7]. It also supports “why” questions, not only “what”: if Premium Express profit drops, is it due to carrier costs, overtime in a hub, or customs delay penalties?</w:t>
      </w:r>
    </w:p>
    <w:p w14:paraId="6886BD01"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Client Insight mart (Sales &amp; Marketing Director): This mart links performance to customer interactions (complaints, claims and returns disposition) and service mix. Account teams can track SLA adherence by contract tier, repeated exceptions after Rotterdam cross-dock, and seasonal demand by sector (retail vs life sciences). It supports retention actions for at-risk accounts and targeted growth (e.g., proposing VAS kitting or Premium Express to high-value goods at Heathrow) [11]. Access is tighter because it exposes contract terms and sensitive service issues, so row-level security is recommended [6].</w:t>
      </w:r>
    </w:p>
    <w:p w14:paraId="140DADB3"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Together, the marts reduce report complexity while keeping governance central: one glossary, one KPI catalogue, and auditable lineage. Certified datasets also enable self-service BI and reduce “spreadsheet wars” in monthly meetings.</w:t>
      </w:r>
    </w:p>
    <w:p w14:paraId="6BCD79CD" w14:textId="77777777" w:rsidR="0004508D" w:rsidRPr="00F21E38" w:rsidRDefault="0004508D" w:rsidP="00BA73F0">
      <w:pPr>
        <w:pStyle w:val="Heading3"/>
        <w:rPr>
          <w:rFonts w:ascii="Times New Roman" w:hAnsi="Times New Roman" w:cs="Times New Roman"/>
        </w:rPr>
      </w:pPr>
      <w:bookmarkStart w:id="15" w:name="_Toc223296196"/>
      <w:bookmarkStart w:id="16" w:name="_Toc223316021"/>
      <w:bookmarkStart w:id="17" w:name="_Toc223399787"/>
      <w:r w:rsidRPr="00F21E38">
        <w:rPr>
          <w:rFonts w:ascii="Times New Roman" w:hAnsi="Times New Roman" w:cs="Times New Roman"/>
        </w:rPr>
        <w:t>1.4 OLTP Normalisation vs. Dimensional Modelling</w:t>
      </w:r>
      <w:bookmarkEnd w:id="15"/>
      <w:bookmarkEnd w:id="16"/>
      <w:bookmarkEnd w:id="17"/>
    </w:p>
    <w:p w14:paraId="44C69C24"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OLTP systems are usually </w:t>
      </w:r>
      <w:proofErr w:type="spellStart"/>
      <w:r w:rsidRPr="00F21E38">
        <w:rPr>
          <w:rFonts w:ascii="Times New Roman" w:hAnsi="Times New Roman" w:cs="Times New Roman"/>
          <w:sz w:val="24"/>
          <w:szCs w:val="24"/>
        </w:rPr>
        <w:t>normalised</w:t>
      </w:r>
      <w:proofErr w:type="spellEnd"/>
      <w:r w:rsidRPr="00F21E38">
        <w:rPr>
          <w:rFonts w:ascii="Times New Roman" w:hAnsi="Times New Roman" w:cs="Times New Roman"/>
          <w:sz w:val="24"/>
          <w:szCs w:val="24"/>
        </w:rPr>
        <w:t xml:space="preserve"> (often to 3NF) to reduce redundancy and keep updates correct under heavy concurrency [5]. In a WMS, for example, SKUs, bins, tasks, staff and inventory balances are stored in separate tables with keys and constraints. This supports fast inserts/updates, but analytical queries become slow and hard to write because they require many </w:t>
      </w:r>
      <w:proofErr w:type="gramStart"/>
      <w:r w:rsidRPr="00F21E38">
        <w:rPr>
          <w:rFonts w:ascii="Times New Roman" w:hAnsi="Times New Roman" w:cs="Times New Roman"/>
          <w:sz w:val="24"/>
          <w:szCs w:val="24"/>
        </w:rPr>
        <w:t>joins</w:t>
      </w:r>
      <w:proofErr w:type="gramEnd"/>
      <w:r w:rsidRPr="00F21E38">
        <w:rPr>
          <w:rFonts w:ascii="Times New Roman" w:hAnsi="Times New Roman" w:cs="Times New Roman"/>
          <w:sz w:val="24"/>
          <w:szCs w:val="24"/>
        </w:rPr>
        <w:t xml:space="preserve"> and can compete with live warehouse and transport workloads. In practice, analysts often end up exporting data and rebuilding logic in spreadsheets, which is risky and inconsistent.</w:t>
      </w:r>
    </w:p>
    <w:p w14:paraId="4A978730" w14:textId="77777777" w:rsidR="00BA73F0" w:rsidRPr="00F21E38" w:rsidRDefault="0004508D" w:rsidP="00F21E38">
      <w:pPr>
        <w:keepNext/>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A data warehouse typically uses dimensional modelling. A star schema places a fact table (measurements at a defined grain) in the </w:t>
      </w:r>
      <w:proofErr w:type="spellStart"/>
      <w:r w:rsidRPr="00F21E38">
        <w:rPr>
          <w:rFonts w:ascii="Times New Roman" w:hAnsi="Times New Roman" w:cs="Times New Roman"/>
          <w:sz w:val="24"/>
          <w:szCs w:val="24"/>
        </w:rPr>
        <w:t>centre</w:t>
      </w:r>
      <w:proofErr w:type="spellEnd"/>
      <w:r w:rsidRPr="00F21E38">
        <w:rPr>
          <w:rFonts w:ascii="Times New Roman" w:hAnsi="Times New Roman" w:cs="Times New Roman"/>
          <w:sz w:val="24"/>
          <w:szCs w:val="24"/>
        </w:rPr>
        <w:t xml:space="preserve"> and connects it to </w:t>
      </w:r>
      <w:proofErr w:type="spellStart"/>
      <w:r w:rsidRPr="00F21E38">
        <w:rPr>
          <w:rFonts w:ascii="Times New Roman" w:hAnsi="Times New Roman" w:cs="Times New Roman"/>
          <w:sz w:val="24"/>
          <w:szCs w:val="24"/>
        </w:rPr>
        <w:t>denormalised</w:t>
      </w:r>
      <w:proofErr w:type="spellEnd"/>
      <w:r w:rsidRPr="00F21E38">
        <w:rPr>
          <w:rFonts w:ascii="Times New Roman" w:hAnsi="Times New Roman" w:cs="Times New Roman"/>
          <w:sz w:val="24"/>
          <w:szCs w:val="24"/>
        </w:rPr>
        <w:t xml:space="preserve"> dimensions that provide business context [1]. For DHL, a useful grain is one shipment leg between hubs, because that is where cross-regional delays and handover issues usually show up. </w:t>
      </w:r>
      <w:proofErr w:type="spellStart"/>
      <w:r w:rsidRPr="00F21E38">
        <w:rPr>
          <w:rFonts w:ascii="Times New Roman" w:hAnsi="Times New Roman" w:cs="Times New Roman"/>
          <w:sz w:val="24"/>
          <w:szCs w:val="24"/>
        </w:rPr>
        <w:t>FactShipmentLeg</w:t>
      </w:r>
      <w:proofErr w:type="spellEnd"/>
      <w:r w:rsidRPr="00F21E38">
        <w:rPr>
          <w:rFonts w:ascii="Times New Roman" w:hAnsi="Times New Roman" w:cs="Times New Roman"/>
          <w:sz w:val="24"/>
          <w:szCs w:val="24"/>
        </w:rPr>
        <w:t xml:space="preserve"> can store planned/actual timestamps, transit and delay minutes, distance, weight/volume, packages, cost, revenue and </w:t>
      </w:r>
      <w:proofErr w:type="spellStart"/>
      <w:r w:rsidRPr="00F21E38">
        <w:rPr>
          <w:rFonts w:ascii="Times New Roman" w:hAnsi="Times New Roman" w:cs="Times New Roman"/>
          <w:sz w:val="24"/>
          <w:szCs w:val="24"/>
        </w:rPr>
        <w:t>CO₂e</w:t>
      </w:r>
      <w:proofErr w:type="spellEnd"/>
      <w:r w:rsidRPr="00F21E38">
        <w:rPr>
          <w:rFonts w:ascii="Times New Roman" w:hAnsi="Times New Roman" w:cs="Times New Roman"/>
          <w:sz w:val="24"/>
          <w:szCs w:val="24"/>
        </w:rPr>
        <w:t xml:space="preserve">, plus a degenerate </w:t>
      </w:r>
      <w:proofErr w:type="spellStart"/>
      <w:r w:rsidRPr="00F21E38">
        <w:rPr>
          <w:rFonts w:ascii="Times New Roman" w:hAnsi="Times New Roman" w:cs="Times New Roman"/>
          <w:sz w:val="24"/>
          <w:szCs w:val="24"/>
        </w:rPr>
        <w:t>ShipmentID</w:t>
      </w:r>
      <w:proofErr w:type="spellEnd"/>
      <w:r w:rsidRPr="00F21E38">
        <w:rPr>
          <w:rFonts w:ascii="Times New Roman" w:hAnsi="Times New Roman" w:cs="Times New Roman"/>
          <w:sz w:val="24"/>
          <w:szCs w:val="24"/>
        </w:rPr>
        <w:t xml:space="preserve"> for drill-through. Dimensions include Date/Time, Client, Contract, Service </w:t>
      </w:r>
      <w:r w:rsidRPr="00F21E38">
        <w:rPr>
          <w:rFonts w:ascii="Times New Roman" w:hAnsi="Times New Roman" w:cs="Times New Roman"/>
          <w:sz w:val="24"/>
          <w:szCs w:val="24"/>
        </w:rPr>
        <w:lastRenderedPageBreak/>
        <w:t>Type, Mode, Carrier, Vehicle/Driver, Exception, and Location role-played as Origin and Destination.</w:t>
      </w:r>
      <w:r w:rsidR="00EC3252" w:rsidRPr="00F21E38">
        <w:rPr>
          <w:rFonts w:ascii="Times New Roman" w:hAnsi="Times New Roman" w:cs="Times New Roman"/>
          <w:noProof/>
          <w:sz w:val="24"/>
          <w:szCs w:val="24"/>
          <w14:ligatures w14:val="standardContextual"/>
        </w:rPr>
        <w:drawing>
          <wp:inline distT="0" distB="0" distL="0" distR="0" wp14:anchorId="25738E4A" wp14:editId="478DA761">
            <wp:extent cx="5486400" cy="3657600"/>
            <wp:effectExtent l="0" t="0" r="0" b="0"/>
            <wp:docPr id="7224825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82540" name="Picture 72248254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1260F5DC" w14:textId="38BB9277" w:rsidR="0004508D" w:rsidRPr="00B02D0D" w:rsidRDefault="00BA73F0" w:rsidP="00BA73F0">
      <w:pPr>
        <w:pStyle w:val="Caption"/>
        <w:jc w:val="center"/>
        <w:rPr>
          <w:rFonts w:ascii="Times New Roman" w:hAnsi="Times New Roman" w:cs="Times New Roman"/>
          <w:i w:val="0"/>
          <w:iCs w:val="0"/>
          <w:sz w:val="20"/>
          <w:szCs w:val="20"/>
          <w:lang w:val="bg-BG"/>
        </w:rPr>
      </w:pPr>
      <w:bookmarkStart w:id="18" w:name="_Ref223393918"/>
      <w:r w:rsidRPr="00B02D0D">
        <w:rPr>
          <w:rFonts w:ascii="Times New Roman" w:hAnsi="Times New Roman" w:cs="Times New Roman"/>
          <w:i w:val="0"/>
          <w:iCs w:val="0"/>
          <w:sz w:val="20"/>
          <w:szCs w:val="20"/>
        </w:rPr>
        <w:t xml:space="preserve">Figure </w:t>
      </w:r>
      <w:r w:rsidRPr="00B02D0D">
        <w:rPr>
          <w:rFonts w:ascii="Times New Roman" w:hAnsi="Times New Roman" w:cs="Times New Roman"/>
          <w:i w:val="0"/>
          <w:iCs w:val="0"/>
          <w:sz w:val="20"/>
          <w:szCs w:val="20"/>
        </w:rPr>
        <w:fldChar w:fldCharType="begin"/>
      </w:r>
      <w:r w:rsidRPr="00B02D0D">
        <w:rPr>
          <w:rFonts w:ascii="Times New Roman" w:hAnsi="Times New Roman" w:cs="Times New Roman"/>
          <w:i w:val="0"/>
          <w:iCs w:val="0"/>
          <w:sz w:val="20"/>
          <w:szCs w:val="20"/>
        </w:rPr>
        <w:instrText xml:space="preserve"> SEQ Figure \* ARABIC </w:instrText>
      </w:r>
      <w:r w:rsidRPr="00B02D0D">
        <w:rPr>
          <w:rFonts w:ascii="Times New Roman" w:hAnsi="Times New Roman" w:cs="Times New Roman"/>
          <w:i w:val="0"/>
          <w:iCs w:val="0"/>
          <w:sz w:val="20"/>
          <w:szCs w:val="20"/>
        </w:rPr>
        <w:fldChar w:fldCharType="separate"/>
      </w:r>
      <w:r w:rsidR="0095110B" w:rsidRPr="00B02D0D">
        <w:rPr>
          <w:rFonts w:ascii="Times New Roman" w:hAnsi="Times New Roman" w:cs="Times New Roman"/>
          <w:i w:val="0"/>
          <w:iCs w:val="0"/>
          <w:noProof/>
          <w:sz w:val="20"/>
          <w:szCs w:val="20"/>
        </w:rPr>
        <w:t>5</w:t>
      </w:r>
      <w:r w:rsidRPr="00B02D0D">
        <w:rPr>
          <w:rFonts w:ascii="Times New Roman" w:hAnsi="Times New Roman" w:cs="Times New Roman"/>
          <w:i w:val="0"/>
          <w:iCs w:val="0"/>
          <w:sz w:val="20"/>
          <w:szCs w:val="20"/>
        </w:rPr>
        <w:fldChar w:fldCharType="end"/>
      </w:r>
      <w:bookmarkEnd w:id="18"/>
      <w:r w:rsidR="002F5C35" w:rsidRPr="00B02D0D">
        <w:rPr>
          <w:rFonts w:ascii="Times New Roman" w:hAnsi="Times New Roman" w:cs="Times New Roman"/>
          <w:i w:val="0"/>
          <w:iCs w:val="0"/>
          <w:sz w:val="20"/>
          <w:szCs w:val="20"/>
        </w:rPr>
        <w:t xml:space="preserve">. </w:t>
      </w:r>
      <w:r w:rsidR="002F5C35" w:rsidRPr="00B02D0D">
        <w:rPr>
          <w:rFonts w:ascii="Times New Roman" w:hAnsi="Times New Roman" w:cs="Times New Roman"/>
          <w:i w:val="0"/>
          <w:iCs w:val="0"/>
          <w:sz w:val="20"/>
          <w:szCs w:val="20"/>
        </w:rPr>
        <w:t>Shipment-leg star schema model with conformed dimensions.</w:t>
      </w:r>
      <w:r w:rsidR="002F5C35" w:rsidRPr="00B02D0D">
        <w:rPr>
          <w:rFonts w:ascii="Times New Roman" w:hAnsi="Times New Roman" w:cs="Times New Roman"/>
          <w:i w:val="0"/>
          <w:iCs w:val="0"/>
          <w:sz w:val="20"/>
          <w:szCs w:val="20"/>
        </w:rPr>
        <w:br/>
      </w:r>
      <w:r w:rsidR="002F5C35" w:rsidRPr="00B02D0D">
        <w:rPr>
          <w:rFonts w:ascii="Times New Roman" w:hAnsi="Times New Roman" w:cs="Times New Roman"/>
          <w:i w:val="0"/>
          <w:iCs w:val="0"/>
          <w:sz w:val="20"/>
          <w:szCs w:val="20"/>
        </w:rPr>
        <w:t xml:space="preserve">The star schema represents the core analytical model </w:t>
      </w:r>
      <w:proofErr w:type="spellStart"/>
      <w:r w:rsidR="002F5C35" w:rsidRPr="00B02D0D">
        <w:rPr>
          <w:rFonts w:ascii="Times New Roman" w:hAnsi="Times New Roman" w:cs="Times New Roman"/>
          <w:i w:val="0"/>
          <w:iCs w:val="0"/>
          <w:sz w:val="20"/>
          <w:szCs w:val="20"/>
        </w:rPr>
        <w:t>centred</w:t>
      </w:r>
      <w:proofErr w:type="spellEnd"/>
      <w:r w:rsidR="002F5C35" w:rsidRPr="00B02D0D">
        <w:rPr>
          <w:rFonts w:ascii="Times New Roman" w:hAnsi="Times New Roman" w:cs="Times New Roman"/>
          <w:i w:val="0"/>
          <w:iCs w:val="0"/>
          <w:sz w:val="20"/>
          <w:szCs w:val="20"/>
        </w:rPr>
        <w:t xml:space="preserve"> on </w:t>
      </w:r>
      <w:proofErr w:type="spellStart"/>
      <w:r w:rsidR="002F5C35" w:rsidRPr="00B02D0D">
        <w:rPr>
          <w:rFonts w:ascii="Times New Roman" w:hAnsi="Times New Roman" w:cs="Times New Roman"/>
          <w:i w:val="0"/>
          <w:iCs w:val="0"/>
          <w:sz w:val="20"/>
          <w:szCs w:val="20"/>
        </w:rPr>
        <w:t>FactShipmentLeg</w:t>
      </w:r>
      <w:proofErr w:type="spellEnd"/>
      <w:r w:rsidR="002F5C35" w:rsidRPr="00B02D0D">
        <w:rPr>
          <w:rFonts w:ascii="Times New Roman" w:hAnsi="Times New Roman" w:cs="Times New Roman"/>
          <w:i w:val="0"/>
          <w:iCs w:val="0"/>
          <w:sz w:val="20"/>
          <w:szCs w:val="20"/>
        </w:rPr>
        <w:t>, surrounded by shared dimensional tables that support multi-dimensional analysis across time, client, contract, service, and location perspectives.</w:t>
      </w:r>
    </w:p>
    <w:p w14:paraId="6ED027CB" w14:textId="39098E92" w:rsidR="0004508D" w:rsidRPr="00F21E38" w:rsidRDefault="0004508D" w:rsidP="00F21E38">
      <w:pPr>
        <w:spacing w:line="360" w:lineRule="auto"/>
        <w:rPr>
          <w:rFonts w:ascii="Times New Roman" w:hAnsi="Times New Roman" w:cs="Times New Roman"/>
          <w:sz w:val="24"/>
          <w:szCs w:val="24"/>
          <w:lang w:val="bg-BG"/>
        </w:rPr>
      </w:pPr>
      <w:r w:rsidRPr="00F21E38">
        <w:rPr>
          <w:rFonts w:ascii="Times New Roman" w:hAnsi="Times New Roman" w:cs="Times New Roman"/>
          <w:sz w:val="24"/>
          <w:szCs w:val="24"/>
        </w:rPr>
        <w:t>This model lets DHL slice performance by lane (</w:t>
      </w:r>
      <w:proofErr w:type="spellStart"/>
      <w:r w:rsidRPr="00F21E38">
        <w:rPr>
          <w:rFonts w:ascii="Times New Roman" w:hAnsi="Times New Roman" w:cs="Times New Roman"/>
          <w:sz w:val="24"/>
          <w:szCs w:val="24"/>
        </w:rPr>
        <w:t>Daventry→Heathrow</w:t>
      </w:r>
      <w:proofErr w:type="spellEnd"/>
      <w:r w:rsidRPr="00F21E38">
        <w:rPr>
          <w:rFonts w:ascii="Times New Roman" w:hAnsi="Times New Roman" w:cs="Times New Roman"/>
          <w:sz w:val="24"/>
          <w:szCs w:val="24"/>
        </w:rPr>
        <w:t xml:space="preserve">), by hub (Rotterdam cross-dock), by service (Premium Express) and by client/contract, while keeping operational systems focused on execution. For inventory and </w:t>
      </w:r>
      <w:proofErr w:type="spellStart"/>
      <w:r w:rsidRPr="00F21E38">
        <w:rPr>
          <w:rFonts w:ascii="Times New Roman" w:hAnsi="Times New Roman" w:cs="Times New Roman"/>
          <w:sz w:val="24"/>
          <w:szCs w:val="24"/>
        </w:rPr>
        <w:t>utilisation</w:t>
      </w:r>
      <w:proofErr w:type="spellEnd"/>
      <w:r w:rsidRPr="00F21E38">
        <w:rPr>
          <w:rFonts w:ascii="Times New Roman" w:hAnsi="Times New Roman" w:cs="Times New Roman"/>
          <w:sz w:val="24"/>
          <w:szCs w:val="24"/>
        </w:rPr>
        <w:t>, DHL should add snapshot facts (daily inventory, daily space used) because these measures are semi-additive across time. Finally, surrogate keys and slowly changing dimensions preserve history when SLA tiers or pricing bands change, so reporting remains fair and auditable over time [1].</w:t>
      </w:r>
    </w:p>
    <w:p w14:paraId="4293796D" w14:textId="77777777" w:rsidR="0004508D" w:rsidRPr="00B02D0D" w:rsidRDefault="0004508D" w:rsidP="00BA73F0">
      <w:pPr>
        <w:pStyle w:val="Heading2"/>
        <w:rPr>
          <w:rFonts w:ascii="Times New Roman" w:hAnsi="Times New Roman" w:cs="Times New Roman"/>
          <w:b/>
          <w:bCs/>
        </w:rPr>
      </w:pPr>
      <w:bookmarkStart w:id="19" w:name="_Toc223296197"/>
      <w:bookmarkStart w:id="20" w:name="_Toc223316022"/>
      <w:bookmarkStart w:id="21" w:name="_Toc223399788"/>
      <w:r w:rsidRPr="00B02D0D">
        <w:rPr>
          <w:rFonts w:ascii="Times New Roman" w:hAnsi="Times New Roman" w:cs="Times New Roman"/>
          <w:b/>
          <w:bCs/>
        </w:rPr>
        <w:t>Task 2</w:t>
      </w:r>
      <w:bookmarkEnd w:id="19"/>
      <w:bookmarkEnd w:id="20"/>
      <w:bookmarkEnd w:id="21"/>
    </w:p>
    <w:p w14:paraId="2EA62CFB" w14:textId="77777777" w:rsidR="0004508D" w:rsidRPr="00F21E38" w:rsidRDefault="0004508D" w:rsidP="00BA73F0">
      <w:pPr>
        <w:pStyle w:val="Heading3"/>
        <w:rPr>
          <w:rFonts w:ascii="Times New Roman" w:hAnsi="Times New Roman" w:cs="Times New Roman"/>
        </w:rPr>
      </w:pPr>
      <w:bookmarkStart w:id="22" w:name="_Toc223296198"/>
      <w:bookmarkStart w:id="23" w:name="_Toc223316023"/>
      <w:bookmarkStart w:id="24" w:name="_Toc223399789"/>
      <w:r w:rsidRPr="00F21E38">
        <w:rPr>
          <w:rFonts w:ascii="Times New Roman" w:hAnsi="Times New Roman" w:cs="Times New Roman"/>
        </w:rPr>
        <w:t>2.1 Source System Identification</w:t>
      </w:r>
      <w:bookmarkEnd w:id="22"/>
      <w:bookmarkEnd w:id="23"/>
      <w:bookmarkEnd w:id="24"/>
    </w:p>
    <w:p w14:paraId="38185F9E" w14:textId="77777777"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Internal sources feeding the warehouse are DHL’s OMS (orders, promised dates, discounts, special handling), WMS at each hub (receipts, put-away, pick/pack tasks, </w:t>
      </w:r>
      <w:r w:rsidRPr="00F21E38">
        <w:rPr>
          <w:rFonts w:ascii="Times New Roman" w:hAnsi="Times New Roman" w:cs="Times New Roman"/>
          <w:sz w:val="24"/>
          <w:szCs w:val="24"/>
        </w:rPr>
        <w:lastRenderedPageBreak/>
        <w:t xml:space="preserve">inventory and space </w:t>
      </w:r>
      <w:proofErr w:type="spellStart"/>
      <w:r w:rsidRPr="00F21E38">
        <w:rPr>
          <w:rFonts w:ascii="Times New Roman" w:hAnsi="Times New Roman" w:cs="Times New Roman"/>
          <w:sz w:val="24"/>
          <w:szCs w:val="24"/>
        </w:rPr>
        <w:t>utilisation</w:t>
      </w:r>
      <w:proofErr w:type="spellEnd"/>
      <w:r w:rsidRPr="00F21E38">
        <w:rPr>
          <w:rFonts w:ascii="Times New Roman" w:hAnsi="Times New Roman" w:cs="Times New Roman"/>
          <w:sz w:val="24"/>
          <w:szCs w:val="24"/>
        </w:rPr>
        <w:t xml:space="preserve">), TMS (routes, carrier bookings, planned vs actual milestones), fleet telematics (GPS, mileage, fuel and maintenance), </w:t>
      </w:r>
      <w:proofErr w:type="spellStart"/>
      <w:r w:rsidRPr="00F21E38">
        <w:rPr>
          <w:rFonts w:ascii="Times New Roman" w:hAnsi="Times New Roman" w:cs="Times New Roman"/>
          <w:sz w:val="24"/>
          <w:szCs w:val="24"/>
        </w:rPr>
        <w:t>ePOD</w:t>
      </w:r>
      <w:proofErr w:type="spellEnd"/>
      <w:r w:rsidRPr="00F21E38">
        <w:rPr>
          <w:rFonts w:ascii="Times New Roman" w:hAnsi="Times New Roman" w:cs="Times New Roman"/>
          <w:sz w:val="24"/>
          <w:szCs w:val="24"/>
        </w:rPr>
        <w:t xml:space="preserve"> and exception logs (delivery confirmation and failure reasons), and finance/ERP (invoices, surcharges, cost postings and payments). Master data also comes from asset registers (vehicles), HR/rosters (drivers and shift teams) and contract repositories (SLA terms and pricing bands). External sources include client portals/EDI, carrier tracking, customs clearance status, fuel price indices, and emissions factor tables used to estimate </w:t>
      </w:r>
      <w:proofErr w:type="spellStart"/>
      <w:r w:rsidRPr="00F21E38">
        <w:rPr>
          <w:rFonts w:ascii="Times New Roman" w:hAnsi="Times New Roman" w:cs="Times New Roman"/>
          <w:sz w:val="24"/>
          <w:szCs w:val="24"/>
        </w:rPr>
        <w:t>CO₂e</w:t>
      </w:r>
      <w:proofErr w:type="spellEnd"/>
      <w:r w:rsidRPr="00F21E38">
        <w:rPr>
          <w:rFonts w:ascii="Times New Roman" w:hAnsi="Times New Roman" w:cs="Times New Roman"/>
          <w:sz w:val="24"/>
          <w:szCs w:val="24"/>
        </w:rPr>
        <w:t xml:space="preserve"> per shipment leg. Returns systems add disposition codes (restock, scrap, repair) and </w:t>
      </w:r>
      <w:proofErr w:type="gramStart"/>
      <w:r w:rsidRPr="00F21E38">
        <w:rPr>
          <w:rFonts w:ascii="Times New Roman" w:hAnsi="Times New Roman" w:cs="Times New Roman"/>
          <w:sz w:val="24"/>
          <w:szCs w:val="24"/>
        </w:rPr>
        <w:t>claims</w:t>
      </w:r>
      <w:proofErr w:type="gramEnd"/>
      <w:r w:rsidRPr="00F21E38">
        <w:rPr>
          <w:rFonts w:ascii="Times New Roman" w:hAnsi="Times New Roman" w:cs="Times New Roman"/>
          <w:sz w:val="24"/>
          <w:szCs w:val="24"/>
        </w:rPr>
        <w:t xml:space="preserve"> values.</w:t>
      </w:r>
    </w:p>
    <w:p w14:paraId="1A190059" w14:textId="77777777" w:rsidR="0004508D" w:rsidRPr="00F21E38" w:rsidRDefault="0004508D" w:rsidP="00BA73F0">
      <w:pPr>
        <w:pStyle w:val="Heading3"/>
        <w:rPr>
          <w:rFonts w:ascii="Times New Roman" w:hAnsi="Times New Roman" w:cs="Times New Roman"/>
        </w:rPr>
      </w:pPr>
      <w:bookmarkStart w:id="25" w:name="_Toc223296199"/>
      <w:bookmarkStart w:id="26" w:name="_Toc223316024"/>
      <w:bookmarkStart w:id="27" w:name="_Toc223399790"/>
      <w:r w:rsidRPr="00F21E38">
        <w:rPr>
          <w:rFonts w:ascii="Times New Roman" w:hAnsi="Times New Roman" w:cs="Times New Roman"/>
        </w:rPr>
        <w:t>2.2 Star Schema Design</w:t>
      </w:r>
      <w:bookmarkEnd w:id="25"/>
      <w:bookmarkEnd w:id="26"/>
      <w:bookmarkEnd w:id="27"/>
    </w:p>
    <w:p w14:paraId="4C2F28E7" w14:textId="37E937AF" w:rsidR="0004508D" w:rsidRPr="00F21E38" w:rsidRDefault="0004508D" w:rsidP="00F21E38">
      <w:pPr>
        <w:spacing w:line="360" w:lineRule="auto"/>
        <w:rPr>
          <w:rFonts w:ascii="Times New Roman" w:hAnsi="Times New Roman" w:cs="Times New Roman"/>
          <w:sz w:val="24"/>
          <w:szCs w:val="24"/>
        </w:rPr>
      </w:pPr>
      <w:r w:rsidRPr="00F21E38">
        <w:rPr>
          <w:rFonts w:ascii="Times New Roman" w:hAnsi="Times New Roman" w:cs="Times New Roman"/>
          <w:sz w:val="24"/>
          <w:szCs w:val="24"/>
        </w:rPr>
        <w:t>DHL’s warehouse should use a dimensional “bus</w:t>
      </w:r>
      <w:proofErr w:type="gramStart"/>
      <w:r w:rsidRPr="00F21E38">
        <w:rPr>
          <w:rFonts w:ascii="Times New Roman" w:hAnsi="Times New Roman" w:cs="Times New Roman"/>
          <w:sz w:val="24"/>
          <w:szCs w:val="24"/>
        </w:rPr>
        <w:t>”</w:t>
      </w:r>
      <w:proofErr w:type="gramEnd"/>
      <w:r w:rsidRPr="00F21E38">
        <w:rPr>
          <w:rFonts w:ascii="Times New Roman" w:hAnsi="Times New Roman" w:cs="Times New Roman"/>
          <w:sz w:val="24"/>
          <w:szCs w:val="24"/>
        </w:rPr>
        <w:t xml:space="preserve"> so multiple star schemas share conformed dimensions and KPI definitions across UK and European sites [1]. The key design decision is grain. To support cross-regional visibility, the core grain should be one shipment leg: a movement from an origin hub to a destination hub for a specific service and mode. This captures handovers (e.g., </w:t>
      </w:r>
      <w:proofErr w:type="spellStart"/>
      <w:r w:rsidRPr="00F21E38">
        <w:rPr>
          <w:rFonts w:ascii="Times New Roman" w:hAnsi="Times New Roman" w:cs="Times New Roman"/>
          <w:sz w:val="24"/>
          <w:szCs w:val="24"/>
        </w:rPr>
        <w:t>Daventry→Heathrow</w:t>
      </w:r>
      <w:proofErr w:type="spellEnd"/>
      <w:r w:rsidRPr="00F21E38">
        <w:rPr>
          <w:rFonts w:ascii="Times New Roman" w:hAnsi="Times New Roman" w:cs="Times New Roman"/>
          <w:sz w:val="24"/>
          <w:szCs w:val="24"/>
        </w:rPr>
        <w:t xml:space="preserve">, </w:t>
      </w:r>
      <w:proofErr w:type="spellStart"/>
      <w:r w:rsidRPr="00F21E38">
        <w:rPr>
          <w:rFonts w:ascii="Times New Roman" w:hAnsi="Times New Roman" w:cs="Times New Roman"/>
          <w:sz w:val="24"/>
          <w:szCs w:val="24"/>
        </w:rPr>
        <w:t>Rotterdam→Düsseldorf</w:t>
      </w:r>
      <w:proofErr w:type="spellEnd"/>
      <w:r w:rsidRPr="00F21E38">
        <w:rPr>
          <w:rFonts w:ascii="Times New Roman" w:hAnsi="Times New Roman" w:cs="Times New Roman"/>
          <w:sz w:val="24"/>
          <w:szCs w:val="24"/>
        </w:rPr>
        <w:t>) and supports roll-ups to shipment, lane, client, hub and month.</w:t>
      </w:r>
      <w:r w:rsidR="002F5C35" w:rsidRPr="00F21E38">
        <w:rPr>
          <w:rFonts w:ascii="Times New Roman" w:hAnsi="Times New Roman" w:cs="Times New Roman"/>
          <w:sz w:val="24"/>
          <w:szCs w:val="24"/>
        </w:rPr>
        <w:t xml:space="preserve"> </w:t>
      </w:r>
      <w:r w:rsidR="002F5C35" w:rsidRPr="00F21E38">
        <w:rPr>
          <w:rFonts w:ascii="Times New Roman" w:hAnsi="Times New Roman" w:cs="Times New Roman"/>
          <w:sz w:val="24"/>
          <w:szCs w:val="24"/>
        </w:rPr>
        <w:t>As illustrated in</w:t>
      </w:r>
      <w:r w:rsidR="000F2B0C" w:rsidRPr="00F21E38">
        <w:rPr>
          <w:rFonts w:ascii="Times New Roman" w:hAnsi="Times New Roman" w:cs="Times New Roman"/>
          <w:sz w:val="24"/>
          <w:szCs w:val="24"/>
          <w:lang w:val="bg-BG"/>
        </w:rPr>
        <w:t xml:space="preserve"> </w:t>
      </w:r>
      <w:r w:rsidR="000F2B0C" w:rsidRPr="00F21E38">
        <w:rPr>
          <w:rFonts w:ascii="Times New Roman" w:hAnsi="Times New Roman" w:cs="Times New Roman"/>
          <w:sz w:val="24"/>
          <w:szCs w:val="24"/>
          <w:lang w:val="bg-BG"/>
        </w:rPr>
        <w:fldChar w:fldCharType="begin"/>
      </w:r>
      <w:r w:rsidR="000F2B0C" w:rsidRPr="00F21E38">
        <w:rPr>
          <w:rFonts w:ascii="Times New Roman" w:hAnsi="Times New Roman" w:cs="Times New Roman"/>
          <w:sz w:val="24"/>
          <w:szCs w:val="24"/>
          <w:lang w:val="bg-BG"/>
        </w:rPr>
        <w:instrText xml:space="preserve"> REF _Ref223393918 \h </w:instrText>
      </w:r>
      <w:r w:rsidR="000F2B0C" w:rsidRPr="00F21E38">
        <w:rPr>
          <w:rFonts w:ascii="Times New Roman" w:hAnsi="Times New Roman" w:cs="Times New Roman"/>
          <w:sz w:val="24"/>
          <w:szCs w:val="24"/>
          <w:lang w:val="bg-BG"/>
        </w:rPr>
      </w:r>
      <w:r w:rsidR="00F21E38" w:rsidRPr="00F21E38">
        <w:rPr>
          <w:rFonts w:ascii="Times New Roman" w:hAnsi="Times New Roman" w:cs="Times New Roman"/>
          <w:sz w:val="24"/>
          <w:szCs w:val="24"/>
          <w:lang w:val="bg-BG"/>
        </w:rPr>
        <w:instrText xml:space="preserve"> \* MERGEFORMAT </w:instrText>
      </w:r>
      <w:r w:rsidR="000F2B0C" w:rsidRPr="00F21E38">
        <w:rPr>
          <w:rFonts w:ascii="Times New Roman" w:hAnsi="Times New Roman" w:cs="Times New Roman"/>
          <w:sz w:val="24"/>
          <w:szCs w:val="24"/>
          <w:lang w:val="bg-BG"/>
        </w:rPr>
        <w:fldChar w:fldCharType="separate"/>
      </w:r>
      <w:r w:rsidR="000F2B0C" w:rsidRPr="00F21E38">
        <w:rPr>
          <w:rFonts w:ascii="Times New Roman" w:hAnsi="Times New Roman" w:cs="Times New Roman"/>
          <w:sz w:val="24"/>
          <w:szCs w:val="24"/>
        </w:rPr>
        <w:t>Figu</w:t>
      </w:r>
      <w:r w:rsidR="000F2B0C" w:rsidRPr="00F21E38">
        <w:rPr>
          <w:rFonts w:ascii="Times New Roman" w:hAnsi="Times New Roman" w:cs="Times New Roman"/>
          <w:sz w:val="24"/>
          <w:szCs w:val="24"/>
        </w:rPr>
        <w:t>r</w:t>
      </w:r>
      <w:r w:rsidR="000F2B0C" w:rsidRPr="00F21E38">
        <w:rPr>
          <w:rFonts w:ascii="Times New Roman" w:hAnsi="Times New Roman" w:cs="Times New Roman"/>
          <w:sz w:val="24"/>
          <w:szCs w:val="24"/>
        </w:rPr>
        <w:t xml:space="preserve">e </w:t>
      </w:r>
      <w:r w:rsidR="000F2B0C" w:rsidRPr="00F21E38">
        <w:rPr>
          <w:rFonts w:ascii="Times New Roman" w:hAnsi="Times New Roman" w:cs="Times New Roman"/>
          <w:noProof/>
          <w:sz w:val="24"/>
          <w:szCs w:val="24"/>
        </w:rPr>
        <w:t>5</w:t>
      </w:r>
      <w:r w:rsidR="000F2B0C" w:rsidRPr="00F21E38">
        <w:rPr>
          <w:rFonts w:ascii="Times New Roman" w:hAnsi="Times New Roman" w:cs="Times New Roman"/>
          <w:sz w:val="24"/>
          <w:szCs w:val="24"/>
          <w:lang w:val="bg-BG"/>
        </w:rPr>
        <w:fldChar w:fldCharType="end"/>
      </w:r>
      <w:r w:rsidR="002F5C35" w:rsidRPr="00F21E38">
        <w:rPr>
          <w:rFonts w:ascii="Times New Roman" w:hAnsi="Times New Roman" w:cs="Times New Roman"/>
          <w:sz w:val="24"/>
          <w:szCs w:val="24"/>
        </w:rPr>
        <w:t>, the shipment-leg star schema establishes the core analytical foundation of the dimensional model. The following sections extend this structure to support operational, financial, and governance-oriented analytics.</w:t>
      </w:r>
    </w:p>
    <w:p w14:paraId="7D3CE5B3" w14:textId="77777777" w:rsidR="0095110B" w:rsidRPr="00F21E38" w:rsidRDefault="0004508D" w:rsidP="00F21E38">
      <w:pPr>
        <w:keepNext/>
        <w:spacing w:line="360" w:lineRule="auto"/>
        <w:rPr>
          <w:rFonts w:ascii="Times New Roman" w:hAnsi="Times New Roman" w:cs="Times New Roman"/>
          <w:sz w:val="24"/>
          <w:szCs w:val="24"/>
        </w:rPr>
      </w:pPr>
      <w:r w:rsidRPr="00F21E38">
        <w:rPr>
          <w:rFonts w:ascii="Times New Roman" w:hAnsi="Times New Roman" w:cs="Times New Roman"/>
          <w:sz w:val="24"/>
          <w:szCs w:val="24"/>
        </w:rPr>
        <w:t xml:space="preserve">Conformed master-data dimensions include </w:t>
      </w:r>
      <w:proofErr w:type="spellStart"/>
      <w:r w:rsidRPr="00F21E38">
        <w:rPr>
          <w:rFonts w:ascii="Times New Roman" w:hAnsi="Times New Roman" w:cs="Times New Roman"/>
          <w:sz w:val="24"/>
          <w:szCs w:val="24"/>
        </w:rPr>
        <w:t>DimDate</w:t>
      </w:r>
      <w:proofErr w:type="spellEnd"/>
      <w:r w:rsidRPr="00F21E38">
        <w:rPr>
          <w:rFonts w:ascii="Times New Roman" w:hAnsi="Times New Roman" w:cs="Times New Roman"/>
          <w:sz w:val="24"/>
          <w:szCs w:val="24"/>
        </w:rPr>
        <w:t xml:space="preserve"> and </w:t>
      </w:r>
      <w:proofErr w:type="spellStart"/>
      <w:r w:rsidRPr="00F21E38">
        <w:rPr>
          <w:rFonts w:ascii="Times New Roman" w:hAnsi="Times New Roman" w:cs="Times New Roman"/>
          <w:sz w:val="24"/>
          <w:szCs w:val="24"/>
        </w:rPr>
        <w:t>DimTime</w:t>
      </w:r>
      <w:proofErr w:type="spellEnd"/>
      <w:r w:rsidRPr="00F21E38">
        <w:rPr>
          <w:rFonts w:ascii="Times New Roman" w:hAnsi="Times New Roman" w:cs="Times New Roman"/>
          <w:sz w:val="24"/>
          <w:szCs w:val="24"/>
        </w:rPr>
        <w:t xml:space="preserve">; </w:t>
      </w:r>
      <w:proofErr w:type="spellStart"/>
      <w:r w:rsidRPr="00F21E38">
        <w:rPr>
          <w:rFonts w:ascii="Times New Roman" w:hAnsi="Times New Roman" w:cs="Times New Roman"/>
          <w:sz w:val="24"/>
          <w:szCs w:val="24"/>
        </w:rPr>
        <w:t>DimLocation</w:t>
      </w:r>
      <w:proofErr w:type="spellEnd"/>
      <w:r w:rsidRPr="00F21E38">
        <w:rPr>
          <w:rFonts w:ascii="Times New Roman" w:hAnsi="Times New Roman" w:cs="Times New Roman"/>
          <w:sz w:val="24"/>
          <w:szCs w:val="24"/>
        </w:rPr>
        <w:t xml:space="preserve"> (role-played as Origin and Destination, with country, region, hub type, temperature capability and hazmat capability); </w:t>
      </w:r>
      <w:proofErr w:type="spellStart"/>
      <w:r w:rsidRPr="00F21E38">
        <w:rPr>
          <w:rFonts w:ascii="Times New Roman" w:hAnsi="Times New Roman" w:cs="Times New Roman"/>
          <w:sz w:val="24"/>
          <w:szCs w:val="24"/>
        </w:rPr>
        <w:t>DimClient</w:t>
      </w:r>
      <w:proofErr w:type="spellEnd"/>
      <w:r w:rsidRPr="00F21E38">
        <w:rPr>
          <w:rFonts w:ascii="Times New Roman" w:hAnsi="Times New Roman" w:cs="Times New Roman"/>
          <w:sz w:val="24"/>
          <w:szCs w:val="24"/>
        </w:rPr>
        <w:t xml:space="preserve"> (sector, account owner); </w:t>
      </w:r>
      <w:proofErr w:type="spellStart"/>
      <w:r w:rsidRPr="00F21E38">
        <w:rPr>
          <w:rFonts w:ascii="Times New Roman" w:hAnsi="Times New Roman" w:cs="Times New Roman"/>
          <w:sz w:val="24"/>
          <w:szCs w:val="24"/>
        </w:rPr>
        <w:t>DimContract</w:t>
      </w:r>
      <w:proofErr w:type="spellEnd"/>
      <w:r w:rsidRPr="00F21E38">
        <w:rPr>
          <w:rFonts w:ascii="Times New Roman" w:hAnsi="Times New Roman" w:cs="Times New Roman"/>
          <w:sz w:val="24"/>
          <w:szCs w:val="24"/>
        </w:rPr>
        <w:t xml:space="preserve"> (SLA tier, pricing model, discount bands, effective dates); </w:t>
      </w:r>
      <w:proofErr w:type="spellStart"/>
      <w:r w:rsidRPr="00F21E38">
        <w:rPr>
          <w:rFonts w:ascii="Times New Roman" w:hAnsi="Times New Roman" w:cs="Times New Roman"/>
          <w:sz w:val="24"/>
          <w:szCs w:val="24"/>
        </w:rPr>
        <w:t>DimServiceType</w:t>
      </w:r>
      <w:proofErr w:type="spellEnd"/>
      <w:r w:rsidRPr="00F21E38">
        <w:rPr>
          <w:rFonts w:ascii="Times New Roman" w:hAnsi="Times New Roman" w:cs="Times New Roman"/>
          <w:sz w:val="24"/>
          <w:szCs w:val="24"/>
        </w:rPr>
        <w:t xml:space="preserve"> (Standard, Express, Premium Express, VAS bundle); </w:t>
      </w:r>
      <w:proofErr w:type="spellStart"/>
      <w:r w:rsidRPr="00F21E38">
        <w:rPr>
          <w:rFonts w:ascii="Times New Roman" w:hAnsi="Times New Roman" w:cs="Times New Roman"/>
          <w:sz w:val="24"/>
          <w:szCs w:val="24"/>
        </w:rPr>
        <w:t>DimMode</w:t>
      </w:r>
      <w:proofErr w:type="spellEnd"/>
      <w:r w:rsidRPr="00F21E38">
        <w:rPr>
          <w:rFonts w:ascii="Times New Roman" w:hAnsi="Times New Roman" w:cs="Times New Roman"/>
          <w:sz w:val="24"/>
          <w:szCs w:val="24"/>
        </w:rPr>
        <w:t xml:space="preserve"> (road/air/ocean); </w:t>
      </w:r>
      <w:proofErr w:type="spellStart"/>
      <w:r w:rsidRPr="00F21E38">
        <w:rPr>
          <w:rFonts w:ascii="Times New Roman" w:hAnsi="Times New Roman" w:cs="Times New Roman"/>
          <w:sz w:val="24"/>
          <w:szCs w:val="24"/>
        </w:rPr>
        <w:t>DimCarrier</w:t>
      </w:r>
      <w:proofErr w:type="spellEnd"/>
      <w:r w:rsidRPr="00F21E38">
        <w:rPr>
          <w:rFonts w:ascii="Times New Roman" w:hAnsi="Times New Roman" w:cs="Times New Roman"/>
          <w:sz w:val="24"/>
          <w:szCs w:val="24"/>
        </w:rPr>
        <w:t xml:space="preserve">; </w:t>
      </w:r>
      <w:proofErr w:type="spellStart"/>
      <w:r w:rsidRPr="00F21E38">
        <w:rPr>
          <w:rFonts w:ascii="Times New Roman" w:hAnsi="Times New Roman" w:cs="Times New Roman"/>
          <w:sz w:val="24"/>
          <w:szCs w:val="24"/>
        </w:rPr>
        <w:t>DimVehicle</w:t>
      </w:r>
      <w:proofErr w:type="spellEnd"/>
      <w:r w:rsidRPr="00F21E38">
        <w:rPr>
          <w:rFonts w:ascii="Times New Roman" w:hAnsi="Times New Roman" w:cs="Times New Roman"/>
          <w:sz w:val="24"/>
          <w:szCs w:val="24"/>
        </w:rPr>
        <w:t xml:space="preserve"> and </w:t>
      </w:r>
      <w:proofErr w:type="spellStart"/>
      <w:r w:rsidRPr="00F21E38">
        <w:rPr>
          <w:rFonts w:ascii="Times New Roman" w:hAnsi="Times New Roman" w:cs="Times New Roman"/>
          <w:sz w:val="24"/>
          <w:szCs w:val="24"/>
        </w:rPr>
        <w:t>DimDriver</w:t>
      </w:r>
      <w:proofErr w:type="spellEnd"/>
      <w:r w:rsidRPr="00F21E38">
        <w:rPr>
          <w:rFonts w:ascii="Times New Roman" w:hAnsi="Times New Roman" w:cs="Times New Roman"/>
          <w:sz w:val="24"/>
          <w:szCs w:val="24"/>
        </w:rPr>
        <w:t xml:space="preserve"> (with privacy controls); </w:t>
      </w:r>
      <w:proofErr w:type="spellStart"/>
      <w:r w:rsidRPr="00F21E38">
        <w:rPr>
          <w:rFonts w:ascii="Times New Roman" w:hAnsi="Times New Roman" w:cs="Times New Roman"/>
          <w:sz w:val="24"/>
          <w:szCs w:val="24"/>
        </w:rPr>
        <w:t>DimSKU</w:t>
      </w:r>
      <w:proofErr w:type="spellEnd"/>
      <w:r w:rsidRPr="00F21E38">
        <w:rPr>
          <w:rFonts w:ascii="Times New Roman" w:hAnsi="Times New Roman" w:cs="Times New Roman"/>
          <w:sz w:val="24"/>
          <w:szCs w:val="24"/>
        </w:rPr>
        <w:t xml:space="preserve"> (temperature band, hazard class); </w:t>
      </w:r>
      <w:proofErr w:type="spellStart"/>
      <w:r w:rsidRPr="00F21E38">
        <w:rPr>
          <w:rFonts w:ascii="Times New Roman" w:hAnsi="Times New Roman" w:cs="Times New Roman"/>
          <w:sz w:val="24"/>
          <w:szCs w:val="24"/>
        </w:rPr>
        <w:t>DimWarehouseZone</w:t>
      </w:r>
      <w:proofErr w:type="spellEnd"/>
      <w:r w:rsidRPr="00F21E38">
        <w:rPr>
          <w:rFonts w:ascii="Times New Roman" w:hAnsi="Times New Roman" w:cs="Times New Roman"/>
          <w:sz w:val="24"/>
          <w:szCs w:val="24"/>
        </w:rPr>
        <w:t xml:space="preserve">; and </w:t>
      </w:r>
      <w:proofErr w:type="spellStart"/>
      <w:r w:rsidRPr="00F21E38">
        <w:rPr>
          <w:rFonts w:ascii="Times New Roman" w:hAnsi="Times New Roman" w:cs="Times New Roman"/>
          <w:sz w:val="24"/>
          <w:szCs w:val="24"/>
        </w:rPr>
        <w:t>DimException</w:t>
      </w:r>
      <w:proofErr w:type="spellEnd"/>
      <w:r w:rsidRPr="00F21E38">
        <w:rPr>
          <w:rFonts w:ascii="Times New Roman" w:hAnsi="Times New Roman" w:cs="Times New Roman"/>
          <w:sz w:val="24"/>
          <w:szCs w:val="24"/>
        </w:rPr>
        <w:t xml:space="preserve"> (reason codes). Client and Contract should be Type-2 slowly changing dimensions so historic performance is reported against the terms </w:t>
      </w:r>
      <w:r w:rsidRPr="00F21E38">
        <w:rPr>
          <w:rFonts w:ascii="Times New Roman" w:hAnsi="Times New Roman" w:cs="Times New Roman"/>
          <w:sz w:val="24"/>
          <w:szCs w:val="24"/>
        </w:rPr>
        <w:lastRenderedPageBreak/>
        <w:t>that applied at the time [1], [9].</w:t>
      </w:r>
      <w:r w:rsidR="0095110B" w:rsidRPr="00F21E38">
        <w:rPr>
          <w:rFonts w:ascii="Times New Roman" w:hAnsi="Times New Roman" w:cs="Times New Roman"/>
          <w:noProof/>
          <w:sz w:val="24"/>
          <w:szCs w:val="24"/>
          <w14:ligatures w14:val="standardContextual"/>
        </w:rPr>
        <w:drawing>
          <wp:inline distT="0" distB="0" distL="0" distR="0" wp14:anchorId="07CE7A0B" wp14:editId="1B6FCF8B">
            <wp:extent cx="5486400" cy="3074035"/>
            <wp:effectExtent l="0" t="0" r="0" b="0"/>
            <wp:docPr id="228904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04180" name="Picture 22890418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86400" cy="3074035"/>
                    </a:xfrm>
                    <a:prstGeom prst="rect">
                      <a:avLst/>
                    </a:prstGeom>
                  </pic:spPr>
                </pic:pic>
              </a:graphicData>
            </a:graphic>
          </wp:inline>
        </w:drawing>
      </w:r>
    </w:p>
    <w:p w14:paraId="09343AC1" w14:textId="3FECE89C" w:rsidR="0095110B" w:rsidRPr="00B02D0D" w:rsidRDefault="0095110B" w:rsidP="0095110B">
      <w:pPr>
        <w:pStyle w:val="Caption"/>
        <w:jc w:val="center"/>
        <w:rPr>
          <w:rFonts w:ascii="Times New Roman" w:hAnsi="Times New Roman" w:cs="Times New Roman"/>
          <w:i w:val="0"/>
          <w:iCs w:val="0"/>
          <w:sz w:val="20"/>
          <w:szCs w:val="20"/>
          <w:lang w:val="en-GB"/>
        </w:rPr>
      </w:pPr>
      <w:r w:rsidRPr="00B02D0D">
        <w:rPr>
          <w:rFonts w:ascii="Times New Roman" w:hAnsi="Times New Roman" w:cs="Times New Roman"/>
          <w:i w:val="0"/>
          <w:iCs w:val="0"/>
          <w:sz w:val="20"/>
          <w:szCs w:val="20"/>
        </w:rPr>
        <w:t xml:space="preserve">Figure </w:t>
      </w:r>
      <w:r w:rsidRPr="00B02D0D">
        <w:rPr>
          <w:rFonts w:ascii="Times New Roman" w:hAnsi="Times New Roman" w:cs="Times New Roman"/>
          <w:i w:val="0"/>
          <w:iCs w:val="0"/>
          <w:sz w:val="20"/>
          <w:szCs w:val="20"/>
        </w:rPr>
        <w:fldChar w:fldCharType="begin"/>
      </w:r>
      <w:r w:rsidRPr="00B02D0D">
        <w:rPr>
          <w:rFonts w:ascii="Times New Roman" w:hAnsi="Times New Roman" w:cs="Times New Roman"/>
          <w:i w:val="0"/>
          <w:iCs w:val="0"/>
          <w:sz w:val="20"/>
          <w:szCs w:val="20"/>
        </w:rPr>
        <w:instrText xml:space="preserve"> SEQ Figure \* ARABIC </w:instrText>
      </w:r>
      <w:r w:rsidRPr="00B02D0D">
        <w:rPr>
          <w:rFonts w:ascii="Times New Roman" w:hAnsi="Times New Roman" w:cs="Times New Roman"/>
          <w:i w:val="0"/>
          <w:iCs w:val="0"/>
          <w:sz w:val="20"/>
          <w:szCs w:val="20"/>
        </w:rPr>
        <w:fldChar w:fldCharType="separate"/>
      </w:r>
      <w:r w:rsidRPr="00B02D0D">
        <w:rPr>
          <w:rFonts w:ascii="Times New Roman" w:hAnsi="Times New Roman" w:cs="Times New Roman"/>
          <w:i w:val="0"/>
          <w:iCs w:val="0"/>
          <w:noProof/>
          <w:sz w:val="20"/>
          <w:szCs w:val="20"/>
        </w:rPr>
        <w:t>6</w:t>
      </w:r>
      <w:r w:rsidRPr="00B02D0D">
        <w:rPr>
          <w:rFonts w:ascii="Times New Roman" w:hAnsi="Times New Roman" w:cs="Times New Roman"/>
          <w:i w:val="0"/>
          <w:iCs w:val="0"/>
          <w:sz w:val="20"/>
          <w:szCs w:val="20"/>
        </w:rPr>
        <w:fldChar w:fldCharType="end"/>
      </w:r>
      <w:r w:rsidRPr="00B02D0D">
        <w:rPr>
          <w:rFonts w:ascii="Times New Roman" w:hAnsi="Times New Roman" w:cs="Times New Roman"/>
          <w:i w:val="0"/>
          <w:iCs w:val="0"/>
          <w:sz w:val="20"/>
          <w:szCs w:val="20"/>
          <w:lang w:val="bg-BG"/>
        </w:rPr>
        <w:t>.</w:t>
      </w:r>
      <w:r w:rsidRPr="00B02D0D">
        <w:rPr>
          <w:rFonts w:ascii="Times New Roman" w:hAnsi="Times New Roman" w:cs="Times New Roman"/>
          <w:i w:val="0"/>
          <w:iCs w:val="0"/>
          <w:color w:val="auto"/>
          <w:sz w:val="24"/>
          <w:szCs w:val="24"/>
        </w:rPr>
        <w:t xml:space="preserve"> </w:t>
      </w:r>
      <w:r w:rsidRPr="00B02D0D">
        <w:rPr>
          <w:rFonts w:ascii="Times New Roman" w:hAnsi="Times New Roman" w:cs="Times New Roman"/>
          <w:i w:val="0"/>
          <w:iCs w:val="0"/>
          <w:sz w:val="20"/>
          <w:szCs w:val="20"/>
        </w:rPr>
        <w:t>Dimensional Bus Matrix for the DHL UK &amp; European Data Warehouse Design</w:t>
      </w:r>
      <w:r w:rsidRPr="00B02D0D">
        <w:rPr>
          <w:rFonts w:ascii="Times New Roman" w:hAnsi="Times New Roman" w:cs="Times New Roman"/>
          <w:i w:val="0"/>
          <w:iCs w:val="0"/>
          <w:sz w:val="20"/>
          <w:szCs w:val="20"/>
          <w:lang w:val="bg-BG"/>
        </w:rPr>
        <w:br/>
      </w:r>
      <w:r w:rsidRPr="00B02D0D">
        <w:rPr>
          <w:rFonts w:ascii="Times New Roman" w:hAnsi="Times New Roman" w:cs="Times New Roman"/>
          <w:i w:val="0"/>
          <w:iCs w:val="0"/>
          <w:sz w:val="20"/>
          <w:szCs w:val="20"/>
        </w:rPr>
        <w:t xml:space="preserve">The matrix </w:t>
      </w:r>
      <w:proofErr w:type="spellStart"/>
      <w:r w:rsidRPr="00B02D0D">
        <w:rPr>
          <w:rFonts w:ascii="Times New Roman" w:hAnsi="Times New Roman" w:cs="Times New Roman"/>
          <w:i w:val="0"/>
          <w:iCs w:val="0"/>
          <w:sz w:val="20"/>
          <w:szCs w:val="20"/>
        </w:rPr>
        <w:t>summarises</w:t>
      </w:r>
      <w:proofErr w:type="spellEnd"/>
      <w:r w:rsidRPr="00B02D0D">
        <w:rPr>
          <w:rFonts w:ascii="Times New Roman" w:hAnsi="Times New Roman" w:cs="Times New Roman"/>
          <w:i w:val="0"/>
          <w:iCs w:val="0"/>
          <w:sz w:val="20"/>
          <w:szCs w:val="20"/>
        </w:rPr>
        <w:t xml:space="preserve"> the conformed dimensions and their relationships across the proposed fact tables, ensuring dimensional consistency and supporting a unified analytical architecture.</w:t>
      </w:r>
    </w:p>
    <w:p w14:paraId="0197BC08"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Star 1: </w:t>
      </w:r>
      <w:proofErr w:type="spellStart"/>
      <w:r w:rsidRPr="00DC1942">
        <w:rPr>
          <w:rFonts w:ascii="Times New Roman" w:hAnsi="Times New Roman" w:cs="Times New Roman"/>
          <w:sz w:val="24"/>
          <w:szCs w:val="24"/>
        </w:rPr>
        <w:t>FactShipmentLeg</w:t>
      </w:r>
      <w:proofErr w:type="spellEnd"/>
      <w:r w:rsidRPr="00DC1942">
        <w:rPr>
          <w:rFonts w:ascii="Times New Roman" w:hAnsi="Times New Roman" w:cs="Times New Roman"/>
          <w:sz w:val="24"/>
          <w:szCs w:val="24"/>
        </w:rPr>
        <w:t xml:space="preserve"> (performance + green logistics). Measures include planned/actual depart and arrive timestamps, transit minutes, delay minutes, dwell minutes at origin/destination, </w:t>
      </w:r>
      <w:proofErr w:type="spellStart"/>
      <w:r w:rsidRPr="00DC1942">
        <w:rPr>
          <w:rFonts w:ascii="Times New Roman" w:hAnsi="Times New Roman" w:cs="Times New Roman"/>
          <w:sz w:val="24"/>
          <w:szCs w:val="24"/>
        </w:rPr>
        <w:t>distance_km</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weight_kg</w:t>
      </w:r>
      <w:proofErr w:type="spellEnd"/>
      <w:r w:rsidRPr="00DC1942">
        <w:rPr>
          <w:rFonts w:ascii="Times New Roman" w:hAnsi="Times New Roman" w:cs="Times New Roman"/>
          <w:sz w:val="24"/>
          <w:szCs w:val="24"/>
        </w:rPr>
        <w:t xml:space="preserve">, volume_m3, packages, revenue, </w:t>
      </w:r>
      <w:proofErr w:type="spellStart"/>
      <w:r w:rsidRPr="00DC1942">
        <w:rPr>
          <w:rFonts w:ascii="Times New Roman" w:hAnsi="Times New Roman" w:cs="Times New Roman"/>
          <w:sz w:val="24"/>
          <w:szCs w:val="24"/>
        </w:rPr>
        <w:t>freight_cost</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fuel_surcharge</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CO₂e_estimate</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ShipmentID</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OrderID</w:t>
      </w:r>
      <w:proofErr w:type="spellEnd"/>
      <w:r w:rsidRPr="00DC1942">
        <w:rPr>
          <w:rFonts w:ascii="Times New Roman" w:hAnsi="Times New Roman" w:cs="Times New Roman"/>
          <w:sz w:val="24"/>
          <w:szCs w:val="24"/>
        </w:rPr>
        <w:t xml:space="preserve"> </w:t>
      </w:r>
      <w:proofErr w:type="gramStart"/>
      <w:r w:rsidRPr="00DC1942">
        <w:rPr>
          <w:rFonts w:ascii="Times New Roman" w:hAnsi="Times New Roman" w:cs="Times New Roman"/>
          <w:sz w:val="24"/>
          <w:szCs w:val="24"/>
        </w:rPr>
        <w:t>can be</w:t>
      </w:r>
      <w:proofErr w:type="gramEnd"/>
      <w:r w:rsidRPr="00DC1942">
        <w:rPr>
          <w:rFonts w:ascii="Times New Roman" w:hAnsi="Times New Roman" w:cs="Times New Roman"/>
          <w:sz w:val="24"/>
          <w:szCs w:val="24"/>
        </w:rPr>
        <w:t xml:space="preserve"> degenerate dimensions for drill-through. Store raw timestamps as well as derived flags (on-time, exception) so SLA logic can evolve without losing evidence.</w:t>
      </w:r>
    </w:p>
    <w:p w14:paraId="351528CB"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Star 2: </w:t>
      </w:r>
      <w:proofErr w:type="spellStart"/>
      <w:r w:rsidRPr="00DC1942">
        <w:rPr>
          <w:rFonts w:ascii="Times New Roman" w:hAnsi="Times New Roman" w:cs="Times New Roman"/>
          <w:sz w:val="24"/>
          <w:szCs w:val="24"/>
        </w:rPr>
        <w:t>FactWarehouseActivity</w:t>
      </w:r>
      <w:proofErr w:type="spellEnd"/>
      <w:r w:rsidRPr="00DC1942">
        <w:rPr>
          <w:rFonts w:ascii="Times New Roman" w:hAnsi="Times New Roman" w:cs="Times New Roman"/>
          <w:sz w:val="24"/>
          <w:szCs w:val="24"/>
        </w:rPr>
        <w:t xml:space="preserve"> (productivity + VAS). Grain is one task execution (pick, pack, put-away, receive, kitting, labelling, quality check, returns inspection). Measures include start/end timestamps, </w:t>
      </w:r>
      <w:proofErr w:type="spellStart"/>
      <w:r w:rsidRPr="00DC1942">
        <w:rPr>
          <w:rFonts w:ascii="Times New Roman" w:hAnsi="Times New Roman" w:cs="Times New Roman"/>
          <w:sz w:val="24"/>
          <w:szCs w:val="24"/>
        </w:rPr>
        <w:t>duration_seconds</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labour_minutes</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units_handled</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error_flag</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rework_count</w:t>
      </w:r>
      <w:proofErr w:type="spellEnd"/>
      <w:r w:rsidRPr="00DC1942">
        <w:rPr>
          <w:rFonts w:ascii="Times New Roman" w:hAnsi="Times New Roman" w:cs="Times New Roman"/>
          <w:sz w:val="24"/>
          <w:szCs w:val="24"/>
        </w:rPr>
        <w:t xml:space="preserve">. Linking tasks to </w:t>
      </w:r>
      <w:proofErr w:type="spellStart"/>
      <w:r w:rsidRPr="00DC1942">
        <w:rPr>
          <w:rFonts w:ascii="Times New Roman" w:hAnsi="Times New Roman" w:cs="Times New Roman"/>
          <w:sz w:val="24"/>
          <w:szCs w:val="24"/>
        </w:rPr>
        <w:t>DimContract</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DimClient</w:t>
      </w:r>
      <w:proofErr w:type="spellEnd"/>
      <w:r w:rsidRPr="00DC1942">
        <w:rPr>
          <w:rFonts w:ascii="Times New Roman" w:hAnsi="Times New Roman" w:cs="Times New Roman"/>
          <w:sz w:val="24"/>
          <w:szCs w:val="24"/>
        </w:rPr>
        <w:t xml:space="preserve"> enables comparisons by handling requirements (e.g., Heathrow life sciences vs Lyon cold chain) and supports VAS billing.</w:t>
      </w:r>
    </w:p>
    <w:p w14:paraId="07CABBD5"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Star 3: Snapshot facts for inventory and capacity. Inventory and space are semi-additive, so use daily snapshots: </w:t>
      </w:r>
      <w:proofErr w:type="spellStart"/>
      <w:r w:rsidRPr="00DC1942">
        <w:rPr>
          <w:rFonts w:ascii="Times New Roman" w:hAnsi="Times New Roman" w:cs="Times New Roman"/>
          <w:sz w:val="24"/>
          <w:szCs w:val="24"/>
        </w:rPr>
        <w:t>FactInventoryDaily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SKU×Location×Date</w:t>
      </w:r>
      <w:proofErr w:type="spellEnd"/>
      <w:r w:rsidRPr="00DC1942">
        <w:rPr>
          <w:rFonts w:ascii="Times New Roman" w:hAnsi="Times New Roman" w:cs="Times New Roman"/>
          <w:sz w:val="24"/>
          <w:szCs w:val="24"/>
        </w:rPr>
        <w:t xml:space="preserve">) with </w:t>
      </w:r>
      <w:proofErr w:type="spellStart"/>
      <w:r w:rsidRPr="00DC1942">
        <w:rPr>
          <w:rFonts w:ascii="Times New Roman" w:hAnsi="Times New Roman" w:cs="Times New Roman"/>
          <w:sz w:val="24"/>
          <w:szCs w:val="24"/>
        </w:rPr>
        <w:t>on_hand_qty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reserved_qty</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days_on_hand</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FactWarehouseCapacityDaily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Location×Date</w:t>
      </w:r>
      <w:proofErr w:type="spellEnd"/>
      <w:r w:rsidRPr="00DC1942">
        <w:rPr>
          <w:rFonts w:ascii="Times New Roman" w:hAnsi="Times New Roman" w:cs="Times New Roman"/>
          <w:sz w:val="24"/>
          <w:szCs w:val="24"/>
        </w:rPr>
        <w:t xml:space="preserve">) </w:t>
      </w:r>
      <w:r w:rsidRPr="00DC1942">
        <w:rPr>
          <w:rFonts w:ascii="Times New Roman" w:hAnsi="Times New Roman" w:cs="Times New Roman"/>
          <w:sz w:val="24"/>
          <w:szCs w:val="24"/>
        </w:rPr>
        <w:lastRenderedPageBreak/>
        <w:t xml:space="preserve">with used_space_m2, available_space_m2, </w:t>
      </w:r>
      <w:proofErr w:type="spellStart"/>
      <w:r w:rsidRPr="00DC1942">
        <w:rPr>
          <w:rFonts w:ascii="Times New Roman" w:hAnsi="Times New Roman" w:cs="Times New Roman"/>
          <w:sz w:val="24"/>
          <w:szCs w:val="24"/>
        </w:rPr>
        <w:t>dock_doors_used</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labour_hours_planned</w:t>
      </w:r>
      <w:proofErr w:type="spellEnd"/>
      <w:r w:rsidRPr="00DC1942">
        <w:rPr>
          <w:rFonts w:ascii="Times New Roman" w:hAnsi="Times New Roman" w:cs="Times New Roman"/>
          <w:sz w:val="24"/>
          <w:szCs w:val="24"/>
        </w:rPr>
        <w:t>/actual.</w:t>
      </w:r>
    </w:p>
    <w:p w14:paraId="07948F52"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Star 4: Finance stars for audit and reconciliation. Profitability needs separation of billing and costing. </w:t>
      </w:r>
      <w:proofErr w:type="spellStart"/>
      <w:r w:rsidRPr="00DC1942">
        <w:rPr>
          <w:rFonts w:ascii="Times New Roman" w:hAnsi="Times New Roman" w:cs="Times New Roman"/>
          <w:sz w:val="24"/>
          <w:szCs w:val="24"/>
        </w:rPr>
        <w:t>FactInvoiceLine</w:t>
      </w:r>
      <w:proofErr w:type="spellEnd"/>
      <w:r w:rsidRPr="00DC1942">
        <w:rPr>
          <w:rFonts w:ascii="Times New Roman" w:hAnsi="Times New Roman" w:cs="Times New Roman"/>
          <w:sz w:val="24"/>
          <w:szCs w:val="24"/>
        </w:rPr>
        <w:t xml:space="preserve"> stores invoice number, charge type (storage, transport, VAS, penalties), billed units and amounts. </w:t>
      </w:r>
      <w:proofErr w:type="spellStart"/>
      <w:r w:rsidRPr="00DC1942">
        <w:rPr>
          <w:rFonts w:ascii="Times New Roman" w:hAnsi="Times New Roman" w:cs="Times New Roman"/>
          <w:sz w:val="24"/>
          <w:szCs w:val="24"/>
        </w:rPr>
        <w:t>FactCostLine</w:t>
      </w:r>
      <w:proofErr w:type="spellEnd"/>
      <w:r w:rsidRPr="00DC1942">
        <w:rPr>
          <w:rFonts w:ascii="Times New Roman" w:hAnsi="Times New Roman" w:cs="Times New Roman"/>
          <w:sz w:val="24"/>
          <w:szCs w:val="24"/>
        </w:rPr>
        <w:t xml:space="preserve"> stores cost postings by type (fuel, </w:t>
      </w:r>
      <w:proofErr w:type="spellStart"/>
      <w:r w:rsidRPr="00DC1942">
        <w:rPr>
          <w:rFonts w:ascii="Times New Roman" w:hAnsi="Times New Roman" w:cs="Times New Roman"/>
          <w:sz w:val="24"/>
          <w:szCs w:val="24"/>
        </w:rPr>
        <w:t>labour</w:t>
      </w:r>
      <w:proofErr w:type="spellEnd"/>
      <w:r w:rsidRPr="00DC1942">
        <w:rPr>
          <w:rFonts w:ascii="Times New Roman" w:hAnsi="Times New Roman" w:cs="Times New Roman"/>
          <w:sz w:val="24"/>
          <w:szCs w:val="24"/>
        </w:rPr>
        <w:t xml:space="preserve">, carrier, customs duties, maintenance). Both link to conformed dimensions and to </w:t>
      </w:r>
      <w:proofErr w:type="spellStart"/>
      <w:r w:rsidRPr="00DC1942">
        <w:rPr>
          <w:rFonts w:ascii="Times New Roman" w:hAnsi="Times New Roman" w:cs="Times New Roman"/>
          <w:sz w:val="24"/>
          <w:szCs w:val="24"/>
        </w:rPr>
        <w:t>DimGLAccount</w:t>
      </w:r>
      <w:proofErr w:type="spellEnd"/>
      <w:r w:rsidRPr="00DC1942">
        <w:rPr>
          <w:rFonts w:ascii="Times New Roman" w:hAnsi="Times New Roman" w:cs="Times New Roman"/>
          <w:sz w:val="24"/>
          <w:szCs w:val="24"/>
        </w:rPr>
        <w:t>/</w:t>
      </w:r>
      <w:proofErr w:type="spellStart"/>
      <w:r w:rsidRPr="00DC1942">
        <w:rPr>
          <w:rFonts w:ascii="Times New Roman" w:hAnsi="Times New Roman" w:cs="Times New Roman"/>
          <w:sz w:val="24"/>
          <w:szCs w:val="24"/>
        </w:rPr>
        <w:t>DimCostType</w:t>
      </w:r>
      <w:proofErr w:type="spellEnd"/>
      <w:r w:rsidRPr="00DC1942">
        <w:rPr>
          <w:rFonts w:ascii="Times New Roman" w:hAnsi="Times New Roman" w:cs="Times New Roman"/>
          <w:sz w:val="24"/>
          <w:szCs w:val="24"/>
        </w:rPr>
        <w:t xml:space="preserve"> so totals reconcile to ERP and audits are supported [7].</w:t>
      </w:r>
    </w:p>
    <w:p w14:paraId="694AE9B5"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Aggregate/metadata tables improve performance and governance. </w:t>
      </w:r>
      <w:proofErr w:type="spellStart"/>
      <w:r w:rsidRPr="00DC1942">
        <w:rPr>
          <w:rFonts w:ascii="Times New Roman" w:hAnsi="Times New Roman" w:cs="Times New Roman"/>
          <w:sz w:val="24"/>
          <w:szCs w:val="24"/>
        </w:rPr>
        <w:t>FactMonthlyDeliveryPerformance</w:t>
      </w:r>
      <w:proofErr w:type="spellEnd"/>
      <w:r w:rsidRPr="00DC1942">
        <w:rPr>
          <w:rFonts w:ascii="Times New Roman" w:hAnsi="Times New Roman" w:cs="Times New Roman"/>
          <w:sz w:val="24"/>
          <w:szCs w:val="24"/>
        </w:rPr>
        <w:t xml:space="preserve"> pre-computes KPIs (</w:t>
      </w:r>
      <w:proofErr w:type="gramStart"/>
      <w:r w:rsidRPr="00DC1942">
        <w:rPr>
          <w:rFonts w:ascii="Times New Roman" w:hAnsi="Times New Roman" w:cs="Times New Roman"/>
          <w:sz w:val="24"/>
          <w:szCs w:val="24"/>
        </w:rPr>
        <w:t>on-time</w:t>
      </w:r>
      <w:proofErr w:type="gramEnd"/>
      <w:r w:rsidRPr="00DC1942">
        <w:rPr>
          <w:rFonts w:ascii="Times New Roman" w:hAnsi="Times New Roman" w:cs="Times New Roman"/>
          <w:sz w:val="24"/>
          <w:szCs w:val="24"/>
        </w:rPr>
        <w:t xml:space="preserve"> %, average delay, cost per shipment, margin) by client, lane, service and month for board reporting. Metadata tables such as </w:t>
      </w:r>
      <w:proofErr w:type="spellStart"/>
      <w:r w:rsidRPr="00DC1942">
        <w:rPr>
          <w:rFonts w:ascii="Times New Roman" w:hAnsi="Times New Roman" w:cs="Times New Roman"/>
          <w:sz w:val="24"/>
          <w:szCs w:val="24"/>
        </w:rPr>
        <w:t>DimSLAStatus</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DimChargeType</w:t>
      </w:r>
      <w:proofErr w:type="spellEnd"/>
      <w:r w:rsidRPr="00DC1942">
        <w:rPr>
          <w:rFonts w:ascii="Times New Roman" w:hAnsi="Times New Roman" w:cs="Times New Roman"/>
          <w:sz w:val="24"/>
          <w:szCs w:val="24"/>
        </w:rPr>
        <w:t xml:space="preserve"> and an </w:t>
      </w:r>
      <w:proofErr w:type="spellStart"/>
      <w:r w:rsidRPr="00DC1942">
        <w:rPr>
          <w:rFonts w:ascii="Times New Roman" w:hAnsi="Times New Roman" w:cs="Times New Roman"/>
          <w:sz w:val="24"/>
          <w:szCs w:val="24"/>
        </w:rPr>
        <w:t>EmissionFactor</w:t>
      </w:r>
      <w:proofErr w:type="spellEnd"/>
      <w:r w:rsidRPr="00DC1942">
        <w:rPr>
          <w:rFonts w:ascii="Times New Roman" w:hAnsi="Times New Roman" w:cs="Times New Roman"/>
          <w:sz w:val="24"/>
          <w:szCs w:val="24"/>
        </w:rPr>
        <w:t xml:space="preserve"> reference provide controlled code sets and versioning. ETL must handle late-arriving events (</w:t>
      </w:r>
      <w:proofErr w:type="spellStart"/>
      <w:r w:rsidRPr="00DC1942">
        <w:rPr>
          <w:rFonts w:ascii="Times New Roman" w:hAnsi="Times New Roman" w:cs="Times New Roman"/>
          <w:sz w:val="24"/>
          <w:szCs w:val="24"/>
        </w:rPr>
        <w:t>ePOD</w:t>
      </w:r>
      <w:proofErr w:type="spellEnd"/>
      <w:r w:rsidRPr="00DC1942">
        <w:rPr>
          <w:rFonts w:ascii="Times New Roman" w:hAnsi="Times New Roman" w:cs="Times New Roman"/>
          <w:sz w:val="24"/>
          <w:szCs w:val="24"/>
        </w:rPr>
        <w:t xml:space="preserve">, customs updates, credit notes) by loading facts with “unknown” surrogate keys and updating within a managed reprocessing window. If shipments contain multiple SKUs, capture detail using </w:t>
      </w:r>
      <w:proofErr w:type="spellStart"/>
      <w:r w:rsidRPr="00DC1942">
        <w:rPr>
          <w:rFonts w:ascii="Times New Roman" w:hAnsi="Times New Roman" w:cs="Times New Roman"/>
          <w:sz w:val="24"/>
          <w:szCs w:val="24"/>
        </w:rPr>
        <w:t>FactShipmentLine</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ShipmentID×SKU×Leg</w:t>
      </w:r>
      <w:proofErr w:type="spellEnd"/>
      <w:r w:rsidRPr="00DC1942">
        <w:rPr>
          <w:rFonts w:ascii="Times New Roman" w:hAnsi="Times New Roman" w:cs="Times New Roman"/>
          <w:sz w:val="24"/>
          <w:szCs w:val="24"/>
        </w:rPr>
        <w:t xml:space="preserve">) or a bridge table to avoid inflating </w:t>
      </w:r>
      <w:proofErr w:type="spellStart"/>
      <w:r w:rsidRPr="00DC1942">
        <w:rPr>
          <w:rFonts w:ascii="Times New Roman" w:hAnsi="Times New Roman" w:cs="Times New Roman"/>
          <w:sz w:val="24"/>
          <w:szCs w:val="24"/>
        </w:rPr>
        <w:t>FactShipmentLeg</w:t>
      </w:r>
      <w:proofErr w:type="spellEnd"/>
      <w:r w:rsidRPr="00DC1942">
        <w:rPr>
          <w:rFonts w:ascii="Times New Roman" w:hAnsi="Times New Roman" w:cs="Times New Roman"/>
          <w:sz w:val="24"/>
          <w:szCs w:val="24"/>
        </w:rPr>
        <w:t>. Partition large facts by date and region to keep both loads and queries fast as volumes grow.</w:t>
      </w:r>
    </w:p>
    <w:p w14:paraId="47D11345" w14:textId="77777777" w:rsidR="0004508D" w:rsidRPr="00F21E38" w:rsidRDefault="0004508D" w:rsidP="00BA73F0">
      <w:pPr>
        <w:pStyle w:val="Heading3"/>
        <w:rPr>
          <w:rFonts w:ascii="Times New Roman" w:hAnsi="Times New Roman" w:cs="Times New Roman"/>
        </w:rPr>
      </w:pPr>
      <w:bookmarkStart w:id="28" w:name="_Toc223296200"/>
      <w:bookmarkStart w:id="29" w:name="_Toc223316025"/>
      <w:bookmarkStart w:id="30" w:name="_Toc223399791"/>
      <w:r w:rsidRPr="00F21E38">
        <w:rPr>
          <w:rFonts w:ascii="Times New Roman" w:hAnsi="Times New Roman" w:cs="Times New Roman"/>
        </w:rPr>
        <w:t>2.3 Data Marts and Schema</w:t>
      </w:r>
      <w:bookmarkEnd w:id="28"/>
      <w:bookmarkEnd w:id="29"/>
      <w:bookmarkEnd w:id="30"/>
    </w:p>
    <w:p w14:paraId="3ADD2A1D"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Three data marts should be published from the EDW, each reusing the same conformed dimensions and certified KPI logic to maintain a single version of the truth [1]. The marts can be implemented as separate schemas or governed views, depending on DHL’s platform choices and access model.</w:t>
      </w:r>
    </w:p>
    <w:p w14:paraId="51A57187"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Operations mart: Contains </w:t>
      </w:r>
      <w:proofErr w:type="spellStart"/>
      <w:r w:rsidRPr="00DC1942">
        <w:rPr>
          <w:rFonts w:ascii="Times New Roman" w:hAnsi="Times New Roman" w:cs="Times New Roman"/>
          <w:sz w:val="24"/>
          <w:szCs w:val="24"/>
        </w:rPr>
        <w:t>FactShipmentLeg</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FactWarehouseActivity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FactInventoryDaily</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FactWarehouseCapacityDaily</w:t>
      </w:r>
      <w:proofErr w:type="spellEnd"/>
      <w:r w:rsidRPr="00DC1942">
        <w:rPr>
          <w:rFonts w:ascii="Times New Roman" w:hAnsi="Times New Roman" w:cs="Times New Roman"/>
          <w:sz w:val="24"/>
          <w:szCs w:val="24"/>
        </w:rPr>
        <w:t xml:space="preserve">. Dimensions </w:t>
      </w:r>
      <w:proofErr w:type="spellStart"/>
      <w:r w:rsidRPr="00DC1942">
        <w:rPr>
          <w:rFonts w:ascii="Times New Roman" w:hAnsi="Times New Roman" w:cs="Times New Roman"/>
          <w:sz w:val="24"/>
          <w:szCs w:val="24"/>
        </w:rPr>
        <w:t>emphasise</w:t>
      </w:r>
      <w:proofErr w:type="spellEnd"/>
      <w:r w:rsidRPr="00DC1942">
        <w:rPr>
          <w:rFonts w:ascii="Times New Roman" w:hAnsi="Times New Roman" w:cs="Times New Roman"/>
          <w:sz w:val="24"/>
          <w:szCs w:val="24"/>
        </w:rPr>
        <w:t xml:space="preserve"> Location (origin/destination), </w:t>
      </w:r>
      <w:proofErr w:type="spellStart"/>
      <w:r w:rsidRPr="00DC1942">
        <w:rPr>
          <w:rFonts w:ascii="Times New Roman" w:hAnsi="Times New Roman" w:cs="Times New Roman"/>
          <w:sz w:val="24"/>
          <w:szCs w:val="24"/>
        </w:rPr>
        <w:t>ServiceType</w:t>
      </w:r>
      <w:proofErr w:type="spellEnd"/>
      <w:r w:rsidRPr="00DC1942">
        <w:rPr>
          <w:rFonts w:ascii="Times New Roman" w:hAnsi="Times New Roman" w:cs="Times New Roman"/>
          <w:sz w:val="24"/>
          <w:szCs w:val="24"/>
        </w:rPr>
        <w:t xml:space="preserve">, Mode, </w:t>
      </w:r>
      <w:proofErr w:type="spellStart"/>
      <w:r w:rsidRPr="00DC1942">
        <w:rPr>
          <w:rFonts w:ascii="Times New Roman" w:hAnsi="Times New Roman" w:cs="Times New Roman"/>
          <w:sz w:val="24"/>
          <w:szCs w:val="24"/>
        </w:rPr>
        <w:t>WarehouseZone</w:t>
      </w:r>
      <w:proofErr w:type="spellEnd"/>
      <w:r w:rsidRPr="00DC1942">
        <w:rPr>
          <w:rFonts w:ascii="Times New Roman" w:hAnsi="Times New Roman" w:cs="Times New Roman"/>
          <w:sz w:val="24"/>
          <w:szCs w:val="24"/>
        </w:rPr>
        <w:t xml:space="preserve">, SKU and Exception. It supports decisions on bottlenecks, cut-off adherence, staffing, slotting and cold-chain </w:t>
      </w:r>
      <w:proofErr w:type="spellStart"/>
      <w:r w:rsidRPr="00DC1942">
        <w:rPr>
          <w:rFonts w:ascii="Times New Roman" w:hAnsi="Times New Roman" w:cs="Times New Roman"/>
          <w:sz w:val="24"/>
          <w:szCs w:val="24"/>
        </w:rPr>
        <w:t>utilisation</w:t>
      </w:r>
      <w:proofErr w:type="spellEnd"/>
      <w:r w:rsidRPr="00DC1942">
        <w:rPr>
          <w:rFonts w:ascii="Times New Roman" w:hAnsi="Times New Roman" w:cs="Times New Roman"/>
          <w:sz w:val="24"/>
          <w:szCs w:val="24"/>
        </w:rPr>
        <w:t xml:space="preserve">. Typical outputs are lane heatmaps, dwell dashboards, pick productivity by </w:t>
      </w:r>
      <w:r w:rsidRPr="00DC1942">
        <w:rPr>
          <w:rFonts w:ascii="Times New Roman" w:hAnsi="Times New Roman" w:cs="Times New Roman"/>
          <w:sz w:val="24"/>
          <w:szCs w:val="24"/>
        </w:rPr>
        <w:lastRenderedPageBreak/>
        <w:t>zone, and exception Pareto charts for Heathrow pharma flows and Rotterdam chemical cross-dock.</w:t>
      </w:r>
    </w:p>
    <w:p w14:paraId="53011D76"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Finance mart</w:t>
      </w:r>
      <w:proofErr w:type="gramStart"/>
      <w:r w:rsidRPr="00DC1942">
        <w:rPr>
          <w:rFonts w:ascii="Times New Roman" w:hAnsi="Times New Roman" w:cs="Times New Roman"/>
          <w:sz w:val="24"/>
          <w:szCs w:val="24"/>
        </w:rPr>
        <w:t>: Contains</w:t>
      </w:r>
      <w:proofErr w:type="gram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FactInvoiceLine</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FactCostLine</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FactMonthlyDeliveryPerformance</w:t>
      </w:r>
      <w:proofErr w:type="spellEnd"/>
      <w:r w:rsidRPr="00DC1942">
        <w:rPr>
          <w:rFonts w:ascii="Times New Roman" w:hAnsi="Times New Roman" w:cs="Times New Roman"/>
          <w:sz w:val="24"/>
          <w:szCs w:val="24"/>
        </w:rPr>
        <w:t xml:space="preserve"> plus </w:t>
      </w:r>
      <w:proofErr w:type="spellStart"/>
      <w:r w:rsidRPr="00DC1942">
        <w:rPr>
          <w:rFonts w:ascii="Times New Roman" w:hAnsi="Times New Roman" w:cs="Times New Roman"/>
          <w:sz w:val="24"/>
          <w:szCs w:val="24"/>
        </w:rPr>
        <w:t>DimGLAccount</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DimCostType</w:t>
      </w:r>
      <w:proofErr w:type="spellEnd"/>
      <w:r w:rsidRPr="00DC1942">
        <w:rPr>
          <w:rFonts w:ascii="Times New Roman" w:hAnsi="Times New Roman" w:cs="Times New Roman"/>
          <w:sz w:val="24"/>
          <w:szCs w:val="24"/>
        </w:rPr>
        <w:t xml:space="preserve">. It provides margin, cost-to-serve and variance reporting by client, contract, lane and hub, with drill-down to invoice lines and cost postings. Period close views should be locked after </w:t>
      </w:r>
      <w:proofErr w:type="gramStart"/>
      <w:r w:rsidRPr="00DC1942">
        <w:rPr>
          <w:rFonts w:ascii="Times New Roman" w:hAnsi="Times New Roman" w:cs="Times New Roman"/>
          <w:sz w:val="24"/>
          <w:szCs w:val="24"/>
        </w:rPr>
        <w:t>reconciliation</w:t>
      </w:r>
      <w:proofErr w:type="gramEnd"/>
      <w:r w:rsidRPr="00DC1942">
        <w:rPr>
          <w:rFonts w:ascii="Times New Roman" w:hAnsi="Times New Roman" w:cs="Times New Roman"/>
          <w:sz w:val="24"/>
          <w:szCs w:val="24"/>
        </w:rPr>
        <w:t xml:space="preserve"> so board metrics remain stable and auditable [7]. Where pricing is sensitive, apply row-level security by contract.</w:t>
      </w:r>
    </w:p>
    <w:p w14:paraId="6CD41467"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Client Services / Sales mart: Links shipment performance to customer interactions (tickets, claims, returns disposition) using shared dimensions plus Channel, </w:t>
      </w:r>
      <w:proofErr w:type="spellStart"/>
      <w:r w:rsidRPr="00DC1942">
        <w:rPr>
          <w:rFonts w:ascii="Times New Roman" w:hAnsi="Times New Roman" w:cs="Times New Roman"/>
          <w:sz w:val="24"/>
          <w:szCs w:val="24"/>
        </w:rPr>
        <w:t>IssueCategory</w:t>
      </w:r>
      <w:proofErr w:type="spellEnd"/>
      <w:r w:rsidRPr="00DC1942">
        <w:rPr>
          <w:rFonts w:ascii="Times New Roman" w:hAnsi="Times New Roman" w:cs="Times New Roman"/>
          <w:sz w:val="24"/>
          <w:szCs w:val="24"/>
        </w:rPr>
        <w:t xml:space="preserve"> and </w:t>
      </w:r>
      <w:proofErr w:type="spellStart"/>
      <w:r w:rsidRPr="00DC1942">
        <w:rPr>
          <w:rFonts w:ascii="Times New Roman" w:hAnsi="Times New Roman" w:cs="Times New Roman"/>
          <w:sz w:val="24"/>
          <w:szCs w:val="24"/>
        </w:rPr>
        <w:t>ResolutionStatus</w:t>
      </w:r>
      <w:proofErr w:type="spellEnd"/>
      <w:r w:rsidRPr="00DC1942">
        <w:rPr>
          <w:rFonts w:ascii="Times New Roman" w:hAnsi="Times New Roman" w:cs="Times New Roman"/>
          <w:sz w:val="24"/>
          <w:szCs w:val="24"/>
        </w:rPr>
        <w:t xml:space="preserve">. It supports retention by highlighting clients with repeated SLA failures or damage patterns, and it helps target </w:t>
      </w:r>
      <w:proofErr w:type="gramStart"/>
      <w:r w:rsidRPr="00DC1942">
        <w:rPr>
          <w:rFonts w:ascii="Times New Roman" w:hAnsi="Times New Roman" w:cs="Times New Roman"/>
          <w:sz w:val="24"/>
          <w:szCs w:val="24"/>
        </w:rPr>
        <w:t>upsell</w:t>
      </w:r>
      <w:proofErr w:type="gramEnd"/>
      <w:r w:rsidRPr="00DC1942">
        <w:rPr>
          <w:rFonts w:ascii="Times New Roman" w:hAnsi="Times New Roman" w:cs="Times New Roman"/>
          <w:sz w:val="24"/>
          <w:szCs w:val="24"/>
        </w:rPr>
        <w:t xml:space="preserve"> for Premium Express and VAS based on sector and service mix [11]. Because it contains service issues and contract terms, access should be limited to </w:t>
      </w:r>
      <w:proofErr w:type="spellStart"/>
      <w:r w:rsidRPr="00DC1942">
        <w:rPr>
          <w:rFonts w:ascii="Times New Roman" w:hAnsi="Times New Roman" w:cs="Times New Roman"/>
          <w:sz w:val="24"/>
          <w:szCs w:val="24"/>
        </w:rPr>
        <w:t>authorised</w:t>
      </w:r>
      <w:proofErr w:type="spellEnd"/>
      <w:r w:rsidRPr="00DC1942">
        <w:rPr>
          <w:rFonts w:ascii="Times New Roman" w:hAnsi="Times New Roman" w:cs="Times New Roman"/>
          <w:sz w:val="24"/>
          <w:szCs w:val="24"/>
        </w:rPr>
        <w:t xml:space="preserve"> roles [6]. Across marts, publish a small set of “gold” measures in the semantic layer to prevent KPI drift.</w:t>
      </w:r>
    </w:p>
    <w:p w14:paraId="1F1F99C6" w14:textId="77777777" w:rsidR="0004508D" w:rsidRPr="00F21E38" w:rsidRDefault="0004508D" w:rsidP="00BA73F0">
      <w:pPr>
        <w:pStyle w:val="Heading3"/>
        <w:rPr>
          <w:rFonts w:ascii="Times New Roman" w:hAnsi="Times New Roman" w:cs="Times New Roman"/>
        </w:rPr>
      </w:pPr>
      <w:bookmarkStart w:id="31" w:name="_Toc223296201"/>
      <w:bookmarkStart w:id="32" w:name="_Toc223316026"/>
      <w:bookmarkStart w:id="33" w:name="_Toc223399792"/>
      <w:r w:rsidRPr="00F21E38">
        <w:rPr>
          <w:rFonts w:ascii="Times New Roman" w:hAnsi="Times New Roman" w:cs="Times New Roman"/>
        </w:rPr>
        <w:t>2.4 ETL Plan</w:t>
      </w:r>
      <w:bookmarkEnd w:id="31"/>
      <w:bookmarkEnd w:id="32"/>
      <w:bookmarkEnd w:id="33"/>
    </w:p>
    <w:p w14:paraId="1A5AF934"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 xml:space="preserve">ETL is </w:t>
      </w:r>
      <w:proofErr w:type="spellStart"/>
      <w:r w:rsidRPr="00DC1942">
        <w:rPr>
          <w:rFonts w:ascii="Times New Roman" w:hAnsi="Times New Roman" w:cs="Times New Roman"/>
          <w:sz w:val="24"/>
          <w:szCs w:val="24"/>
        </w:rPr>
        <w:t>organised</w:t>
      </w:r>
      <w:proofErr w:type="spellEnd"/>
      <w:r w:rsidRPr="00DC1942">
        <w:rPr>
          <w:rFonts w:ascii="Times New Roman" w:hAnsi="Times New Roman" w:cs="Times New Roman"/>
          <w:sz w:val="24"/>
          <w:szCs w:val="24"/>
        </w:rPr>
        <w:t xml:space="preserve"> as source-to-target </w:t>
      </w:r>
      <w:proofErr w:type="gramStart"/>
      <w:r w:rsidRPr="00DC1942">
        <w:rPr>
          <w:rFonts w:ascii="Times New Roman" w:hAnsi="Times New Roman" w:cs="Times New Roman"/>
          <w:sz w:val="24"/>
          <w:szCs w:val="24"/>
        </w:rPr>
        <w:t>mappings</w:t>
      </w:r>
      <w:proofErr w:type="gramEnd"/>
      <w:r w:rsidRPr="00DC1942">
        <w:rPr>
          <w:rFonts w:ascii="Times New Roman" w:hAnsi="Times New Roman" w:cs="Times New Roman"/>
          <w:sz w:val="24"/>
          <w:szCs w:val="24"/>
        </w:rPr>
        <w:t xml:space="preserve">. Extract incremental data from OMS, WMS, TMS, telematics, </w:t>
      </w:r>
      <w:proofErr w:type="spellStart"/>
      <w:r w:rsidRPr="00DC1942">
        <w:rPr>
          <w:rFonts w:ascii="Times New Roman" w:hAnsi="Times New Roman" w:cs="Times New Roman"/>
          <w:sz w:val="24"/>
          <w:szCs w:val="24"/>
        </w:rPr>
        <w:t>ePOD</w:t>
      </w:r>
      <w:proofErr w:type="spellEnd"/>
      <w:r w:rsidRPr="00DC1942">
        <w:rPr>
          <w:rFonts w:ascii="Times New Roman" w:hAnsi="Times New Roman" w:cs="Times New Roman"/>
          <w:sz w:val="24"/>
          <w:szCs w:val="24"/>
        </w:rPr>
        <w:t xml:space="preserve"> and ERP into the landing zone using CDC or scheduled exports. Validate and </w:t>
      </w:r>
      <w:proofErr w:type="gramStart"/>
      <w:r w:rsidRPr="00DC1942">
        <w:rPr>
          <w:rFonts w:ascii="Times New Roman" w:hAnsi="Times New Roman" w:cs="Times New Roman"/>
          <w:sz w:val="24"/>
          <w:szCs w:val="24"/>
        </w:rPr>
        <w:t>profile:</w:t>
      </w:r>
      <w:proofErr w:type="gramEnd"/>
      <w:r w:rsidRPr="00DC1942">
        <w:rPr>
          <w:rFonts w:ascii="Times New Roman" w:hAnsi="Times New Roman" w:cs="Times New Roman"/>
          <w:sz w:val="24"/>
          <w:szCs w:val="24"/>
        </w:rPr>
        <w:t xml:space="preserve"> key presence, duplicates, timestamp ordering, and plausible ranges for weight/volume, fuel and </w:t>
      </w:r>
      <w:proofErr w:type="spellStart"/>
      <w:r w:rsidRPr="00DC1942">
        <w:rPr>
          <w:rFonts w:ascii="Times New Roman" w:hAnsi="Times New Roman" w:cs="Times New Roman"/>
          <w:sz w:val="24"/>
          <w:szCs w:val="24"/>
        </w:rPr>
        <w:t>labour</w:t>
      </w:r>
      <w:proofErr w:type="spellEnd"/>
      <w:r w:rsidRPr="00DC1942">
        <w:rPr>
          <w:rFonts w:ascii="Times New Roman" w:hAnsi="Times New Roman" w:cs="Times New Roman"/>
          <w:sz w:val="24"/>
          <w:szCs w:val="24"/>
        </w:rPr>
        <w:t xml:space="preserve"> measures. Transform: </w:t>
      </w:r>
      <w:proofErr w:type="spellStart"/>
      <w:r w:rsidRPr="00DC1942">
        <w:rPr>
          <w:rFonts w:ascii="Times New Roman" w:hAnsi="Times New Roman" w:cs="Times New Roman"/>
          <w:sz w:val="24"/>
          <w:szCs w:val="24"/>
        </w:rPr>
        <w:t>standardise</w:t>
      </w:r>
      <w:proofErr w:type="spellEnd"/>
      <w:r w:rsidRPr="00DC1942">
        <w:rPr>
          <w:rFonts w:ascii="Times New Roman" w:hAnsi="Times New Roman" w:cs="Times New Roman"/>
          <w:sz w:val="24"/>
          <w:szCs w:val="24"/>
        </w:rPr>
        <w:t xml:space="preserve"> units, currencies and time zones; cleanse postcodes; conform client/contract/site/service codes; and generate surrogate keys. Enrich: calculate lane distance, </w:t>
      </w:r>
      <w:proofErr w:type="gramStart"/>
      <w:r w:rsidRPr="00DC1942">
        <w:rPr>
          <w:rFonts w:ascii="Times New Roman" w:hAnsi="Times New Roman" w:cs="Times New Roman"/>
          <w:sz w:val="24"/>
          <w:szCs w:val="24"/>
        </w:rPr>
        <w:t>cold-chain</w:t>
      </w:r>
      <w:proofErr w:type="gramEnd"/>
      <w:r w:rsidRPr="00DC1942">
        <w:rPr>
          <w:rFonts w:ascii="Times New Roman" w:hAnsi="Times New Roman" w:cs="Times New Roman"/>
          <w:sz w:val="24"/>
          <w:szCs w:val="24"/>
        </w:rPr>
        <w:t>/hazmat flags, emission estimates and derived SLA measures. Load dimensions first (Type-2 for Client/Contract), then facts (</w:t>
      </w:r>
      <w:proofErr w:type="spellStart"/>
      <w:r w:rsidRPr="00DC1942">
        <w:rPr>
          <w:rFonts w:ascii="Times New Roman" w:hAnsi="Times New Roman" w:cs="Times New Roman"/>
          <w:sz w:val="24"/>
          <w:szCs w:val="24"/>
        </w:rPr>
        <w:t>ShipmentLeg</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WarehouseActivity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InventoryDaily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CapacityDaily</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InvoiceLine</w:t>
      </w:r>
      <w:proofErr w:type="spellEnd"/>
      <w:r w:rsidRPr="00DC1942">
        <w:rPr>
          <w:rFonts w:ascii="Times New Roman" w:hAnsi="Times New Roman" w:cs="Times New Roman"/>
          <w:sz w:val="24"/>
          <w:szCs w:val="24"/>
        </w:rPr>
        <w:t xml:space="preserve">, </w:t>
      </w:r>
      <w:proofErr w:type="spellStart"/>
      <w:r w:rsidRPr="00DC1942">
        <w:rPr>
          <w:rFonts w:ascii="Times New Roman" w:hAnsi="Times New Roman" w:cs="Times New Roman"/>
          <w:sz w:val="24"/>
          <w:szCs w:val="24"/>
        </w:rPr>
        <w:t>CostLine</w:t>
      </w:r>
      <w:proofErr w:type="spellEnd"/>
      <w:r w:rsidRPr="00DC1942">
        <w:rPr>
          <w:rFonts w:ascii="Times New Roman" w:hAnsi="Times New Roman" w:cs="Times New Roman"/>
          <w:sz w:val="24"/>
          <w:szCs w:val="24"/>
        </w:rPr>
        <w:t>). Build aggregates (</w:t>
      </w:r>
      <w:proofErr w:type="spellStart"/>
      <w:r w:rsidRPr="00DC1942">
        <w:rPr>
          <w:rFonts w:ascii="Times New Roman" w:hAnsi="Times New Roman" w:cs="Times New Roman"/>
          <w:sz w:val="24"/>
          <w:szCs w:val="24"/>
        </w:rPr>
        <w:t>MonthlyDeliveryPerformance</w:t>
      </w:r>
      <w:proofErr w:type="spellEnd"/>
      <w:r w:rsidRPr="00DC1942">
        <w:rPr>
          <w:rFonts w:ascii="Times New Roman" w:hAnsi="Times New Roman" w:cs="Times New Roman"/>
          <w:sz w:val="24"/>
          <w:szCs w:val="24"/>
        </w:rPr>
        <w:t>) and publish marts. Each run writes audit fields, reconciliation totals and reject rows; failed batches are quarantined and a rolling reprocessing window updates late events. A simple rule helps adoption: publish a clear “data availability window” so users know when yesterday’s KPIs are locked.</w:t>
      </w:r>
    </w:p>
    <w:p w14:paraId="2F17032D" w14:textId="77777777" w:rsidR="0004508D" w:rsidRPr="00F21E38" w:rsidRDefault="0004508D" w:rsidP="00BA73F0">
      <w:pPr>
        <w:pStyle w:val="Heading3"/>
        <w:rPr>
          <w:rFonts w:ascii="Times New Roman" w:hAnsi="Times New Roman" w:cs="Times New Roman"/>
        </w:rPr>
      </w:pPr>
      <w:bookmarkStart w:id="34" w:name="_Toc223296202"/>
      <w:bookmarkStart w:id="35" w:name="_Toc223316027"/>
      <w:bookmarkStart w:id="36" w:name="_Toc223399793"/>
      <w:r w:rsidRPr="00F21E38">
        <w:rPr>
          <w:rFonts w:ascii="Times New Roman" w:hAnsi="Times New Roman" w:cs="Times New Roman"/>
        </w:rPr>
        <w:lastRenderedPageBreak/>
        <w:t>2.5 Data Quality &amp; Governance</w:t>
      </w:r>
      <w:bookmarkEnd w:id="34"/>
      <w:bookmarkEnd w:id="35"/>
      <w:bookmarkEnd w:id="36"/>
    </w:p>
    <w:p w14:paraId="20E1B389" w14:textId="77777777" w:rsidR="0004508D" w:rsidRPr="00DC1942" w:rsidRDefault="0004508D" w:rsidP="00DC1942">
      <w:pPr>
        <w:spacing w:line="360" w:lineRule="auto"/>
        <w:rPr>
          <w:rFonts w:ascii="Times New Roman" w:hAnsi="Times New Roman" w:cs="Times New Roman"/>
          <w:sz w:val="24"/>
          <w:szCs w:val="24"/>
        </w:rPr>
      </w:pPr>
      <w:r w:rsidRPr="00DC1942">
        <w:rPr>
          <w:rFonts w:ascii="Times New Roman" w:hAnsi="Times New Roman" w:cs="Times New Roman"/>
          <w:sz w:val="24"/>
          <w:szCs w:val="24"/>
        </w:rPr>
        <w:t>Data quality controls should focus on critical elements: shipment IDs, client/contract keys, planned/actual timestamps, costs and revenues. During ETL, enforce completeness, validity, uniqueness, consistency and timeliness checks, and publish a scorecard with thresholds for alerts or quarantine [8]. Governance assigns data owners/stewards, maintains a business glossary and KPI catalogue, and records lineage. Apply least-privilege access, row-level security for contracts, audit logging, and privacy controls (masking/</w:t>
      </w:r>
      <w:proofErr w:type="spellStart"/>
      <w:r w:rsidRPr="00DC1942">
        <w:rPr>
          <w:rFonts w:ascii="Times New Roman" w:hAnsi="Times New Roman" w:cs="Times New Roman"/>
          <w:sz w:val="24"/>
          <w:szCs w:val="24"/>
        </w:rPr>
        <w:t>pseudonymisation</w:t>
      </w:r>
      <w:proofErr w:type="spellEnd"/>
      <w:r w:rsidRPr="00DC1942">
        <w:rPr>
          <w:rFonts w:ascii="Times New Roman" w:hAnsi="Times New Roman" w:cs="Times New Roman"/>
          <w:sz w:val="24"/>
          <w:szCs w:val="24"/>
        </w:rPr>
        <w:t xml:space="preserve"> for driver data) [6], [13]. Retention rules should match legal and contractual requirements.</w:t>
      </w:r>
    </w:p>
    <w:p w14:paraId="3F1AD55C" w14:textId="4BD98823" w:rsidR="00B33F2E" w:rsidRPr="00F21E38" w:rsidRDefault="00B33F2E" w:rsidP="00B33F2E">
      <w:pPr>
        <w:pStyle w:val="Heading3"/>
        <w:rPr>
          <w:rFonts w:ascii="Times New Roman" w:hAnsi="Times New Roman" w:cs="Times New Roman"/>
          <w:lang w:val="en-US"/>
        </w:rPr>
      </w:pPr>
      <w:bookmarkStart w:id="37" w:name="_Toc223399794"/>
      <w:r w:rsidRPr="00F21E38">
        <w:rPr>
          <w:rFonts w:ascii="Times New Roman" w:hAnsi="Times New Roman" w:cs="Times New Roman"/>
          <w:lang w:val="en-US"/>
        </w:rPr>
        <w:t>Conclusion</w:t>
      </w:r>
      <w:bookmarkEnd w:id="37"/>
    </w:p>
    <w:p w14:paraId="7E36E3D2" w14:textId="77777777" w:rsidR="00B33F2E" w:rsidRPr="00B33F2E" w:rsidRDefault="00B33F2E" w:rsidP="00DC1942">
      <w:pPr>
        <w:spacing w:line="360" w:lineRule="auto"/>
        <w:rPr>
          <w:rFonts w:ascii="Times New Roman" w:hAnsi="Times New Roman" w:cs="Times New Roman"/>
          <w:sz w:val="24"/>
          <w:szCs w:val="24"/>
          <w:lang w:val="en-GB"/>
        </w:rPr>
      </w:pPr>
      <w:r w:rsidRPr="00B33F2E">
        <w:rPr>
          <w:rFonts w:ascii="Times New Roman" w:hAnsi="Times New Roman" w:cs="Times New Roman"/>
          <w:sz w:val="24"/>
          <w:szCs w:val="24"/>
          <w:lang w:val="en-GB"/>
        </w:rPr>
        <w:t>This report has demonstrated how a dimensional data warehouse architecture can transform DHL’s fragmented operational data into an integrated analytical environment that supports strategic decision-making. By separating transactional OLTP systems from analytical workloads, the proposed architecture ensures both operational stability and enhanced reporting performance.</w:t>
      </w:r>
    </w:p>
    <w:p w14:paraId="1ACEE740" w14:textId="61CA1C35" w:rsidR="00B33F2E" w:rsidRPr="00B33F2E" w:rsidRDefault="00B33F2E" w:rsidP="00DC1942">
      <w:pPr>
        <w:spacing w:line="360" w:lineRule="auto"/>
        <w:rPr>
          <w:rFonts w:ascii="Times New Roman" w:hAnsi="Times New Roman" w:cs="Times New Roman"/>
          <w:sz w:val="24"/>
          <w:szCs w:val="24"/>
          <w:lang w:val="en-GB"/>
        </w:rPr>
      </w:pPr>
      <w:r w:rsidRPr="00B33F2E">
        <w:rPr>
          <w:rFonts w:ascii="Times New Roman" w:hAnsi="Times New Roman" w:cs="Times New Roman"/>
          <w:sz w:val="24"/>
          <w:szCs w:val="24"/>
          <w:lang w:val="en-GB"/>
        </w:rPr>
        <w:t>The shipment-leg star schema model provides a scalable analytical foundation, enabling multidimensional performance analysis across hubs, contracts, service types, and financial metrics. The introduction of conformed dimensions and departmental data marts ensures consistency, eliminates duplicate reporting logic, and supports a single version of the truth across the organisation. Furthermore, the ETL framework integrates data quality</w:t>
      </w:r>
      <w:r w:rsidRPr="00DC1942">
        <w:rPr>
          <w:rFonts w:ascii="Times New Roman" w:hAnsi="Times New Roman" w:cs="Times New Roman"/>
          <w:sz w:val="24"/>
          <w:szCs w:val="24"/>
          <w:lang w:val="en-GB"/>
        </w:rPr>
        <w:t xml:space="preserve"> </w:t>
      </w:r>
      <w:r w:rsidRPr="00B33F2E">
        <w:rPr>
          <w:rFonts w:ascii="Times New Roman" w:hAnsi="Times New Roman" w:cs="Times New Roman"/>
          <w:sz w:val="24"/>
          <w:szCs w:val="24"/>
          <w:lang w:val="en-GB"/>
        </w:rPr>
        <w:t>validation, conformance rules, and governance mechanisms to maintain accuracy, auditability, and regulatory compliance.</w:t>
      </w:r>
    </w:p>
    <w:p w14:paraId="0E8A54C0" w14:textId="77777777" w:rsidR="00B33F2E" w:rsidRPr="00B33F2E" w:rsidRDefault="00B33F2E" w:rsidP="00DC1942">
      <w:pPr>
        <w:spacing w:line="360" w:lineRule="auto"/>
        <w:rPr>
          <w:rFonts w:ascii="Times New Roman" w:hAnsi="Times New Roman" w:cs="Times New Roman"/>
          <w:sz w:val="24"/>
          <w:szCs w:val="24"/>
          <w:lang w:val="en-GB"/>
        </w:rPr>
      </w:pPr>
      <w:r w:rsidRPr="00B33F2E">
        <w:rPr>
          <w:rFonts w:ascii="Times New Roman" w:hAnsi="Times New Roman" w:cs="Times New Roman"/>
          <w:sz w:val="24"/>
          <w:szCs w:val="24"/>
          <w:lang w:val="en-GB"/>
        </w:rPr>
        <w:t>While the solution introduces challenges such as refresh latency, master data alignment complexity, and late-arriving fact handling, these trade-offs are justified by the improved analytical capability and strategic visibility achieved. Overall, the proposed data warehouse design establishes a robust and scalable platform that positions DHL for data-driven optimisation across its UK and European logistics operations.</w:t>
      </w:r>
    </w:p>
    <w:p w14:paraId="79BF84A2" w14:textId="77777777" w:rsidR="00B33F2E" w:rsidRPr="00F21E38" w:rsidRDefault="00B33F2E" w:rsidP="00B33F2E">
      <w:pPr>
        <w:rPr>
          <w:rFonts w:ascii="Times New Roman" w:hAnsi="Times New Roman" w:cs="Times New Roman"/>
        </w:rPr>
      </w:pPr>
    </w:p>
    <w:p w14:paraId="6C90B969" w14:textId="77777777" w:rsidR="00B33F2E" w:rsidRPr="00F21E38" w:rsidRDefault="00B33F2E" w:rsidP="00BA73F0">
      <w:pPr>
        <w:rPr>
          <w:rFonts w:ascii="Times New Roman" w:hAnsi="Times New Roman" w:cs="Times New Roman"/>
        </w:rPr>
      </w:pPr>
    </w:p>
    <w:p w14:paraId="0DB14E9D" w14:textId="77777777" w:rsidR="0004508D" w:rsidRPr="00F21E38" w:rsidRDefault="0004508D" w:rsidP="00BA73F0">
      <w:pPr>
        <w:pStyle w:val="Heading2"/>
        <w:rPr>
          <w:rFonts w:ascii="Times New Roman" w:hAnsi="Times New Roman" w:cs="Times New Roman"/>
        </w:rPr>
      </w:pPr>
      <w:bookmarkStart w:id="38" w:name="_Toc223296203"/>
      <w:bookmarkStart w:id="39" w:name="_Toc223316028"/>
      <w:bookmarkStart w:id="40" w:name="_Toc223399795"/>
      <w:r w:rsidRPr="00F21E38">
        <w:rPr>
          <w:rFonts w:ascii="Times New Roman" w:hAnsi="Times New Roman" w:cs="Times New Roman"/>
        </w:rPr>
        <w:lastRenderedPageBreak/>
        <w:t>References</w:t>
      </w:r>
      <w:bookmarkEnd w:id="38"/>
      <w:bookmarkEnd w:id="39"/>
      <w:bookmarkEnd w:id="40"/>
    </w:p>
    <w:p w14:paraId="282A94C7"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[1] R. Kimball and M. Ross, The Data Warehouse Toolkit: The Definitive Guide to Dimensional Modeling, 3rd ed. Hoboken, NJ: Wiley, 2013.</w:t>
      </w:r>
    </w:p>
    <w:p w14:paraId="049A5E01" w14:textId="77777777" w:rsidR="00B02D0D" w:rsidRPr="00B02D0D" w:rsidRDefault="00B02D0D" w:rsidP="00B02D0D">
      <w:pPr>
        <w:spacing w:line="240" w:lineRule="auto"/>
        <w:rPr>
          <w:rFonts w:ascii="Times New Roman" w:hAnsi="Times New Roman" w:cs="Times New Roman"/>
          <w:sz w:val="24"/>
          <w:szCs w:val="24"/>
        </w:rPr>
      </w:pPr>
    </w:p>
    <w:p w14:paraId="3114F952"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[2] W. H. Inmon, Building the Data Warehouse, 4th ed. Hoboken, NJ: Wiley, 2005.</w:t>
      </w:r>
    </w:p>
    <w:p w14:paraId="0CAD9808" w14:textId="77777777" w:rsidR="00B02D0D" w:rsidRPr="00B02D0D" w:rsidRDefault="00B02D0D" w:rsidP="00B02D0D">
      <w:pPr>
        <w:spacing w:line="240" w:lineRule="auto"/>
        <w:rPr>
          <w:rFonts w:ascii="Times New Roman" w:hAnsi="Times New Roman" w:cs="Times New Roman"/>
          <w:sz w:val="24"/>
          <w:szCs w:val="24"/>
        </w:rPr>
      </w:pPr>
    </w:p>
    <w:p w14:paraId="7AAE2B31"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[3] M. Kleppmann, Designing Data-Intensive Applications. Sebastopol, CA: O’Reilly Media, 2017.</w:t>
      </w:r>
    </w:p>
    <w:p w14:paraId="06BBF12A" w14:textId="77777777" w:rsidR="00B02D0D" w:rsidRPr="00B02D0D" w:rsidRDefault="00B02D0D" w:rsidP="00B02D0D">
      <w:pPr>
        <w:spacing w:line="240" w:lineRule="auto"/>
        <w:rPr>
          <w:rFonts w:ascii="Times New Roman" w:hAnsi="Times New Roman" w:cs="Times New Roman"/>
          <w:sz w:val="24"/>
          <w:szCs w:val="24"/>
        </w:rPr>
      </w:pPr>
    </w:p>
    <w:p w14:paraId="731F7D32"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[4] A. Silberschatz, H. F. Korth and S. Sudarshan, Database System Concepts, 7th ed. New York, NY: McGraw-Hill, 2019.</w:t>
      </w:r>
    </w:p>
    <w:p w14:paraId="1A12D610" w14:textId="77777777" w:rsidR="00B02D0D" w:rsidRPr="00B02D0D" w:rsidRDefault="00B02D0D" w:rsidP="00B02D0D">
      <w:pPr>
        <w:spacing w:line="240" w:lineRule="auto"/>
        <w:rPr>
          <w:rFonts w:ascii="Times New Roman" w:hAnsi="Times New Roman" w:cs="Times New Roman"/>
          <w:sz w:val="24"/>
          <w:szCs w:val="24"/>
        </w:rPr>
      </w:pPr>
    </w:p>
    <w:p w14:paraId="5FAAD0B1"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[5] J. Gray and A. Reuter, Transaction Processing: Concepts and Techniques. San Mateo, CA: Morgan Kaufmann, 1992.</w:t>
      </w:r>
    </w:p>
    <w:p w14:paraId="37150EF0" w14:textId="77777777" w:rsidR="00B02D0D" w:rsidRPr="00B02D0D" w:rsidRDefault="00B02D0D" w:rsidP="00B02D0D">
      <w:pPr>
        <w:spacing w:line="240" w:lineRule="auto"/>
        <w:rPr>
          <w:rFonts w:ascii="Times New Roman" w:hAnsi="Times New Roman" w:cs="Times New Roman"/>
          <w:sz w:val="24"/>
          <w:szCs w:val="24"/>
        </w:rPr>
      </w:pPr>
    </w:p>
    <w:p w14:paraId="3DEAD199"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[6] J. Ladley, Data Governance: How to Design, Deploy, and Sustain an Effective Data Governance Program, 2nd ed. Cambridge, MA: Morgan Kaufmann, 2019.</w:t>
      </w:r>
    </w:p>
    <w:p w14:paraId="7477AE33" w14:textId="77777777" w:rsidR="00B02D0D" w:rsidRPr="00B02D0D" w:rsidRDefault="00B02D0D" w:rsidP="00B02D0D">
      <w:pPr>
        <w:spacing w:line="240" w:lineRule="auto"/>
        <w:rPr>
          <w:rFonts w:ascii="Times New Roman" w:hAnsi="Times New Roman" w:cs="Times New Roman"/>
          <w:sz w:val="24"/>
          <w:szCs w:val="24"/>
        </w:rPr>
      </w:pPr>
    </w:p>
    <w:p w14:paraId="2E62CFA4"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[7] R. Kimball and J. Caserta, The Data Warehouse ETL Toolkit: Practical Techniques for Extracting, Cleaning, Conforming, and Delivering Data. Indianapolis, IN: Wiley, 2004.</w:t>
      </w:r>
    </w:p>
    <w:p w14:paraId="1FC49CD3" w14:textId="77777777" w:rsidR="00B02D0D" w:rsidRPr="00B02D0D" w:rsidRDefault="00B02D0D" w:rsidP="00B02D0D">
      <w:pPr>
        <w:spacing w:line="240" w:lineRule="auto"/>
        <w:rPr>
          <w:rFonts w:ascii="Times New Roman" w:hAnsi="Times New Roman" w:cs="Times New Roman"/>
          <w:sz w:val="24"/>
          <w:szCs w:val="24"/>
        </w:rPr>
      </w:pPr>
    </w:p>
    <w:p w14:paraId="54C100C0"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 xml:space="preserve">[8] C. </w:t>
      </w:r>
      <w:proofErr w:type="spellStart"/>
      <w:r w:rsidRPr="00B02D0D">
        <w:rPr>
          <w:rFonts w:ascii="Times New Roman" w:hAnsi="Times New Roman" w:cs="Times New Roman"/>
          <w:sz w:val="24"/>
          <w:szCs w:val="24"/>
        </w:rPr>
        <w:t>Batini</w:t>
      </w:r>
      <w:proofErr w:type="spellEnd"/>
      <w:r w:rsidRPr="00B02D0D">
        <w:rPr>
          <w:rFonts w:ascii="Times New Roman" w:hAnsi="Times New Roman" w:cs="Times New Roman"/>
          <w:sz w:val="24"/>
          <w:szCs w:val="24"/>
        </w:rPr>
        <w:t xml:space="preserve"> and M. Scannapieco, Data Quality: Concepts, Methodologies and Techniques. Berlin: Springer, 2006.</w:t>
      </w:r>
    </w:p>
    <w:p w14:paraId="0B46A523" w14:textId="77777777" w:rsidR="00B02D0D" w:rsidRPr="00B02D0D" w:rsidRDefault="00B02D0D" w:rsidP="00B02D0D">
      <w:pPr>
        <w:spacing w:line="240" w:lineRule="auto"/>
        <w:rPr>
          <w:rFonts w:ascii="Times New Roman" w:hAnsi="Times New Roman" w:cs="Times New Roman"/>
          <w:sz w:val="24"/>
          <w:szCs w:val="24"/>
        </w:rPr>
      </w:pPr>
    </w:p>
    <w:p w14:paraId="3039EBF5"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[9] P. Ponniah, Data Warehousing Fundamentals for IT Professionals, 2nd ed. Hoboken, NJ: Wiley, 2010.</w:t>
      </w:r>
    </w:p>
    <w:p w14:paraId="391DF158" w14:textId="77777777" w:rsidR="00B02D0D" w:rsidRPr="00B02D0D" w:rsidRDefault="00B02D0D" w:rsidP="00B02D0D">
      <w:pPr>
        <w:spacing w:line="240" w:lineRule="auto"/>
        <w:rPr>
          <w:rFonts w:ascii="Times New Roman" w:hAnsi="Times New Roman" w:cs="Times New Roman"/>
          <w:sz w:val="24"/>
          <w:szCs w:val="24"/>
        </w:rPr>
      </w:pPr>
    </w:p>
    <w:p w14:paraId="4CC0808E"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[10] M. Christopher, Logistics &amp; Supply Chain Management, 5th ed. Harlow: Pearson, 2016.</w:t>
      </w:r>
    </w:p>
    <w:p w14:paraId="10109B49" w14:textId="77777777" w:rsidR="00B02D0D" w:rsidRPr="00B02D0D" w:rsidRDefault="00B02D0D" w:rsidP="00B02D0D">
      <w:pPr>
        <w:spacing w:line="240" w:lineRule="auto"/>
        <w:rPr>
          <w:rFonts w:ascii="Times New Roman" w:hAnsi="Times New Roman" w:cs="Times New Roman"/>
          <w:sz w:val="24"/>
          <w:szCs w:val="24"/>
        </w:rPr>
      </w:pPr>
    </w:p>
    <w:p w14:paraId="6821EEDF"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lastRenderedPageBreak/>
        <w:t>[11] S. Chopra and P. Meindl, Supply Chain Management: Strategy, Planning, and Operation, 7th ed. Harlow: Pearson, 2020.</w:t>
      </w:r>
    </w:p>
    <w:p w14:paraId="78D5D96B" w14:textId="77777777" w:rsidR="00B02D0D" w:rsidRPr="00B02D0D" w:rsidRDefault="00B02D0D" w:rsidP="00B02D0D">
      <w:pPr>
        <w:spacing w:line="240" w:lineRule="auto"/>
        <w:rPr>
          <w:rFonts w:ascii="Times New Roman" w:hAnsi="Times New Roman" w:cs="Times New Roman"/>
          <w:sz w:val="24"/>
          <w:szCs w:val="24"/>
        </w:rPr>
      </w:pPr>
    </w:p>
    <w:p w14:paraId="3F02DA1A" w14:textId="77777777" w:rsidR="00B02D0D"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[12] D. J. Bowersox, D. J. Closs and M. B. Cooper, Supply Chain Logistics Management, 4th ed. New York, NY: McGraw-Hill, 2012.</w:t>
      </w:r>
    </w:p>
    <w:p w14:paraId="6B75F793" w14:textId="77777777" w:rsidR="00B02D0D" w:rsidRPr="00B02D0D" w:rsidRDefault="00B02D0D" w:rsidP="00B02D0D">
      <w:pPr>
        <w:spacing w:line="240" w:lineRule="auto"/>
        <w:rPr>
          <w:rFonts w:ascii="Times New Roman" w:hAnsi="Times New Roman" w:cs="Times New Roman"/>
          <w:sz w:val="24"/>
          <w:szCs w:val="24"/>
        </w:rPr>
      </w:pPr>
    </w:p>
    <w:p w14:paraId="71EF55CB" w14:textId="27A7C454" w:rsidR="009A11E8" w:rsidRPr="00B02D0D" w:rsidRDefault="00B02D0D" w:rsidP="00B02D0D">
      <w:pPr>
        <w:spacing w:line="240" w:lineRule="auto"/>
        <w:rPr>
          <w:rFonts w:ascii="Times New Roman" w:hAnsi="Times New Roman" w:cs="Times New Roman"/>
          <w:sz w:val="24"/>
          <w:szCs w:val="24"/>
        </w:rPr>
      </w:pPr>
      <w:r w:rsidRPr="00B02D0D">
        <w:rPr>
          <w:rFonts w:ascii="Times New Roman" w:hAnsi="Times New Roman" w:cs="Times New Roman"/>
          <w:sz w:val="24"/>
          <w:szCs w:val="24"/>
        </w:rPr>
        <w:t>[13] DAMA International, DAMA-DMBOK: Data Management Body of Knowledge, 2nd ed. Basking Ridge, NJ: Technics Publications, 2017.</w:t>
      </w:r>
    </w:p>
    <w:sectPr w:rsidR="009A11E8" w:rsidRPr="00B02D0D" w:rsidSect="0004508D">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F3951" w14:textId="77777777" w:rsidR="0072704B" w:rsidRDefault="0072704B" w:rsidP="00EE2C1E">
      <w:pPr>
        <w:spacing w:after="0" w:line="240" w:lineRule="auto"/>
      </w:pPr>
      <w:r>
        <w:separator/>
      </w:r>
    </w:p>
  </w:endnote>
  <w:endnote w:type="continuationSeparator" w:id="0">
    <w:p w14:paraId="59873634" w14:textId="77777777" w:rsidR="0072704B" w:rsidRDefault="0072704B" w:rsidP="00EE2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41B07" w14:textId="77777777" w:rsidR="0072704B" w:rsidRDefault="0072704B" w:rsidP="00EE2C1E">
      <w:pPr>
        <w:spacing w:after="0" w:line="240" w:lineRule="auto"/>
      </w:pPr>
      <w:r>
        <w:separator/>
      </w:r>
    </w:p>
  </w:footnote>
  <w:footnote w:type="continuationSeparator" w:id="0">
    <w:p w14:paraId="3D8654E6" w14:textId="77777777" w:rsidR="0072704B" w:rsidRDefault="0072704B" w:rsidP="00EE2C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1E8"/>
    <w:rsid w:val="0004508D"/>
    <w:rsid w:val="00047EBB"/>
    <w:rsid w:val="000F2B0C"/>
    <w:rsid w:val="002F5C35"/>
    <w:rsid w:val="00322683"/>
    <w:rsid w:val="0072704B"/>
    <w:rsid w:val="00807DF7"/>
    <w:rsid w:val="0095110B"/>
    <w:rsid w:val="009A11E8"/>
    <w:rsid w:val="00A2528D"/>
    <w:rsid w:val="00B02D0D"/>
    <w:rsid w:val="00B33F2E"/>
    <w:rsid w:val="00BA73F0"/>
    <w:rsid w:val="00C30173"/>
    <w:rsid w:val="00CC27FB"/>
    <w:rsid w:val="00DC1942"/>
    <w:rsid w:val="00EC14FB"/>
    <w:rsid w:val="00EC3252"/>
    <w:rsid w:val="00EE2C1E"/>
    <w:rsid w:val="00F21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728B"/>
  <w15:chartTrackingRefBased/>
  <w15:docId w15:val="{89758CB9-ADDA-498A-85F6-1D5FEAB54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173"/>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9A11E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9A11E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9A11E8"/>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A11E8"/>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9A11E8"/>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9A11E8"/>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9A11E8"/>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9A11E8"/>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9A11E8"/>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1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1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1E8"/>
    <w:rPr>
      <w:rFonts w:eastAsiaTheme="majorEastAsia" w:cstheme="majorBidi"/>
      <w:color w:val="272727" w:themeColor="text1" w:themeTint="D8"/>
    </w:rPr>
  </w:style>
  <w:style w:type="paragraph" w:styleId="Title">
    <w:name w:val="Title"/>
    <w:basedOn w:val="Normal"/>
    <w:next w:val="Normal"/>
    <w:link w:val="TitleChar"/>
    <w:uiPriority w:val="10"/>
    <w:qFormat/>
    <w:rsid w:val="009A11E8"/>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A1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1E8"/>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A1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1E8"/>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9A11E8"/>
    <w:rPr>
      <w:i/>
      <w:iCs/>
      <w:color w:val="404040" w:themeColor="text1" w:themeTint="BF"/>
    </w:rPr>
  </w:style>
  <w:style w:type="paragraph" w:styleId="ListParagraph">
    <w:name w:val="List Paragraph"/>
    <w:basedOn w:val="Normal"/>
    <w:uiPriority w:val="34"/>
    <w:qFormat/>
    <w:rsid w:val="009A11E8"/>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9A11E8"/>
    <w:rPr>
      <w:i/>
      <w:iCs/>
      <w:color w:val="0F4761" w:themeColor="accent1" w:themeShade="BF"/>
    </w:rPr>
  </w:style>
  <w:style w:type="paragraph" w:styleId="IntenseQuote">
    <w:name w:val="Intense Quote"/>
    <w:basedOn w:val="Normal"/>
    <w:next w:val="Normal"/>
    <w:link w:val="IntenseQuoteChar"/>
    <w:uiPriority w:val="30"/>
    <w:qFormat/>
    <w:rsid w:val="009A11E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9A11E8"/>
    <w:rPr>
      <w:i/>
      <w:iCs/>
      <w:color w:val="0F4761" w:themeColor="accent1" w:themeShade="BF"/>
    </w:rPr>
  </w:style>
  <w:style w:type="character" w:styleId="IntenseReference">
    <w:name w:val="Intense Reference"/>
    <w:basedOn w:val="DefaultParagraphFont"/>
    <w:uiPriority w:val="32"/>
    <w:qFormat/>
    <w:rsid w:val="009A11E8"/>
    <w:rPr>
      <w:b/>
      <w:bCs/>
      <w:smallCaps/>
      <w:color w:val="0F4761" w:themeColor="accent1" w:themeShade="BF"/>
      <w:spacing w:val="5"/>
    </w:rPr>
  </w:style>
  <w:style w:type="paragraph" w:styleId="TOCHeading">
    <w:name w:val="TOC Heading"/>
    <w:basedOn w:val="Heading1"/>
    <w:next w:val="Normal"/>
    <w:uiPriority w:val="39"/>
    <w:unhideWhenUsed/>
    <w:qFormat/>
    <w:rsid w:val="0004508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4508D"/>
    <w:pPr>
      <w:spacing w:after="100"/>
    </w:pPr>
  </w:style>
  <w:style w:type="paragraph" w:styleId="TOC2">
    <w:name w:val="toc 2"/>
    <w:basedOn w:val="Normal"/>
    <w:next w:val="Normal"/>
    <w:autoRedefine/>
    <w:uiPriority w:val="39"/>
    <w:unhideWhenUsed/>
    <w:rsid w:val="0004508D"/>
    <w:pPr>
      <w:spacing w:after="100"/>
      <w:ind w:left="220"/>
    </w:pPr>
  </w:style>
  <w:style w:type="paragraph" w:styleId="TOC3">
    <w:name w:val="toc 3"/>
    <w:basedOn w:val="Normal"/>
    <w:next w:val="Normal"/>
    <w:autoRedefine/>
    <w:uiPriority w:val="39"/>
    <w:unhideWhenUsed/>
    <w:rsid w:val="0004508D"/>
    <w:pPr>
      <w:spacing w:after="100"/>
      <w:ind w:left="440"/>
    </w:pPr>
  </w:style>
  <w:style w:type="character" w:styleId="Hyperlink">
    <w:name w:val="Hyperlink"/>
    <w:basedOn w:val="DefaultParagraphFont"/>
    <w:uiPriority w:val="99"/>
    <w:unhideWhenUsed/>
    <w:rsid w:val="0004508D"/>
    <w:rPr>
      <w:color w:val="467886" w:themeColor="hyperlink"/>
      <w:u w:val="single"/>
    </w:rPr>
  </w:style>
  <w:style w:type="paragraph" w:styleId="Header">
    <w:name w:val="header"/>
    <w:basedOn w:val="Normal"/>
    <w:link w:val="HeaderChar"/>
    <w:uiPriority w:val="99"/>
    <w:unhideWhenUsed/>
    <w:rsid w:val="00EE2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C1E"/>
    <w:rPr>
      <w:rFonts w:eastAsiaTheme="minorEastAsia"/>
      <w:kern w:val="0"/>
      <w:sz w:val="22"/>
      <w:szCs w:val="22"/>
      <w:lang w:val="en-US"/>
      <w14:ligatures w14:val="none"/>
    </w:rPr>
  </w:style>
  <w:style w:type="paragraph" w:styleId="Footer">
    <w:name w:val="footer"/>
    <w:basedOn w:val="Normal"/>
    <w:link w:val="FooterChar"/>
    <w:uiPriority w:val="99"/>
    <w:unhideWhenUsed/>
    <w:rsid w:val="00EE2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C1E"/>
    <w:rPr>
      <w:rFonts w:eastAsiaTheme="minorEastAsia"/>
      <w:kern w:val="0"/>
      <w:sz w:val="22"/>
      <w:szCs w:val="22"/>
      <w:lang w:val="en-US"/>
      <w14:ligatures w14:val="none"/>
    </w:rPr>
  </w:style>
  <w:style w:type="paragraph" w:styleId="Caption">
    <w:name w:val="caption"/>
    <w:basedOn w:val="Normal"/>
    <w:next w:val="Normal"/>
    <w:uiPriority w:val="35"/>
    <w:unhideWhenUsed/>
    <w:qFormat/>
    <w:rsid w:val="00BA73F0"/>
    <w:pPr>
      <w:spacing w:line="240" w:lineRule="auto"/>
    </w:pPr>
    <w:rPr>
      <w:i/>
      <w:iCs/>
      <w:color w:val="0E2841" w:themeColor="text2"/>
      <w:sz w:val="18"/>
      <w:szCs w:val="18"/>
    </w:rPr>
  </w:style>
  <w:style w:type="table" w:styleId="TableGrid">
    <w:name w:val="Table Grid"/>
    <w:basedOn w:val="TableNormal"/>
    <w:uiPriority w:val="39"/>
    <w:rsid w:val="00F21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F426F-7708-4561-A890-EBA849C70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3764</Words>
  <Characters>21459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Iliyanov Tsvetkov (2314195)</dc:creator>
  <cp:keywords/>
  <dc:description/>
  <cp:lastModifiedBy>Ivan Iliyanov Tsvetkov (2314195)</cp:lastModifiedBy>
  <cp:revision>3</cp:revision>
  <dcterms:created xsi:type="dcterms:W3CDTF">2026-03-03T03:08:00Z</dcterms:created>
  <dcterms:modified xsi:type="dcterms:W3CDTF">2026-03-03T03:33:00Z</dcterms:modified>
</cp:coreProperties>
</file>