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04031BB">
      <w:pPr>
        <w:spacing w:line="360" w:lineRule="auto"/>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1CA85854" w14:textId="6D8A2707" w:rsidR="00FA2110" w:rsidRDefault="00FA2110" w:rsidP="004031BB">
      <w:pPr>
        <w:spacing w:line="360" w:lineRule="auto"/>
        <w:rPr>
          <w:rFonts w:ascii="Arial" w:eastAsia="Arial Nova" w:hAnsi="Arial" w:cs="Arial"/>
          <w:sz w:val="22"/>
          <w:szCs w:val="22"/>
        </w:rPr>
      </w:pPr>
      <w:r>
        <w:rPr>
          <w:rFonts w:ascii="Arial" w:eastAsia="Arial Nova" w:hAnsi="Arial" w:cs="Arial"/>
          <w:sz w:val="22"/>
          <w:szCs w:val="22"/>
        </w:rPr>
        <w:t>Name: Areeba Khan</w:t>
      </w:r>
    </w:p>
    <w:p w14:paraId="1A8F5755" w14:textId="3A630D61" w:rsidR="00FA2110" w:rsidRDefault="00FA2110" w:rsidP="004031BB">
      <w:pPr>
        <w:spacing w:line="360" w:lineRule="auto"/>
        <w:rPr>
          <w:rFonts w:ascii="Arial" w:eastAsia="Arial Nova" w:hAnsi="Arial" w:cs="Arial"/>
          <w:sz w:val="22"/>
          <w:szCs w:val="22"/>
        </w:rPr>
      </w:pPr>
      <w:r>
        <w:rPr>
          <w:rFonts w:ascii="Arial" w:eastAsia="Arial Nova" w:hAnsi="Arial" w:cs="Arial"/>
          <w:sz w:val="22"/>
          <w:szCs w:val="22"/>
        </w:rPr>
        <w:t>Student number: 2419588</w:t>
      </w:r>
    </w:p>
    <w:p w14:paraId="2CBD4359" w14:textId="5B6C2F24" w:rsidR="00FA2110" w:rsidRDefault="00FA2110" w:rsidP="004031BB">
      <w:pPr>
        <w:spacing w:line="360" w:lineRule="auto"/>
        <w:rPr>
          <w:rFonts w:ascii="Arial" w:eastAsia="Arial Nova" w:hAnsi="Arial" w:cs="Arial"/>
          <w:sz w:val="22"/>
          <w:szCs w:val="22"/>
        </w:rPr>
      </w:pPr>
      <w:r>
        <w:rPr>
          <w:rFonts w:ascii="Arial" w:eastAsia="Arial Nova" w:hAnsi="Arial" w:cs="Arial"/>
          <w:sz w:val="22"/>
          <w:szCs w:val="22"/>
        </w:rPr>
        <w:t xml:space="preserve">Module Title: </w:t>
      </w:r>
      <w:r w:rsidRPr="00FA2110">
        <w:rPr>
          <w:rFonts w:ascii="Arial" w:eastAsia="Arial Nova" w:hAnsi="Arial" w:cs="Arial"/>
          <w:sz w:val="22"/>
          <w:szCs w:val="22"/>
        </w:rPr>
        <w:t xml:space="preserve">Changemakers: Building </w:t>
      </w:r>
      <w:r w:rsidR="00684AEC">
        <w:rPr>
          <w:rFonts w:ascii="Arial" w:eastAsia="Arial Nova" w:hAnsi="Arial" w:cs="Arial"/>
          <w:sz w:val="22"/>
          <w:szCs w:val="22"/>
        </w:rPr>
        <w:t>Y</w:t>
      </w:r>
      <w:r w:rsidRPr="00FA2110">
        <w:rPr>
          <w:rFonts w:ascii="Arial" w:eastAsia="Arial Nova" w:hAnsi="Arial" w:cs="Arial"/>
          <w:sz w:val="22"/>
          <w:szCs w:val="22"/>
        </w:rPr>
        <w:t xml:space="preserve">our Personal Brand for Sustainable Employment   </w:t>
      </w:r>
    </w:p>
    <w:p w14:paraId="30142435" w14:textId="4EC2847C" w:rsidR="00FA2110" w:rsidRDefault="00FA2110" w:rsidP="004031BB">
      <w:pPr>
        <w:spacing w:line="360" w:lineRule="auto"/>
        <w:rPr>
          <w:rFonts w:ascii="Arial" w:eastAsia="Arial Nova" w:hAnsi="Arial" w:cs="Arial"/>
          <w:sz w:val="22"/>
          <w:szCs w:val="22"/>
        </w:rPr>
      </w:pPr>
      <w:r>
        <w:rPr>
          <w:rFonts w:ascii="Arial" w:eastAsia="Arial Nova" w:hAnsi="Arial" w:cs="Arial"/>
          <w:sz w:val="22"/>
          <w:szCs w:val="22"/>
        </w:rPr>
        <w:t>Module Code: BMPH5015</w:t>
      </w:r>
    </w:p>
    <w:p w14:paraId="43952577" w14:textId="481BA926" w:rsidR="00FA2110" w:rsidRDefault="00FA2110" w:rsidP="004031BB">
      <w:pPr>
        <w:spacing w:line="360" w:lineRule="auto"/>
        <w:rPr>
          <w:rFonts w:ascii="Arial" w:eastAsia="Arial Nova" w:hAnsi="Arial" w:cs="Arial"/>
          <w:sz w:val="22"/>
          <w:szCs w:val="22"/>
        </w:rPr>
      </w:pPr>
      <w:r>
        <w:rPr>
          <w:rFonts w:ascii="Arial" w:eastAsia="Arial Nova" w:hAnsi="Arial" w:cs="Arial"/>
          <w:sz w:val="22"/>
          <w:szCs w:val="22"/>
        </w:rPr>
        <w:t>Assignment Title: Component 1- Online Portfolio</w:t>
      </w:r>
    </w:p>
    <w:p w14:paraId="54342244" w14:textId="77777777" w:rsidR="00FA2110" w:rsidRPr="00FA2110" w:rsidRDefault="00FA2110" w:rsidP="004031BB">
      <w:pPr>
        <w:spacing w:line="360" w:lineRule="auto"/>
        <w:rPr>
          <w:rFonts w:ascii="Arial" w:eastAsia="Arial Nova" w:hAnsi="Arial" w:cs="Arial"/>
          <w:sz w:val="22"/>
          <w:szCs w:val="22"/>
        </w:rPr>
      </w:pPr>
    </w:p>
    <w:p w14:paraId="6844EBA0" w14:textId="28C86DEB" w:rsidR="021F216E" w:rsidRDefault="021F216E" w:rsidP="004031BB">
      <w:pPr>
        <w:spacing w:line="360" w:lineRule="auto"/>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5A33E90" w14:textId="77777777" w:rsidR="00FA2110" w:rsidRDefault="00FA2110" w:rsidP="021F216E">
      <w:pPr>
        <w:rPr>
          <w:rFonts w:ascii="Arial Nova" w:eastAsia="Arial Nova" w:hAnsi="Arial Nova" w:cs="Arial Nova"/>
          <w:sz w:val="72"/>
          <w:szCs w:val="72"/>
        </w:rPr>
      </w:pPr>
    </w:p>
    <w:p w14:paraId="5B3A8BF0" w14:textId="77777777" w:rsidR="0031752F" w:rsidRDefault="0031752F" w:rsidP="021F216E">
      <w:pPr>
        <w:rPr>
          <w:rFonts w:ascii="Arial Nova" w:eastAsia="Arial Nova" w:hAnsi="Arial Nova" w:cs="Arial Nova"/>
          <w:sz w:val="44"/>
          <w:szCs w:val="44"/>
        </w:rPr>
      </w:pPr>
    </w:p>
    <w:p w14:paraId="3C149A82" w14:textId="77777777" w:rsidR="0031752F" w:rsidRDefault="0031752F" w:rsidP="021F216E">
      <w:pPr>
        <w:rPr>
          <w:rFonts w:ascii="Arial Nova" w:eastAsia="Arial Nova" w:hAnsi="Arial Nova" w:cs="Arial Nova"/>
          <w:sz w:val="44"/>
          <w:szCs w:val="44"/>
        </w:rPr>
      </w:pPr>
    </w:p>
    <w:p w14:paraId="5A2C554F" w14:textId="77777777" w:rsidR="006D436F" w:rsidRDefault="006D436F" w:rsidP="021F216E">
      <w:pPr>
        <w:rPr>
          <w:rFonts w:ascii="Arial Nova" w:eastAsia="Arial Nova" w:hAnsi="Arial Nova" w:cs="Arial Nova"/>
          <w:sz w:val="44"/>
          <w:szCs w:val="44"/>
        </w:rPr>
      </w:pPr>
    </w:p>
    <w:p w14:paraId="5ED067C8" w14:textId="25C2C53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rPr>
        <w:t xml:space="preserve">Minimum </w:t>
      </w:r>
      <w:r w:rsidR="00835193">
        <w:rPr>
          <w:rFonts w:ascii="Arial Nova" w:eastAsia="Arial Nova" w:hAnsi="Arial Nova" w:cs="Arial Nova"/>
          <w:i/>
          <w:iCs/>
          <w:color w:val="000000" w:themeColor="text1"/>
        </w:rPr>
        <w:t xml:space="preserve">of </w:t>
      </w:r>
      <w:r w:rsidR="006E6679">
        <w:rPr>
          <w:rFonts w:ascii="Arial Nova" w:eastAsia="Arial Nova" w:hAnsi="Arial Nova" w:cs="Arial Nova"/>
          <w:i/>
          <w:iCs/>
          <w:color w:val="000000" w:themeColor="text1"/>
        </w:rPr>
        <w:t>2 referenced sources)</w:t>
      </w:r>
    </w:p>
    <w:p w14:paraId="1A89236C" w14:textId="77777777" w:rsidR="00FA2110" w:rsidRPr="00FA2110" w:rsidRDefault="00FA2110" w:rsidP="021F216E">
      <w:pPr>
        <w:rPr>
          <w:rFonts w:ascii="Arial" w:eastAsia="Arial Nova" w:hAnsi="Arial" w:cs="Arial"/>
          <w:color w:val="000000" w:themeColor="text1"/>
          <w:sz w:val="22"/>
          <w:szCs w:val="22"/>
        </w:rPr>
      </w:pPr>
    </w:p>
    <w:p w14:paraId="620C2591" w14:textId="5B44349B" w:rsidR="00EA6118" w:rsidRPr="00EA6118" w:rsidRDefault="00EA6118" w:rsidP="008D124F">
      <w:pPr>
        <w:spacing w:line="360" w:lineRule="auto"/>
        <w:rPr>
          <w:rFonts w:ascii="Arial" w:eastAsia="Arial Nova" w:hAnsi="Arial" w:cs="Arial"/>
          <w:color w:val="000000" w:themeColor="text1"/>
          <w:sz w:val="22"/>
          <w:szCs w:val="22"/>
        </w:rPr>
      </w:pPr>
      <w:r w:rsidRPr="00EA6118">
        <w:rPr>
          <w:rFonts w:ascii="Arial" w:eastAsia="Arial Nova" w:hAnsi="Arial" w:cs="Arial"/>
          <w:color w:val="000000" w:themeColor="text1"/>
          <w:sz w:val="22"/>
          <w:szCs w:val="22"/>
        </w:rPr>
        <w:t xml:space="preserve">In an employment context, my personal brand represents the unique value proposition, professional identity, and promise of quality I offer to potential employers. Rather than serving merely as a job title, personal branding </w:t>
      </w:r>
      <w:r>
        <w:rPr>
          <w:rFonts w:ascii="Arial" w:eastAsia="Arial Nova" w:hAnsi="Arial" w:cs="Arial"/>
          <w:color w:val="000000" w:themeColor="text1"/>
          <w:sz w:val="22"/>
          <w:szCs w:val="22"/>
        </w:rPr>
        <w:t>i</w:t>
      </w:r>
      <w:r w:rsidRPr="00EA6118">
        <w:rPr>
          <w:rFonts w:ascii="Arial" w:eastAsia="Arial Nova" w:hAnsi="Arial" w:cs="Arial"/>
          <w:color w:val="000000" w:themeColor="text1"/>
          <w:sz w:val="22"/>
          <w:szCs w:val="22"/>
        </w:rPr>
        <w:t xml:space="preserve">s a deliberate act of self-promotion that distinguishes my capabilities from </w:t>
      </w:r>
      <w:r>
        <w:rPr>
          <w:rFonts w:ascii="Arial" w:eastAsia="Arial Nova" w:hAnsi="Arial" w:cs="Arial"/>
          <w:color w:val="000000" w:themeColor="text1"/>
          <w:sz w:val="22"/>
          <w:szCs w:val="22"/>
        </w:rPr>
        <w:t xml:space="preserve">those of </w:t>
      </w:r>
      <w:r w:rsidRPr="00EA6118">
        <w:rPr>
          <w:rFonts w:ascii="Arial" w:eastAsia="Arial Nova" w:hAnsi="Arial" w:cs="Arial"/>
          <w:color w:val="000000" w:themeColor="text1"/>
          <w:sz w:val="22"/>
          <w:szCs w:val="22"/>
        </w:rPr>
        <w:t>professional competitors. Pawar and Gandhi (2016) suggest that an individual’s personal identity and professional identity can exist as distinct brands; however, aligning my core personal values and strengths with my work ethos creates an authentic workplace identity.</w:t>
      </w:r>
    </w:p>
    <w:p w14:paraId="070A20CB" w14:textId="483BEACC" w:rsidR="00EA6118" w:rsidRPr="00EA6118" w:rsidRDefault="00EA6118" w:rsidP="008D124F">
      <w:pPr>
        <w:spacing w:line="360" w:lineRule="auto"/>
        <w:rPr>
          <w:rFonts w:ascii="Arial" w:eastAsia="Arial Nova" w:hAnsi="Arial" w:cs="Arial"/>
          <w:color w:val="000000" w:themeColor="text1"/>
          <w:sz w:val="22"/>
          <w:szCs w:val="22"/>
        </w:rPr>
      </w:pPr>
      <w:r w:rsidRPr="00EA6118">
        <w:rPr>
          <w:rFonts w:ascii="Arial" w:eastAsia="Arial Nova" w:hAnsi="Arial" w:cs="Arial"/>
          <w:color w:val="000000" w:themeColor="text1"/>
          <w:sz w:val="22"/>
          <w:szCs w:val="22"/>
        </w:rPr>
        <w:t>My primary strengths lie in my strong interpersonal relationships, my ability to collaborate effectively with other professionals, and being well-spoken when articulating and p</w:t>
      </w:r>
      <w:r w:rsidR="009A572D">
        <w:rPr>
          <w:rFonts w:ascii="Arial" w:eastAsia="Arial Nova" w:hAnsi="Arial" w:cs="Arial"/>
          <w:color w:val="000000" w:themeColor="text1"/>
          <w:sz w:val="22"/>
          <w:szCs w:val="22"/>
        </w:rPr>
        <w:t xml:space="preserve">resenting </w:t>
      </w:r>
      <w:r w:rsidRPr="00EA6118">
        <w:rPr>
          <w:rFonts w:ascii="Arial" w:eastAsia="Arial Nova" w:hAnsi="Arial" w:cs="Arial"/>
          <w:color w:val="000000" w:themeColor="text1"/>
          <w:sz w:val="22"/>
          <w:szCs w:val="22"/>
        </w:rPr>
        <w:t>my ideas. These communication assets form the core foundation of my professional brand. However, applying a personal SWOT framework highlights a significant internal weakness: my tendency to struggle with time management and leave tasks until the last minute, creating unnecessary pressure.</w:t>
      </w:r>
    </w:p>
    <w:p w14:paraId="783924C5" w14:textId="2A98BB8D" w:rsidR="021F216E" w:rsidRDefault="00EA6118" w:rsidP="008D124F">
      <w:pPr>
        <w:spacing w:line="360" w:lineRule="auto"/>
        <w:rPr>
          <w:rFonts w:ascii="Arial Nova" w:eastAsia="Arial Nova" w:hAnsi="Arial Nova" w:cs="Arial Nova"/>
          <w:i/>
          <w:iCs/>
          <w:color w:val="000000" w:themeColor="text1"/>
        </w:rPr>
      </w:pPr>
      <w:r w:rsidRPr="00EA6118">
        <w:rPr>
          <w:rFonts w:ascii="Arial" w:eastAsia="Arial Nova" w:hAnsi="Arial" w:cs="Arial"/>
          <w:color w:val="000000" w:themeColor="text1"/>
          <w:sz w:val="22"/>
          <w:szCs w:val="22"/>
        </w:rPr>
        <w:t>To develop my personal brand and achieve my dream job, I must address this weakness so that last-minute rushes do not undermine my brand promise of consistency and reliability. Using a brand mood board to visually clarify my career trajectory and goals, I will translate these ideas into a structured Personal Development Plan (PDP). As Yakup and Sevil (2011) note, a strong brand delivers a reliable promise that distinguishes an individual from competitors. By adopting structured time-management strategies, I can protect my professional reputation and secure my dream role</w:t>
      </w:r>
      <w:r w:rsidRPr="00EA6118">
        <w:rPr>
          <w:rFonts w:ascii="Arial Nova" w:eastAsia="Arial Nova" w:hAnsi="Arial Nova" w:cs="Arial Nova"/>
          <w:i/>
          <w:iCs/>
          <w:color w:val="000000" w:themeColor="text1"/>
        </w:rPr>
        <w:t>.</w:t>
      </w:r>
    </w:p>
    <w:p w14:paraId="1603AB69" w14:textId="2F7B5545" w:rsidR="021F216E" w:rsidRDefault="021F216E" w:rsidP="008D124F">
      <w:pPr>
        <w:spacing w:line="360" w:lineRule="auto"/>
        <w:rPr>
          <w:rFonts w:ascii="Arial Nova" w:eastAsia="Arial Nova" w:hAnsi="Arial Nova" w:cs="Arial Nova"/>
          <w:i/>
          <w:iCs/>
          <w:color w:val="000000" w:themeColor="text1"/>
        </w:rPr>
      </w:pPr>
    </w:p>
    <w:p w14:paraId="3E379083" w14:textId="77777777" w:rsidR="008D124F" w:rsidRDefault="008D124F" w:rsidP="021F216E">
      <w:pPr>
        <w:rPr>
          <w:rFonts w:ascii="Arial Nova" w:eastAsia="Arial Nova" w:hAnsi="Arial Nova" w:cs="Arial Nova"/>
          <w:i/>
          <w:iCs/>
          <w:color w:val="000000" w:themeColor="text1"/>
        </w:rPr>
      </w:pPr>
    </w:p>
    <w:p w14:paraId="0AD522A5" w14:textId="77777777" w:rsidR="0031752F" w:rsidRDefault="0031752F" w:rsidP="021F216E">
      <w:pPr>
        <w:rPr>
          <w:rFonts w:ascii="Arial Nova" w:eastAsia="Arial Nova" w:hAnsi="Arial Nova" w:cs="Arial Nova"/>
          <w:color w:val="000000" w:themeColor="text1"/>
          <w:sz w:val="44"/>
          <w:szCs w:val="44"/>
        </w:rPr>
      </w:pPr>
    </w:p>
    <w:p w14:paraId="3E5DF0AA" w14:textId="77777777" w:rsidR="0031752F" w:rsidRDefault="0031752F" w:rsidP="021F216E">
      <w:pPr>
        <w:rPr>
          <w:rFonts w:ascii="Arial Nova" w:eastAsia="Arial Nova" w:hAnsi="Arial Nova" w:cs="Arial Nova"/>
          <w:color w:val="000000" w:themeColor="text1"/>
          <w:sz w:val="44"/>
          <w:szCs w:val="44"/>
        </w:rPr>
      </w:pPr>
    </w:p>
    <w:p w14:paraId="0BA0C741" w14:textId="77777777" w:rsidR="0031752F" w:rsidRDefault="0031752F" w:rsidP="021F216E">
      <w:pPr>
        <w:rPr>
          <w:rFonts w:ascii="Arial Nova" w:eastAsia="Arial Nova" w:hAnsi="Arial Nova" w:cs="Arial Nova"/>
          <w:color w:val="000000" w:themeColor="text1"/>
          <w:sz w:val="44"/>
          <w:szCs w:val="44"/>
        </w:rPr>
      </w:pPr>
    </w:p>
    <w:p w14:paraId="172CAD1D" w14:textId="77777777" w:rsidR="0031752F" w:rsidRDefault="0031752F" w:rsidP="021F216E">
      <w:pPr>
        <w:rPr>
          <w:rFonts w:ascii="Arial Nova" w:eastAsia="Arial Nova" w:hAnsi="Arial Nova" w:cs="Arial Nova"/>
          <w:color w:val="000000" w:themeColor="text1"/>
          <w:sz w:val="44"/>
          <w:szCs w:val="44"/>
        </w:rPr>
      </w:pPr>
    </w:p>
    <w:p w14:paraId="38BC76CC" w14:textId="77777777" w:rsidR="0031752F" w:rsidRDefault="0031752F" w:rsidP="021F216E">
      <w:pPr>
        <w:rPr>
          <w:rFonts w:ascii="Arial Nova" w:eastAsia="Arial Nova" w:hAnsi="Arial Nova" w:cs="Arial Nova"/>
          <w:color w:val="000000" w:themeColor="text1"/>
          <w:sz w:val="44"/>
          <w:szCs w:val="44"/>
        </w:rPr>
      </w:pPr>
    </w:p>
    <w:p w14:paraId="240F8B0A" w14:textId="77777777" w:rsidR="0031752F" w:rsidRDefault="0031752F" w:rsidP="021F216E">
      <w:pPr>
        <w:rPr>
          <w:rFonts w:ascii="Arial Nova" w:eastAsia="Arial Nova" w:hAnsi="Arial Nova" w:cs="Arial Nova"/>
          <w:color w:val="000000" w:themeColor="text1"/>
          <w:sz w:val="44"/>
          <w:szCs w:val="44"/>
        </w:rPr>
      </w:pPr>
    </w:p>
    <w:p w14:paraId="78587690" w14:textId="3126441B"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08EF840A" w:rsidR="021F216E" w:rsidRDefault="006E6679"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Create a map of your own network considering career, support, social and community dimensions. </w:t>
      </w:r>
      <w:proofErr w:type="gramStart"/>
      <w:r>
        <w:rPr>
          <w:rFonts w:ascii="Arial Nova" w:eastAsia="Arial Nova" w:hAnsi="Arial Nova" w:cs="Arial Nova"/>
          <w:i/>
          <w:iCs/>
          <w:color w:val="000000" w:themeColor="text1"/>
        </w:rPr>
        <w:t>Additionally</w:t>
      </w:r>
      <w:proofErr w:type="gramEnd"/>
      <w:r>
        <w:rPr>
          <w:rFonts w:ascii="Arial Nova" w:eastAsia="Arial Nova" w:hAnsi="Arial Nova" w:cs="Arial Nova"/>
          <w:i/>
          <w:iCs/>
          <w:color w:val="000000" w:themeColor="text1"/>
        </w:rPr>
        <w:t xml:space="preserve"> you should provide a supporting rationale explaining and critically assessing this (2</w:t>
      </w:r>
      <w:r w:rsidR="00835193">
        <w:rPr>
          <w:rFonts w:ascii="Arial Nova" w:eastAsia="Arial Nova" w:hAnsi="Arial Nova" w:cs="Arial Nova"/>
          <w:i/>
          <w:iCs/>
          <w:color w:val="000000" w:themeColor="text1"/>
        </w:rPr>
        <w:t>5</w:t>
      </w:r>
      <w:r>
        <w:rPr>
          <w:rFonts w:ascii="Arial Nova" w:eastAsia="Arial Nova" w:hAnsi="Arial Nova" w:cs="Arial Nova"/>
          <w:i/>
          <w:iCs/>
          <w:color w:val="000000" w:themeColor="text1"/>
        </w:rPr>
        <w:t>0 words-</w:t>
      </w:r>
      <w:r w:rsidR="00835193">
        <w:rPr>
          <w:rFonts w:ascii="Arial Nova" w:eastAsia="Arial Nova" w:hAnsi="Arial Nova" w:cs="Arial Nova"/>
          <w:b/>
          <w:bCs/>
          <w:i/>
          <w:iCs/>
          <w:color w:val="000000" w:themeColor="text1"/>
        </w:rPr>
        <w:t xml:space="preserve">Minimum </w:t>
      </w:r>
      <w:r w:rsidR="00835193">
        <w:rPr>
          <w:rFonts w:ascii="Arial Nova" w:eastAsia="Arial Nova" w:hAnsi="Arial Nova" w:cs="Arial Nova"/>
          <w:i/>
          <w:iCs/>
          <w:color w:val="000000" w:themeColor="text1"/>
        </w:rPr>
        <w:t>of</w:t>
      </w:r>
      <w:r>
        <w:rPr>
          <w:rFonts w:ascii="Arial Nova" w:eastAsia="Arial Nova" w:hAnsi="Arial Nova" w:cs="Arial Nova"/>
          <w:i/>
          <w:iCs/>
          <w:color w:val="000000" w:themeColor="text1"/>
        </w:rPr>
        <w:t xml:space="preserve"> 2 referenced sources).</w:t>
      </w:r>
    </w:p>
    <w:p w14:paraId="082976C9" w14:textId="6FCD0DF5" w:rsidR="00C16861" w:rsidRPr="00C16861" w:rsidRDefault="0085022B" w:rsidP="021F216E">
      <w:pPr>
        <w:rPr>
          <w:rFonts w:ascii="Arial Nova" w:eastAsia="Arial Nova" w:hAnsi="Arial Nova" w:cs="Arial Nova"/>
          <w:color w:val="000000" w:themeColor="text1"/>
        </w:rPr>
      </w:pPr>
      <w:r>
        <w:rPr>
          <w:rFonts w:ascii="Arial Nova" w:eastAsia="Arial Nova" w:hAnsi="Arial Nova" w:cs="Arial Nova"/>
          <w:noProof/>
          <w:color w:val="000000" w:themeColor="text1"/>
        </w:rPr>
        <w:drawing>
          <wp:inline distT="0" distB="0" distL="0" distR="0" wp14:anchorId="289D596E" wp14:editId="5BBB25E1">
            <wp:extent cx="5943600" cy="3719195"/>
            <wp:effectExtent l="0" t="0" r="0" b="1905"/>
            <wp:docPr id="4896041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04194" name="Picture 48960419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9195"/>
                    </a:xfrm>
                    <a:prstGeom prst="rect">
                      <a:avLst/>
                    </a:prstGeom>
                  </pic:spPr>
                </pic:pic>
              </a:graphicData>
            </a:graphic>
          </wp:inline>
        </w:drawing>
      </w:r>
    </w:p>
    <w:p w14:paraId="0FE39BA5" w14:textId="590105E7" w:rsidR="021F216E" w:rsidRPr="005A1CC9" w:rsidRDefault="021F216E" w:rsidP="021F216E">
      <w:pPr>
        <w:rPr>
          <w:rFonts w:ascii="Arial Nova" w:eastAsia="Arial Nova" w:hAnsi="Arial Nova" w:cs="Arial Nova"/>
          <w:i/>
          <w:iCs/>
          <w:color w:val="000000" w:themeColor="text1"/>
          <w:sz w:val="32"/>
          <w:szCs w:val="32"/>
        </w:rPr>
      </w:pPr>
    </w:p>
    <w:p w14:paraId="5FF856FA" w14:textId="77777777" w:rsidR="005A1CC9" w:rsidRDefault="005A1CC9" w:rsidP="005A1CC9">
      <w:pPr>
        <w:rPr>
          <w:rFonts w:ascii="Arial" w:eastAsia="Arial Nova" w:hAnsi="Arial" w:cs="Arial"/>
          <w:color w:val="000000" w:themeColor="text1"/>
          <w:sz w:val="28"/>
          <w:szCs w:val="28"/>
        </w:rPr>
      </w:pPr>
      <w:r w:rsidRPr="005A1CC9">
        <w:rPr>
          <w:rFonts w:ascii="Arial" w:eastAsia="Arial Nova" w:hAnsi="Arial" w:cs="Arial"/>
          <w:color w:val="000000" w:themeColor="text1"/>
          <w:sz w:val="28"/>
          <w:szCs w:val="28"/>
        </w:rPr>
        <w:t>Task 2: Network Map Rationale</w:t>
      </w:r>
    </w:p>
    <w:p w14:paraId="147D969F" w14:textId="77777777" w:rsidR="006D436F" w:rsidRPr="005A1CC9" w:rsidRDefault="006D436F" w:rsidP="005A1CC9">
      <w:pPr>
        <w:rPr>
          <w:rFonts w:ascii="Arial" w:eastAsia="Arial Nova" w:hAnsi="Arial" w:cs="Arial"/>
          <w:color w:val="000000" w:themeColor="text1"/>
          <w:sz w:val="28"/>
          <w:szCs w:val="28"/>
        </w:rPr>
      </w:pPr>
    </w:p>
    <w:p w14:paraId="45203593" w14:textId="06C3DC26" w:rsidR="001B6498" w:rsidRPr="001B6498" w:rsidRDefault="001B6498" w:rsidP="001B6498">
      <w:pPr>
        <w:spacing w:line="360" w:lineRule="auto"/>
        <w:rPr>
          <w:rFonts w:ascii="Arial" w:eastAsia="Arial Nova" w:hAnsi="Arial" w:cs="Arial"/>
          <w:color w:val="000000" w:themeColor="text1"/>
          <w:sz w:val="22"/>
          <w:szCs w:val="22"/>
        </w:rPr>
      </w:pPr>
      <w:r w:rsidRPr="001B6498">
        <w:rPr>
          <w:rFonts w:ascii="Arial" w:eastAsia="Arial Nova" w:hAnsi="Arial" w:cs="Arial"/>
          <w:color w:val="000000" w:themeColor="text1"/>
          <w:sz w:val="22"/>
          <w:szCs w:val="22"/>
        </w:rPr>
        <w:t xml:space="preserve">My social network map illustrates a hybrid network structure, combining distinct tie strengths across my career, support, social, and community dimensions. In my support sphere, I possess high bonding social capital, supported by stronger ties with my husband, mother, sisters, in-laws, and </w:t>
      </w:r>
      <w:r w:rsidR="00CD6532" w:rsidRPr="001B6498">
        <w:rPr>
          <w:rFonts w:ascii="Arial" w:eastAsia="Arial Nova" w:hAnsi="Arial" w:cs="Arial"/>
          <w:color w:val="000000" w:themeColor="text1"/>
          <w:sz w:val="22"/>
          <w:szCs w:val="22"/>
        </w:rPr>
        <w:t>schoolteachers</w:t>
      </w:r>
      <w:r w:rsidRPr="001B6498">
        <w:rPr>
          <w:rFonts w:ascii="Arial" w:eastAsia="Arial Nova" w:hAnsi="Arial" w:cs="Arial"/>
          <w:color w:val="000000" w:themeColor="text1"/>
          <w:sz w:val="22"/>
          <w:szCs w:val="22"/>
        </w:rPr>
        <w:t xml:space="preserve"> who provide emotional and practical stability. Conversely, my social and community domains consist of weaker ties</w:t>
      </w:r>
      <w:r w:rsidR="00CD6532">
        <w:rPr>
          <w:rFonts w:ascii="Arial" w:eastAsia="Arial Nova" w:hAnsi="Arial" w:cs="Arial"/>
          <w:color w:val="000000" w:themeColor="text1"/>
          <w:sz w:val="22"/>
          <w:szCs w:val="22"/>
        </w:rPr>
        <w:t>,</w:t>
      </w:r>
      <w:r w:rsidR="005D28D2">
        <w:rPr>
          <w:rFonts w:ascii="Arial" w:eastAsia="Arial Nova" w:hAnsi="Arial" w:cs="Arial"/>
          <w:color w:val="000000" w:themeColor="text1"/>
          <w:sz w:val="22"/>
          <w:szCs w:val="22"/>
        </w:rPr>
        <w:t xml:space="preserve"> </w:t>
      </w:r>
      <w:r w:rsidRPr="001B6498">
        <w:rPr>
          <w:rFonts w:ascii="Arial" w:eastAsia="Arial Nova" w:hAnsi="Arial" w:cs="Arial"/>
          <w:color w:val="000000" w:themeColor="text1"/>
          <w:sz w:val="22"/>
          <w:szCs w:val="22"/>
        </w:rPr>
        <w:t xml:space="preserve">including friends, family, baristas, and health and education professionals such as doctors, health visitors, therapists, dentists, and </w:t>
      </w:r>
      <w:proofErr w:type="spellStart"/>
      <w:r w:rsidRPr="001B6498">
        <w:rPr>
          <w:rFonts w:ascii="Arial" w:eastAsia="Arial Nova" w:hAnsi="Arial" w:cs="Arial"/>
          <w:color w:val="000000" w:themeColor="text1"/>
          <w:sz w:val="22"/>
          <w:szCs w:val="22"/>
        </w:rPr>
        <w:t>SendCos</w:t>
      </w:r>
      <w:proofErr w:type="spellEnd"/>
      <w:r w:rsidR="00A2716C">
        <w:rPr>
          <w:rFonts w:ascii="Arial" w:eastAsia="Arial Nova" w:hAnsi="Arial" w:cs="Arial"/>
          <w:color w:val="000000" w:themeColor="text1"/>
          <w:sz w:val="22"/>
          <w:szCs w:val="22"/>
        </w:rPr>
        <w:t>,</w:t>
      </w:r>
      <w:r w:rsidR="00CD6532">
        <w:rPr>
          <w:rFonts w:ascii="Arial" w:eastAsia="Arial Nova" w:hAnsi="Arial" w:cs="Arial"/>
          <w:color w:val="000000" w:themeColor="text1"/>
          <w:sz w:val="22"/>
          <w:szCs w:val="22"/>
        </w:rPr>
        <w:t xml:space="preserve"> </w:t>
      </w:r>
      <w:r w:rsidRPr="001B6498">
        <w:rPr>
          <w:rFonts w:ascii="Arial" w:eastAsia="Arial Nova" w:hAnsi="Arial" w:cs="Arial"/>
          <w:color w:val="000000" w:themeColor="text1"/>
          <w:sz w:val="22"/>
          <w:szCs w:val="22"/>
        </w:rPr>
        <w:t>which offer valuable bridging social capital by connecting me to wider community resources and diverse social perspectives.</w:t>
      </w:r>
    </w:p>
    <w:p w14:paraId="7FB42C94" w14:textId="77777777" w:rsidR="001B6498" w:rsidRPr="001B6498" w:rsidRDefault="001B6498" w:rsidP="001B6498">
      <w:pPr>
        <w:spacing w:line="360" w:lineRule="auto"/>
        <w:rPr>
          <w:rFonts w:ascii="Arial" w:eastAsia="Arial Nova" w:hAnsi="Arial" w:cs="Arial"/>
          <w:color w:val="000000" w:themeColor="text1"/>
          <w:sz w:val="22"/>
          <w:szCs w:val="22"/>
        </w:rPr>
      </w:pPr>
      <w:r w:rsidRPr="001B6498">
        <w:rPr>
          <w:rFonts w:ascii="Arial" w:eastAsia="Arial Nova" w:hAnsi="Arial" w:cs="Arial"/>
          <w:color w:val="000000" w:themeColor="text1"/>
          <w:sz w:val="22"/>
          <w:szCs w:val="22"/>
        </w:rPr>
        <w:t xml:space="preserve">Critically assessing my network reveals a primary weakness in linking social capital. My career domain relies heavily on weaker and latent ties with university lecturers and career advisors. According to </w:t>
      </w:r>
      <w:proofErr w:type="spellStart"/>
      <w:r w:rsidRPr="001B6498">
        <w:rPr>
          <w:rFonts w:ascii="Arial" w:eastAsia="Arial Nova" w:hAnsi="Arial" w:cs="Arial"/>
          <w:color w:val="000000" w:themeColor="text1"/>
          <w:sz w:val="22"/>
          <w:szCs w:val="22"/>
        </w:rPr>
        <w:t>Granovetter’s</w:t>
      </w:r>
      <w:proofErr w:type="spellEnd"/>
      <w:r w:rsidRPr="001B6498">
        <w:rPr>
          <w:rFonts w:ascii="Arial" w:eastAsia="Arial Nova" w:hAnsi="Arial" w:cs="Arial"/>
          <w:color w:val="000000" w:themeColor="text1"/>
          <w:sz w:val="22"/>
          <w:szCs w:val="22"/>
        </w:rPr>
        <w:t xml:space="preserve"> (1973) Strength of Weak Ties theory, while weak ties offer novel information, latent ties require active engagement and communication to yield tangible </w:t>
      </w:r>
      <w:r w:rsidRPr="001B6498">
        <w:rPr>
          <w:rFonts w:ascii="Arial" w:eastAsia="Arial Nova" w:hAnsi="Arial" w:cs="Arial"/>
          <w:color w:val="000000" w:themeColor="text1"/>
          <w:sz w:val="22"/>
          <w:szCs w:val="22"/>
        </w:rPr>
        <w:lastRenderedPageBreak/>
        <w:t>professional opportunities. Furthermore, Putnam (2000) emphasises that while bonding ties foster high trust and mutual support, they cannot substitute for the vertical leverage provided by linking capital with institutional authority figures needed for strategic career mobility.</w:t>
      </w:r>
    </w:p>
    <w:p w14:paraId="40C8FB48" w14:textId="3E1F2459" w:rsidR="021F216E" w:rsidRPr="001B6498" w:rsidRDefault="001B6498" w:rsidP="001B6498">
      <w:pPr>
        <w:spacing w:line="360" w:lineRule="auto"/>
        <w:rPr>
          <w:rFonts w:ascii="Arial" w:eastAsia="Arial Nova" w:hAnsi="Arial" w:cs="Arial"/>
          <w:color w:val="000000" w:themeColor="text1"/>
          <w:sz w:val="22"/>
          <w:szCs w:val="22"/>
        </w:rPr>
      </w:pPr>
      <w:r w:rsidRPr="001B6498">
        <w:rPr>
          <w:rFonts w:ascii="Arial" w:eastAsia="Arial Nova" w:hAnsi="Arial" w:cs="Arial"/>
          <w:color w:val="000000" w:themeColor="text1"/>
          <w:sz w:val="22"/>
          <w:szCs w:val="22"/>
        </w:rPr>
        <w:t>To improve my social capital, I must actively transform my latent career connections into functional bridging and linking ties. Proactively reaching out to career advisors and university lecturers will build strategic social connections, enhance vertical mobility, and effectively support my long-term career progression</w:t>
      </w:r>
    </w:p>
    <w:p w14:paraId="4522682A" w14:textId="738375ED" w:rsidR="021F216E" w:rsidRDefault="021F216E" w:rsidP="021F216E">
      <w:pPr>
        <w:rPr>
          <w:rFonts w:ascii="Arial Nova" w:eastAsia="Arial Nova" w:hAnsi="Arial Nova" w:cs="Arial Nova"/>
          <w:i/>
          <w:iCs/>
          <w:color w:val="000000" w:themeColor="text1"/>
        </w:rPr>
      </w:pPr>
    </w:p>
    <w:p w14:paraId="3D8E9ECA" w14:textId="7C86C910"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5AFE9C7B" w:rsidR="021F216E" w:rsidRDefault="003D2038" w:rsidP="021F216E">
      <w:pPr>
        <w:rPr>
          <w:rFonts w:ascii="Arial" w:hAnsi="Arial" w:cs="Arial"/>
          <w:color w:val="FF0000"/>
        </w:rPr>
      </w:pPr>
      <w:r>
        <w:rPr>
          <w:rFonts w:ascii="Arial Nova" w:eastAsia="Arial Nova" w:hAnsi="Arial Nova" w:cs="Arial Nova"/>
          <w:i/>
          <w:iCs/>
          <w:color w:val="000000" w:themeColor="text1"/>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rPr>
        <w:t>4</w:t>
      </w:r>
      <w:r>
        <w:rPr>
          <w:rFonts w:ascii="Arial Nova" w:eastAsia="Arial Nova" w:hAnsi="Arial Nova" w:cs="Arial Nova"/>
          <w:i/>
          <w:iCs/>
          <w:color w:val="000000" w:themeColor="text1"/>
        </w:rPr>
        <w:t>00 words)</w:t>
      </w:r>
      <w:r w:rsidR="00C96CFC">
        <w:rPr>
          <w:rFonts w:ascii="Arial Nova" w:eastAsia="Arial Nova" w:hAnsi="Arial Nova" w:cs="Arial Nova"/>
          <w:i/>
          <w:iCs/>
          <w:color w:val="000000" w:themeColor="text1"/>
        </w:rPr>
        <w:t xml:space="preserve"> </w:t>
      </w:r>
      <w:r w:rsidR="00304206" w:rsidRPr="00304206">
        <w:rPr>
          <w:rFonts w:ascii="Arial" w:hAnsi="Arial" w:cs="Arial"/>
          <w:color w:val="FF0000"/>
        </w:rPr>
        <w:t>Referencing of your sources of information is not a compulsory requirement but could be beneficial.</w:t>
      </w:r>
    </w:p>
    <w:p w14:paraId="7A2621EA" w14:textId="77777777" w:rsidR="000A5CB4" w:rsidRPr="003D2038" w:rsidRDefault="000A5CB4" w:rsidP="021F216E">
      <w:pPr>
        <w:rPr>
          <w:rFonts w:ascii="Arial Nova" w:eastAsia="Arial Nova" w:hAnsi="Arial Nova" w:cs="Arial Nova"/>
          <w:i/>
          <w:iCs/>
          <w:color w:val="000000" w:themeColor="text1"/>
        </w:rPr>
      </w:pPr>
    </w:p>
    <w:p w14:paraId="54587136" w14:textId="77777777" w:rsidR="000A5CB4"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Blog Title: Bridging the Care Gap: Why Workforce Reform is the Key to a National Care Service</w:t>
      </w:r>
    </w:p>
    <w:p w14:paraId="5FFC165B" w14:textId="77777777" w:rsidR="000A5CB4"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Target Audience: Social Care Leaders, Local Authority Commissioners, and Care Sector Managers</w:t>
      </w:r>
    </w:p>
    <w:p w14:paraId="64F296EB" w14:textId="77777777" w:rsidR="000A5CB4"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The UK adult social care sector stands at a critical crossroads. Recent findings from the British Social Attitudes survey show that public satisfaction with social care remains at a low 14%, while dissatisfaction sits at 49%. Furthermore, 71% of respondents report that there are not enough staff in the health and social care system. For care managers, local authority commissioners, and front-line staff, these statistics reflect daily operational pressures driven by recruitment shortages, retention bottlenecks, and increasing complexity of care needs. However, recent policy initiatives provide a fresh roadmap to transform social care delivery.</w:t>
      </w:r>
    </w:p>
    <w:p w14:paraId="4994AADC" w14:textId="6AD7705A" w:rsidR="000A5CB4"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 xml:space="preserve">To address these structural issues, the Department of Health and Social Care (DHSC) has published priority outcomes designed to lay the groundwork for a National Care Service. Supported by £4.6 billion in additional funding by 2028–2029 compared to 2025–2026, central government is simplifying local finance by consolidating individual grants into broader Fair Funding Allocations. Policy expectations centre </w:t>
      </w:r>
      <w:r w:rsidR="003C2FE3" w:rsidRPr="00571943">
        <w:rPr>
          <w:rFonts w:ascii="Arial" w:eastAsia="Arial Nova" w:hAnsi="Arial" w:cs="Arial"/>
          <w:color w:val="000000" w:themeColor="text1"/>
          <w:sz w:val="22"/>
          <w:szCs w:val="22"/>
        </w:rPr>
        <w:t xml:space="preserve">on three strategic priorities: ensuring a skilled, supported workforce delivers care; promoting individual choice and independence; and integrating health and social care services directly at the </w:t>
      </w:r>
      <w:r w:rsidR="005A1CC9" w:rsidRPr="00571943">
        <w:rPr>
          <w:rFonts w:ascii="Arial" w:eastAsia="Arial Nova" w:hAnsi="Arial" w:cs="Arial"/>
          <w:color w:val="000000" w:themeColor="text1"/>
          <w:sz w:val="22"/>
          <w:szCs w:val="22"/>
        </w:rPr>
        <w:t>neighbourhood</w:t>
      </w:r>
      <w:r w:rsidRPr="00571943">
        <w:rPr>
          <w:rFonts w:ascii="Arial" w:eastAsia="Arial Nova" w:hAnsi="Arial" w:cs="Arial"/>
          <w:color w:val="000000" w:themeColor="text1"/>
          <w:sz w:val="22"/>
          <w:szCs w:val="22"/>
        </w:rPr>
        <w:t xml:space="preserve"> level.</w:t>
      </w:r>
    </w:p>
    <w:p w14:paraId="676B8C91" w14:textId="64EE976D" w:rsidR="000A5CB4"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 xml:space="preserve">Crucially, achieving these priority outcomes requires putting the social care workforce at the </w:t>
      </w:r>
      <w:r w:rsidR="003C2FE3" w:rsidRPr="00571943">
        <w:rPr>
          <w:rFonts w:ascii="Arial" w:eastAsia="Arial Nova" w:hAnsi="Arial" w:cs="Arial"/>
          <w:color w:val="000000" w:themeColor="text1"/>
          <w:sz w:val="22"/>
          <w:szCs w:val="22"/>
        </w:rPr>
        <w:t>Centre</w:t>
      </w:r>
      <w:r w:rsidRPr="00571943">
        <w:rPr>
          <w:rFonts w:ascii="Arial" w:eastAsia="Arial Nova" w:hAnsi="Arial" w:cs="Arial"/>
          <w:color w:val="000000" w:themeColor="text1"/>
          <w:sz w:val="22"/>
          <w:szCs w:val="22"/>
        </w:rPr>
        <w:t xml:space="preserve"> of reform. High-quality, person-</w:t>
      </w:r>
      <w:r w:rsidR="005A1CC9" w:rsidRPr="00571943">
        <w:rPr>
          <w:rFonts w:ascii="Arial" w:eastAsia="Arial Nova" w:hAnsi="Arial" w:cs="Arial"/>
          <w:color w:val="000000" w:themeColor="text1"/>
          <w:sz w:val="22"/>
          <w:szCs w:val="22"/>
        </w:rPr>
        <w:t>centred</w:t>
      </w:r>
      <w:r w:rsidRPr="00571943">
        <w:rPr>
          <w:rFonts w:ascii="Arial" w:eastAsia="Arial Nova" w:hAnsi="Arial" w:cs="Arial"/>
          <w:color w:val="000000" w:themeColor="text1"/>
          <w:sz w:val="22"/>
          <w:szCs w:val="22"/>
        </w:rPr>
        <w:t xml:space="preserve"> support </w:t>
      </w:r>
      <w:r w:rsidR="003C2FE3" w:rsidRPr="00571943">
        <w:rPr>
          <w:rFonts w:ascii="Arial" w:eastAsia="Arial Nova" w:hAnsi="Arial" w:cs="Arial"/>
          <w:color w:val="000000" w:themeColor="text1"/>
          <w:sz w:val="22"/>
          <w:szCs w:val="22"/>
        </w:rPr>
        <w:t>depend</w:t>
      </w:r>
      <w:r w:rsidRPr="00571943">
        <w:rPr>
          <w:rFonts w:ascii="Arial" w:eastAsia="Arial Nova" w:hAnsi="Arial" w:cs="Arial"/>
          <w:color w:val="000000" w:themeColor="text1"/>
          <w:sz w:val="22"/>
          <w:szCs w:val="22"/>
        </w:rPr>
        <w:t xml:space="preserve">s entirely on </w:t>
      </w:r>
      <w:r w:rsidR="003C2FE3" w:rsidRPr="00571943">
        <w:rPr>
          <w:rFonts w:ascii="Arial" w:eastAsia="Arial Nova" w:hAnsi="Arial" w:cs="Arial"/>
          <w:color w:val="000000" w:themeColor="text1"/>
          <w:sz w:val="22"/>
          <w:szCs w:val="22"/>
        </w:rPr>
        <w:t>care staff's</w:t>
      </w:r>
      <w:r w:rsidRPr="00571943">
        <w:rPr>
          <w:rFonts w:ascii="Arial" w:eastAsia="Arial Nova" w:hAnsi="Arial" w:cs="Arial"/>
          <w:color w:val="000000" w:themeColor="text1"/>
          <w:sz w:val="22"/>
          <w:szCs w:val="22"/>
        </w:rPr>
        <w:t xml:space="preserve"> skills and wellbeing. Strategy plans across the UK, such as Northern Ireland's 10-year social care reform plan, prioritise attracting and retaining talent by funding fair pay frameworks like the Real Living </w:t>
      </w:r>
      <w:r w:rsidRPr="00571943">
        <w:rPr>
          <w:rFonts w:ascii="Arial" w:eastAsia="Arial Nova" w:hAnsi="Arial" w:cs="Arial"/>
          <w:color w:val="000000" w:themeColor="text1"/>
          <w:sz w:val="22"/>
          <w:szCs w:val="22"/>
        </w:rPr>
        <w:lastRenderedPageBreak/>
        <w:t>Wage, alongside embedding digital and assistive technologies to support community care. This strategy reflects public expectations, as 46% of citizens identify helping people stay independent at home as their top social care priority, followed by improving service quality (44%).</w:t>
      </w:r>
    </w:p>
    <w:p w14:paraId="1422809C" w14:textId="74BABC99" w:rsidR="021F216E" w:rsidRPr="00571943" w:rsidRDefault="000A5CB4" w:rsidP="00571943">
      <w:pPr>
        <w:spacing w:line="360" w:lineRule="auto"/>
        <w:rPr>
          <w:rFonts w:ascii="Arial" w:eastAsia="Arial Nova" w:hAnsi="Arial" w:cs="Arial"/>
          <w:color w:val="000000" w:themeColor="text1"/>
          <w:sz w:val="22"/>
          <w:szCs w:val="22"/>
        </w:rPr>
      </w:pPr>
      <w:r w:rsidRPr="00571943">
        <w:rPr>
          <w:rFonts w:ascii="Arial" w:eastAsia="Arial Nova" w:hAnsi="Arial" w:cs="Arial"/>
          <w:color w:val="000000" w:themeColor="text1"/>
          <w:sz w:val="22"/>
          <w:szCs w:val="22"/>
        </w:rPr>
        <w:t>Ultimately, building a resilient health and social care sector demands moving beyond short-term fixes toward sustainable workforce investment and integrated local delivery. Care workers perform an essential role in maintaining population health, preventing avoidable hospital admissions, and fostering dignity in local communities. For care leaders, local authority officers, and providers, turning policy into reality will depend on strengthening local partnerships, leveraging digital solutions, and ensuring workforce pay reflects the vital value of social care. Supporting care staff is the single most important step toward delivering a National Care Service fit for the futur</w:t>
      </w:r>
      <w:r w:rsidR="003C2FE3" w:rsidRPr="00571943">
        <w:rPr>
          <w:rFonts w:ascii="Arial" w:eastAsia="Arial Nova" w:hAnsi="Arial" w:cs="Arial"/>
          <w:color w:val="000000" w:themeColor="text1"/>
          <w:sz w:val="22"/>
          <w:szCs w:val="22"/>
        </w:rPr>
        <w:t xml:space="preserve">e. </w:t>
      </w:r>
    </w:p>
    <w:p w14:paraId="6E711477" w14:textId="48F753F6" w:rsidR="021F216E" w:rsidRPr="00571943" w:rsidRDefault="021F216E" w:rsidP="00571943">
      <w:pPr>
        <w:spacing w:line="360" w:lineRule="auto"/>
        <w:rPr>
          <w:rFonts w:ascii="Arial" w:eastAsia="Arial Nova" w:hAnsi="Arial" w:cs="Arial"/>
          <w:color w:val="000000" w:themeColor="text1"/>
          <w:sz w:val="22"/>
          <w:szCs w:val="22"/>
        </w:rPr>
      </w:pPr>
    </w:p>
    <w:p w14:paraId="7E7EEBF1" w14:textId="5F4A3D70"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What is the primary goal of the NHS Equality, Diversity, and Inclusion Improvement Plan?</w:t>
      </w:r>
      <w:r w:rsidRPr="007C3164">
        <w:rPr>
          <w:rFonts w:asciiTheme="minorBidi" w:hAnsiTheme="minorBidi"/>
        </w:rPr>
        <w:br/>
      </w:r>
      <w:r w:rsidRPr="007C3164">
        <w:rPr>
          <w:rFonts w:asciiTheme="minorBidi" w:hAnsiTheme="minorBidi"/>
          <w:i/>
          <w:iCs/>
        </w:rPr>
        <w:t xml:space="preserve">(Answer in </w:t>
      </w:r>
      <w:r w:rsidR="003D2038">
        <w:rPr>
          <w:rFonts w:asciiTheme="minorBidi" w:hAnsiTheme="minorBidi"/>
          <w:i/>
          <w:iCs/>
        </w:rPr>
        <w:t>one or</w:t>
      </w:r>
      <w:r w:rsidRPr="007C3164">
        <w:rPr>
          <w:rFonts w:asciiTheme="minorBidi" w:hAnsiTheme="minorBidi"/>
          <w:i/>
          <w:iCs/>
        </w:rPr>
        <w:t xml:space="preserve"> two </w:t>
      </w:r>
      <w:r>
        <w:rPr>
          <w:rFonts w:asciiTheme="minorBidi" w:hAnsiTheme="minorBidi"/>
          <w:i/>
          <w:iCs/>
        </w:rPr>
        <w:t>sentences</w:t>
      </w:r>
      <w:r w:rsidRPr="007C3164">
        <w:rPr>
          <w:rFonts w:asciiTheme="minorBidi" w:hAnsiTheme="minorBidi"/>
          <w:i/>
          <w:iCs/>
        </w:rPr>
        <w:t>.)</w:t>
      </w:r>
    </w:p>
    <w:p w14:paraId="1B9AD92F" w14:textId="77777777" w:rsidR="00693EF9" w:rsidRDefault="00693EF9" w:rsidP="0074551A">
      <w:pPr>
        <w:pStyle w:val="ListParagraph"/>
        <w:spacing w:before="100" w:beforeAutospacing="1" w:after="100" w:afterAutospacing="1"/>
        <w:rPr>
          <w:rFonts w:ascii="Arial" w:hAnsi="Arial" w:cs="Arial"/>
          <w:sz w:val="22"/>
          <w:szCs w:val="22"/>
        </w:rPr>
      </w:pPr>
    </w:p>
    <w:p w14:paraId="17762088" w14:textId="6C219590" w:rsidR="0074551A" w:rsidRDefault="00693EF9" w:rsidP="00301BF2">
      <w:pPr>
        <w:pStyle w:val="ListParagraph"/>
        <w:spacing w:before="100" w:beforeAutospacing="1" w:after="100" w:afterAutospacing="1" w:line="360" w:lineRule="auto"/>
        <w:rPr>
          <w:rFonts w:ascii="Arial" w:hAnsi="Arial" w:cs="Arial"/>
          <w:sz w:val="22"/>
          <w:szCs w:val="22"/>
        </w:rPr>
      </w:pPr>
      <w:proofErr w:type="gramStart"/>
      <w:r w:rsidRPr="00693EF9">
        <w:rPr>
          <w:rFonts w:ascii="Arial" w:hAnsi="Arial" w:cs="Arial"/>
          <w:sz w:val="22"/>
          <w:szCs w:val="22"/>
        </w:rPr>
        <w:t>In order to</w:t>
      </w:r>
      <w:proofErr w:type="gramEnd"/>
      <w:r w:rsidRPr="00693EF9">
        <w:rPr>
          <w:rFonts w:ascii="Arial" w:hAnsi="Arial" w:cs="Arial"/>
          <w:sz w:val="22"/>
          <w:szCs w:val="22"/>
        </w:rPr>
        <w:t xml:space="preserve"> improve </w:t>
      </w:r>
      <w:r>
        <w:rPr>
          <w:rFonts w:ascii="Arial" w:hAnsi="Arial" w:cs="Arial"/>
          <w:sz w:val="22"/>
          <w:szCs w:val="22"/>
        </w:rPr>
        <w:t xml:space="preserve">equality, diversity and inclusion for NHS staff so they feel a sense of belonging and </w:t>
      </w:r>
      <w:r w:rsidR="007F22CA">
        <w:rPr>
          <w:rFonts w:ascii="Arial" w:hAnsi="Arial" w:cs="Arial"/>
          <w:sz w:val="22"/>
          <w:szCs w:val="22"/>
        </w:rPr>
        <w:t xml:space="preserve">are </w:t>
      </w:r>
      <w:r>
        <w:rPr>
          <w:rFonts w:ascii="Arial" w:hAnsi="Arial" w:cs="Arial"/>
          <w:sz w:val="22"/>
          <w:szCs w:val="22"/>
        </w:rPr>
        <w:t>safe in their workspace (NHS,</w:t>
      </w:r>
      <w:r w:rsidR="007F22CA">
        <w:rPr>
          <w:rFonts w:ascii="Arial" w:hAnsi="Arial" w:cs="Arial"/>
          <w:sz w:val="22"/>
          <w:szCs w:val="22"/>
        </w:rPr>
        <w:t xml:space="preserve"> </w:t>
      </w:r>
      <w:r>
        <w:rPr>
          <w:rFonts w:ascii="Arial" w:hAnsi="Arial" w:cs="Arial"/>
          <w:sz w:val="22"/>
          <w:szCs w:val="22"/>
        </w:rPr>
        <w:t>2023).</w:t>
      </w:r>
    </w:p>
    <w:p w14:paraId="751899EC" w14:textId="77777777" w:rsidR="00301BF2" w:rsidRPr="00301BF2" w:rsidRDefault="00301BF2" w:rsidP="00301BF2">
      <w:pPr>
        <w:pStyle w:val="ListParagraph"/>
        <w:spacing w:before="100" w:beforeAutospacing="1" w:after="100" w:afterAutospacing="1" w:line="360" w:lineRule="auto"/>
        <w:rPr>
          <w:rFonts w:ascii="Arial" w:hAnsi="Arial" w:cs="Arial"/>
          <w:sz w:val="22"/>
          <w:szCs w:val="22"/>
        </w:rPr>
      </w:pPr>
    </w:p>
    <w:p w14:paraId="63A92FD2" w14:textId="39065C60" w:rsidR="0074551A" w:rsidRPr="00AC383E"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How does the NHS EDI Improvement Plan propose to tackle the gender pay gap?</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1991D528" w14:textId="78F6E7C3" w:rsidR="00AC383E" w:rsidRDefault="00AC383E" w:rsidP="00AC383E">
      <w:pPr>
        <w:pStyle w:val="ListParagraph"/>
        <w:spacing w:before="100" w:beforeAutospacing="1" w:after="100" w:afterAutospacing="1"/>
        <w:rPr>
          <w:rFonts w:asciiTheme="minorBidi" w:hAnsiTheme="minorBidi"/>
          <w:b/>
          <w:bCs/>
        </w:rPr>
      </w:pPr>
    </w:p>
    <w:p w14:paraId="6C9C69EC" w14:textId="1964F7E2" w:rsidR="0074551A" w:rsidRDefault="00AC383E" w:rsidP="00301BF2">
      <w:pPr>
        <w:pStyle w:val="ListParagraph"/>
        <w:spacing w:before="100" w:beforeAutospacing="1" w:after="100" w:afterAutospacing="1" w:line="360" w:lineRule="auto"/>
        <w:rPr>
          <w:rFonts w:ascii="Arial" w:hAnsi="Arial" w:cs="Arial"/>
          <w:sz w:val="22"/>
          <w:szCs w:val="22"/>
        </w:rPr>
      </w:pPr>
      <w:r>
        <w:rPr>
          <w:rFonts w:ascii="Arial" w:hAnsi="Arial" w:cs="Arial"/>
          <w:sz w:val="22"/>
          <w:szCs w:val="22"/>
        </w:rPr>
        <w:t>The NHS boards will track and monitor the data to identify what factors contribute towards the pay gap. Their recruitment campaigns will include flexible working options; they will apply the Mend the Gap and review recommendations for medical staff, which will then enable them to create a plan for their non-medical workers.</w:t>
      </w:r>
    </w:p>
    <w:p w14:paraId="2A11C5F9" w14:textId="77777777" w:rsidR="00301BF2" w:rsidRPr="00301BF2" w:rsidRDefault="00301BF2" w:rsidP="00301BF2">
      <w:pPr>
        <w:pStyle w:val="ListParagraph"/>
        <w:spacing w:before="100" w:beforeAutospacing="1" w:after="100" w:afterAutospacing="1" w:line="360" w:lineRule="auto"/>
        <w:rPr>
          <w:rFonts w:ascii="Arial" w:hAnsi="Arial" w:cs="Arial"/>
          <w:sz w:val="22"/>
          <w:szCs w:val="22"/>
        </w:rPr>
      </w:pPr>
    </w:p>
    <w:p w14:paraId="262919E4" w14:textId="77777777" w:rsidR="004211E7" w:rsidRPr="004211E7" w:rsidRDefault="0074551A" w:rsidP="0075267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What is meant by the term ‘intersectionality’ as used in the NHS EDI Improvement Plan?</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0D614051" w14:textId="77777777" w:rsidR="004211E7" w:rsidRDefault="004211E7" w:rsidP="004211E7">
      <w:pPr>
        <w:pStyle w:val="ListParagraph"/>
        <w:spacing w:before="100" w:beforeAutospacing="1" w:after="100" w:afterAutospacing="1"/>
        <w:rPr>
          <w:rFonts w:ascii="Arial" w:hAnsi="Arial" w:cs="Arial"/>
          <w:color w:val="303030"/>
          <w:sz w:val="22"/>
          <w:szCs w:val="22"/>
        </w:rPr>
      </w:pPr>
    </w:p>
    <w:p w14:paraId="0A15D10A" w14:textId="409406C8" w:rsidR="0074551A" w:rsidRDefault="0075267A" w:rsidP="00301BF2">
      <w:pPr>
        <w:pStyle w:val="ListParagraph"/>
        <w:spacing w:before="100" w:beforeAutospacing="1" w:after="100" w:afterAutospacing="1" w:line="360" w:lineRule="auto"/>
        <w:rPr>
          <w:rFonts w:ascii="Arial" w:hAnsi="Arial" w:cs="Arial"/>
          <w:color w:val="303030"/>
          <w:sz w:val="22"/>
          <w:szCs w:val="22"/>
        </w:rPr>
      </w:pPr>
      <w:r w:rsidRPr="00FB2D0B">
        <w:rPr>
          <w:rFonts w:ascii="Arial" w:hAnsi="Arial" w:cs="Arial"/>
          <w:color w:val="303030"/>
          <w:sz w:val="22"/>
          <w:szCs w:val="22"/>
        </w:rPr>
        <w:lastRenderedPageBreak/>
        <w:t>Intersectionality</w:t>
      </w:r>
      <w:r w:rsidRPr="00FB2D0B">
        <w:rPr>
          <w:rFonts w:ascii="Arial" w:hAnsi="Arial" w:cs="Arial"/>
          <w:color w:val="303030"/>
          <w:sz w:val="22"/>
          <w:szCs w:val="22"/>
        </w:rPr>
        <w:t xml:space="preserve"> recognises that people possess complex and multiple identities, and that</w:t>
      </w:r>
      <w:r w:rsidR="00FB2D0B">
        <w:rPr>
          <w:rFonts w:ascii="Arial" w:hAnsi="Arial" w:cs="Arial"/>
          <w:color w:val="303030"/>
          <w:sz w:val="22"/>
          <w:szCs w:val="22"/>
        </w:rPr>
        <w:t xml:space="preserve"> </w:t>
      </w:r>
      <w:r w:rsidRPr="00FB2D0B">
        <w:rPr>
          <w:rFonts w:ascii="Arial" w:hAnsi="Arial" w:cs="Arial"/>
          <w:color w:val="303030"/>
          <w:sz w:val="22"/>
          <w:szCs w:val="22"/>
        </w:rPr>
        <w:t>different forms of inequality or disadvantage can combine to create obstacles that cannot be addressed through the lens of a single characteristic in isolation</w:t>
      </w:r>
      <w:r w:rsidR="009E1DF4" w:rsidRPr="00FB2D0B">
        <w:rPr>
          <w:rFonts w:ascii="Arial" w:hAnsi="Arial" w:cs="Arial"/>
          <w:color w:val="303030"/>
          <w:sz w:val="22"/>
          <w:szCs w:val="22"/>
        </w:rPr>
        <w:t xml:space="preserve">. </w:t>
      </w:r>
    </w:p>
    <w:p w14:paraId="48815C57" w14:textId="77777777" w:rsidR="00301BF2" w:rsidRPr="00301BF2" w:rsidRDefault="00301BF2" w:rsidP="00301BF2">
      <w:pPr>
        <w:pStyle w:val="ListParagraph"/>
        <w:spacing w:before="100" w:beforeAutospacing="1" w:after="100" w:afterAutospacing="1" w:line="360" w:lineRule="auto"/>
        <w:rPr>
          <w:rFonts w:ascii="Arial" w:hAnsi="Arial" w:cs="Arial"/>
        </w:rPr>
      </w:pPr>
    </w:p>
    <w:p w14:paraId="02012AFA" w14:textId="77777777" w:rsidR="0074551A" w:rsidRPr="00186C8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Why is it important for the NHS to create a psychologically safe work environment?</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01DA7118" w14:textId="77777777" w:rsidR="0074551A" w:rsidRPr="007C3164" w:rsidRDefault="0074551A" w:rsidP="0074551A">
      <w:pPr>
        <w:pStyle w:val="ListParagraph"/>
        <w:spacing w:before="100" w:beforeAutospacing="1" w:after="100" w:afterAutospacing="1"/>
        <w:rPr>
          <w:rFonts w:asciiTheme="minorBidi" w:hAnsiTheme="minorBidi"/>
        </w:rPr>
      </w:pPr>
    </w:p>
    <w:p w14:paraId="34316902" w14:textId="2E5906B4" w:rsidR="0074551A" w:rsidRPr="00D43AFA" w:rsidRDefault="00D43AFA" w:rsidP="00FB2D0B">
      <w:pPr>
        <w:pStyle w:val="ListParagraph"/>
        <w:spacing w:before="100" w:beforeAutospacing="1" w:after="100" w:afterAutospacing="1" w:line="360" w:lineRule="auto"/>
        <w:rPr>
          <w:rFonts w:ascii="Arial" w:hAnsi="Arial" w:cs="Arial"/>
          <w:sz w:val="22"/>
          <w:szCs w:val="22"/>
        </w:rPr>
      </w:pPr>
      <w:r w:rsidRPr="00D43AFA">
        <w:rPr>
          <w:rFonts w:ascii="Arial" w:hAnsi="Arial" w:cs="Arial"/>
          <w:sz w:val="22"/>
          <w:szCs w:val="22"/>
        </w:rPr>
        <w:t>Creating a psychologically safe work environment allows NHS staff to safely raise concerns, ask questions, and admit mistakes without fear, which significantly boosts staff morale, engagement, and retention. Ultimately, this releases the full benefits of workforce diversity to deliver more effective, efficient, and safer patient care</w:t>
      </w:r>
      <w:r w:rsidR="00FB2D0B">
        <w:rPr>
          <w:rFonts w:ascii="Arial" w:hAnsi="Arial" w:cs="Arial"/>
          <w:sz w:val="22"/>
          <w:szCs w:val="22"/>
        </w:rPr>
        <w:t>.</w:t>
      </w:r>
    </w:p>
    <w:p w14:paraId="6696408B" w14:textId="77777777" w:rsidR="0074551A" w:rsidRPr="007C3164" w:rsidRDefault="0074551A" w:rsidP="0074551A">
      <w:pPr>
        <w:spacing w:before="100" w:beforeAutospacing="1" w:after="100" w:afterAutospacing="1"/>
        <w:ind w:left="1440"/>
        <w:rPr>
          <w:rFonts w:asciiTheme="minorBidi"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How does the NHS EDI Improvement Plan suggest improving the experience of internationally recruited staff?</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347B3033" w14:textId="77777777" w:rsidR="0074551A" w:rsidRPr="007C3164" w:rsidRDefault="0074551A" w:rsidP="0074551A">
      <w:pPr>
        <w:pStyle w:val="ListParagraph"/>
        <w:spacing w:before="100" w:beforeAutospacing="1" w:after="100" w:afterAutospacing="1"/>
        <w:rPr>
          <w:rFonts w:asciiTheme="minorBidi" w:hAnsiTheme="minorBidi"/>
        </w:rPr>
      </w:pPr>
    </w:p>
    <w:p w14:paraId="74F4F6C1" w14:textId="7F165970" w:rsidR="0074551A" w:rsidRPr="00FB2D0B" w:rsidRDefault="00A274C7" w:rsidP="00FB2D0B">
      <w:pPr>
        <w:pStyle w:val="ListParagraph"/>
        <w:spacing w:before="100" w:beforeAutospacing="1" w:after="100" w:afterAutospacing="1" w:line="360" w:lineRule="auto"/>
        <w:rPr>
          <w:rFonts w:ascii="Arial" w:hAnsi="Arial" w:cs="Arial"/>
          <w:sz w:val="22"/>
          <w:szCs w:val="22"/>
        </w:rPr>
      </w:pPr>
      <w:r w:rsidRPr="00FB2D0B">
        <w:rPr>
          <w:rFonts w:ascii="Arial" w:hAnsi="Arial" w:cs="Arial"/>
          <w:sz w:val="22"/>
          <w:szCs w:val="22"/>
        </w:rPr>
        <w:t>To improve the experience of internationally recruited staff, the plan calls for comprehensive onboarding and pastoral support packages alongside clear pre-joining guidance on employment and immigration conditions. It also requires line managers to foster cultural awareness, build psychological safety, and proactively ensure international recruits have equal access to career development opportunities</w:t>
      </w:r>
    </w:p>
    <w:p w14:paraId="74AB4F55" w14:textId="77777777" w:rsidR="0074551A" w:rsidRPr="007C3164" w:rsidRDefault="0074551A" w:rsidP="0074551A">
      <w:pPr>
        <w:spacing w:before="100" w:beforeAutospacing="1" w:after="100" w:afterAutospacing="1"/>
        <w:rPr>
          <w:rFonts w:asciiTheme="minorBidi" w:hAnsiTheme="minorBidi"/>
        </w:rPr>
      </w:pPr>
    </w:p>
    <w:p w14:paraId="6B0F6E95" w14:textId="77777777" w:rsidR="0074551A" w:rsidRPr="00174F7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What role does leadership play in advancing EDI objectives according to the NHS Improvement Plan?</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4A1229F6" w14:textId="77777777" w:rsidR="0074551A" w:rsidRPr="00186C85" w:rsidRDefault="0074551A" w:rsidP="0074551A">
      <w:pPr>
        <w:pStyle w:val="ListParagraph"/>
        <w:spacing w:before="100" w:beforeAutospacing="1" w:after="100" w:afterAutospacing="1"/>
        <w:rPr>
          <w:rFonts w:asciiTheme="minorBidi" w:hAnsiTheme="minorBidi"/>
        </w:rPr>
      </w:pPr>
    </w:p>
    <w:p w14:paraId="35E0A87F" w14:textId="18125285" w:rsidR="0074551A" w:rsidRPr="00FB2D0B" w:rsidRDefault="00FB2D0B" w:rsidP="00FB2D0B">
      <w:pPr>
        <w:pStyle w:val="ListParagraph"/>
        <w:spacing w:before="100" w:beforeAutospacing="1" w:after="100" w:afterAutospacing="1" w:line="360" w:lineRule="auto"/>
        <w:rPr>
          <w:rFonts w:ascii="Arial" w:hAnsi="Arial" w:cs="Arial"/>
          <w:sz w:val="22"/>
          <w:szCs w:val="22"/>
        </w:rPr>
      </w:pPr>
      <w:r w:rsidRPr="00FB2D0B">
        <w:rPr>
          <w:rFonts w:ascii="Arial" w:hAnsi="Arial" w:cs="Arial"/>
          <w:sz w:val="22"/>
          <w:szCs w:val="22"/>
        </w:rPr>
        <w:t>According to the NHS EDI Improvement Plan, leaders set the tone and workplace culture by role-modelling inclusive behaviours, demonstrating personal commitment, and actively working to eliminate discrimination. To ensure accountability, senior executives, chairs, and board members are required to have specific, measurable EDI objectives integrated into their annual performance appraisals</w:t>
      </w:r>
    </w:p>
    <w:p w14:paraId="06ACD9B8" w14:textId="77777777" w:rsidR="0074551A" w:rsidRPr="007C3164" w:rsidRDefault="0074551A" w:rsidP="0074551A">
      <w:pPr>
        <w:pStyle w:val="ListParagraph"/>
        <w:spacing w:before="100" w:beforeAutospacing="1" w:after="100" w:afterAutospacing="1"/>
        <w:rPr>
          <w:rFonts w:asciiTheme="minorBidi"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Identify one way the NHS EDI Improvement Plan aims to reduce health inequalities within the workforce.</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362C11E4" w14:textId="77777777" w:rsidR="0074551A" w:rsidRPr="007C3164" w:rsidRDefault="0074551A" w:rsidP="0074551A">
      <w:pPr>
        <w:pStyle w:val="ListParagraph"/>
        <w:spacing w:before="100" w:beforeAutospacing="1" w:after="100" w:afterAutospacing="1"/>
        <w:rPr>
          <w:rFonts w:asciiTheme="minorBidi" w:hAnsiTheme="minorBidi"/>
        </w:rPr>
      </w:pPr>
    </w:p>
    <w:p w14:paraId="53B7217B" w14:textId="6D0164A8" w:rsidR="0074551A" w:rsidRPr="0060374A" w:rsidRDefault="0060374A" w:rsidP="0060374A">
      <w:pPr>
        <w:pStyle w:val="ListParagraph"/>
        <w:spacing w:before="100" w:beforeAutospacing="1" w:after="100" w:afterAutospacing="1" w:line="360" w:lineRule="auto"/>
        <w:rPr>
          <w:rFonts w:ascii="Arial" w:hAnsi="Arial" w:cs="Arial"/>
          <w:sz w:val="22"/>
          <w:szCs w:val="22"/>
        </w:rPr>
      </w:pPr>
      <w:r w:rsidRPr="0060374A">
        <w:rPr>
          <w:rFonts w:ascii="Arial" w:hAnsi="Arial" w:cs="Arial"/>
          <w:sz w:val="22"/>
          <w:szCs w:val="22"/>
        </w:rPr>
        <w:t>One way the NHS EDI Improvement Plan aims to reduce workforce health inequalities is by requiring line managers to hold regular, effective wellbeing conversations with their teams using the national NHS health and wellbeing framework. The plan also targets common causes of staff ill health and absenteeism by actively reducing workplace bullying, harassment, and incivility</w:t>
      </w:r>
      <w:r>
        <w:rPr>
          <w:rFonts w:ascii="Arial" w:hAnsi="Arial" w:cs="Arial"/>
          <w:sz w:val="22"/>
          <w:szCs w:val="22"/>
        </w:rPr>
        <w:t>.</w:t>
      </w:r>
    </w:p>
    <w:p w14:paraId="338C5ABA" w14:textId="77777777" w:rsidR="0074551A" w:rsidRPr="007C3164" w:rsidRDefault="0074551A" w:rsidP="0074551A">
      <w:pPr>
        <w:spacing w:before="100" w:beforeAutospacing="1" w:after="100" w:afterAutospacing="1"/>
        <w:ind w:left="1440"/>
        <w:rPr>
          <w:rFonts w:asciiTheme="minorBidi"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Why does the NHS EDI Improvement Plan emphasi</w:t>
      </w:r>
      <w:r>
        <w:rPr>
          <w:rFonts w:asciiTheme="minorBidi" w:hAnsiTheme="minorBidi"/>
          <w:b/>
          <w:bCs/>
        </w:rPr>
        <w:t>s</w:t>
      </w:r>
      <w:r w:rsidRPr="007C3164">
        <w:rPr>
          <w:rFonts w:asciiTheme="minorBidi" w:hAnsiTheme="minorBidi"/>
          <w:b/>
          <w:bCs/>
        </w:rPr>
        <w:t>e the importance of collecting and analysing data on protected characteristics?</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431C2024" w14:textId="77777777" w:rsidR="0074551A" w:rsidRDefault="0074551A" w:rsidP="0074551A">
      <w:pPr>
        <w:pStyle w:val="ListParagraph"/>
        <w:spacing w:before="100" w:beforeAutospacing="1" w:after="100" w:afterAutospacing="1"/>
        <w:rPr>
          <w:rFonts w:asciiTheme="minorBidi" w:hAnsiTheme="minorBidi"/>
        </w:rPr>
      </w:pPr>
    </w:p>
    <w:p w14:paraId="2909F09A" w14:textId="77777777" w:rsidR="0074551A" w:rsidRPr="00186C85" w:rsidRDefault="0074551A" w:rsidP="0074551A">
      <w:pPr>
        <w:pStyle w:val="ListParagraph"/>
        <w:spacing w:before="100" w:beforeAutospacing="1" w:after="100" w:afterAutospacing="1"/>
        <w:rPr>
          <w:rFonts w:asciiTheme="minorBidi" w:hAnsiTheme="minorBidi"/>
        </w:rPr>
      </w:pPr>
    </w:p>
    <w:p w14:paraId="7D601085" w14:textId="3117A9C6" w:rsidR="0074551A" w:rsidRPr="006D2EEE" w:rsidRDefault="006D2EEE" w:rsidP="006D2EEE">
      <w:pPr>
        <w:pStyle w:val="ListParagraph"/>
        <w:spacing w:before="100" w:beforeAutospacing="1" w:after="100" w:afterAutospacing="1" w:line="360" w:lineRule="auto"/>
        <w:rPr>
          <w:rFonts w:ascii="Arial" w:hAnsi="Arial" w:cs="Arial"/>
          <w:sz w:val="22"/>
          <w:szCs w:val="22"/>
        </w:rPr>
      </w:pPr>
      <w:r w:rsidRPr="006D2EEE">
        <w:rPr>
          <w:rFonts w:ascii="Arial" w:hAnsi="Arial" w:cs="Arial"/>
          <w:sz w:val="22"/>
          <w:szCs w:val="22"/>
        </w:rPr>
        <w:t>The NHS EDI Improvement Plan emphasises collecting and analysing data on protected characteristics because reliable data is essential to identify specific workplace inequalities, target interventions, and establish data-driven board accountability. Furthermore, tracking this data enables NHS organisations and NHS England to monitor progress over time, address under-representation and pay gaps, and evaluate the impact of their equality initiatives</w:t>
      </w:r>
    </w:p>
    <w:p w14:paraId="6966B094" w14:textId="5E34B99F" w:rsidR="0074551A" w:rsidRPr="006D2EEE" w:rsidRDefault="0074551A" w:rsidP="006D2EEE">
      <w:pPr>
        <w:pStyle w:val="ListParagraph"/>
        <w:numPr>
          <w:ilvl w:val="0"/>
          <w:numId w:val="3"/>
        </w:numPr>
        <w:spacing w:before="100" w:beforeAutospacing="1" w:after="100" w:afterAutospacing="1"/>
        <w:rPr>
          <w:rFonts w:asciiTheme="minorBidi" w:hAnsiTheme="minorBidi"/>
        </w:rPr>
      </w:pPr>
      <w:r w:rsidRPr="006D2EEE">
        <w:rPr>
          <w:rFonts w:asciiTheme="minorBidi" w:hAnsiTheme="minorBidi"/>
          <w:b/>
          <w:bCs/>
        </w:rPr>
        <w:t>Explain how flexible working policies can contribute to equality and inclusion in the NHS workforce.</w:t>
      </w:r>
      <w:r w:rsidRPr="006D2EEE">
        <w:rPr>
          <w:rFonts w:asciiTheme="minorBidi" w:hAnsiTheme="minorBidi"/>
        </w:rPr>
        <w:br/>
      </w:r>
      <w:r w:rsidRPr="006D2EEE">
        <w:rPr>
          <w:rFonts w:asciiTheme="minorBidi" w:hAnsiTheme="minorBidi"/>
          <w:i/>
          <w:iCs/>
        </w:rPr>
        <w:t>(Answer in one to two sentences.)</w:t>
      </w:r>
    </w:p>
    <w:p w14:paraId="23911E1F" w14:textId="77777777" w:rsidR="0074551A" w:rsidRDefault="0074551A" w:rsidP="0074551A">
      <w:pPr>
        <w:pStyle w:val="ListParagraph"/>
        <w:spacing w:before="100" w:beforeAutospacing="1" w:after="100" w:afterAutospacing="1"/>
        <w:rPr>
          <w:rFonts w:asciiTheme="minorBidi" w:hAnsiTheme="minorBidi"/>
        </w:rPr>
      </w:pPr>
    </w:p>
    <w:p w14:paraId="767A005F" w14:textId="1069D105" w:rsidR="0074551A" w:rsidRDefault="002E733B" w:rsidP="00E77C67">
      <w:pPr>
        <w:pStyle w:val="ListParagraph"/>
        <w:spacing w:before="100" w:beforeAutospacing="1" w:after="100" w:afterAutospacing="1" w:line="360" w:lineRule="auto"/>
        <w:rPr>
          <w:rFonts w:ascii="Arial" w:hAnsi="Arial" w:cs="Arial"/>
          <w:sz w:val="22"/>
          <w:szCs w:val="22"/>
        </w:rPr>
      </w:pPr>
      <w:r w:rsidRPr="002E733B">
        <w:rPr>
          <w:rFonts w:ascii="Arial" w:hAnsi="Arial" w:cs="Arial"/>
          <w:sz w:val="22"/>
          <w:szCs w:val="22"/>
        </w:rPr>
        <w:t>Flexible working policies promote equality and inclusion by supporting staff in balancing work-life commitments, managing caring responsibilities, and maintaining health and wellbeing while enabling ongoing professional development. By removing the barriers created by inflexible working practices, these policies enhance recruitment, retention, and career progression across diverse demographic groups while helping to close pay gaps</w:t>
      </w:r>
      <w:r>
        <w:rPr>
          <w:rFonts w:ascii="Arial" w:hAnsi="Arial" w:cs="Arial"/>
          <w:sz w:val="22"/>
          <w:szCs w:val="22"/>
        </w:rPr>
        <w:t>.</w:t>
      </w:r>
    </w:p>
    <w:p w14:paraId="6163186A" w14:textId="77777777" w:rsidR="00E77C67" w:rsidRPr="00E77C67" w:rsidRDefault="00E77C67" w:rsidP="00E77C67">
      <w:pPr>
        <w:pStyle w:val="ListParagraph"/>
        <w:spacing w:before="100" w:beforeAutospacing="1" w:after="100" w:afterAutospacing="1" w:line="360" w:lineRule="auto"/>
        <w:rPr>
          <w:rFonts w:ascii="Arial" w:hAnsi="Arial" w:cs="Arial"/>
          <w:sz w:val="22"/>
          <w:szCs w:val="22"/>
        </w:rPr>
      </w:pPr>
    </w:p>
    <w:p w14:paraId="416D31DA" w14:textId="77777777" w:rsidR="0074551A" w:rsidRPr="00186C85" w:rsidRDefault="0074551A" w:rsidP="0074551A">
      <w:pPr>
        <w:pStyle w:val="ListParagraph"/>
        <w:numPr>
          <w:ilvl w:val="0"/>
          <w:numId w:val="3"/>
        </w:numPr>
        <w:spacing w:before="100" w:beforeAutospacing="1" w:after="100" w:afterAutospacing="1"/>
        <w:rPr>
          <w:rFonts w:asciiTheme="minorBidi" w:hAnsiTheme="minorBidi"/>
        </w:rPr>
      </w:pPr>
      <w:r w:rsidRPr="007C3164">
        <w:rPr>
          <w:rFonts w:asciiTheme="minorBidi" w:hAnsiTheme="minorBidi"/>
          <w:b/>
          <w:bCs/>
        </w:rPr>
        <w:t>What is one strategy mentioned in the NHS EDI Improvement Plan to combat bullying and harassment in the workplace?</w:t>
      </w:r>
      <w:r w:rsidRPr="007C3164">
        <w:rPr>
          <w:rFonts w:asciiTheme="minorBidi" w:hAnsiTheme="minorBidi"/>
        </w:rPr>
        <w:br/>
      </w:r>
      <w:r w:rsidRPr="007C3164">
        <w:rPr>
          <w:rFonts w:asciiTheme="minorBidi" w:hAnsiTheme="minorBidi"/>
          <w:i/>
          <w:iCs/>
        </w:rPr>
        <w:t xml:space="preserve">(Answer in one to two </w:t>
      </w:r>
      <w:r>
        <w:rPr>
          <w:rFonts w:asciiTheme="minorBidi" w:hAnsiTheme="minorBidi"/>
          <w:i/>
          <w:iCs/>
        </w:rPr>
        <w:t>sentences</w:t>
      </w:r>
      <w:r w:rsidRPr="007C3164">
        <w:rPr>
          <w:rFonts w:asciiTheme="minorBidi" w:hAnsiTheme="minorBidi"/>
          <w:i/>
          <w:iCs/>
        </w:rPr>
        <w:t>.)</w:t>
      </w:r>
    </w:p>
    <w:p w14:paraId="6578F6D8" w14:textId="33AEBA5B" w:rsidR="021F216E" w:rsidRPr="00701E30" w:rsidRDefault="00701E30" w:rsidP="00701E30">
      <w:pPr>
        <w:spacing w:line="360" w:lineRule="auto"/>
        <w:rPr>
          <w:rFonts w:ascii="Arial" w:eastAsia="Arial Nova" w:hAnsi="Arial" w:cs="Arial"/>
          <w:color w:val="000000" w:themeColor="text1"/>
          <w:sz w:val="22"/>
          <w:szCs w:val="22"/>
        </w:rPr>
      </w:pPr>
      <w:r w:rsidRPr="00701E30">
        <w:rPr>
          <w:rFonts w:ascii="Arial" w:eastAsia="Arial Nova" w:hAnsi="Arial" w:cs="Arial"/>
          <w:color w:val="000000" w:themeColor="text1"/>
          <w:sz w:val="22"/>
          <w:szCs w:val="22"/>
        </w:rPr>
        <w:t xml:space="preserve">One strategy mentioned in the NHS EDI Improvement Plan is adopting a proactive, preventative approach that prioritises early informal interventions over formal escalation, alongside providing comprehensive psychological support for staff affected by bullying and harassment. Additionally, </w:t>
      </w:r>
      <w:r w:rsidRPr="00701E30">
        <w:rPr>
          <w:rFonts w:ascii="Arial" w:eastAsia="Arial Nova" w:hAnsi="Arial" w:cs="Arial"/>
          <w:color w:val="000000" w:themeColor="text1"/>
          <w:sz w:val="22"/>
          <w:szCs w:val="22"/>
        </w:rPr>
        <w:lastRenderedPageBreak/>
        <w:t>organisations must review bullying data by protected characteristic to set targeted reduction goals and ensure mechanisms exist to protect those who speak up</w:t>
      </w:r>
      <w:r>
        <w:rPr>
          <w:rFonts w:ascii="Arial" w:eastAsia="Arial Nova" w:hAnsi="Arial" w:cs="Arial"/>
          <w:color w:val="000000" w:themeColor="text1"/>
          <w:sz w:val="22"/>
          <w:szCs w:val="22"/>
        </w:rPr>
        <w:t>.</w:t>
      </w:r>
    </w:p>
    <w:p w14:paraId="15D1512F" w14:textId="4893D673" w:rsidR="021F216E" w:rsidRPr="00701E30" w:rsidRDefault="021F216E" w:rsidP="00701E30">
      <w:pPr>
        <w:spacing w:line="360" w:lineRule="auto"/>
        <w:rPr>
          <w:rFonts w:ascii="Arial" w:eastAsia="Arial Nova" w:hAnsi="Arial" w:cs="Arial"/>
          <w:i/>
          <w:iCs/>
          <w:color w:val="000000" w:themeColor="text1"/>
          <w:sz w:val="22"/>
          <w:szCs w:val="22"/>
        </w:rPr>
      </w:pPr>
    </w:p>
    <w:p w14:paraId="477E362C" w14:textId="4D230BBE" w:rsidR="021F216E" w:rsidRDefault="021F216E" w:rsidP="021F216E">
      <w:pPr>
        <w:rPr>
          <w:rFonts w:ascii="Arial Nova" w:eastAsia="Arial Nova" w:hAnsi="Arial Nova" w:cs="Arial Nova"/>
          <w:i/>
          <w:iCs/>
          <w:color w:val="000000" w:themeColor="text1"/>
        </w:rPr>
      </w:pPr>
    </w:p>
    <w:p w14:paraId="2BCA736C" w14:textId="100EFA73"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49C07F68" w14:textId="77777777" w:rsidR="005C0372" w:rsidRPr="00826660" w:rsidRDefault="005C0372" w:rsidP="021F216E">
      <w:pPr>
        <w:rPr>
          <w:rFonts w:ascii="Arial" w:eastAsia="Arial Nova" w:hAnsi="Arial" w:cs="Arial"/>
          <w:i/>
          <w:iCs/>
          <w:color w:val="000000" w:themeColor="text1"/>
          <w:sz w:val="22"/>
          <w:szCs w:val="22"/>
        </w:rPr>
      </w:pPr>
    </w:p>
    <w:p w14:paraId="49D3FD5C" w14:textId="77777777"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To My Younger Self,</w:t>
      </w:r>
    </w:p>
    <w:p w14:paraId="64AB93D4" w14:textId="209843E4"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Looking back at that overwhelming period when I experienced severe workplace burnout and constant anxiety, I reali</w:t>
      </w:r>
      <w:r>
        <w:rPr>
          <w:rFonts w:ascii="Arial" w:eastAsia="Arial Nova" w:hAnsi="Arial" w:cs="Arial"/>
          <w:color w:val="000000" w:themeColor="text1"/>
          <w:sz w:val="22"/>
          <w:szCs w:val="22"/>
        </w:rPr>
        <w:t>s</w:t>
      </w:r>
      <w:r w:rsidRPr="00826660">
        <w:rPr>
          <w:rFonts w:ascii="Arial" w:eastAsia="Arial Nova" w:hAnsi="Arial" w:cs="Arial"/>
          <w:color w:val="000000" w:themeColor="text1"/>
          <w:sz w:val="22"/>
          <w:szCs w:val="22"/>
        </w:rPr>
        <w:t>e how much I needed the very attributes I have since studied. At the time, I treated every obstacle as a personal failure, suppressing my distress and trying to carry the burden entirely alone.</w:t>
      </w:r>
    </w:p>
    <w:p w14:paraId="25530AF4" w14:textId="77777777"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Reflecting on this now, I see how vital emotional intelligence would have been during that crisis. Emotional intelligence is defined by Salovey and Mayer (1990) as 'the ability to monitor one's own and others' feelings and emotions, to discriminate among them and to use this information to guide one's thinking and actions'. Similarly, Frothingham (2026) describes it as 'the ability to perceive, understand, and manage one's own emotions and relationships', while Channell (2025) highlights Goleman's framework focusing on self-awareness, self-regulation, motivation, empathy, and social skills. Back then, I lacked self-awareness and self-regulation. I suppressed my emotions until reaching a breaking point, reacting impulsively out of fear. Developing these core competencies would have allowed me to label my distress accurately, pause intentionally before reacting, and communicate my boundaries effectively.</w:t>
      </w:r>
    </w:p>
    <w:p w14:paraId="7DD7EB6F" w14:textId="77777777"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Equally critical was emotional resilience, which the American Psychological Association (2020) defines as 'the process of adapting well in the face of adversity, trauma, tragedy, threats, or significant sources of stress'. Additionally, Southwick et al. (2014) frame resilience as the capability to adapt flexibly, recover from challenges, and foster post-adversity growth. During that time, I viewed hardship as a permanent defect rather than a temporary challenge. Understanding emotional resilience would have reminded me that emotional pain is impermanent and that leaning on social support transforms how the brain perceives threats.</w:t>
      </w:r>
    </w:p>
    <w:p w14:paraId="5F6FF563" w14:textId="77777777"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By developing emotional intelligence and resilience, I would have treated myself with self-compassion, sought help without shame, and navigated adversity with confidence.</w:t>
      </w:r>
    </w:p>
    <w:p w14:paraId="6525BEBD" w14:textId="77777777" w:rsidR="00826660"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lastRenderedPageBreak/>
        <w:t>With understanding,</w:t>
      </w:r>
    </w:p>
    <w:p w14:paraId="751BA0F2" w14:textId="74134873" w:rsidR="005C0372" w:rsidRPr="00826660" w:rsidRDefault="00826660" w:rsidP="005A4D44">
      <w:pPr>
        <w:spacing w:line="360" w:lineRule="auto"/>
        <w:rPr>
          <w:rFonts w:ascii="Arial" w:eastAsia="Arial Nova" w:hAnsi="Arial" w:cs="Arial"/>
          <w:color w:val="000000" w:themeColor="text1"/>
          <w:sz w:val="22"/>
          <w:szCs w:val="22"/>
        </w:rPr>
      </w:pPr>
      <w:r w:rsidRPr="00826660">
        <w:rPr>
          <w:rFonts w:ascii="Arial" w:eastAsia="Arial Nova" w:hAnsi="Arial" w:cs="Arial"/>
          <w:color w:val="000000" w:themeColor="text1"/>
          <w:sz w:val="22"/>
          <w:szCs w:val="22"/>
        </w:rPr>
        <w:t>My Present Self</w:t>
      </w:r>
    </w:p>
    <w:p w14:paraId="23CBDC05" w14:textId="77777777" w:rsidR="00E77C67" w:rsidRDefault="00E77C67" w:rsidP="00D17D41">
      <w:pPr>
        <w:rPr>
          <w:rFonts w:ascii="Arial Nova" w:eastAsia="Arial Nova" w:hAnsi="Arial Nova" w:cs="Arial Nova"/>
          <w:color w:val="000000" w:themeColor="text1"/>
          <w:sz w:val="44"/>
          <w:szCs w:val="44"/>
        </w:rPr>
      </w:pPr>
    </w:p>
    <w:p w14:paraId="405FAE50" w14:textId="16C1CC6B"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D0443BA" w14:textId="520F57D8" w:rsidR="021F216E" w:rsidRDefault="021F216E" w:rsidP="021F216E">
      <w:pPr>
        <w:rPr>
          <w:rFonts w:ascii="Arial Nova" w:eastAsia="Arial Nova" w:hAnsi="Arial Nova" w:cs="Arial Nova"/>
          <w:i/>
          <w:iCs/>
        </w:rPr>
      </w:pPr>
    </w:p>
    <w:p w14:paraId="051AD8BC" w14:textId="0FA2ECF1" w:rsidR="0032365B" w:rsidRPr="0032365B" w:rsidRDefault="00FF4688" w:rsidP="021F216E">
      <w:pPr>
        <w:rPr>
          <w:rFonts w:ascii="Arial" w:eastAsia="Arial Nova" w:hAnsi="Arial" w:cs="Arial"/>
          <w:sz w:val="22"/>
          <w:szCs w:val="22"/>
        </w:rPr>
      </w:pPr>
      <w:r>
        <w:rPr>
          <w:rFonts w:ascii="Arial" w:eastAsia="Arial Nova" w:hAnsi="Arial" w:cs="Arial"/>
          <w:noProof/>
          <w:sz w:val="22"/>
          <w:szCs w:val="22"/>
        </w:rPr>
        <w:drawing>
          <wp:inline distT="0" distB="0" distL="0" distR="0" wp14:anchorId="786897D0" wp14:editId="69F3BE59">
            <wp:extent cx="5984341" cy="3744690"/>
            <wp:effectExtent l="0" t="0" r="0" b="1905"/>
            <wp:docPr id="2006767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767652" name="Picture 20067676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55854" cy="3789439"/>
                    </a:xfrm>
                    <a:prstGeom prst="rect">
                      <a:avLst/>
                    </a:prstGeom>
                  </pic:spPr>
                </pic:pic>
              </a:graphicData>
            </a:graphic>
          </wp:inline>
        </w:drawing>
      </w: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430CB28B" w14:textId="77777777" w:rsidR="003E5D53" w:rsidRPr="003E5D53" w:rsidRDefault="003E5D53" w:rsidP="003E5D53">
      <w:pPr>
        <w:spacing w:line="360" w:lineRule="auto"/>
        <w:rPr>
          <w:rFonts w:ascii="Arial" w:eastAsia="Arial Nova" w:hAnsi="Arial" w:cs="Arial"/>
          <w:sz w:val="22"/>
          <w:szCs w:val="22"/>
        </w:rPr>
      </w:pPr>
      <w:r w:rsidRPr="003E5D53">
        <w:rPr>
          <w:rFonts w:ascii="Arial" w:eastAsia="Arial Nova" w:hAnsi="Arial" w:cs="Arial"/>
          <w:sz w:val="22"/>
          <w:szCs w:val="22"/>
        </w:rPr>
        <w:t>Achieving future employment goals as a university student requires balancing academic achievement with personal wellbeing, emotional intelligence (EI), and resilience.</w:t>
      </w:r>
    </w:p>
    <w:p w14:paraId="592A49A6" w14:textId="4BFB003C" w:rsidR="003E5D53" w:rsidRPr="003E5D53" w:rsidRDefault="003E5D53" w:rsidP="003E5D53">
      <w:pPr>
        <w:spacing w:line="360" w:lineRule="auto"/>
        <w:rPr>
          <w:rFonts w:ascii="Arial" w:eastAsia="Arial Nova" w:hAnsi="Arial" w:cs="Arial"/>
          <w:sz w:val="22"/>
          <w:szCs w:val="22"/>
        </w:rPr>
      </w:pPr>
      <w:r w:rsidRPr="003E5D53">
        <w:rPr>
          <w:rFonts w:ascii="Arial" w:eastAsia="Arial Nova" w:hAnsi="Arial" w:cs="Arial"/>
          <w:sz w:val="22"/>
          <w:szCs w:val="22"/>
        </w:rPr>
        <w:t>Phase 1: EI Assessment &amp; Academic Baseline (Months 1–3): University students frequently face heightened stress from academic workloads and transitions to independence. Initial tasks focus on developing emotional literacy and self-awareness</w:t>
      </w:r>
      <w:r w:rsidR="008F61DD">
        <w:rPr>
          <w:rFonts w:ascii="Arial" w:eastAsia="Arial Nova" w:hAnsi="Arial" w:cs="Arial"/>
          <w:sz w:val="22"/>
          <w:szCs w:val="22"/>
        </w:rPr>
        <w:t xml:space="preserve">, </w:t>
      </w:r>
      <w:r w:rsidRPr="003E5D53">
        <w:rPr>
          <w:rFonts w:ascii="Arial" w:eastAsia="Arial Nova" w:hAnsi="Arial" w:cs="Arial"/>
          <w:sz w:val="22"/>
          <w:szCs w:val="22"/>
        </w:rPr>
        <w:t>learning to distinguish thoughts from feelings</w:t>
      </w:r>
      <w:r w:rsidR="008F61DD">
        <w:rPr>
          <w:rFonts w:ascii="Arial" w:eastAsia="Arial Nova" w:hAnsi="Arial" w:cs="Arial"/>
          <w:sz w:val="22"/>
          <w:szCs w:val="22"/>
        </w:rPr>
        <w:t xml:space="preserve"> </w:t>
      </w:r>
      <w:r w:rsidRPr="003E5D53">
        <w:rPr>
          <w:rFonts w:ascii="Arial" w:eastAsia="Arial Nova" w:hAnsi="Arial" w:cs="Arial"/>
          <w:sz w:val="22"/>
          <w:szCs w:val="22"/>
        </w:rPr>
        <w:t>to establish strong baseline emotional functioning.</w:t>
      </w:r>
    </w:p>
    <w:p w14:paraId="46584643" w14:textId="10B7A875" w:rsidR="003E5D53" w:rsidRPr="003E5D53" w:rsidRDefault="003E5D53" w:rsidP="003E5D53">
      <w:pPr>
        <w:spacing w:line="360" w:lineRule="auto"/>
        <w:rPr>
          <w:rFonts w:ascii="Arial" w:eastAsia="Arial Nova" w:hAnsi="Arial" w:cs="Arial"/>
          <w:sz w:val="22"/>
          <w:szCs w:val="22"/>
        </w:rPr>
      </w:pPr>
      <w:r w:rsidRPr="003E5D53">
        <w:rPr>
          <w:rFonts w:ascii="Arial" w:eastAsia="Arial Nova" w:hAnsi="Arial" w:cs="Arial"/>
          <w:sz w:val="22"/>
          <w:szCs w:val="22"/>
        </w:rPr>
        <w:t xml:space="preserve">Phase 2: Building Resilience &amp; Coping Mechanisms (Months 3–8): Sustained academic pressure can lead to chronic stress or burnout. This phase incorporates structured coping </w:t>
      </w:r>
      <w:r w:rsidRPr="003E5D53">
        <w:rPr>
          <w:rFonts w:ascii="Arial" w:eastAsia="Arial Nova" w:hAnsi="Arial" w:cs="Arial"/>
          <w:sz w:val="22"/>
          <w:szCs w:val="22"/>
        </w:rPr>
        <w:lastRenderedPageBreak/>
        <w:t>strategies</w:t>
      </w:r>
      <w:r w:rsidR="008F61DD">
        <w:rPr>
          <w:rFonts w:ascii="Arial" w:eastAsia="Arial Nova" w:hAnsi="Arial" w:cs="Arial"/>
          <w:sz w:val="22"/>
          <w:szCs w:val="22"/>
        </w:rPr>
        <w:t xml:space="preserve">, </w:t>
      </w:r>
      <w:r w:rsidRPr="003E5D53">
        <w:rPr>
          <w:rFonts w:ascii="Arial" w:eastAsia="Arial Nova" w:hAnsi="Arial" w:cs="Arial"/>
          <w:sz w:val="22"/>
          <w:szCs w:val="22"/>
        </w:rPr>
        <w:t>such as accurate thinking, problem-solving, and reflection</w:t>
      </w:r>
      <w:r w:rsidR="008F61DD">
        <w:rPr>
          <w:rFonts w:ascii="Arial" w:eastAsia="Arial Nova" w:hAnsi="Arial" w:cs="Arial"/>
          <w:sz w:val="22"/>
          <w:szCs w:val="22"/>
        </w:rPr>
        <w:t xml:space="preserve">, </w:t>
      </w:r>
      <w:r w:rsidRPr="003E5D53">
        <w:rPr>
          <w:rFonts w:ascii="Arial" w:eastAsia="Arial Nova" w:hAnsi="Arial" w:cs="Arial"/>
          <w:sz w:val="22"/>
          <w:szCs w:val="22"/>
        </w:rPr>
        <w:t>to build personal resilience, enabling students to tolerate ambiguity and bounce back from setbacks.</w:t>
      </w:r>
    </w:p>
    <w:p w14:paraId="438C53D4" w14:textId="77777777" w:rsidR="003E5D53" w:rsidRPr="003E5D53" w:rsidRDefault="003E5D53" w:rsidP="003E5D53">
      <w:pPr>
        <w:spacing w:line="360" w:lineRule="auto"/>
        <w:rPr>
          <w:rFonts w:ascii="Arial" w:eastAsia="Arial Nova" w:hAnsi="Arial" w:cs="Arial"/>
          <w:sz w:val="22"/>
          <w:szCs w:val="22"/>
        </w:rPr>
      </w:pPr>
      <w:r w:rsidRPr="003E5D53">
        <w:rPr>
          <w:rFonts w:ascii="Arial" w:eastAsia="Arial Nova" w:hAnsi="Arial" w:cs="Arial"/>
          <w:sz w:val="22"/>
          <w:szCs w:val="22"/>
        </w:rPr>
        <w:t>Phase 3: Networking &amp; Environmental Support (Months 2–9): Cultivating meaningful social connections and environmental support networks fosters eudemonic wellbeing. Developing interpersonal skills and empathy helps build professional relationships crucial for future career opportunities.</w:t>
      </w:r>
    </w:p>
    <w:p w14:paraId="30A534D6" w14:textId="7978BD89" w:rsidR="021F216E" w:rsidRPr="002776ED" w:rsidRDefault="003E5D53" w:rsidP="003E5D53">
      <w:pPr>
        <w:spacing w:line="360" w:lineRule="auto"/>
        <w:rPr>
          <w:rFonts w:ascii="Arial" w:eastAsia="Arial Nova" w:hAnsi="Arial" w:cs="Arial"/>
          <w:sz w:val="22"/>
          <w:szCs w:val="22"/>
        </w:rPr>
      </w:pPr>
      <w:r w:rsidRPr="003E5D53">
        <w:rPr>
          <w:rFonts w:ascii="Arial" w:eastAsia="Arial Nova" w:hAnsi="Arial" w:cs="Arial"/>
          <w:sz w:val="22"/>
          <w:szCs w:val="22"/>
        </w:rPr>
        <w:t>Phase 4: Internship &amp; Graduate Employment Transition (Months 6–12): Completing internships and applying for graduate roles requires executing decision-making, stress management, and adaptability under pressure. Developing these core competencies promotes sustainable productivity and long-term career success.</w:t>
      </w: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3B9406A2" w14:textId="77777777" w:rsidR="000627EF" w:rsidRDefault="00D17D41" w:rsidP="000627EF">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rPr>
        <w:t xml:space="preserve"> </w:t>
      </w:r>
      <w:r w:rsidR="00304206">
        <w:rPr>
          <w:rFonts w:ascii="Arial Nova" w:eastAsia="Arial Nova" w:hAnsi="Arial Nova" w:cs="Arial Nova"/>
          <w:b/>
          <w:bCs/>
          <w:i/>
          <w:iCs/>
          <w:color w:val="000000" w:themeColor="text1"/>
        </w:rPr>
        <w:t xml:space="preserve">Minimum </w:t>
      </w:r>
      <w:r w:rsidR="00304206">
        <w:rPr>
          <w:rFonts w:ascii="Arial Nova" w:eastAsia="Arial Nova" w:hAnsi="Arial Nova" w:cs="Arial Nova"/>
          <w:i/>
          <w:iCs/>
          <w:color w:val="000000" w:themeColor="text1"/>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0F127CC7" w14:textId="77777777" w:rsidR="008F61DD" w:rsidRDefault="008F61DD" w:rsidP="000627EF">
      <w:pPr>
        <w:rPr>
          <w:rFonts w:ascii="Arial" w:eastAsia="Arial Nova" w:hAnsi="Arial" w:cs="Arial"/>
          <w:color w:val="000000" w:themeColor="text1"/>
          <w:sz w:val="22"/>
          <w:szCs w:val="22"/>
        </w:rPr>
      </w:pPr>
    </w:p>
    <w:p w14:paraId="64F5D1E6" w14:textId="77777777" w:rsidR="00703875" w:rsidRPr="00703875" w:rsidRDefault="00703875" w:rsidP="000627EF">
      <w:pPr>
        <w:rPr>
          <w:rFonts w:ascii="Arial" w:eastAsia="Arial Nova" w:hAnsi="Arial" w:cs="Arial"/>
          <w:color w:val="000000" w:themeColor="text1"/>
          <w:sz w:val="22"/>
          <w:szCs w:val="22"/>
        </w:rPr>
      </w:pPr>
    </w:p>
    <w:p w14:paraId="1531E22B"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Operational Change Proposal: Implementation of a Standardised Digital Care Recording and Communication Handover System</w:t>
      </w:r>
    </w:p>
    <w:p w14:paraId="35BE5906"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1. Introduction &amp; Proposed Change</w:t>
      </w:r>
    </w:p>
    <w:p w14:paraId="626A0701"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To mitigate risk and ensure care plan compliance, I propose transitioning our care home from fragmented paper recording to a standardised digital care recording and handover system. Business Dictionary (2020) defines a problem as "A perceived gap between the existing state and a desired state, or a deviation from a norm, standard, or status quo." Communication barriers currently cause misunderstandings and care plan errors.</w:t>
      </w:r>
    </w:p>
    <w:p w14:paraId="189BAAAD"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2. Necessary Management Skills</w:t>
      </w:r>
    </w:p>
    <w:p w14:paraId="26EF653F"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Driving this transition requires three core managerial capabilities: decisive decision-making to choose effective courses of action and act upon quality assessments; structured problem-solving to take corrective action and resolve operational gaps; and clear communication to bridge gaps between staff, professionals, and care recipients.</w:t>
      </w:r>
    </w:p>
    <w:p w14:paraId="490BF6C8"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3. Implementation Plan &amp; Project Life Cycle</w:t>
      </w:r>
    </w:p>
    <w:p w14:paraId="6B0728C6"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 xml:space="preserve">As Simon and Murray-Webster (2018) define, a project consists of "activities that are done to meet specific objectives for change." I will manage implementation across five life cycle stages: </w:t>
      </w:r>
      <w:r w:rsidRPr="00FF2C7B">
        <w:rPr>
          <w:rFonts w:ascii="Arial" w:eastAsia="Arial Nova" w:hAnsi="Arial" w:cs="Arial"/>
          <w:color w:val="000000" w:themeColor="text1"/>
          <w:sz w:val="22"/>
          <w:szCs w:val="22"/>
        </w:rPr>
        <w:lastRenderedPageBreak/>
        <w:t>Initiation (defining objectives, feasibility, stakeholders, and project charter), Planning (establishing timelines, budget, risk management, and work breakdown structures), Execution (coordinating resources and tasks), Monitoring (tracking performance against plan), and Closing (reviewing outcomes, logging lessons learned, and securing stakeholder sign-off). I will utilise SMART goals (Specific, Measurable, Attainable, Relevant, Time-bound) to set objectives and Gantt charts to visually track tasks, timelines, dependencies, milestones, and progress percentages.</w:t>
      </w:r>
    </w:p>
    <w:p w14:paraId="0CB43722"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4. Barriers to Success &amp; Mitigation</w:t>
      </w:r>
    </w:p>
    <w:p w14:paraId="78B3C8EC"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Key operational risks include high staff workload and stress, resistance to change, and communication barriers. To mitigate these issues, I will implement a phased software rollout, establish a clear communication plan, and provide structured training and support, protecting person-centred care and reducing burnout while ensuring seamless operational adoption.</w:t>
      </w:r>
    </w:p>
    <w:p w14:paraId="24300112"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5. Monitoring &amp; Evaluation</w:t>
      </w:r>
    </w:p>
    <w:p w14:paraId="60A5C244"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Post-implementation evaluation will follow Berriet-Solliec et al. (2014) by organising and analysing gathered information across three core goals:</w:t>
      </w:r>
    </w:p>
    <w:p w14:paraId="521A836B"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To Measure: Tracking performance against progress reports and quantitative metrics.</w:t>
      </w:r>
    </w:p>
    <w:p w14:paraId="5E307C1B" w14:textId="77777777" w:rsidR="00FF2C7B"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To Understand: Analysing staff feedback and operational impact on care continuity.</w:t>
      </w:r>
    </w:p>
    <w:p w14:paraId="49D433F1" w14:textId="051608A8" w:rsidR="008F61DD" w:rsidRPr="00FF2C7B" w:rsidRDefault="00FF2C7B" w:rsidP="00A23304">
      <w:pPr>
        <w:spacing w:line="360" w:lineRule="auto"/>
        <w:rPr>
          <w:rFonts w:ascii="Arial" w:eastAsia="Arial Nova" w:hAnsi="Arial" w:cs="Arial"/>
          <w:color w:val="000000" w:themeColor="text1"/>
          <w:sz w:val="22"/>
          <w:szCs w:val="22"/>
        </w:rPr>
      </w:pPr>
      <w:r w:rsidRPr="00FF2C7B">
        <w:rPr>
          <w:rFonts w:ascii="Arial" w:eastAsia="Arial Nova" w:hAnsi="Arial" w:cs="Arial"/>
          <w:color w:val="000000" w:themeColor="text1"/>
          <w:sz w:val="22"/>
          <w:szCs w:val="22"/>
        </w:rPr>
        <w:t>To Learn: Identifying key lessons learned ("What went well?") to drive continuous service improvement and sustain delivery standards across the care home.</w:t>
      </w:r>
    </w:p>
    <w:p w14:paraId="716D75FE" w14:textId="77777777" w:rsidR="008F61DD" w:rsidRDefault="008F61DD" w:rsidP="00A23304">
      <w:pPr>
        <w:spacing w:line="360" w:lineRule="auto"/>
        <w:rPr>
          <w:rFonts w:ascii="Arial Nova" w:eastAsia="Arial Nova" w:hAnsi="Arial Nova" w:cs="Arial Nova"/>
          <w:color w:val="000000" w:themeColor="text1"/>
          <w:sz w:val="48"/>
          <w:szCs w:val="48"/>
        </w:rPr>
      </w:pPr>
    </w:p>
    <w:p w14:paraId="3ABF82AC" w14:textId="77777777" w:rsidR="008F61DD" w:rsidRDefault="008F61DD" w:rsidP="000627EF">
      <w:pPr>
        <w:rPr>
          <w:rFonts w:ascii="Arial Nova" w:eastAsia="Arial Nova" w:hAnsi="Arial Nova" w:cs="Arial Nova"/>
          <w:color w:val="000000" w:themeColor="text1"/>
          <w:sz w:val="48"/>
          <w:szCs w:val="48"/>
        </w:rPr>
      </w:pPr>
    </w:p>
    <w:p w14:paraId="327273C5" w14:textId="77777777" w:rsidR="008F61DD" w:rsidRDefault="008F61DD" w:rsidP="000627EF">
      <w:pPr>
        <w:rPr>
          <w:rFonts w:ascii="Arial Nova" w:eastAsia="Arial Nova" w:hAnsi="Arial Nova" w:cs="Arial Nova"/>
          <w:color w:val="000000" w:themeColor="text1"/>
          <w:sz w:val="48"/>
          <w:szCs w:val="48"/>
        </w:rPr>
      </w:pPr>
    </w:p>
    <w:p w14:paraId="289DF524" w14:textId="77777777" w:rsidR="008F61DD" w:rsidRDefault="008F61DD" w:rsidP="000627EF">
      <w:pPr>
        <w:rPr>
          <w:rFonts w:ascii="Arial Nova" w:eastAsia="Arial Nova" w:hAnsi="Arial Nova" w:cs="Arial Nova"/>
          <w:color w:val="000000" w:themeColor="text1"/>
          <w:sz w:val="48"/>
          <w:szCs w:val="48"/>
        </w:rPr>
      </w:pPr>
    </w:p>
    <w:p w14:paraId="6EF159D2" w14:textId="77777777" w:rsidR="008F61DD" w:rsidRDefault="008F61DD" w:rsidP="000627EF">
      <w:pPr>
        <w:rPr>
          <w:rFonts w:ascii="Arial Nova" w:eastAsia="Arial Nova" w:hAnsi="Arial Nova" w:cs="Arial Nova"/>
          <w:color w:val="000000" w:themeColor="text1"/>
          <w:sz w:val="48"/>
          <w:szCs w:val="48"/>
        </w:rPr>
      </w:pPr>
    </w:p>
    <w:p w14:paraId="5773B747" w14:textId="77777777" w:rsidR="0022456C" w:rsidRDefault="0022456C" w:rsidP="000627EF">
      <w:pPr>
        <w:rPr>
          <w:rFonts w:ascii="Arial Nova" w:eastAsia="Arial Nova" w:hAnsi="Arial Nova" w:cs="Arial Nova"/>
          <w:color w:val="000000" w:themeColor="text1"/>
          <w:sz w:val="48"/>
          <w:szCs w:val="48"/>
        </w:rPr>
      </w:pPr>
    </w:p>
    <w:p w14:paraId="64A417FB" w14:textId="77777777" w:rsidR="009C68CA" w:rsidRDefault="009C68CA" w:rsidP="000627EF">
      <w:pPr>
        <w:rPr>
          <w:rFonts w:ascii="Arial Nova" w:eastAsia="Arial Nova" w:hAnsi="Arial Nova" w:cs="Arial Nova"/>
          <w:color w:val="000000" w:themeColor="text1"/>
          <w:sz w:val="48"/>
          <w:szCs w:val="48"/>
        </w:rPr>
      </w:pPr>
    </w:p>
    <w:p w14:paraId="4F3F666F" w14:textId="77777777" w:rsidR="009C68CA" w:rsidRDefault="009C68CA" w:rsidP="000627EF">
      <w:pPr>
        <w:rPr>
          <w:rFonts w:ascii="Arial Nova" w:eastAsia="Arial Nova" w:hAnsi="Arial Nova" w:cs="Arial Nova"/>
          <w:color w:val="000000" w:themeColor="text1"/>
          <w:sz w:val="48"/>
          <w:szCs w:val="48"/>
        </w:rPr>
      </w:pPr>
    </w:p>
    <w:p w14:paraId="778270B3" w14:textId="77777777" w:rsidR="009C68CA" w:rsidRDefault="009C68CA" w:rsidP="000627EF">
      <w:pPr>
        <w:rPr>
          <w:rFonts w:ascii="Arial Nova" w:eastAsia="Arial Nova" w:hAnsi="Arial Nova" w:cs="Arial Nova"/>
          <w:color w:val="000000" w:themeColor="text1"/>
          <w:sz w:val="48"/>
          <w:szCs w:val="48"/>
        </w:rPr>
      </w:pPr>
    </w:p>
    <w:p w14:paraId="5E2803DD" w14:textId="4E499268" w:rsidR="3EA1690F" w:rsidRPr="009213CD" w:rsidRDefault="3EA1690F" w:rsidP="000627EF">
      <w:pPr>
        <w:rPr>
          <w:rFonts w:ascii="Arial" w:eastAsia="Arial Nova" w:hAnsi="Arial" w:cs="Arial"/>
          <w:color w:val="000000" w:themeColor="text1"/>
          <w:sz w:val="48"/>
          <w:szCs w:val="48"/>
        </w:rPr>
      </w:pPr>
      <w:r w:rsidRPr="009213CD">
        <w:rPr>
          <w:rFonts w:ascii="Arial" w:eastAsia="Arial Nova" w:hAnsi="Arial" w:cs="Arial"/>
          <w:color w:val="000000" w:themeColor="text1"/>
          <w:sz w:val="48"/>
          <w:szCs w:val="48"/>
        </w:rPr>
        <w:lastRenderedPageBreak/>
        <w:t>Reference List</w:t>
      </w:r>
    </w:p>
    <w:p w14:paraId="0DC81EE7" w14:textId="77777777" w:rsidR="009C68CA" w:rsidRDefault="009C68CA" w:rsidP="000627EF">
      <w:pPr>
        <w:rPr>
          <w:rFonts w:ascii="Arial" w:eastAsia="Arial Nova" w:hAnsi="Arial" w:cs="Arial"/>
          <w:color w:val="000000" w:themeColor="text1"/>
          <w:sz w:val="22"/>
          <w:szCs w:val="22"/>
        </w:rPr>
      </w:pPr>
    </w:p>
    <w:p w14:paraId="625B2863" w14:textId="622DB921" w:rsidR="00C25E91" w:rsidRPr="00633982" w:rsidRDefault="00C25E91" w:rsidP="009213CD">
      <w:pPr>
        <w:spacing w:line="360" w:lineRule="auto"/>
        <w:rPr>
          <w:rFonts w:ascii="Arial" w:eastAsia="Arial Nova" w:hAnsi="Arial" w:cs="Arial"/>
          <w:color w:val="000000" w:themeColor="text1"/>
          <w:sz w:val="22"/>
          <w:szCs w:val="22"/>
        </w:rPr>
      </w:pPr>
      <w:r w:rsidRPr="00C25E91">
        <w:rPr>
          <w:rFonts w:ascii="Arial" w:eastAsia="Arial Nova" w:hAnsi="Arial" w:cs="Arial"/>
          <w:color w:val="000000" w:themeColor="text1"/>
          <w:sz w:val="22"/>
          <w:szCs w:val="22"/>
        </w:rPr>
        <w:t>Granovetter, M.S. (</w:t>
      </w:r>
      <w:r w:rsidRPr="00B04E8C">
        <w:rPr>
          <w:rFonts w:ascii="Arial" w:eastAsia="Arial Nova" w:hAnsi="Arial" w:cs="Arial"/>
          <w:color w:val="000000" w:themeColor="text1"/>
          <w:sz w:val="22"/>
          <w:szCs w:val="22"/>
        </w:rPr>
        <w:t>1973</w:t>
      </w:r>
      <w:r w:rsidR="00B04E8C" w:rsidRPr="00B04E8C">
        <w:rPr>
          <w:rFonts w:ascii="Arial" w:eastAsia="Arial Nova" w:hAnsi="Arial" w:cs="Arial"/>
          <w:color w:val="000000" w:themeColor="text1"/>
          <w:sz w:val="22"/>
          <w:szCs w:val="22"/>
        </w:rPr>
        <w:t>)</w:t>
      </w:r>
      <w:r w:rsidRPr="00B04E8C">
        <w:rPr>
          <w:rFonts w:ascii="Arial" w:eastAsia="Arial Nova" w:hAnsi="Arial" w:cs="Arial"/>
          <w:color w:val="000000" w:themeColor="text1"/>
          <w:sz w:val="22"/>
          <w:szCs w:val="22"/>
        </w:rPr>
        <w:t xml:space="preserve"> 'The strength of weak ties',</w:t>
      </w:r>
      <w:r w:rsidRPr="00C25E91">
        <w:rPr>
          <w:rFonts w:ascii="Arial" w:eastAsia="Arial Nova" w:hAnsi="Arial" w:cs="Arial"/>
          <w:i/>
          <w:iCs/>
          <w:color w:val="000000" w:themeColor="text1"/>
          <w:sz w:val="22"/>
          <w:szCs w:val="22"/>
        </w:rPr>
        <w:t xml:space="preserve"> American Journal of Sociology, 78(6), pp. 1360–1380.</w:t>
      </w:r>
      <w:r w:rsidR="00633982">
        <w:rPr>
          <w:rFonts w:ascii="Arial" w:eastAsia="Arial Nova" w:hAnsi="Arial" w:cs="Arial"/>
          <w:color w:val="000000" w:themeColor="text1"/>
          <w:sz w:val="22"/>
          <w:szCs w:val="22"/>
        </w:rPr>
        <w:t xml:space="preserve">Available at: </w:t>
      </w:r>
      <w:hyperlink r:id="rId11" w:history="1">
        <w:r w:rsidR="00633982" w:rsidRPr="00913C8D">
          <w:rPr>
            <w:rStyle w:val="Hyperlink"/>
            <w:rFonts w:ascii="Arial" w:eastAsia="Arial Nova" w:hAnsi="Arial" w:cs="Arial"/>
            <w:sz w:val="22"/>
            <w:szCs w:val="22"/>
          </w:rPr>
          <w:t>https://smg.media.mit.edu/library/Granovetter1973.pdf</w:t>
        </w:r>
        <w:r w:rsidR="00633982" w:rsidRPr="00913C8D">
          <w:rPr>
            <w:rStyle w:val="Hyperlink"/>
            <w:rFonts w:ascii="Arial" w:eastAsia="Arial Nova" w:hAnsi="Arial" w:cs="Arial"/>
            <w:sz w:val="22"/>
            <w:szCs w:val="22"/>
          </w:rPr>
          <w:t>/</w:t>
        </w:r>
      </w:hyperlink>
      <w:r w:rsidR="00633982">
        <w:rPr>
          <w:rFonts w:ascii="Arial" w:eastAsia="Arial Nova" w:hAnsi="Arial" w:cs="Arial"/>
          <w:color w:val="000000" w:themeColor="text1"/>
          <w:sz w:val="22"/>
          <w:szCs w:val="22"/>
        </w:rPr>
        <w:t xml:space="preserve"> </w:t>
      </w:r>
      <w:r w:rsidR="0018709B">
        <w:rPr>
          <w:rFonts w:ascii="Arial" w:eastAsia="Arial Nova" w:hAnsi="Arial" w:cs="Arial"/>
          <w:color w:val="000000" w:themeColor="text1"/>
          <w:sz w:val="22"/>
          <w:szCs w:val="22"/>
        </w:rPr>
        <w:t xml:space="preserve">(Accessed: </w:t>
      </w:r>
      <w:r w:rsidR="00C32A91">
        <w:rPr>
          <w:rFonts w:ascii="Arial" w:eastAsia="Arial Nova" w:hAnsi="Arial" w:cs="Arial"/>
          <w:color w:val="000000" w:themeColor="text1"/>
          <w:sz w:val="22"/>
          <w:szCs w:val="22"/>
        </w:rPr>
        <w:t xml:space="preserve">5 October 2026). </w:t>
      </w:r>
    </w:p>
    <w:p w14:paraId="29D25201" w14:textId="77777777" w:rsidR="009213CD" w:rsidRDefault="009213CD" w:rsidP="009213CD">
      <w:pPr>
        <w:spacing w:line="360" w:lineRule="auto"/>
        <w:rPr>
          <w:rFonts w:ascii="Arial" w:eastAsia="Arial Nova" w:hAnsi="Arial" w:cs="Arial"/>
          <w:color w:val="000000" w:themeColor="text1"/>
          <w:sz w:val="22"/>
          <w:szCs w:val="22"/>
        </w:rPr>
      </w:pPr>
    </w:p>
    <w:p w14:paraId="766C4EC5" w14:textId="5986F783" w:rsidR="009C68CA" w:rsidRPr="00B04E8C" w:rsidRDefault="00C25E91" w:rsidP="009213CD">
      <w:pPr>
        <w:spacing w:line="360" w:lineRule="auto"/>
        <w:rPr>
          <w:rFonts w:ascii="Arial" w:eastAsia="Arial Nova" w:hAnsi="Arial" w:cs="Arial"/>
          <w:color w:val="000000" w:themeColor="text1"/>
          <w:sz w:val="22"/>
          <w:szCs w:val="22"/>
        </w:rPr>
      </w:pPr>
      <w:r w:rsidRPr="00B04E8C">
        <w:rPr>
          <w:rFonts w:ascii="Arial" w:eastAsia="Arial Nova" w:hAnsi="Arial" w:cs="Arial"/>
          <w:color w:val="000000" w:themeColor="text1"/>
          <w:sz w:val="22"/>
          <w:szCs w:val="22"/>
        </w:rPr>
        <w:t>Putnam, R.D. (2000)</w:t>
      </w:r>
      <w:r w:rsidRPr="00C25E91">
        <w:rPr>
          <w:rFonts w:ascii="Arial" w:eastAsia="Arial Nova" w:hAnsi="Arial" w:cs="Arial"/>
          <w:i/>
          <w:iCs/>
          <w:color w:val="000000" w:themeColor="text1"/>
          <w:sz w:val="22"/>
          <w:szCs w:val="22"/>
        </w:rPr>
        <w:t xml:space="preserve"> Bowling alone: the collapse and revival of American community</w:t>
      </w:r>
      <w:r w:rsidRPr="00B04E8C">
        <w:rPr>
          <w:rFonts w:ascii="Arial" w:eastAsia="Arial Nova" w:hAnsi="Arial" w:cs="Arial"/>
          <w:color w:val="000000" w:themeColor="text1"/>
          <w:sz w:val="22"/>
          <w:szCs w:val="22"/>
        </w:rPr>
        <w:t>. New York: Simon &amp; Schuster.</w:t>
      </w:r>
    </w:p>
    <w:p w14:paraId="29FB7B25" w14:textId="1186373B" w:rsidR="005A1CC9" w:rsidRDefault="005A1CC9" w:rsidP="00930904">
      <w:pPr>
        <w:spacing w:before="100" w:beforeAutospacing="1" w:after="100" w:afterAutospacing="1" w:line="360" w:lineRule="auto"/>
        <w:jc w:val="both"/>
        <w:rPr>
          <w:rFonts w:ascii="Arial" w:hAnsi="Arial" w:cs="Arial"/>
          <w:color w:val="303030"/>
          <w:sz w:val="22"/>
          <w:szCs w:val="22"/>
        </w:rPr>
      </w:pPr>
      <w:r w:rsidRPr="005A1CC9">
        <w:rPr>
          <w:rFonts w:ascii="Arial" w:hAnsi="Arial" w:cs="Arial"/>
          <w:color w:val="303030"/>
          <w:sz w:val="22"/>
          <w:szCs w:val="22"/>
        </w:rPr>
        <w:t xml:space="preserve">Woolcock, M. (2001) 'The place of social capital in understanding social and economic outcomes', </w:t>
      </w:r>
      <w:r w:rsidRPr="005A1CC9">
        <w:rPr>
          <w:rFonts w:ascii="Arial" w:hAnsi="Arial" w:cs="Arial"/>
          <w:i/>
          <w:iCs/>
          <w:color w:val="303030"/>
          <w:sz w:val="22"/>
          <w:szCs w:val="22"/>
        </w:rPr>
        <w:t>Canadian Journal of Policy Research</w:t>
      </w:r>
      <w:r w:rsidRPr="005A1CC9">
        <w:rPr>
          <w:rFonts w:ascii="Arial" w:hAnsi="Arial" w:cs="Arial"/>
          <w:color w:val="303030"/>
          <w:sz w:val="22"/>
          <w:szCs w:val="22"/>
        </w:rPr>
        <w:t>, 2(1), pp. 11–17.</w:t>
      </w:r>
      <w:r w:rsidR="004F3D15">
        <w:rPr>
          <w:rFonts w:ascii="Arial" w:hAnsi="Arial" w:cs="Arial"/>
          <w:color w:val="303030"/>
          <w:sz w:val="22"/>
          <w:szCs w:val="22"/>
        </w:rPr>
        <w:t xml:space="preserve"> </w:t>
      </w:r>
      <w:r w:rsidR="00F41DCC">
        <w:rPr>
          <w:rFonts w:ascii="Arial" w:hAnsi="Arial" w:cs="Arial"/>
          <w:color w:val="303030"/>
          <w:sz w:val="22"/>
          <w:szCs w:val="22"/>
        </w:rPr>
        <w:t>Available</w:t>
      </w:r>
      <w:r w:rsidR="004F3D15">
        <w:rPr>
          <w:rFonts w:ascii="Arial" w:hAnsi="Arial" w:cs="Arial"/>
          <w:color w:val="303030"/>
          <w:sz w:val="22"/>
          <w:szCs w:val="22"/>
        </w:rPr>
        <w:t xml:space="preserve"> </w:t>
      </w:r>
      <w:r w:rsidR="00F41DCC">
        <w:rPr>
          <w:rFonts w:ascii="Arial" w:hAnsi="Arial" w:cs="Arial"/>
          <w:color w:val="303030"/>
          <w:sz w:val="22"/>
          <w:szCs w:val="22"/>
        </w:rPr>
        <w:t xml:space="preserve">at: </w:t>
      </w:r>
      <w:hyperlink r:id="rId12" w:history="1">
        <w:r w:rsidR="00F41DCC" w:rsidRPr="00913C8D">
          <w:rPr>
            <w:rStyle w:val="Hyperlink"/>
            <w:rFonts w:ascii="Arial" w:hAnsi="Arial" w:cs="Arial"/>
            <w:sz w:val="22"/>
            <w:szCs w:val="22"/>
          </w:rPr>
          <w:t>https://www.oecd.org/en/topics/science-technology-and-innovation.html</w:t>
        </w:r>
        <w:r w:rsidR="00F41DCC" w:rsidRPr="00913C8D">
          <w:rPr>
            <w:rStyle w:val="Hyperlink"/>
            <w:rFonts w:ascii="Arial" w:hAnsi="Arial" w:cs="Arial"/>
            <w:sz w:val="22"/>
            <w:szCs w:val="22"/>
          </w:rPr>
          <w:t>/</w:t>
        </w:r>
      </w:hyperlink>
      <w:r w:rsidR="00F41DCC">
        <w:rPr>
          <w:rFonts w:ascii="Arial" w:hAnsi="Arial" w:cs="Arial"/>
          <w:color w:val="303030"/>
          <w:sz w:val="22"/>
          <w:szCs w:val="22"/>
        </w:rPr>
        <w:t xml:space="preserve"> </w:t>
      </w:r>
      <w:r w:rsidR="005E1D07">
        <w:rPr>
          <w:rFonts w:ascii="Arial" w:hAnsi="Arial" w:cs="Arial"/>
          <w:color w:val="303030"/>
          <w:sz w:val="22"/>
          <w:szCs w:val="22"/>
        </w:rPr>
        <w:t xml:space="preserve">(Accessed: 5 </w:t>
      </w:r>
      <w:r w:rsidR="00A522A5">
        <w:rPr>
          <w:rFonts w:ascii="Arial" w:hAnsi="Arial" w:cs="Arial"/>
          <w:color w:val="303030"/>
          <w:sz w:val="22"/>
          <w:szCs w:val="22"/>
        </w:rPr>
        <w:t>October 2026).</w:t>
      </w:r>
    </w:p>
    <w:p w14:paraId="62426DA7" w14:textId="3FB98CD8" w:rsidR="00CB0462" w:rsidRDefault="00CB0462" w:rsidP="00930904">
      <w:pPr>
        <w:spacing w:before="100" w:beforeAutospacing="1" w:after="100" w:afterAutospacing="1" w:line="360" w:lineRule="auto"/>
        <w:jc w:val="both"/>
        <w:rPr>
          <w:rFonts w:ascii="Arial" w:hAnsi="Arial" w:cs="Arial"/>
          <w:color w:val="303030"/>
          <w:sz w:val="22"/>
          <w:szCs w:val="22"/>
        </w:rPr>
      </w:pPr>
      <w:r w:rsidRPr="00CB0462">
        <w:rPr>
          <w:rFonts w:ascii="Arial" w:hAnsi="Arial" w:cs="Arial"/>
          <w:color w:val="303030"/>
          <w:sz w:val="22"/>
          <w:szCs w:val="22"/>
        </w:rPr>
        <w:t xml:space="preserve">NHS England (2023) </w:t>
      </w:r>
      <w:r w:rsidRPr="00930904">
        <w:rPr>
          <w:rFonts w:ascii="Arial" w:hAnsi="Arial" w:cs="Arial"/>
          <w:i/>
          <w:iCs/>
          <w:color w:val="303030"/>
          <w:sz w:val="22"/>
          <w:szCs w:val="22"/>
        </w:rPr>
        <w:t>NHS Equality, Diversity, and Inclusion Improvement Plan</w:t>
      </w:r>
      <w:r w:rsidRPr="00CB0462">
        <w:rPr>
          <w:rFonts w:ascii="Arial" w:hAnsi="Arial" w:cs="Arial"/>
          <w:color w:val="303030"/>
          <w:sz w:val="22"/>
          <w:szCs w:val="22"/>
        </w:rPr>
        <w:t>. B2044. Available at:</w:t>
      </w:r>
      <w:r w:rsidR="008578CF">
        <w:rPr>
          <w:rFonts w:ascii="Arial" w:hAnsi="Arial" w:cs="Arial"/>
          <w:color w:val="303030"/>
          <w:sz w:val="22"/>
          <w:szCs w:val="22"/>
        </w:rPr>
        <w:t xml:space="preserve"> </w:t>
      </w:r>
      <w:hyperlink r:id="rId13" w:history="1">
        <w:r w:rsidR="008578CF" w:rsidRPr="00913C8D">
          <w:rPr>
            <w:rStyle w:val="Hyperlink"/>
            <w:rFonts w:ascii="Arial" w:hAnsi="Arial" w:cs="Arial"/>
            <w:sz w:val="22"/>
            <w:szCs w:val="22"/>
          </w:rPr>
          <w:t>https://www.england.nhs.uk/wpcontent/uploads/2023/06/B2044_NHS_EDI_Workforce_Plan.p</w:t>
        </w:r>
        <w:r w:rsidR="008578CF" w:rsidRPr="00913C8D">
          <w:rPr>
            <w:rStyle w:val="Hyperlink"/>
            <w:rFonts w:ascii="Arial" w:hAnsi="Arial" w:cs="Arial"/>
            <w:sz w:val="22"/>
            <w:szCs w:val="22"/>
          </w:rPr>
          <w:t>df/</w:t>
        </w:r>
      </w:hyperlink>
      <w:proofErr w:type="gramStart"/>
      <w:r w:rsidR="008578CF">
        <w:rPr>
          <w:rFonts w:ascii="Arial" w:hAnsi="Arial" w:cs="Arial"/>
          <w:color w:val="303030"/>
          <w:sz w:val="22"/>
          <w:szCs w:val="22"/>
        </w:rPr>
        <w:t xml:space="preserve">  </w:t>
      </w:r>
      <w:r w:rsidRPr="00CB0462">
        <w:rPr>
          <w:rFonts w:ascii="Arial" w:hAnsi="Arial" w:cs="Arial"/>
          <w:color w:val="303030"/>
          <w:sz w:val="22"/>
          <w:szCs w:val="22"/>
        </w:rPr>
        <w:t xml:space="preserve"> (</w:t>
      </w:r>
      <w:proofErr w:type="gramEnd"/>
      <w:r w:rsidRPr="00CB0462">
        <w:rPr>
          <w:rFonts w:ascii="Arial" w:hAnsi="Arial" w:cs="Arial"/>
          <w:color w:val="303030"/>
          <w:sz w:val="22"/>
          <w:szCs w:val="22"/>
        </w:rPr>
        <w:t xml:space="preserve">Accessed: </w:t>
      </w:r>
      <w:r w:rsidR="008578CF">
        <w:rPr>
          <w:rFonts w:ascii="Arial" w:hAnsi="Arial" w:cs="Arial"/>
          <w:color w:val="303030"/>
          <w:sz w:val="22"/>
          <w:szCs w:val="22"/>
        </w:rPr>
        <w:t>15</w:t>
      </w:r>
      <w:r w:rsidRPr="00CB0462">
        <w:rPr>
          <w:rFonts w:ascii="Arial" w:hAnsi="Arial" w:cs="Arial"/>
          <w:color w:val="303030"/>
          <w:sz w:val="22"/>
          <w:szCs w:val="22"/>
        </w:rPr>
        <w:t xml:space="preserve"> October 2026).</w:t>
      </w:r>
    </w:p>
    <w:p w14:paraId="7714C5C8" w14:textId="6BEA64C4" w:rsidR="009F097F" w:rsidRPr="009F097F" w:rsidRDefault="009F097F" w:rsidP="009F097F">
      <w:pPr>
        <w:spacing w:before="100" w:beforeAutospacing="1" w:after="100" w:afterAutospacing="1" w:line="360" w:lineRule="auto"/>
        <w:jc w:val="both"/>
        <w:rPr>
          <w:rFonts w:ascii="Arial" w:hAnsi="Arial" w:cs="Arial"/>
          <w:color w:val="303030"/>
          <w:sz w:val="22"/>
          <w:szCs w:val="22"/>
        </w:rPr>
      </w:pPr>
      <w:r w:rsidRPr="009F097F">
        <w:rPr>
          <w:rFonts w:ascii="Arial" w:hAnsi="Arial" w:cs="Arial"/>
          <w:color w:val="303030"/>
          <w:sz w:val="22"/>
          <w:szCs w:val="22"/>
        </w:rPr>
        <w:t xml:space="preserve">American Psychological Association (2020) </w:t>
      </w:r>
      <w:r w:rsidRPr="009F097F">
        <w:rPr>
          <w:rFonts w:ascii="Arial" w:hAnsi="Arial" w:cs="Arial"/>
          <w:i/>
          <w:iCs/>
          <w:color w:val="303030"/>
          <w:sz w:val="22"/>
          <w:szCs w:val="22"/>
        </w:rPr>
        <w:t>Building your resilience</w:t>
      </w:r>
      <w:r w:rsidRPr="009F097F">
        <w:rPr>
          <w:rFonts w:ascii="Arial" w:hAnsi="Arial" w:cs="Arial"/>
          <w:color w:val="303030"/>
          <w:sz w:val="22"/>
          <w:szCs w:val="22"/>
        </w:rPr>
        <w:t xml:space="preserve">. Available at: </w:t>
      </w:r>
      <w:hyperlink r:id="rId14" w:history="1">
        <w:r w:rsidRPr="00913C8D">
          <w:rPr>
            <w:rStyle w:val="Hyperlink"/>
            <w:rFonts w:ascii="Arial" w:hAnsi="Arial" w:cs="Arial"/>
            <w:sz w:val="22"/>
            <w:szCs w:val="22"/>
          </w:rPr>
          <w:t>https://www.apa.org/topics/resilience/building-your-resilience</w:t>
        </w:r>
        <w:r w:rsidRPr="00913C8D">
          <w:rPr>
            <w:rStyle w:val="Hyperlink"/>
            <w:rFonts w:ascii="Arial" w:hAnsi="Arial" w:cs="Arial"/>
            <w:sz w:val="22"/>
            <w:szCs w:val="22"/>
          </w:rPr>
          <w:t>/</w:t>
        </w:r>
      </w:hyperlink>
      <w:r>
        <w:rPr>
          <w:rFonts w:ascii="Arial" w:hAnsi="Arial" w:cs="Arial"/>
          <w:color w:val="303030"/>
          <w:sz w:val="22"/>
          <w:szCs w:val="22"/>
        </w:rPr>
        <w:t xml:space="preserve"> </w:t>
      </w:r>
      <w:r w:rsidRPr="009F097F">
        <w:rPr>
          <w:rFonts w:ascii="Arial" w:hAnsi="Arial" w:cs="Arial"/>
          <w:color w:val="303030"/>
          <w:sz w:val="22"/>
          <w:szCs w:val="22"/>
        </w:rPr>
        <w:t xml:space="preserve"> (Accessed: </w:t>
      </w:r>
      <w:r>
        <w:rPr>
          <w:rFonts w:ascii="Arial" w:hAnsi="Arial" w:cs="Arial"/>
          <w:color w:val="303030"/>
          <w:sz w:val="22"/>
          <w:szCs w:val="22"/>
        </w:rPr>
        <w:t xml:space="preserve">16 </w:t>
      </w:r>
      <w:r w:rsidRPr="009F097F">
        <w:rPr>
          <w:rFonts w:ascii="Arial" w:hAnsi="Arial" w:cs="Arial"/>
          <w:color w:val="303030"/>
          <w:sz w:val="22"/>
          <w:szCs w:val="22"/>
        </w:rPr>
        <w:t>October 2026).</w:t>
      </w:r>
    </w:p>
    <w:p w14:paraId="72F47D7E" w14:textId="430E11E8" w:rsidR="009F097F" w:rsidRPr="009F097F" w:rsidRDefault="009F097F" w:rsidP="009F097F">
      <w:pPr>
        <w:spacing w:before="100" w:beforeAutospacing="1" w:after="100" w:afterAutospacing="1" w:line="360" w:lineRule="auto"/>
        <w:jc w:val="both"/>
        <w:rPr>
          <w:rFonts w:ascii="Arial" w:hAnsi="Arial" w:cs="Arial"/>
          <w:color w:val="303030"/>
          <w:sz w:val="22"/>
          <w:szCs w:val="22"/>
        </w:rPr>
      </w:pPr>
      <w:r w:rsidRPr="009F097F">
        <w:rPr>
          <w:rFonts w:ascii="Arial" w:hAnsi="Arial" w:cs="Arial"/>
          <w:color w:val="303030"/>
          <w:sz w:val="22"/>
          <w:szCs w:val="22"/>
        </w:rPr>
        <w:t xml:space="preserve">Channell, M. (2025) </w:t>
      </w:r>
      <w:r w:rsidRPr="009F097F">
        <w:rPr>
          <w:rFonts w:ascii="Arial" w:hAnsi="Arial" w:cs="Arial"/>
          <w:i/>
          <w:iCs/>
          <w:color w:val="303030"/>
          <w:sz w:val="22"/>
          <w:szCs w:val="22"/>
        </w:rPr>
        <w:t>Daniel Goleman's Emotional Intelligence</w:t>
      </w:r>
      <w:r w:rsidRPr="009F097F">
        <w:rPr>
          <w:rFonts w:ascii="Arial" w:hAnsi="Arial" w:cs="Arial"/>
          <w:color w:val="303030"/>
          <w:sz w:val="22"/>
          <w:szCs w:val="22"/>
        </w:rPr>
        <w:t xml:space="preserve">. TSW Training. Available at: </w:t>
      </w:r>
      <w:hyperlink r:id="rId15" w:history="1">
        <w:r w:rsidR="00F357AB" w:rsidRPr="00913C8D">
          <w:rPr>
            <w:rStyle w:val="Hyperlink"/>
            <w:rFonts w:ascii="Arial" w:hAnsi="Arial" w:cs="Arial"/>
            <w:sz w:val="22"/>
            <w:szCs w:val="22"/>
          </w:rPr>
          <w:t>https://www.tsw.co.uk/insights/daniel-goleman-emotional-intelligence</w:t>
        </w:r>
        <w:r w:rsidR="00F357AB" w:rsidRPr="00913C8D">
          <w:rPr>
            <w:rStyle w:val="Hyperlink"/>
            <w:rFonts w:ascii="Arial" w:hAnsi="Arial" w:cs="Arial"/>
            <w:sz w:val="22"/>
            <w:szCs w:val="22"/>
          </w:rPr>
          <w:t>/</w:t>
        </w:r>
      </w:hyperlink>
      <w:r w:rsidR="00F357AB">
        <w:rPr>
          <w:rFonts w:ascii="Arial" w:hAnsi="Arial" w:cs="Arial"/>
          <w:color w:val="303030"/>
          <w:sz w:val="22"/>
          <w:szCs w:val="22"/>
        </w:rPr>
        <w:t xml:space="preserve"> </w:t>
      </w:r>
      <w:r w:rsidRPr="009F097F">
        <w:rPr>
          <w:rFonts w:ascii="Arial" w:hAnsi="Arial" w:cs="Arial"/>
          <w:color w:val="303030"/>
          <w:sz w:val="22"/>
          <w:szCs w:val="22"/>
        </w:rPr>
        <w:t>(Accessed:</w:t>
      </w:r>
      <w:r>
        <w:rPr>
          <w:rFonts w:ascii="Arial" w:hAnsi="Arial" w:cs="Arial"/>
          <w:color w:val="303030"/>
          <w:sz w:val="22"/>
          <w:szCs w:val="22"/>
        </w:rPr>
        <w:t xml:space="preserve"> 16</w:t>
      </w:r>
      <w:r w:rsidRPr="009F097F">
        <w:rPr>
          <w:rFonts w:ascii="Arial" w:hAnsi="Arial" w:cs="Arial"/>
          <w:color w:val="303030"/>
          <w:sz w:val="22"/>
          <w:szCs w:val="22"/>
        </w:rPr>
        <w:t xml:space="preserve"> October 2026).</w:t>
      </w:r>
    </w:p>
    <w:p w14:paraId="287F43EF" w14:textId="6AD2A93B" w:rsidR="009F097F" w:rsidRPr="009F097F" w:rsidRDefault="009F097F" w:rsidP="009F097F">
      <w:pPr>
        <w:spacing w:before="100" w:beforeAutospacing="1" w:after="100" w:afterAutospacing="1" w:line="360" w:lineRule="auto"/>
        <w:jc w:val="both"/>
        <w:rPr>
          <w:rFonts w:ascii="Arial" w:hAnsi="Arial" w:cs="Arial"/>
          <w:color w:val="303030"/>
          <w:sz w:val="22"/>
          <w:szCs w:val="22"/>
        </w:rPr>
      </w:pPr>
      <w:r w:rsidRPr="009F097F">
        <w:rPr>
          <w:rFonts w:ascii="Arial" w:hAnsi="Arial" w:cs="Arial"/>
          <w:color w:val="303030"/>
          <w:sz w:val="22"/>
          <w:szCs w:val="22"/>
        </w:rPr>
        <w:t xml:space="preserve">Frothingham, M.B. (2026) </w:t>
      </w:r>
      <w:r w:rsidRPr="00DB4E7B">
        <w:rPr>
          <w:rFonts w:ascii="Arial" w:hAnsi="Arial" w:cs="Arial"/>
          <w:i/>
          <w:iCs/>
          <w:color w:val="303030"/>
          <w:sz w:val="22"/>
          <w:szCs w:val="22"/>
        </w:rPr>
        <w:t>Emotional Intelligence (EQ). Simply Psychology</w:t>
      </w:r>
      <w:r w:rsidRPr="009F097F">
        <w:rPr>
          <w:rFonts w:ascii="Arial" w:hAnsi="Arial" w:cs="Arial"/>
          <w:color w:val="303030"/>
          <w:sz w:val="22"/>
          <w:szCs w:val="22"/>
        </w:rPr>
        <w:t xml:space="preserve">. Available at: </w:t>
      </w:r>
      <w:hyperlink r:id="rId16" w:history="1">
        <w:r w:rsidR="00DB4E7B" w:rsidRPr="00913C8D">
          <w:rPr>
            <w:rStyle w:val="Hyperlink"/>
            <w:rFonts w:ascii="Arial" w:hAnsi="Arial" w:cs="Arial"/>
            <w:sz w:val="22"/>
            <w:szCs w:val="22"/>
          </w:rPr>
          <w:t>https://www.simplypsychology.org/emotional-intelligence.html</w:t>
        </w:r>
        <w:r w:rsidR="00DB4E7B" w:rsidRPr="00913C8D">
          <w:rPr>
            <w:rStyle w:val="Hyperlink"/>
            <w:rFonts w:ascii="Arial" w:hAnsi="Arial" w:cs="Arial"/>
            <w:sz w:val="22"/>
            <w:szCs w:val="22"/>
          </w:rPr>
          <w:t>/</w:t>
        </w:r>
      </w:hyperlink>
      <w:r w:rsidR="00DB4E7B">
        <w:rPr>
          <w:rFonts w:ascii="Arial" w:hAnsi="Arial" w:cs="Arial"/>
          <w:color w:val="303030"/>
          <w:sz w:val="22"/>
          <w:szCs w:val="22"/>
        </w:rPr>
        <w:t xml:space="preserve"> </w:t>
      </w:r>
      <w:r w:rsidRPr="009F097F">
        <w:rPr>
          <w:rFonts w:ascii="Arial" w:hAnsi="Arial" w:cs="Arial"/>
          <w:color w:val="303030"/>
          <w:sz w:val="22"/>
          <w:szCs w:val="22"/>
        </w:rPr>
        <w:t xml:space="preserve"> (Accessed: </w:t>
      </w:r>
      <w:r w:rsidR="00DB4E7B">
        <w:rPr>
          <w:rFonts w:ascii="Arial" w:hAnsi="Arial" w:cs="Arial"/>
          <w:color w:val="303030"/>
          <w:sz w:val="22"/>
          <w:szCs w:val="22"/>
        </w:rPr>
        <w:t>16</w:t>
      </w:r>
      <w:r w:rsidRPr="009F097F">
        <w:rPr>
          <w:rFonts w:ascii="Arial" w:hAnsi="Arial" w:cs="Arial"/>
          <w:color w:val="303030"/>
          <w:sz w:val="22"/>
          <w:szCs w:val="22"/>
        </w:rPr>
        <w:t xml:space="preserve"> October 2026).</w:t>
      </w:r>
    </w:p>
    <w:p w14:paraId="355DF6BA" w14:textId="1A9321C9" w:rsidR="009F097F" w:rsidRPr="009F097F" w:rsidRDefault="009F097F" w:rsidP="009F097F">
      <w:pPr>
        <w:spacing w:before="100" w:beforeAutospacing="1" w:after="100" w:afterAutospacing="1" w:line="360" w:lineRule="auto"/>
        <w:jc w:val="both"/>
        <w:rPr>
          <w:rFonts w:ascii="Arial" w:hAnsi="Arial" w:cs="Arial"/>
          <w:color w:val="303030"/>
          <w:sz w:val="22"/>
          <w:szCs w:val="22"/>
        </w:rPr>
      </w:pPr>
      <w:r w:rsidRPr="009F097F">
        <w:rPr>
          <w:rFonts w:ascii="Arial" w:hAnsi="Arial" w:cs="Arial"/>
          <w:color w:val="303030"/>
          <w:sz w:val="22"/>
          <w:szCs w:val="22"/>
        </w:rPr>
        <w:t xml:space="preserve">Salovey, P. and Mayer, J.D. (1990) </w:t>
      </w:r>
      <w:r w:rsidRPr="00DB4E7B">
        <w:rPr>
          <w:rFonts w:ascii="Arial" w:hAnsi="Arial" w:cs="Arial"/>
          <w:i/>
          <w:iCs/>
          <w:color w:val="303030"/>
          <w:sz w:val="22"/>
          <w:szCs w:val="22"/>
        </w:rPr>
        <w:t>'Emotional intelligence', Imagination, Cognition and Personality,</w:t>
      </w:r>
      <w:r w:rsidRPr="009F097F">
        <w:rPr>
          <w:rFonts w:ascii="Arial" w:hAnsi="Arial" w:cs="Arial"/>
          <w:color w:val="303030"/>
          <w:sz w:val="22"/>
          <w:szCs w:val="22"/>
        </w:rPr>
        <w:t xml:space="preserve"> 9(3), pp. 185–211.</w:t>
      </w:r>
      <w:r w:rsidR="0015631D">
        <w:rPr>
          <w:rFonts w:ascii="Arial" w:hAnsi="Arial" w:cs="Arial"/>
          <w:color w:val="303030"/>
          <w:sz w:val="22"/>
          <w:szCs w:val="22"/>
        </w:rPr>
        <w:t xml:space="preserve"> Available at: </w:t>
      </w:r>
      <w:hyperlink r:id="rId17" w:history="1">
        <w:r w:rsidR="00F81EDC" w:rsidRPr="00913C8D">
          <w:rPr>
            <w:rStyle w:val="Hyperlink"/>
            <w:rFonts w:ascii="Arial" w:hAnsi="Arial" w:cs="Arial"/>
            <w:sz w:val="22"/>
            <w:szCs w:val="22"/>
          </w:rPr>
          <w:t>https://journals.sagepub.com/doi/10.2190/DUGG-P24E-52WK-6CDG</w:t>
        </w:r>
        <w:r w:rsidR="00F81EDC" w:rsidRPr="00913C8D">
          <w:rPr>
            <w:rStyle w:val="Hyperlink"/>
            <w:rFonts w:ascii="Arial" w:hAnsi="Arial" w:cs="Arial"/>
            <w:sz w:val="22"/>
            <w:szCs w:val="22"/>
          </w:rPr>
          <w:t>/</w:t>
        </w:r>
      </w:hyperlink>
      <w:r w:rsidR="00F81EDC">
        <w:rPr>
          <w:rFonts w:ascii="Arial" w:hAnsi="Arial" w:cs="Arial"/>
          <w:color w:val="303030"/>
          <w:sz w:val="22"/>
          <w:szCs w:val="22"/>
        </w:rPr>
        <w:t xml:space="preserve"> (Accessed: 7 October 2026).</w:t>
      </w:r>
    </w:p>
    <w:p w14:paraId="69D919B8" w14:textId="48489C0E" w:rsidR="00896D44" w:rsidRDefault="009F097F" w:rsidP="00930904">
      <w:pPr>
        <w:spacing w:before="100" w:beforeAutospacing="1" w:after="100" w:afterAutospacing="1" w:line="360" w:lineRule="auto"/>
        <w:jc w:val="both"/>
        <w:rPr>
          <w:rFonts w:ascii="Arial" w:hAnsi="Arial" w:cs="Arial"/>
          <w:color w:val="303030"/>
          <w:sz w:val="22"/>
          <w:szCs w:val="22"/>
        </w:rPr>
      </w:pPr>
      <w:r w:rsidRPr="009F097F">
        <w:rPr>
          <w:rFonts w:ascii="Arial" w:hAnsi="Arial" w:cs="Arial"/>
          <w:color w:val="303030"/>
          <w:sz w:val="22"/>
          <w:szCs w:val="22"/>
        </w:rPr>
        <w:t>Southwick, S.M., Bonanno, G.A., Masten, A.S., Panter-Brick, C. and Yehuda, R. (2014) 'Resilience definitions, theory, and challenges: interdisciplinary perspectives'</w:t>
      </w:r>
      <w:r w:rsidRPr="000627EF">
        <w:rPr>
          <w:rFonts w:ascii="Arial" w:hAnsi="Arial" w:cs="Arial"/>
          <w:i/>
          <w:iCs/>
          <w:color w:val="303030"/>
          <w:sz w:val="22"/>
          <w:szCs w:val="22"/>
        </w:rPr>
        <w:t xml:space="preserve">, European Journal </w:t>
      </w:r>
      <w:r w:rsidRPr="000627EF">
        <w:rPr>
          <w:rFonts w:ascii="Arial" w:hAnsi="Arial" w:cs="Arial"/>
          <w:i/>
          <w:iCs/>
          <w:color w:val="303030"/>
          <w:sz w:val="22"/>
          <w:szCs w:val="22"/>
        </w:rPr>
        <w:lastRenderedPageBreak/>
        <w:t xml:space="preserve">of </w:t>
      </w:r>
      <w:proofErr w:type="spellStart"/>
      <w:r w:rsidRPr="000627EF">
        <w:rPr>
          <w:rFonts w:ascii="Arial" w:hAnsi="Arial" w:cs="Arial"/>
          <w:i/>
          <w:iCs/>
          <w:color w:val="303030"/>
          <w:sz w:val="22"/>
          <w:szCs w:val="22"/>
        </w:rPr>
        <w:t>Psychotraumatology</w:t>
      </w:r>
      <w:proofErr w:type="spellEnd"/>
      <w:r w:rsidRPr="000627EF">
        <w:rPr>
          <w:rFonts w:ascii="Arial" w:hAnsi="Arial" w:cs="Arial"/>
          <w:i/>
          <w:iCs/>
          <w:color w:val="303030"/>
          <w:sz w:val="22"/>
          <w:szCs w:val="22"/>
        </w:rPr>
        <w:t>,</w:t>
      </w:r>
      <w:r w:rsidR="00550674">
        <w:rPr>
          <w:rFonts w:ascii="Arial" w:hAnsi="Arial" w:cs="Arial"/>
          <w:color w:val="303030"/>
          <w:sz w:val="22"/>
          <w:szCs w:val="22"/>
        </w:rPr>
        <w:t xml:space="preserve"> </w:t>
      </w:r>
      <w:r w:rsidRPr="009F097F">
        <w:rPr>
          <w:rFonts w:ascii="Arial" w:hAnsi="Arial" w:cs="Arial"/>
          <w:color w:val="303030"/>
          <w:sz w:val="22"/>
          <w:szCs w:val="22"/>
        </w:rPr>
        <w:t>5(1),</w:t>
      </w:r>
      <w:r w:rsidR="00550674">
        <w:rPr>
          <w:rFonts w:ascii="Arial" w:hAnsi="Arial" w:cs="Arial"/>
          <w:color w:val="303030"/>
          <w:sz w:val="22"/>
          <w:szCs w:val="22"/>
        </w:rPr>
        <w:t xml:space="preserve"> </w:t>
      </w:r>
      <w:r w:rsidRPr="009F097F">
        <w:rPr>
          <w:rFonts w:ascii="Arial" w:hAnsi="Arial" w:cs="Arial"/>
          <w:color w:val="303030"/>
          <w:sz w:val="22"/>
          <w:szCs w:val="22"/>
        </w:rPr>
        <w:t>pp. 1–14.</w:t>
      </w:r>
      <w:r w:rsidR="00550674">
        <w:rPr>
          <w:rFonts w:ascii="Arial" w:hAnsi="Arial" w:cs="Arial"/>
          <w:color w:val="303030"/>
          <w:sz w:val="22"/>
          <w:szCs w:val="22"/>
        </w:rPr>
        <w:t xml:space="preserve"> Available at: </w:t>
      </w:r>
      <w:hyperlink r:id="rId18" w:history="1">
        <w:r w:rsidR="00550674" w:rsidRPr="00913C8D">
          <w:rPr>
            <w:rStyle w:val="Hyperlink"/>
            <w:rFonts w:ascii="Arial" w:hAnsi="Arial" w:cs="Arial"/>
            <w:sz w:val="22"/>
            <w:szCs w:val="22"/>
          </w:rPr>
          <w:t>https://www.tandfonline.com/doi/full/10.3402/ejpt.v5.25338</w:t>
        </w:r>
        <w:r w:rsidR="00550674" w:rsidRPr="00913C8D">
          <w:rPr>
            <w:rStyle w:val="Hyperlink"/>
            <w:rFonts w:ascii="Arial" w:hAnsi="Arial" w:cs="Arial"/>
            <w:sz w:val="22"/>
            <w:szCs w:val="22"/>
          </w:rPr>
          <w:t>/</w:t>
        </w:r>
      </w:hyperlink>
      <w:r w:rsidR="00550674">
        <w:rPr>
          <w:rFonts w:ascii="Arial" w:hAnsi="Arial" w:cs="Arial"/>
          <w:color w:val="303030"/>
          <w:sz w:val="22"/>
          <w:szCs w:val="22"/>
        </w:rPr>
        <w:t xml:space="preserve"> (Accessed: </w:t>
      </w:r>
      <w:r w:rsidR="00550164">
        <w:rPr>
          <w:rFonts w:ascii="Arial" w:hAnsi="Arial" w:cs="Arial"/>
          <w:color w:val="303030"/>
          <w:sz w:val="22"/>
          <w:szCs w:val="22"/>
        </w:rPr>
        <w:t>7 October 2026).</w:t>
      </w:r>
    </w:p>
    <w:p w14:paraId="0F2E5369" w14:textId="77777777" w:rsidR="004F5B9D" w:rsidRPr="004F5B9D" w:rsidRDefault="004F5B9D" w:rsidP="004F5B9D">
      <w:pPr>
        <w:spacing w:before="100" w:beforeAutospacing="1" w:after="100" w:afterAutospacing="1" w:line="360" w:lineRule="auto"/>
        <w:jc w:val="both"/>
        <w:rPr>
          <w:rFonts w:ascii="Arial" w:hAnsi="Arial" w:cs="Arial"/>
          <w:color w:val="303030"/>
          <w:sz w:val="22"/>
          <w:szCs w:val="22"/>
        </w:rPr>
      </w:pPr>
      <w:r w:rsidRPr="004F5B9D">
        <w:rPr>
          <w:rFonts w:ascii="Arial" w:hAnsi="Arial" w:cs="Arial"/>
          <w:color w:val="303030"/>
          <w:sz w:val="22"/>
          <w:szCs w:val="22"/>
        </w:rPr>
        <w:t xml:space="preserve">Berriet-Solliec, M., </w:t>
      </w:r>
      <w:proofErr w:type="spellStart"/>
      <w:r w:rsidRPr="004F5B9D">
        <w:rPr>
          <w:rFonts w:ascii="Arial" w:hAnsi="Arial" w:cs="Arial"/>
          <w:color w:val="303030"/>
          <w:sz w:val="22"/>
          <w:szCs w:val="22"/>
        </w:rPr>
        <w:t>Larbathe</w:t>
      </w:r>
      <w:proofErr w:type="spellEnd"/>
      <w:r w:rsidRPr="004F5B9D">
        <w:rPr>
          <w:rFonts w:ascii="Arial" w:hAnsi="Arial" w:cs="Arial"/>
          <w:color w:val="303030"/>
          <w:sz w:val="22"/>
          <w:szCs w:val="22"/>
        </w:rPr>
        <w:t xml:space="preserve">, P. and Laurent, C. (2014) </w:t>
      </w:r>
      <w:r w:rsidRPr="00F500B3">
        <w:rPr>
          <w:rFonts w:ascii="Arial" w:hAnsi="Arial" w:cs="Arial"/>
          <w:color w:val="303030"/>
          <w:sz w:val="22"/>
          <w:szCs w:val="22"/>
        </w:rPr>
        <w:t>'Goals of evaluations and types of evidence'</w:t>
      </w:r>
      <w:r w:rsidRPr="004F5B9D">
        <w:rPr>
          <w:rFonts w:ascii="Arial" w:hAnsi="Arial" w:cs="Arial"/>
          <w:color w:val="303030"/>
          <w:sz w:val="22"/>
          <w:szCs w:val="22"/>
        </w:rPr>
        <w:t xml:space="preserve">, </w:t>
      </w:r>
      <w:r w:rsidRPr="00F500B3">
        <w:rPr>
          <w:rFonts w:ascii="Arial" w:hAnsi="Arial" w:cs="Arial"/>
          <w:i/>
          <w:iCs/>
          <w:color w:val="303030"/>
          <w:sz w:val="22"/>
          <w:szCs w:val="22"/>
        </w:rPr>
        <w:t>Evaluation,</w:t>
      </w:r>
      <w:r w:rsidRPr="004F5B9D">
        <w:rPr>
          <w:rFonts w:ascii="Arial" w:hAnsi="Arial" w:cs="Arial"/>
          <w:color w:val="303030"/>
          <w:sz w:val="22"/>
          <w:szCs w:val="22"/>
        </w:rPr>
        <w:t xml:space="preserve"> 20(2), pp. 195–193.</w:t>
      </w:r>
    </w:p>
    <w:p w14:paraId="7F42AF0B" w14:textId="77777777" w:rsidR="004F5B9D" w:rsidRPr="004F5B9D" w:rsidRDefault="004F5B9D" w:rsidP="004F5B9D">
      <w:pPr>
        <w:spacing w:before="100" w:beforeAutospacing="1" w:after="100" w:afterAutospacing="1" w:line="360" w:lineRule="auto"/>
        <w:jc w:val="both"/>
        <w:rPr>
          <w:rFonts w:ascii="Arial" w:hAnsi="Arial" w:cs="Arial"/>
          <w:color w:val="303030"/>
          <w:sz w:val="22"/>
          <w:szCs w:val="22"/>
        </w:rPr>
      </w:pPr>
      <w:r w:rsidRPr="004F5B9D">
        <w:rPr>
          <w:rFonts w:ascii="Arial" w:hAnsi="Arial" w:cs="Arial"/>
          <w:color w:val="303030"/>
          <w:sz w:val="22"/>
          <w:szCs w:val="22"/>
        </w:rPr>
        <w:t xml:space="preserve">Business Dictionary (2020) </w:t>
      </w:r>
      <w:r w:rsidRPr="004F5B9D">
        <w:rPr>
          <w:rFonts w:ascii="Arial" w:hAnsi="Arial" w:cs="Arial"/>
          <w:i/>
          <w:iCs/>
          <w:color w:val="303030"/>
          <w:sz w:val="22"/>
          <w:szCs w:val="22"/>
        </w:rPr>
        <w:t>Problem Definition</w:t>
      </w:r>
      <w:r w:rsidRPr="004F5B9D">
        <w:rPr>
          <w:rFonts w:ascii="Arial" w:hAnsi="Arial" w:cs="Arial"/>
          <w:color w:val="303030"/>
          <w:sz w:val="22"/>
          <w:szCs w:val="22"/>
        </w:rPr>
        <w:t>.</w:t>
      </w:r>
    </w:p>
    <w:p w14:paraId="48A17DEC" w14:textId="3C423946" w:rsidR="003E5BC4" w:rsidRDefault="004F5B9D" w:rsidP="004F5B9D">
      <w:pPr>
        <w:spacing w:before="100" w:beforeAutospacing="1" w:after="100" w:afterAutospacing="1" w:line="360" w:lineRule="auto"/>
        <w:jc w:val="both"/>
        <w:rPr>
          <w:rFonts w:ascii="Arial" w:hAnsi="Arial" w:cs="Arial"/>
          <w:color w:val="303030"/>
          <w:sz w:val="22"/>
          <w:szCs w:val="22"/>
        </w:rPr>
      </w:pPr>
      <w:r w:rsidRPr="004F5B9D">
        <w:rPr>
          <w:rFonts w:ascii="Arial" w:hAnsi="Arial" w:cs="Arial"/>
          <w:color w:val="303030"/>
          <w:sz w:val="22"/>
          <w:szCs w:val="22"/>
        </w:rPr>
        <w:t xml:space="preserve">Simon, P. and Murray-Webster, R. (2018) </w:t>
      </w:r>
      <w:r w:rsidRPr="00F500B3">
        <w:rPr>
          <w:rFonts w:ascii="Arial" w:hAnsi="Arial" w:cs="Arial"/>
          <w:i/>
          <w:iCs/>
          <w:color w:val="303030"/>
          <w:sz w:val="22"/>
          <w:szCs w:val="22"/>
        </w:rPr>
        <w:t>Starting Out in Project Management</w:t>
      </w:r>
      <w:r w:rsidRPr="004F5B9D">
        <w:rPr>
          <w:rFonts w:ascii="Arial" w:hAnsi="Arial" w:cs="Arial"/>
          <w:color w:val="303030"/>
          <w:sz w:val="22"/>
          <w:szCs w:val="22"/>
        </w:rPr>
        <w:t>. Association for Project Management.</w:t>
      </w:r>
    </w:p>
    <w:p w14:paraId="3B7CB5D2" w14:textId="77777777" w:rsidR="00930904" w:rsidRDefault="00930904" w:rsidP="00930904">
      <w:pPr>
        <w:spacing w:before="100" w:beforeAutospacing="1" w:after="100" w:afterAutospacing="1" w:line="360" w:lineRule="auto"/>
        <w:jc w:val="both"/>
        <w:rPr>
          <w:rFonts w:ascii="Arial" w:hAnsi="Arial" w:cs="Arial"/>
          <w:color w:val="303030"/>
          <w:sz w:val="22"/>
          <w:szCs w:val="22"/>
        </w:rPr>
      </w:pPr>
    </w:p>
    <w:p w14:paraId="0171BA1E" w14:textId="77777777" w:rsidR="00930904" w:rsidRDefault="00930904" w:rsidP="005A1CC9">
      <w:pPr>
        <w:spacing w:before="100" w:beforeAutospacing="1" w:after="100" w:afterAutospacing="1"/>
        <w:jc w:val="both"/>
        <w:rPr>
          <w:rFonts w:ascii="Arial" w:hAnsi="Arial" w:cs="Arial"/>
          <w:color w:val="303030"/>
          <w:sz w:val="22"/>
          <w:szCs w:val="22"/>
        </w:rPr>
      </w:pPr>
    </w:p>
    <w:p w14:paraId="45D953DE" w14:textId="77777777" w:rsidR="005A1CC9" w:rsidRPr="005A1CC9" w:rsidRDefault="005A1CC9" w:rsidP="005A1CC9">
      <w:pPr>
        <w:spacing w:before="100" w:beforeAutospacing="1" w:after="100" w:afterAutospacing="1"/>
        <w:jc w:val="both"/>
        <w:rPr>
          <w:rFonts w:ascii="Arial" w:hAnsi="Arial" w:cs="Arial"/>
          <w:color w:val="303030"/>
          <w:sz w:val="22"/>
          <w:szCs w:val="22"/>
        </w:rPr>
      </w:pPr>
    </w:p>
    <w:p w14:paraId="2FB00FC9" w14:textId="77777777" w:rsidR="005A1CC9" w:rsidRPr="005A1CC9" w:rsidRDefault="005A1CC9" w:rsidP="005A1CC9">
      <w:pPr>
        <w:jc w:val="both"/>
        <w:rPr>
          <w:rFonts w:ascii="Arial" w:hAnsi="Arial" w:cs="Arial"/>
          <w:sz w:val="22"/>
          <w:szCs w:val="22"/>
        </w:rPr>
      </w:pPr>
    </w:p>
    <w:p w14:paraId="691AE484" w14:textId="77777777" w:rsidR="005A1CC9" w:rsidRPr="005A1CC9" w:rsidRDefault="005A1CC9" w:rsidP="005A1CC9">
      <w:pPr>
        <w:jc w:val="both"/>
        <w:rPr>
          <w:rFonts w:ascii="Arial" w:eastAsia="Aptos" w:hAnsi="Arial" w:cs="Arial"/>
          <w:color w:val="000000" w:themeColor="text1"/>
          <w:sz w:val="22"/>
          <w:szCs w:val="22"/>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4F92B6" w14:textId="77777777" w:rsidR="008022E2" w:rsidRDefault="008022E2"/>
  </w:endnote>
  <w:endnote w:type="continuationSeparator" w:id="0">
    <w:p w14:paraId="4DE73F10" w14:textId="77777777" w:rsidR="008022E2" w:rsidRDefault="008022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12F4E5" w14:textId="77777777" w:rsidR="008022E2" w:rsidRDefault="008022E2"/>
  </w:footnote>
  <w:footnote w:type="continuationSeparator" w:id="0">
    <w:p w14:paraId="2B7B21EE" w14:textId="77777777" w:rsidR="008022E2" w:rsidRDefault="008022E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0F358D"/>
    <w:multiLevelType w:val="multilevel"/>
    <w:tmpl w:val="55F2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1"/>
  </w:num>
  <w:num w:numId="4" w16cid:durableId="1062874500">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27EF"/>
    <w:rsid w:val="00076DBE"/>
    <w:rsid w:val="000A5CB4"/>
    <w:rsid w:val="0015631D"/>
    <w:rsid w:val="00171ED3"/>
    <w:rsid w:val="0018709B"/>
    <w:rsid w:val="001B39C5"/>
    <w:rsid w:val="001B6498"/>
    <w:rsid w:val="001E552A"/>
    <w:rsid w:val="001E6F1E"/>
    <w:rsid w:val="0022456C"/>
    <w:rsid w:val="002776ED"/>
    <w:rsid w:val="002E733B"/>
    <w:rsid w:val="00301BF2"/>
    <w:rsid w:val="00304206"/>
    <w:rsid w:val="0031752F"/>
    <w:rsid w:val="0032365B"/>
    <w:rsid w:val="0038525C"/>
    <w:rsid w:val="003C2FE3"/>
    <w:rsid w:val="003D2038"/>
    <w:rsid w:val="003D5CFB"/>
    <w:rsid w:val="003E5BC4"/>
    <w:rsid w:val="003E5D53"/>
    <w:rsid w:val="003F3F95"/>
    <w:rsid w:val="004031BB"/>
    <w:rsid w:val="004103B4"/>
    <w:rsid w:val="004211E7"/>
    <w:rsid w:val="004C58AF"/>
    <w:rsid w:val="004F3D15"/>
    <w:rsid w:val="004F5B9D"/>
    <w:rsid w:val="00531718"/>
    <w:rsid w:val="00550164"/>
    <w:rsid w:val="00550674"/>
    <w:rsid w:val="00553897"/>
    <w:rsid w:val="00571943"/>
    <w:rsid w:val="00577423"/>
    <w:rsid w:val="00593BCA"/>
    <w:rsid w:val="005A1CC9"/>
    <w:rsid w:val="005A4D44"/>
    <w:rsid w:val="005C0372"/>
    <w:rsid w:val="005D28D2"/>
    <w:rsid w:val="005E1D07"/>
    <w:rsid w:val="0060374A"/>
    <w:rsid w:val="00621847"/>
    <w:rsid w:val="00632F8B"/>
    <w:rsid w:val="00633982"/>
    <w:rsid w:val="00684AEC"/>
    <w:rsid w:val="00693EF9"/>
    <w:rsid w:val="006B50B0"/>
    <w:rsid w:val="006D2EEE"/>
    <w:rsid w:val="006D436F"/>
    <w:rsid w:val="006E6679"/>
    <w:rsid w:val="00701E30"/>
    <w:rsid w:val="00703704"/>
    <w:rsid w:val="00703875"/>
    <w:rsid w:val="007203B5"/>
    <w:rsid w:val="0074551A"/>
    <w:rsid w:val="0075267A"/>
    <w:rsid w:val="00763D22"/>
    <w:rsid w:val="007D3AD0"/>
    <w:rsid w:val="007F22CA"/>
    <w:rsid w:val="008022E2"/>
    <w:rsid w:val="00826660"/>
    <w:rsid w:val="00834E99"/>
    <w:rsid w:val="00835193"/>
    <w:rsid w:val="00847660"/>
    <w:rsid w:val="0085022B"/>
    <w:rsid w:val="008578CF"/>
    <w:rsid w:val="00896D44"/>
    <w:rsid w:val="008D124F"/>
    <w:rsid w:val="008F61DD"/>
    <w:rsid w:val="00903517"/>
    <w:rsid w:val="009213CD"/>
    <w:rsid w:val="009216BC"/>
    <w:rsid w:val="00930904"/>
    <w:rsid w:val="009A572D"/>
    <w:rsid w:val="009C68CA"/>
    <w:rsid w:val="009E1DF4"/>
    <w:rsid w:val="009F097F"/>
    <w:rsid w:val="00A23304"/>
    <w:rsid w:val="00A2716C"/>
    <w:rsid w:val="00A274C7"/>
    <w:rsid w:val="00A43F5C"/>
    <w:rsid w:val="00A522A5"/>
    <w:rsid w:val="00AC383E"/>
    <w:rsid w:val="00B04E8C"/>
    <w:rsid w:val="00B7418E"/>
    <w:rsid w:val="00B94181"/>
    <w:rsid w:val="00C0364C"/>
    <w:rsid w:val="00C16861"/>
    <w:rsid w:val="00C25E91"/>
    <w:rsid w:val="00C32A91"/>
    <w:rsid w:val="00C838DF"/>
    <w:rsid w:val="00C96CFC"/>
    <w:rsid w:val="00CB0462"/>
    <w:rsid w:val="00CD6532"/>
    <w:rsid w:val="00D17D41"/>
    <w:rsid w:val="00D43AFA"/>
    <w:rsid w:val="00D618AB"/>
    <w:rsid w:val="00D73FF3"/>
    <w:rsid w:val="00DB4E7B"/>
    <w:rsid w:val="00DD759B"/>
    <w:rsid w:val="00E33279"/>
    <w:rsid w:val="00E604EA"/>
    <w:rsid w:val="00E77C67"/>
    <w:rsid w:val="00EA6118"/>
    <w:rsid w:val="00F054D1"/>
    <w:rsid w:val="00F357AB"/>
    <w:rsid w:val="00F41DCC"/>
    <w:rsid w:val="00F500B3"/>
    <w:rsid w:val="00F81EDC"/>
    <w:rsid w:val="00FA2110"/>
    <w:rsid w:val="00FB2D0B"/>
    <w:rsid w:val="00FF2C7B"/>
    <w:rsid w:val="00FF468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ED3"/>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pPr>
  </w:style>
  <w:style w:type="character" w:customStyle="1" w:styleId="FooterChar">
    <w:name w:val="Footer Char"/>
    <w:basedOn w:val="DefaultParagraphFont"/>
    <w:link w:val="Footer"/>
    <w:uiPriority w:val="99"/>
    <w:rsid w:val="00D618AB"/>
  </w:style>
  <w:style w:type="paragraph" w:customStyle="1" w:styleId="paragraph">
    <w:name w:val="paragraph"/>
    <w:basedOn w:val="Normal"/>
    <w:rsid w:val="005A1CC9"/>
    <w:pPr>
      <w:spacing w:before="100" w:beforeAutospacing="1" w:after="100" w:afterAutospacing="1"/>
    </w:pPr>
  </w:style>
  <w:style w:type="character" w:styleId="UnresolvedMention">
    <w:name w:val="Unresolved Mention"/>
    <w:basedOn w:val="DefaultParagraphFont"/>
    <w:uiPriority w:val="99"/>
    <w:semiHidden/>
    <w:unhideWhenUsed/>
    <w:rsid w:val="008578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wpcontent/uploads/2023/06/B2044_NHS_EDI_Workforce_Plan.pdf/" TargetMode="External"/><Relationship Id="rId18" Type="http://schemas.openxmlformats.org/officeDocument/2006/relationships/hyperlink" Target="https://www.tandfonline.com/doi/full/10.3402/ejpt.v5.2533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ecd.org/en/topics/science-technology-and-innovation.html/" TargetMode="External"/><Relationship Id="rId17" Type="http://schemas.openxmlformats.org/officeDocument/2006/relationships/hyperlink" Target="https://journals.sagepub.com/doi/10.2190/DUGG-P24E-52WK-6CDG/" TargetMode="External"/><Relationship Id="rId2" Type="http://schemas.openxmlformats.org/officeDocument/2006/relationships/numbering" Target="numbering.xml"/><Relationship Id="rId16" Type="http://schemas.openxmlformats.org/officeDocument/2006/relationships/hyperlink" Target="https://www.simplypsychology.org/emotional-intelligenc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g.media.mit.edu/library/Granovetter1973.pdf/" TargetMode="External"/><Relationship Id="rId5" Type="http://schemas.openxmlformats.org/officeDocument/2006/relationships/webSettings" Target="webSettings.xml"/><Relationship Id="rId15" Type="http://schemas.openxmlformats.org/officeDocument/2006/relationships/hyperlink" Target="https://www.tsw.co.uk/insights/daniel-goleman-emotional-intelligenc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a.org/topics/resilience/building-your-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B05F-BF7B-3348-AF22-875C529DB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13</Pages>
  <Words>3307</Words>
  <Characters>18851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Areeba Khan (2419588)</cp:lastModifiedBy>
  <cp:revision>104</cp:revision>
  <dcterms:created xsi:type="dcterms:W3CDTF">2026-10-07T09:03:00Z</dcterms:created>
  <dcterms:modified xsi:type="dcterms:W3CDTF">2026-10-25T19:31:00Z</dcterms:modified>
</cp:coreProperties>
</file>