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AFAA1" w14:textId="14C0016F" w:rsidR="00256093" w:rsidRDefault="002327F0" w:rsidP="008204BE">
      <w:pPr>
        <w:spacing w:before="120" w:after="120"/>
        <w:jc w:val="center"/>
        <w:rPr>
          <w:b/>
          <w:sz w:val="36"/>
          <w:szCs w:val="28"/>
        </w:rPr>
      </w:pPr>
      <w:r w:rsidRPr="002327F0">
        <w:rPr>
          <w:b/>
          <w:sz w:val="36"/>
          <w:szCs w:val="28"/>
        </w:rPr>
        <w:t>Coursework: Individual Report</w:t>
      </w:r>
    </w:p>
    <w:p w14:paraId="759B8607" w14:textId="77777777" w:rsidR="001F48A0" w:rsidRPr="002327F0" w:rsidRDefault="001F48A0" w:rsidP="008204BE">
      <w:pPr>
        <w:spacing w:before="120" w:after="120"/>
        <w:jc w:val="center"/>
        <w:rPr>
          <w:sz w:val="36"/>
          <w:szCs w:val="28"/>
        </w:rPr>
      </w:pPr>
    </w:p>
    <w:p w14:paraId="7AB2A2CD" w14:textId="25114C5B" w:rsidR="00DB5006" w:rsidRPr="00256093" w:rsidRDefault="00C31CBB" w:rsidP="008204BE">
      <w:pPr>
        <w:spacing w:before="120" w:after="120"/>
        <w:jc w:val="center"/>
        <w:rPr>
          <w:b/>
          <w:sz w:val="40"/>
          <w:szCs w:val="40"/>
        </w:rPr>
      </w:pPr>
      <w:r w:rsidRPr="00256093">
        <w:rPr>
          <w:b/>
          <w:sz w:val="40"/>
          <w:szCs w:val="40"/>
        </w:rPr>
        <w:t>Student Name: Juliana Kotlarova</w:t>
      </w:r>
      <w:r w:rsidRPr="00256093">
        <w:rPr>
          <w:b/>
          <w:sz w:val="40"/>
          <w:szCs w:val="40"/>
        </w:rPr>
        <w:br/>
        <w:t>Student ID</w:t>
      </w:r>
      <w:r w:rsidR="00F36793" w:rsidRPr="00256093">
        <w:rPr>
          <w:b/>
          <w:sz w:val="40"/>
          <w:szCs w:val="40"/>
        </w:rPr>
        <w:t xml:space="preserve">: 2326556 </w:t>
      </w:r>
    </w:p>
    <w:p w14:paraId="321C838A" w14:textId="33A6B14C" w:rsidR="00DB5006" w:rsidRPr="00256093" w:rsidRDefault="00181ADF" w:rsidP="008204BE">
      <w:pPr>
        <w:spacing w:before="120" w:after="120"/>
        <w:jc w:val="center"/>
        <w:rPr>
          <w:b/>
          <w:sz w:val="40"/>
          <w:szCs w:val="40"/>
        </w:rPr>
      </w:pPr>
      <w:r w:rsidRPr="00256093">
        <w:rPr>
          <w:b/>
          <w:sz w:val="40"/>
          <w:szCs w:val="40"/>
        </w:rPr>
        <w:t xml:space="preserve">Module </w:t>
      </w:r>
      <w:r w:rsidR="00AE2319" w:rsidRPr="00256093">
        <w:rPr>
          <w:b/>
          <w:sz w:val="40"/>
          <w:szCs w:val="40"/>
        </w:rPr>
        <w:t>title</w:t>
      </w:r>
      <w:r w:rsidRPr="00256093">
        <w:rPr>
          <w:b/>
          <w:sz w:val="40"/>
          <w:szCs w:val="40"/>
        </w:rPr>
        <w:t xml:space="preserve">: </w:t>
      </w:r>
      <w:r w:rsidR="00DB5006" w:rsidRPr="00256093">
        <w:rPr>
          <w:b/>
          <w:sz w:val="40"/>
          <w:szCs w:val="40"/>
        </w:rPr>
        <w:t>LCBB5015</w:t>
      </w:r>
    </w:p>
    <w:p w14:paraId="420CD795" w14:textId="71AA6232" w:rsidR="00DB5006" w:rsidRPr="00256093" w:rsidRDefault="00181ADF" w:rsidP="00AE2319">
      <w:pPr>
        <w:spacing w:before="120" w:after="120"/>
        <w:jc w:val="center"/>
        <w:rPr>
          <w:b/>
          <w:sz w:val="40"/>
          <w:szCs w:val="40"/>
        </w:rPr>
      </w:pPr>
      <w:r w:rsidRPr="00256093">
        <w:rPr>
          <w:b/>
          <w:sz w:val="40"/>
          <w:szCs w:val="40"/>
        </w:rPr>
        <w:t xml:space="preserve">Module </w:t>
      </w:r>
      <w:r w:rsidR="00AE2319" w:rsidRPr="00256093">
        <w:rPr>
          <w:b/>
          <w:sz w:val="40"/>
          <w:szCs w:val="40"/>
        </w:rPr>
        <w:t>name</w:t>
      </w:r>
      <w:r w:rsidRPr="00256093">
        <w:rPr>
          <w:b/>
          <w:sz w:val="40"/>
          <w:szCs w:val="40"/>
        </w:rPr>
        <w:t xml:space="preserve">: </w:t>
      </w:r>
      <w:r w:rsidR="00DB5006" w:rsidRPr="00256093">
        <w:rPr>
          <w:b/>
          <w:sz w:val="40"/>
          <w:szCs w:val="40"/>
        </w:rPr>
        <w:t xml:space="preserve">Principles of Marketing  </w:t>
      </w:r>
    </w:p>
    <w:p w14:paraId="01B74E97" w14:textId="19F97351" w:rsidR="00DB5006" w:rsidRPr="00256093" w:rsidRDefault="00DB5006" w:rsidP="008204BE">
      <w:pPr>
        <w:spacing w:before="120" w:after="120"/>
        <w:jc w:val="center"/>
        <w:rPr>
          <w:b/>
          <w:sz w:val="40"/>
          <w:szCs w:val="40"/>
        </w:rPr>
      </w:pPr>
      <w:r w:rsidRPr="00256093">
        <w:rPr>
          <w:b/>
          <w:sz w:val="40"/>
          <w:szCs w:val="40"/>
        </w:rPr>
        <w:t>Chosen company: Asda</w:t>
      </w:r>
    </w:p>
    <w:p w14:paraId="704EBA10" w14:textId="77777777" w:rsidR="00DB5006" w:rsidRPr="00ED48C6" w:rsidRDefault="00DB5006" w:rsidP="008204BE">
      <w:pPr>
        <w:spacing w:before="120" w:after="120"/>
        <w:jc w:val="center"/>
        <w:rPr>
          <w:b/>
          <w:sz w:val="36"/>
          <w:szCs w:val="36"/>
        </w:rPr>
      </w:pPr>
    </w:p>
    <w:p w14:paraId="1744F566" w14:textId="77777777" w:rsidR="00DB5006" w:rsidRPr="00ED48C6" w:rsidRDefault="00DB5006" w:rsidP="008204BE">
      <w:pPr>
        <w:spacing w:before="120" w:after="120"/>
        <w:jc w:val="center"/>
        <w:rPr>
          <w:b/>
          <w:sz w:val="36"/>
          <w:szCs w:val="36"/>
        </w:rPr>
      </w:pPr>
    </w:p>
    <w:p w14:paraId="14E71A03" w14:textId="63F6E6C6" w:rsidR="00DB5006" w:rsidRPr="00ED48C6" w:rsidRDefault="00AE2319" w:rsidP="008204BE">
      <w:pPr>
        <w:spacing w:before="120" w:after="120"/>
        <w:jc w:val="center"/>
        <w:rPr>
          <w:b/>
          <w:szCs w:val="24"/>
        </w:rPr>
      </w:pPr>
      <w:r>
        <w:rPr>
          <w:b/>
          <w:szCs w:val="24"/>
        </w:rPr>
        <w:t xml:space="preserve"> </w:t>
      </w:r>
    </w:p>
    <w:p w14:paraId="00DDA2E9" w14:textId="77777777" w:rsidR="00DB5006" w:rsidRPr="00ED48C6" w:rsidRDefault="00DB5006" w:rsidP="008204BE">
      <w:pPr>
        <w:spacing w:before="120" w:after="120"/>
        <w:rPr>
          <w:b/>
          <w:szCs w:val="24"/>
        </w:rPr>
      </w:pPr>
      <w:r w:rsidRPr="00ED48C6">
        <w:rPr>
          <w:b/>
          <w:szCs w:val="24"/>
        </w:rPr>
        <w:br w:type="page"/>
      </w:r>
    </w:p>
    <w:p w14:paraId="1BF124BF" w14:textId="77777777" w:rsidR="007664C4" w:rsidRPr="005164C4" w:rsidRDefault="00EE0DE1" w:rsidP="008204BE">
      <w:pPr>
        <w:spacing w:before="120" w:after="120"/>
        <w:jc w:val="left"/>
        <w:rPr>
          <w:b/>
          <w:bCs/>
        </w:rPr>
      </w:pPr>
      <w:r>
        <w:rPr>
          <w:b/>
          <w:bCs/>
        </w:rPr>
        <w:lastRenderedPageBreak/>
        <w:t>Executive Summary</w:t>
      </w:r>
    </w:p>
    <w:p w14:paraId="0D1B8656" w14:textId="77777777" w:rsidR="00BF1AAC" w:rsidRDefault="00EE0DE1" w:rsidP="008204BE">
      <w:pPr>
        <w:spacing w:before="120" w:after="120"/>
      </w:pPr>
      <w:r>
        <w:t>From the situational analysis, using the PESTLE analysis framework, it was found that Asda is operating in a</w:t>
      </w:r>
      <w:r w:rsidR="007664C4">
        <w:t>n</w:t>
      </w:r>
      <w:r>
        <w:t xml:space="preserve"> increasingly volatile and competitive retail environment. </w:t>
      </w:r>
      <w:r w:rsidR="007664C4">
        <w:t xml:space="preserve">The business environment of the company is </w:t>
      </w:r>
      <w:r w:rsidR="005661CA">
        <w:t>highly influenced by the demand for regulations, technological distribution across the sector, continuously changing customer expec</w:t>
      </w:r>
      <w:r w:rsidR="00640132">
        <w:t>ta</w:t>
      </w:r>
      <w:r w:rsidR="005661CA">
        <w:t xml:space="preserve">tions, </w:t>
      </w:r>
      <w:r w:rsidR="00F71EDD">
        <w:t xml:space="preserve">and economic pressure. </w:t>
      </w:r>
      <w:r w:rsidR="00161EAA">
        <w:t xml:space="preserve">Asda’s cost leadership strategy limits its investment and profitability despite maintaining its market share. </w:t>
      </w:r>
      <w:r w:rsidR="0040501F">
        <w:t>Thus, the company should aim to stabilise platform-based pricing and value creation, ethical sourcing and sustainability, and digital infrastructure</w:t>
      </w:r>
      <w:r w:rsidR="00BE243F">
        <w:t xml:space="preserve"> </w:t>
      </w:r>
      <w:proofErr w:type="gramStart"/>
      <w:r w:rsidR="00BE243F">
        <w:t>in order to</w:t>
      </w:r>
      <w:proofErr w:type="gramEnd"/>
      <w:r w:rsidR="00BE243F">
        <w:t xml:space="preserve"> gain success in the lon</w:t>
      </w:r>
      <w:r w:rsidR="00E34EB7">
        <w:t>g</w:t>
      </w:r>
      <w:r w:rsidR="00BE243F">
        <w:t xml:space="preserve"> term. </w:t>
      </w:r>
      <w:r w:rsidR="002A3916">
        <w:t xml:space="preserve">Situational analysis is a significant method in the context of strategic planning as it helps organisations to mitigate threats from external environmental factors, along with aligning internal capabilities </w:t>
      </w:r>
      <w:r w:rsidR="000C1AAE">
        <w:t xml:space="preserve">with the dynamic conditions of the operating market and making decision-making more resilient. </w:t>
      </w:r>
      <w:r w:rsidR="00FD2291">
        <w:t xml:space="preserve">This enables the organisation to gain a sustainable competitive advantage. </w:t>
      </w:r>
    </w:p>
    <w:p w14:paraId="73FD47A3" w14:textId="77777777" w:rsidR="006D6F76" w:rsidRDefault="00EE0DE1" w:rsidP="008204BE">
      <w:pPr>
        <w:spacing w:before="120" w:after="120"/>
        <w:jc w:val="left"/>
        <w:rPr>
          <w:b/>
          <w:bCs/>
        </w:rPr>
      </w:pPr>
      <w:r>
        <w:rPr>
          <w:b/>
          <w:bCs/>
        </w:rPr>
        <w:br w:type="page"/>
      </w:r>
    </w:p>
    <w:sdt>
      <w:sdtPr>
        <w:rPr>
          <w:rFonts w:ascii="Times New Roman" w:eastAsia="Times New Roman" w:hAnsi="Times New Roman" w:cs="Times New Roman"/>
          <w:color w:val="auto"/>
          <w:sz w:val="24"/>
          <w:szCs w:val="20"/>
          <w:lang w:val="en-GB" w:eastAsia="en-GB"/>
        </w:rPr>
        <w:id w:val="-124315325"/>
        <w:docPartObj>
          <w:docPartGallery w:val="Table of Contents"/>
          <w:docPartUnique/>
        </w:docPartObj>
      </w:sdtPr>
      <w:sdtEndPr>
        <w:rPr>
          <w:b/>
          <w:bCs/>
          <w:noProof/>
        </w:rPr>
      </w:sdtEndPr>
      <w:sdtContent>
        <w:p w14:paraId="56B23379" w14:textId="77777777" w:rsidR="003E3ABA" w:rsidRPr="004F7BAA" w:rsidRDefault="00EE0DE1" w:rsidP="008204BE">
          <w:pPr>
            <w:pStyle w:val="TOCHeading"/>
            <w:spacing w:before="120" w:after="120" w:line="360" w:lineRule="auto"/>
            <w:jc w:val="center"/>
            <w:rPr>
              <w:rFonts w:ascii="Times New Roman" w:hAnsi="Times New Roman" w:cs="Times New Roman"/>
              <w:b/>
              <w:bCs/>
              <w:color w:val="auto"/>
              <w:sz w:val="24"/>
              <w:szCs w:val="24"/>
            </w:rPr>
          </w:pPr>
          <w:r w:rsidRPr="004F7BAA">
            <w:rPr>
              <w:rFonts w:ascii="Times New Roman" w:hAnsi="Times New Roman" w:cs="Times New Roman"/>
              <w:b/>
              <w:bCs/>
              <w:color w:val="auto"/>
              <w:sz w:val="24"/>
              <w:szCs w:val="24"/>
            </w:rPr>
            <w:t>Table of Contents</w:t>
          </w:r>
        </w:p>
        <w:p w14:paraId="5D9EADB6" w14:textId="62841029" w:rsidR="008204BE" w:rsidRDefault="00EE0DE1">
          <w:pPr>
            <w:pStyle w:val="TOC1"/>
            <w:tabs>
              <w:tab w:val="right" w:leader="dot" w:pos="9016"/>
            </w:tabs>
            <w:rPr>
              <w:rFonts w:asciiTheme="minorHAnsi" w:eastAsiaTheme="minorEastAsia" w:hAnsiTheme="minorHAnsi" w:cstheme="minorBidi"/>
              <w:noProof/>
              <w:kern w:val="2"/>
              <w:szCs w:val="24"/>
              <w14:ligatures w14:val="standardContextual"/>
            </w:rPr>
          </w:pPr>
          <w:r w:rsidRPr="004F7BAA">
            <w:rPr>
              <w:szCs w:val="24"/>
            </w:rPr>
            <w:fldChar w:fldCharType="begin"/>
          </w:r>
          <w:r w:rsidRPr="004F7BAA">
            <w:rPr>
              <w:szCs w:val="24"/>
            </w:rPr>
            <w:instrText xml:space="preserve"> TOC \o "1-3" \h \z \u </w:instrText>
          </w:r>
          <w:r w:rsidRPr="004F7BAA">
            <w:rPr>
              <w:szCs w:val="24"/>
            </w:rPr>
            <w:fldChar w:fldCharType="separate"/>
          </w:r>
          <w:hyperlink w:anchor="_Toc220167235" w:history="1">
            <w:r w:rsidR="008204BE" w:rsidRPr="00C97242">
              <w:rPr>
                <w:rStyle w:val="Hyperlink"/>
                <w:rFonts w:eastAsiaTheme="majorEastAsia"/>
                <w:noProof/>
              </w:rPr>
              <w:t>Introduction</w:t>
            </w:r>
            <w:r w:rsidR="008204BE">
              <w:rPr>
                <w:noProof/>
                <w:webHidden/>
              </w:rPr>
              <w:tab/>
            </w:r>
            <w:r w:rsidR="008204BE">
              <w:rPr>
                <w:noProof/>
                <w:webHidden/>
              </w:rPr>
              <w:fldChar w:fldCharType="begin"/>
            </w:r>
            <w:r w:rsidR="008204BE">
              <w:rPr>
                <w:noProof/>
                <w:webHidden/>
              </w:rPr>
              <w:instrText xml:space="preserve"> PAGEREF _Toc220167235 \h </w:instrText>
            </w:r>
            <w:r w:rsidR="008204BE">
              <w:rPr>
                <w:noProof/>
                <w:webHidden/>
              </w:rPr>
            </w:r>
            <w:r w:rsidR="008204BE">
              <w:rPr>
                <w:noProof/>
                <w:webHidden/>
              </w:rPr>
              <w:fldChar w:fldCharType="separate"/>
            </w:r>
            <w:r w:rsidR="008204BE">
              <w:rPr>
                <w:noProof/>
                <w:webHidden/>
              </w:rPr>
              <w:t>4</w:t>
            </w:r>
            <w:r w:rsidR="008204BE">
              <w:rPr>
                <w:noProof/>
                <w:webHidden/>
              </w:rPr>
              <w:fldChar w:fldCharType="end"/>
            </w:r>
          </w:hyperlink>
        </w:p>
        <w:p w14:paraId="2B7AFF7A" w14:textId="0ECA96E0" w:rsidR="008204BE" w:rsidRDefault="008204BE">
          <w:pPr>
            <w:pStyle w:val="TOC1"/>
            <w:tabs>
              <w:tab w:val="right" w:leader="dot" w:pos="9016"/>
            </w:tabs>
            <w:rPr>
              <w:rFonts w:asciiTheme="minorHAnsi" w:eastAsiaTheme="minorEastAsia" w:hAnsiTheme="minorHAnsi" w:cstheme="minorBidi"/>
              <w:noProof/>
              <w:kern w:val="2"/>
              <w:szCs w:val="24"/>
              <w14:ligatures w14:val="standardContextual"/>
            </w:rPr>
          </w:pPr>
          <w:hyperlink w:anchor="_Toc220167236" w:history="1">
            <w:r w:rsidRPr="00C97242">
              <w:rPr>
                <w:rStyle w:val="Hyperlink"/>
                <w:rFonts w:eastAsiaTheme="majorEastAsia"/>
                <w:noProof/>
              </w:rPr>
              <w:t>Situational Analysis</w:t>
            </w:r>
            <w:r>
              <w:rPr>
                <w:noProof/>
                <w:webHidden/>
              </w:rPr>
              <w:tab/>
            </w:r>
            <w:r>
              <w:rPr>
                <w:noProof/>
                <w:webHidden/>
              </w:rPr>
              <w:fldChar w:fldCharType="begin"/>
            </w:r>
            <w:r>
              <w:rPr>
                <w:noProof/>
                <w:webHidden/>
              </w:rPr>
              <w:instrText xml:space="preserve"> PAGEREF _Toc220167236 \h </w:instrText>
            </w:r>
            <w:r>
              <w:rPr>
                <w:noProof/>
                <w:webHidden/>
              </w:rPr>
            </w:r>
            <w:r>
              <w:rPr>
                <w:noProof/>
                <w:webHidden/>
              </w:rPr>
              <w:fldChar w:fldCharType="separate"/>
            </w:r>
            <w:r>
              <w:rPr>
                <w:noProof/>
                <w:webHidden/>
              </w:rPr>
              <w:t>5</w:t>
            </w:r>
            <w:r>
              <w:rPr>
                <w:noProof/>
                <w:webHidden/>
              </w:rPr>
              <w:fldChar w:fldCharType="end"/>
            </w:r>
          </w:hyperlink>
        </w:p>
        <w:p w14:paraId="28A7B56D" w14:textId="6FD982C3" w:rsidR="008204BE" w:rsidRDefault="008204BE">
          <w:pPr>
            <w:pStyle w:val="TOC1"/>
            <w:tabs>
              <w:tab w:val="right" w:leader="dot" w:pos="9016"/>
            </w:tabs>
            <w:rPr>
              <w:rFonts w:asciiTheme="minorHAnsi" w:eastAsiaTheme="minorEastAsia" w:hAnsiTheme="minorHAnsi" w:cstheme="minorBidi"/>
              <w:noProof/>
              <w:kern w:val="2"/>
              <w:szCs w:val="24"/>
              <w14:ligatures w14:val="standardContextual"/>
            </w:rPr>
          </w:pPr>
          <w:hyperlink w:anchor="_Toc220167237" w:history="1">
            <w:r w:rsidRPr="00C97242">
              <w:rPr>
                <w:rStyle w:val="Hyperlink"/>
                <w:rFonts w:eastAsiaTheme="majorEastAsia"/>
                <w:noProof/>
              </w:rPr>
              <w:t>Critical Analysis and Evaluation</w:t>
            </w:r>
            <w:r>
              <w:rPr>
                <w:noProof/>
                <w:webHidden/>
              </w:rPr>
              <w:tab/>
            </w:r>
            <w:r>
              <w:rPr>
                <w:noProof/>
                <w:webHidden/>
              </w:rPr>
              <w:fldChar w:fldCharType="begin"/>
            </w:r>
            <w:r>
              <w:rPr>
                <w:noProof/>
                <w:webHidden/>
              </w:rPr>
              <w:instrText xml:space="preserve"> PAGEREF _Toc220167237 \h </w:instrText>
            </w:r>
            <w:r>
              <w:rPr>
                <w:noProof/>
                <w:webHidden/>
              </w:rPr>
            </w:r>
            <w:r>
              <w:rPr>
                <w:noProof/>
                <w:webHidden/>
              </w:rPr>
              <w:fldChar w:fldCharType="separate"/>
            </w:r>
            <w:r>
              <w:rPr>
                <w:noProof/>
                <w:webHidden/>
              </w:rPr>
              <w:t>8</w:t>
            </w:r>
            <w:r>
              <w:rPr>
                <w:noProof/>
                <w:webHidden/>
              </w:rPr>
              <w:fldChar w:fldCharType="end"/>
            </w:r>
          </w:hyperlink>
        </w:p>
        <w:p w14:paraId="44E7E2BA" w14:textId="21DE8748" w:rsidR="008204BE" w:rsidRDefault="008204BE">
          <w:pPr>
            <w:pStyle w:val="TOC1"/>
            <w:tabs>
              <w:tab w:val="right" w:leader="dot" w:pos="9016"/>
            </w:tabs>
            <w:rPr>
              <w:rFonts w:asciiTheme="minorHAnsi" w:eastAsiaTheme="minorEastAsia" w:hAnsiTheme="minorHAnsi" w:cstheme="minorBidi"/>
              <w:noProof/>
              <w:kern w:val="2"/>
              <w:szCs w:val="24"/>
              <w14:ligatures w14:val="standardContextual"/>
            </w:rPr>
          </w:pPr>
          <w:hyperlink w:anchor="_Toc220167238" w:history="1">
            <w:r w:rsidRPr="00C97242">
              <w:rPr>
                <w:rStyle w:val="Hyperlink"/>
                <w:rFonts w:eastAsiaTheme="majorEastAsia"/>
                <w:noProof/>
              </w:rPr>
              <w:t>Conclusion</w:t>
            </w:r>
            <w:r>
              <w:rPr>
                <w:noProof/>
                <w:webHidden/>
              </w:rPr>
              <w:tab/>
            </w:r>
            <w:r>
              <w:rPr>
                <w:noProof/>
                <w:webHidden/>
              </w:rPr>
              <w:fldChar w:fldCharType="begin"/>
            </w:r>
            <w:r>
              <w:rPr>
                <w:noProof/>
                <w:webHidden/>
              </w:rPr>
              <w:instrText xml:space="preserve"> PAGEREF _Toc220167238 \h </w:instrText>
            </w:r>
            <w:r>
              <w:rPr>
                <w:noProof/>
                <w:webHidden/>
              </w:rPr>
            </w:r>
            <w:r>
              <w:rPr>
                <w:noProof/>
                <w:webHidden/>
              </w:rPr>
              <w:fldChar w:fldCharType="separate"/>
            </w:r>
            <w:r>
              <w:rPr>
                <w:noProof/>
                <w:webHidden/>
              </w:rPr>
              <w:t>9</w:t>
            </w:r>
            <w:r>
              <w:rPr>
                <w:noProof/>
                <w:webHidden/>
              </w:rPr>
              <w:fldChar w:fldCharType="end"/>
            </w:r>
          </w:hyperlink>
        </w:p>
        <w:p w14:paraId="0EF1C207" w14:textId="0B1CCF54" w:rsidR="008204BE" w:rsidRDefault="008204BE">
          <w:pPr>
            <w:pStyle w:val="TOC1"/>
            <w:tabs>
              <w:tab w:val="right" w:leader="dot" w:pos="9016"/>
            </w:tabs>
            <w:rPr>
              <w:rFonts w:asciiTheme="minorHAnsi" w:eastAsiaTheme="minorEastAsia" w:hAnsiTheme="minorHAnsi" w:cstheme="minorBidi"/>
              <w:noProof/>
              <w:kern w:val="2"/>
              <w:szCs w:val="24"/>
              <w14:ligatures w14:val="standardContextual"/>
            </w:rPr>
          </w:pPr>
          <w:hyperlink w:anchor="_Toc220167239" w:history="1">
            <w:r w:rsidRPr="00C97242">
              <w:rPr>
                <w:rStyle w:val="Hyperlink"/>
                <w:rFonts w:eastAsiaTheme="majorEastAsia"/>
                <w:noProof/>
              </w:rPr>
              <w:t>Reference List</w:t>
            </w:r>
            <w:r>
              <w:rPr>
                <w:noProof/>
                <w:webHidden/>
              </w:rPr>
              <w:tab/>
            </w:r>
            <w:r>
              <w:rPr>
                <w:noProof/>
                <w:webHidden/>
              </w:rPr>
              <w:fldChar w:fldCharType="begin"/>
            </w:r>
            <w:r>
              <w:rPr>
                <w:noProof/>
                <w:webHidden/>
              </w:rPr>
              <w:instrText xml:space="preserve"> PAGEREF _Toc220167239 \h </w:instrText>
            </w:r>
            <w:r>
              <w:rPr>
                <w:noProof/>
                <w:webHidden/>
              </w:rPr>
            </w:r>
            <w:r>
              <w:rPr>
                <w:noProof/>
                <w:webHidden/>
              </w:rPr>
              <w:fldChar w:fldCharType="separate"/>
            </w:r>
            <w:r>
              <w:rPr>
                <w:noProof/>
                <w:webHidden/>
              </w:rPr>
              <w:t>10</w:t>
            </w:r>
            <w:r>
              <w:rPr>
                <w:noProof/>
                <w:webHidden/>
              </w:rPr>
              <w:fldChar w:fldCharType="end"/>
            </w:r>
          </w:hyperlink>
        </w:p>
        <w:p w14:paraId="11B53369" w14:textId="6BAD52D1" w:rsidR="003E3ABA" w:rsidRDefault="00EE0DE1" w:rsidP="008204BE">
          <w:pPr>
            <w:spacing w:before="120" w:after="120"/>
          </w:pPr>
          <w:r w:rsidRPr="004F7BAA">
            <w:rPr>
              <w:b/>
              <w:bCs/>
              <w:noProof/>
              <w:szCs w:val="24"/>
            </w:rPr>
            <w:fldChar w:fldCharType="end"/>
          </w:r>
        </w:p>
      </w:sdtContent>
    </w:sdt>
    <w:p w14:paraId="6F81FE69" w14:textId="77777777" w:rsidR="00A46879" w:rsidRDefault="00EE0DE1" w:rsidP="008204BE">
      <w:pPr>
        <w:spacing w:before="120" w:after="120"/>
        <w:jc w:val="left"/>
        <w:rPr>
          <w:rFonts w:eastAsiaTheme="majorEastAsia" w:cstheme="majorBidi"/>
          <w:b/>
          <w:szCs w:val="32"/>
          <w:lang w:val="en-IN"/>
        </w:rPr>
      </w:pPr>
      <w:r>
        <w:br w:type="page"/>
      </w:r>
    </w:p>
    <w:p w14:paraId="6909F5FB" w14:textId="77777777" w:rsidR="002E4C77" w:rsidRPr="00B34CD1" w:rsidRDefault="00EE0DE1" w:rsidP="008204BE">
      <w:pPr>
        <w:pStyle w:val="Heading1"/>
        <w:spacing w:before="120" w:after="120"/>
      </w:pPr>
      <w:bookmarkStart w:id="0" w:name="_Toc220167235"/>
      <w:r w:rsidRPr="00B34CD1">
        <w:lastRenderedPageBreak/>
        <w:t>Introduction</w:t>
      </w:r>
      <w:bookmarkEnd w:id="0"/>
      <w:r w:rsidRPr="00B34CD1">
        <w:t xml:space="preserve"> </w:t>
      </w:r>
    </w:p>
    <w:p w14:paraId="3E2E977E" w14:textId="77777777" w:rsidR="002E4C77" w:rsidRDefault="00EE0DE1" w:rsidP="008204BE">
      <w:pPr>
        <w:spacing w:before="120" w:after="120"/>
      </w:pPr>
      <w:r w:rsidRPr="00B34CD1">
        <w:t xml:space="preserve">This report aims to analyse the selected company, Asda, and its present business environment with a view to determining the major internal and external factors that govern its performance and business strategy. </w:t>
      </w:r>
      <w:proofErr w:type="gramStart"/>
      <w:r w:rsidRPr="00B34CD1">
        <w:t>In order to</w:t>
      </w:r>
      <w:proofErr w:type="gramEnd"/>
      <w:r w:rsidRPr="00B34CD1">
        <w:t xml:space="preserve"> accomplish this, the report uses the PESTLE situational analysis model, which </w:t>
      </w:r>
      <w:proofErr w:type="gramStart"/>
      <w:r w:rsidRPr="00B34CD1">
        <w:t>looks into</w:t>
      </w:r>
      <w:proofErr w:type="gramEnd"/>
      <w:r w:rsidRPr="00B34CD1">
        <w:t xml:space="preserve"> Political, Economic, Social, Technological, Legal, and Environmental factors</w:t>
      </w:r>
      <w:r w:rsidR="00A932D8">
        <w:t xml:space="preserve"> (</w:t>
      </w:r>
      <w:proofErr w:type="spellStart"/>
      <w:r w:rsidR="00A932D8" w:rsidRPr="00A932D8">
        <w:t>Ramsudeen</w:t>
      </w:r>
      <w:proofErr w:type="spellEnd"/>
      <w:r w:rsidR="00A932D8">
        <w:t>, 2025)</w:t>
      </w:r>
      <w:r w:rsidRPr="00B34CD1">
        <w:t xml:space="preserve">. Asda is a large supermarket retailer in the UK with operations in the industry of general merchandise and grocery. The company was established in 1949, and they provide diverse products and services, such as food and beverages, clothing and household goods, as well as the George brand, fuel, and online grocery delivery services (Asda, 2026). It is a value-based retailer and competes well on price and targets to meet decent quality, catering to low-end families and shoppers in the UK. </w:t>
      </w:r>
      <w:r w:rsidRPr="00B34CD1">
        <w:t> </w:t>
      </w:r>
      <w:r w:rsidRPr="00B34CD1">
        <w:t xml:space="preserve"> </w:t>
      </w:r>
    </w:p>
    <w:p w14:paraId="1C76998A" w14:textId="77777777" w:rsidR="00354202" w:rsidRDefault="00EE0DE1" w:rsidP="008204BE">
      <w:pPr>
        <w:spacing w:before="120" w:after="120"/>
        <w:jc w:val="left"/>
        <w:rPr>
          <w:rFonts w:eastAsiaTheme="majorEastAsia" w:cstheme="majorBidi"/>
          <w:b/>
          <w:szCs w:val="32"/>
          <w:lang w:val="en-IN"/>
        </w:rPr>
      </w:pPr>
      <w:r>
        <w:br w:type="page"/>
      </w:r>
    </w:p>
    <w:p w14:paraId="0CECF1AB" w14:textId="77777777" w:rsidR="002E4C77" w:rsidRPr="00B34CD1" w:rsidRDefault="00EE0DE1" w:rsidP="008204BE">
      <w:pPr>
        <w:pStyle w:val="Heading1"/>
        <w:spacing w:before="120" w:after="120"/>
      </w:pPr>
      <w:bookmarkStart w:id="1" w:name="_Toc220167236"/>
      <w:r w:rsidRPr="00B34CD1">
        <w:lastRenderedPageBreak/>
        <w:t>Situational Analysis</w:t>
      </w:r>
      <w:bookmarkEnd w:id="1"/>
      <w:r w:rsidRPr="00B34CD1">
        <w:t xml:space="preserve"> </w:t>
      </w:r>
    </w:p>
    <w:p w14:paraId="78FFD8E0" w14:textId="77777777" w:rsidR="002E4C77" w:rsidRDefault="00EE0DE1" w:rsidP="008204BE">
      <w:pPr>
        <w:spacing w:before="120" w:after="120"/>
      </w:pPr>
      <w:proofErr w:type="gramStart"/>
      <w:r w:rsidRPr="00B34CD1">
        <w:t>In order to</w:t>
      </w:r>
      <w:proofErr w:type="gramEnd"/>
      <w:r w:rsidRPr="00B34CD1">
        <w:t xml:space="preserve"> conduct the situational analysis, the PESTLE framework will be used. </w:t>
      </w:r>
    </w:p>
    <w:p w14:paraId="0A300C94" w14:textId="77777777" w:rsidR="002E4C77" w:rsidRPr="00B34CD1" w:rsidRDefault="00EE0DE1" w:rsidP="008204BE">
      <w:pPr>
        <w:spacing w:before="120" w:after="120"/>
        <w:rPr>
          <w:b/>
          <w:bCs/>
        </w:rPr>
      </w:pPr>
      <w:r w:rsidRPr="00B34CD1">
        <w:rPr>
          <w:b/>
          <w:bCs/>
        </w:rPr>
        <w:t xml:space="preserve">Political factors </w:t>
      </w:r>
    </w:p>
    <w:p w14:paraId="705F3F56" w14:textId="77777777" w:rsidR="008629E1" w:rsidRDefault="00EE0DE1" w:rsidP="008204BE">
      <w:pPr>
        <w:spacing w:before="120" w:after="120"/>
      </w:pPr>
      <w:r w:rsidRPr="00B34CD1">
        <w:t>The geopolitical situation of the UK is quite unstable. As per the data of Trading Economics (2026a), the country is experiencing increased political instability as the UK's PSI (Political Stability Index) points reached 0.51 in 2023 after a decline from 0.53 points in 2023. On the other hand, Brexit posed significant challenges in the retail industry as it created uncertainty across the labour market. According to O'Carroll (2023), there was a reduction of 3% EU workers across the retail industry of the UK.</w:t>
      </w:r>
    </w:p>
    <w:p w14:paraId="110DC194" w14:textId="77777777" w:rsidR="002E4C77" w:rsidRDefault="00EE0DE1" w:rsidP="008204BE">
      <w:pPr>
        <w:spacing w:before="120" w:after="120"/>
        <w:jc w:val="center"/>
      </w:pPr>
      <w:r w:rsidRPr="008629E1">
        <w:rPr>
          <w:noProof/>
        </w:rPr>
        <w:drawing>
          <wp:inline distT="0" distB="0" distL="0" distR="0" wp14:anchorId="76A6EBC4" wp14:editId="7CAFC705">
            <wp:extent cx="4244453" cy="2130390"/>
            <wp:effectExtent l="0" t="0" r="3810" b="3810"/>
            <wp:docPr id="1547564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564083" name=""/>
                    <pic:cNvPicPr/>
                  </pic:nvPicPr>
                  <pic:blipFill>
                    <a:blip r:embed="rId8"/>
                    <a:stretch>
                      <a:fillRect/>
                    </a:stretch>
                  </pic:blipFill>
                  <pic:spPr>
                    <a:xfrm>
                      <a:off x="0" y="0"/>
                      <a:ext cx="4265691" cy="2141050"/>
                    </a:xfrm>
                    <a:prstGeom prst="rect">
                      <a:avLst/>
                    </a:prstGeom>
                  </pic:spPr>
                </pic:pic>
              </a:graphicData>
            </a:graphic>
          </wp:inline>
        </w:drawing>
      </w:r>
    </w:p>
    <w:p w14:paraId="57C7FDA4" w14:textId="77777777" w:rsidR="002E4C77" w:rsidRPr="00B34CD1" w:rsidRDefault="00EE0DE1" w:rsidP="008204BE">
      <w:pPr>
        <w:spacing w:before="120" w:after="120"/>
        <w:jc w:val="center"/>
        <w:rPr>
          <w:b/>
          <w:bCs/>
        </w:rPr>
      </w:pPr>
      <w:r w:rsidRPr="00B34CD1">
        <w:rPr>
          <w:b/>
          <w:bCs/>
        </w:rPr>
        <w:t>Figure 1: UK PSI score (2012-2023)</w:t>
      </w:r>
    </w:p>
    <w:p w14:paraId="2E5A633B" w14:textId="77777777" w:rsidR="002E4C77" w:rsidRDefault="00EE0DE1" w:rsidP="008204BE">
      <w:pPr>
        <w:spacing w:before="120" w:after="120"/>
        <w:jc w:val="center"/>
      </w:pPr>
      <w:r w:rsidRPr="00B34CD1">
        <w:t>(Source: Trading Economics, 2026)</w:t>
      </w:r>
    </w:p>
    <w:p w14:paraId="5C9DA26D" w14:textId="77777777" w:rsidR="002E4C77" w:rsidRPr="00B34CD1" w:rsidRDefault="00EE0DE1" w:rsidP="008204BE">
      <w:pPr>
        <w:spacing w:before="120" w:after="120"/>
        <w:rPr>
          <w:b/>
          <w:bCs/>
        </w:rPr>
      </w:pPr>
      <w:r w:rsidRPr="00B34CD1">
        <w:rPr>
          <w:b/>
          <w:bCs/>
        </w:rPr>
        <w:t xml:space="preserve">Economic Factors </w:t>
      </w:r>
    </w:p>
    <w:p w14:paraId="266D2131" w14:textId="77777777" w:rsidR="002E4C77" w:rsidRDefault="00EE0DE1" w:rsidP="008204BE">
      <w:pPr>
        <w:spacing w:before="120" w:after="120"/>
      </w:pPr>
      <w:r w:rsidRPr="00B34CD1">
        <w:t xml:space="preserve">The consumer purchasing power is tight due to the high UK inflation rate (3.4% as of 12 months to December 2025) and an increase in interest rates, and as such, an affordable pricing strategy is crucial (ONS, 2026). Aggressive price reductions on thousands of goods are an indication of Asda trying to be </w:t>
      </w:r>
      <w:proofErr w:type="gramStart"/>
      <w:r w:rsidRPr="00B34CD1">
        <w:t>competitive, yet</w:t>
      </w:r>
      <w:proofErr w:type="gramEnd"/>
      <w:r w:rsidRPr="00B34CD1">
        <w:t xml:space="preserve"> have led to a tightening of the margins and have added to its financial strains, such as increased cost of servicing debt and reduced profitability. The company suffered huge losses, and its sales declined by 3.2%, and it had massive debt, which raised the concern of investors and led to restructuring measures (Share Talk, 2025). </w:t>
      </w:r>
    </w:p>
    <w:p w14:paraId="439F165D" w14:textId="77777777" w:rsidR="00006A6C" w:rsidRDefault="00EE0DE1" w:rsidP="008204BE">
      <w:pPr>
        <w:spacing w:before="120" w:after="120"/>
        <w:jc w:val="center"/>
      </w:pPr>
      <w:r w:rsidRPr="00006A6C">
        <w:rPr>
          <w:noProof/>
        </w:rPr>
        <w:lastRenderedPageBreak/>
        <w:drawing>
          <wp:inline distT="0" distB="0" distL="0" distR="0" wp14:anchorId="7E72FEBA" wp14:editId="1CA325C6">
            <wp:extent cx="4753638" cy="2514951"/>
            <wp:effectExtent l="0" t="0" r="8890" b="0"/>
            <wp:docPr id="813411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11996" name=""/>
                    <pic:cNvPicPr/>
                  </pic:nvPicPr>
                  <pic:blipFill>
                    <a:blip r:embed="rId9"/>
                    <a:stretch>
                      <a:fillRect/>
                    </a:stretch>
                  </pic:blipFill>
                  <pic:spPr>
                    <a:xfrm>
                      <a:off x="0" y="0"/>
                      <a:ext cx="4753638" cy="2514951"/>
                    </a:xfrm>
                    <a:prstGeom prst="rect">
                      <a:avLst/>
                    </a:prstGeom>
                  </pic:spPr>
                </pic:pic>
              </a:graphicData>
            </a:graphic>
          </wp:inline>
        </w:drawing>
      </w:r>
    </w:p>
    <w:p w14:paraId="4929C527" w14:textId="77777777" w:rsidR="002E4C77" w:rsidRPr="00B34CD1" w:rsidRDefault="00EE0DE1" w:rsidP="008204BE">
      <w:pPr>
        <w:spacing w:before="120" w:after="120"/>
        <w:jc w:val="center"/>
        <w:rPr>
          <w:b/>
          <w:bCs/>
        </w:rPr>
      </w:pPr>
      <w:r w:rsidRPr="00B34CD1">
        <w:rPr>
          <w:b/>
          <w:bCs/>
        </w:rPr>
        <w:t xml:space="preserve">Figure 2: UK CPI annual rate </w:t>
      </w:r>
    </w:p>
    <w:p w14:paraId="627D3B10" w14:textId="77777777" w:rsidR="002E4C77" w:rsidRDefault="00EE0DE1" w:rsidP="008204BE">
      <w:pPr>
        <w:spacing w:before="120" w:after="120"/>
        <w:jc w:val="center"/>
      </w:pPr>
      <w:r w:rsidRPr="00B34CD1">
        <w:t xml:space="preserve">(Source: </w:t>
      </w:r>
      <w:r w:rsidR="00081931">
        <w:t>Trading Economics</w:t>
      </w:r>
      <w:r w:rsidRPr="00B34CD1">
        <w:t>, 2026</w:t>
      </w:r>
      <w:r w:rsidR="00081931">
        <w:t>b</w:t>
      </w:r>
      <w:r w:rsidRPr="00B34CD1">
        <w:t xml:space="preserve">) </w:t>
      </w:r>
    </w:p>
    <w:p w14:paraId="794FC31B" w14:textId="77777777" w:rsidR="002E4C77" w:rsidRPr="00B34CD1" w:rsidRDefault="00EE0DE1" w:rsidP="008204BE">
      <w:pPr>
        <w:spacing w:before="120" w:after="120"/>
        <w:rPr>
          <w:b/>
          <w:bCs/>
        </w:rPr>
      </w:pPr>
      <w:r w:rsidRPr="00B34CD1">
        <w:rPr>
          <w:b/>
          <w:bCs/>
        </w:rPr>
        <w:t xml:space="preserve">Social Factors </w:t>
      </w:r>
    </w:p>
    <w:p w14:paraId="03FCCB0A" w14:textId="77777777" w:rsidR="002E4C77" w:rsidRDefault="00EE0DE1" w:rsidP="008204BE">
      <w:pPr>
        <w:spacing w:before="120" w:after="120"/>
      </w:pPr>
      <w:r w:rsidRPr="00B34CD1">
        <w:t xml:space="preserve">Demand can be affected by changes in consumer tastes. The increasing health awareness and the varied cultural food preferences necessitate customised products such as healthy and ethnic products (Food Industry Executive, 2024). There is a rise in online shopping and convenience requirements, which puts pressure on Asda to reinforce its e-commerce and "click and collect" services (Retail Technology Innovation Hub, 2024). Brand perception is affected by ethical expectations (CSR, sustainability): inability to correspond to social norms may disenchant customers. </w:t>
      </w:r>
    </w:p>
    <w:p w14:paraId="1405E539" w14:textId="77777777" w:rsidR="002E4C77" w:rsidRPr="00B34CD1" w:rsidRDefault="00EE0DE1" w:rsidP="008204BE">
      <w:pPr>
        <w:spacing w:before="120" w:after="120"/>
        <w:rPr>
          <w:b/>
          <w:bCs/>
        </w:rPr>
      </w:pPr>
      <w:r w:rsidRPr="00B34CD1">
        <w:rPr>
          <w:b/>
          <w:bCs/>
        </w:rPr>
        <w:t xml:space="preserve">Technological Factors </w:t>
      </w:r>
    </w:p>
    <w:p w14:paraId="41378417" w14:textId="77777777" w:rsidR="002E4C77" w:rsidRDefault="00EE0DE1" w:rsidP="008204BE">
      <w:pPr>
        <w:spacing w:before="120" w:after="120"/>
      </w:pPr>
      <w:r w:rsidRPr="00B34CD1">
        <w:t>To compete with online grocery development, it is necessary to invest in e-commerce and digital services</w:t>
      </w:r>
      <w:r w:rsidR="00BF71AF">
        <w:t xml:space="preserve"> (</w:t>
      </w:r>
      <w:r w:rsidR="00BF71AF" w:rsidRPr="005A1EE5">
        <w:t>Wadud, Liang, and Polkinghorne</w:t>
      </w:r>
      <w:r w:rsidR="00BF71AF">
        <w:t>, 2025)</w:t>
      </w:r>
      <w:r w:rsidRPr="00B34CD1">
        <w:t xml:space="preserve">. Nevertheless, the IT overhaul of Asda - "Project Future" was stalled considerably, which interfered with supply chains and adversely affected sales and customer service stability (Savills, 2025). For effective inventory handling, personalised experiences, and operational efficiency, constant innovation in digital and data analytics is necessary. </w:t>
      </w:r>
    </w:p>
    <w:p w14:paraId="09D32BAB" w14:textId="77777777" w:rsidR="002E4C77" w:rsidRPr="00B34CD1" w:rsidRDefault="00EE0DE1" w:rsidP="008204BE">
      <w:pPr>
        <w:spacing w:before="120" w:after="120"/>
        <w:rPr>
          <w:b/>
          <w:bCs/>
        </w:rPr>
      </w:pPr>
      <w:r w:rsidRPr="00B34CD1">
        <w:rPr>
          <w:b/>
          <w:bCs/>
        </w:rPr>
        <w:t xml:space="preserve">Legal Factors </w:t>
      </w:r>
    </w:p>
    <w:p w14:paraId="053EF346" w14:textId="77777777" w:rsidR="002E4C77" w:rsidRDefault="00EE0DE1" w:rsidP="008204BE">
      <w:pPr>
        <w:spacing w:before="120" w:after="120"/>
      </w:pPr>
      <w:r w:rsidRPr="00B34CD1">
        <w:t xml:space="preserve">Asda must comply with the stringent UK legislation concerning food safety, employment legislation and competition law, besides data protection. </w:t>
      </w:r>
      <w:r>
        <w:t>L</w:t>
      </w:r>
      <w:r w:rsidRPr="00B34CD1">
        <w:t>aw and regulations</w:t>
      </w:r>
      <w:r>
        <w:t xml:space="preserve">, for example, the </w:t>
      </w:r>
      <w:r w:rsidRPr="00B34CD1">
        <w:t xml:space="preserve">Groceries Supply Code of Practise (GSCOP), anti-bribery laws, data protection laws, and so </w:t>
      </w:r>
      <w:r w:rsidRPr="00B34CD1">
        <w:lastRenderedPageBreak/>
        <w:t xml:space="preserve">on, add to the overall cost and complexity of operations. (Asda, 2025). The strategic plans, such as partnership or acquisition, are subject to scrutiny by competition watchdogs. Alterations in employment regulations, such as the flexibility in work, determine additional influence on the workforce management and expenses. </w:t>
      </w:r>
    </w:p>
    <w:p w14:paraId="5B078817" w14:textId="77777777" w:rsidR="002E4C77" w:rsidRPr="00B34CD1" w:rsidRDefault="00EE0DE1" w:rsidP="008204BE">
      <w:pPr>
        <w:spacing w:before="120" w:after="120"/>
        <w:rPr>
          <w:b/>
          <w:bCs/>
        </w:rPr>
      </w:pPr>
      <w:r w:rsidRPr="00B34CD1">
        <w:rPr>
          <w:b/>
          <w:bCs/>
        </w:rPr>
        <w:t xml:space="preserve">Environmental Factors </w:t>
      </w:r>
    </w:p>
    <w:p w14:paraId="4AFCB505" w14:textId="77777777" w:rsidR="002E4C77" w:rsidRDefault="00EE0DE1" w:rsidP="008204BE">
      <w:pPr>
        <w:spacing w:before="120" w:after="120"/>
      </w:pPr>
      <w:r w:rsidRPr="00B34CD1">
        <w:t xml:space="preserve">Consumer and regulatory pressures to reduce carbon emissions, minimisation of waste, and sustainable packaging motivate Asda (Asda, 2024). The measures, such as a net-zero target and the elimination of single-use plastics, will involve the allocation of funds, yet they will support the image of an ethical brand in the eyes of customers who are responsible. </w:t>
      </w:r>
    </w:p>
    <w:p w14:paraId="5BB95269" w14:textId="77777777" w:rsidR="002E4C77" w:rsidRPr="00B34CD1" w:rsidRDefault="00EE0DE1" w:rsidP="008204BE">
      <w:pPr>
        <w:spacing w:before="120" w:after="120"/>
        <w:rPr>
          <w:b/>
          <w:bCs/>
        </w:rPr>
      </w:pPr>
      <w:r w:rsidRPr="00B34CD1">
        <w:rPr>
          <w:b/>
          <w:bCs/>
        </w:rPr>
        <w:t xml:space="preserve">Internal business impacts due to external forces </w:t>
      </w:r>
    </w:p>
    <w:p w14:paraId="6F9B7EED" w14:textId="77777777" w:rsidR="002E4C77" w:rsidRDefault="00EE0DE1" w:rsidP="008204BE">
      <w:pPr>
        <w:spacing w:before="120" w:after="120"/>
      </w:pPr>
      <w:r w:rsidRPr="00B34CD1">
        <w:t>Although PESTLE is a situation that examines external forces, the elements are intertwined with company internal issues, such as operational resilience, the ability to execute a competitive price strategy and financial health amid debt pressures</w:t>
      </w:r>
      <w:r w:rsidR="00427D13">
        <w:t xml:space="preserve"> (</w:t>
      </w:r>
      <w:proofErr w:type="spellStart"/>
      <w:r w:rsidR="00427D13" w:rsidRPr="009B6C47">
        <w:t>Çitilci</w:t>
      </w:r>
      <w:proofErr w:type="spellEnd"/>
      <w:r w:rsidR="00427D13" w:rsidRPr="009B6C47">
        <w:t xml:space="preserve"> and </w:t>
      </w:r>
      <w:proofErr w:type="spellStart"/>
      <w:r w:rsidR="00427D13" w:rsidRPr="009B6C47">
        <w:t>Akbalık</w:t>
      </w:r>
      <w:proofErr w:type="spellEnd"/>
      <w:r w:rsidR="00427D13">
        <w:t>, 2019)</w:t>
      </w:r>
      <w:r w:rsidRPr="00B34CD1">
        <w:t xml:space="preserve">. The Macro conditions will affect Asda's competitiveness and stabilisation of market share as it responds internally. This PESTLE analysis has shown the complex environment under which Asda operates, where economic pressures, regulatory requirements and changing expectations of consumers interact with internal capabilities </w:t>
      </w:r>
      <w:proofErr w:type="gramStart"/>
      <w:r w:rsidRPr="00B34CD1">
        <w:t>in order to</w:t>
      </w:r>
      <w:proofErr w:type="gramEnd"/>
      <w:r w:rsidRPr="00B34CD1">
        <w:t xml:space="preserve"> influence the strategic outcomes. </w:t>
      </w:r>
      <w:r w:rsidRPr="00B34CD1">
        <w:t> </w:t>
      </w:r>
      <w:r w:rsidRPr="00B34CD1">
        <w:t xml:space="preserve"> </w:t>
      </w:r>
    </w:p>
    <w:p w14:paraId="3B6142CF" w14:textId="77777777" w:rsidR="00AC2618" w:rsidRDefault="00EE0DE1" w:rsidP="008204BE">
      <w:pPr>
        <w:spacing w:before="120" w:after="120"/>
        <w:jc w:val="left"/>
        <w:rPr>
          <w:rFonts w:eastAsiaTheme="majorEastAsia" w:cstheme="majorBidi"/>
          <w:b/>
          <w:szCs w:val="32"/>
          <w:lang w:val="en-IN"/>
        </w:rPr>
      </w:pPr>
      <w:r>
        <w:br w:type="page"/>
      </w:r>
    </w:p>
    <w:p w14:paraId="1D4CCAA8" w14:textId="77777777" w:rsidR="002E4C77" w:rsidRPr="00B34CD1" w:rsidRDefault="00EE0DE1" w:rsidP="008204BE">
      <w:pPr>
        <w:pStyle w:val="Heading1"/>
        <w:spacing w:before="120" w:after="120"/>
      </w:pPr>
      <w:bookmarkStart w:id="2" w:name="_Toc220167237"/>
      <w:r w:rsidRPr="00B34CD1">
        <w:lastRenderedPageBreak/>
        <w:t>Critical Analysis and Evaluation</w:t>
      </w:r>
      <w:bookmarkEnd w:id="2"/>
      <w:r w:rsidRPr="00B34CD1">
        <w:t xml:space="preserve"> </w:t>
      </w:r>
    </w:p>
    <w:p w14:paraId="26073F23" w14:textId="77777777" w:rsidR="002E4C77" w:rsidRDefault="00EE0DE1" w:rsidP="008204BE">
      <w:pPr>
        <w:spacing w:before="120" w:after="120"/>
      </w:pPr>
      <w:r w:rsidRPr="00B34CD1">
        <w:t xml:space="preserve">As the PESTEL analysis shows, the strategic decision-making process at Asda is greatly influenced by the external pressure, especially the pressure of the economic, technological, and regulatory factors. According to PESTLE and contingency theory, Asda is not allowed to follow a strict competitive </w:t>
      </w:r>
      <w:proofErr w:type="gramStart"/>
      <w:r w:rsidRPr="00B34CD1">
        <w:t>model, but</w:t>
      </w:r>
      <w:proofErr w:type="gramEnd"/>
      <w:r w:rsidRPr="00B34CD1">
        <w:t xml:space="preserve"> rather keep on changing its approach to suit a dynamic environment</w:t>
      </w:r>
      <w:r w:rsidR="00FB3ED0">
        <w:t xml:space="preserve"> </w:t>
      </w:r>
      <w:r w:rsidR="00FB3ED0" w:rsidRPr="006A792C">
        <w:t>(</w:t>
      </w:r>
      <w:proofErr w:type="spellStart"/>
      <w:r w:rsidR="00FB3ED0" w:rsidRPr="006A792C">
        <w:t>Omazić</w:t>
      </w:r>
      <w:proofErr w:type="spellEnd"/>
      <w:r w:rsidR="00C46413">
        <w:t>,</w:t>
      </w:r>
      <w:r w:rsidR="00FB3ED0" w:rsidRPr="006A792C">
        <w:t xml:space="preserve"> </w:t>
      </w:r>
      <w:proofErr w:type="spellStart"/>
      <w:r w:rsidR="00FB3ED0" w:rsidRPr="006A792C">
        <w:t>Labaš</w:t>
      </w:r>
      <w:proofErr w:type="spellEnd"/>
      <w:r w:rsidR="00FB3ED0" w:rsidRPr="006A792C">
        <w:t xml:space="preserve">, and </w:t>
      </w:r>
      <w:proofErr w:type="spellStart"/>
      <w:r w:rsidR="00FB3ED0" w:rsidRPr="006A792C">
        <w:t>Uroić</w:t>
      </w:r>
      <w:proofErr w:type="spellEnd"/>
      <w:r w:rsidR="00FB3ED0" w:rsidRPr="006A792C">
        <w:t>,</w:t>
      </w:r>
      <w:r w:rsidR="00FB3ED0">
        <w:t xml:space="preserve"> 2023; </w:t>
      </w:r>
      <w:r w:rsidR="00454C00" w:rsidRPr="00454C00">
        <w:t xml:space="preserve">Shala, </w:t>
      </w:r>
      <w:proofErr w:type="spellStart"/>
      <w:r w:rsidR="00454C00" w:rsidRPr="00454C00">
        <w:t>Prebreza</w:t>
      </w:r>
      <w:proofErr w:type="spellEnd"/>
      <w:r w:rsidR="00454C00" w:rsidRPr="00454C00">
        <w:t>, and Ramosaj,</w:t>
      </w:r>
      <w:r w:rsidR="00454C00">
        <w:t xml:space="preserve"> 2021</w:t>
      </w:r>
      <w:r w:rsidR="00FB3ED0">
        <w:t>)</w:t>
      </w:r>
      <w:r w:rsidRPr="00B34CD1">
        <w:t>. Inflation, decline in consumer buying power and increase in operating costs have been economic factors supporting the cost-leadership strategy by Asda, which is in line with the Generic Strategies theory by Porter</w:t>
      </w:r>
      <w:r w:rsidR="006F0A56">
        <w:t xml:space="preserve"> (</w:t>
      </w:r>
      <w:r w:rsidR="006F0A56" w:rsidRPr="006F0A56">
        <w:t>Ali and Anwar</w:t>
      </w:r>
      <w:r w:rsidR="006F0A56">
        <w:t>, 2021)</w:t>
      </w:r>
      <w:r w:rsidRPr="00B34CD1">
        <w:t xml:space="preserve">. The aggressive pricing discounts demonstrate the strategic risk of competing to some extent on price in a market where there is a lot of competition among Tesco, Aldi and Lidl in the grocery sector. Technological forces are essential for the success of the operation. </w:t>
      </w:r>
    </w:p>
    <w:p w14:paraId="7F0DECB7" w14:textId="77777777" w:rsidR="002E4C77" w:rsidRDefault="00EE0DE1" w:rsidP="008204BE">
      <w:pPr>
        <w:spacing w:before="120" w:after="120"/>
      </w:pPr>
      <w:r w:rsidRPr="00B34CD1">
        <w:t>The IT transformation issues reveal the importance of bad implementation of digital strategy to throw away competitive advantage, which justifies the Resource-Based View (RBV) that capabilities need to be valuable, rare, and well-managed. In contrast to competitors who have managed to utilise digital supply chains to benefit, the failure of the system in Asda undermined the reliability of the service and customer loyalty, which directly affected the performance</w:t>
      </w:r>
      <w:r w:rsidR="009B0EB1">
        <w:t xml:space="preserve"> (</w:t>
      </w:r>
      <w:r w:rsidR="009B0EB1" w:rsidRPr="00276158">
        <w:t>Kero and Bogale</w:t>
      </w:r>
      <w:r w:rsidR="009B0EB1">
        <w:t>, 2023</w:t>
      </w:r>
      <w:r w:rsidR="00256397">
        <w:t xml:space="preserve">; </w:t>
      </w:r>
      <w:proofErr w:type="spellStart"/>
      <w:r w:rsidR="00256397" w:rsidRPr="00C97C7C">
        <w:t>Ristyawan</w:t>
      </w:r>
      <w:proofErr w:type="spellEnd"/>
      <w:r w:rsidR="00256397" w:rsidRPr="00C97C7C">
        <w:t xml:space="preserve">, </w:t>
      </w:r>
      <w:proofErr w:type="spellStart"/>
      <w:r w:rsidR="00256397" w:rsidRPr="00C97C7C">
        <w:t>Putro</w:t>
      </w:r>
      <w:proofErr w:type="spellEnd"/>
      <w:r w:rsidR="00256397" w:rsidRPr="00C97C7C">
        <w:t xml:space="preserve">, and </w:t>
      </w:r>
      <w:proofErr w:type="spellStart"/>
      <w:r w:rsidR="00256397" w:rsidRPr="00C97C7C">
        <w:t>Siallagan</w:t>
      </w:r>
      <w:proofErr w:type="spellEnd"/>
      <w:r w:rsidR="00256397">
        <w:t>, 2023</w:t>
      </w:r>
      <w:r w:rsidR="009B0EB1">
        <w:t>)</w:t>
      </w:r>
      <w:r w:rsidRPr="00B34CD1">
        <w:t xml:space="preserve">. The strategic priorities are </w:t>
      </w:r>
      <w:proofErr w:type="gramStart"/>
      <w:r w:rsidRPr="00B34CD1">
        <w:t>more and more</w:t>
      </w:r>
      <w:proofErr w:type="gramEnd"/>
      <w:r w:rsidRPr="00B34CD1">
        <w:t xml:space="preserve"> influenced by social and environmental pressures. The increasing demand for ethical sourcing, health-conscious products and sustainability resonates with the stakeholder theory, which means that Asda needs to strike a balance between the demands of the shareholders as well as the needs of society and regulatory requirements</w:t>
      </w:r>
      <w:r w:rsidR="00220D76">
        <w:t xml:space="preserve"> (</w:t>
      </w:r>
      <w:r w:rsidR="00220D76" w:rsidRPr="00EE24BD">
        <w:t>Valentinov</w:t>
      </w:r>
      <w:r w:rsidR="00220D76">
        <w:t>, 2023)</w:t>
      </w:r>
      <w:r w:rsidRPr="00B34CD1">
        <w:t xml:space="preserve">. </w:t>
      </w:r>
    </w:p>
    <w:p w14:paraId="4924ED96" w14:textId="77777777" w:rsidR="008204BE" w:rsidRDefault="00EE0DE1" w:rsidP="008204BE">
      <w:pPr>
        <w:spacing w:before="120" w:after="120"/>
      </w:pPr>
      <w:r w:rsidRPr="00B34CD1">
        <w:t>The inability to address these expectations means that reputational harm can be suffered, whereas proactive sustainability programmes can increase brand equity in the long term. Post-Brexit regulation and laws on labour limit strategic flexibility through the cost of compliance</w:t>
      </w:r>
      <w:r w:rsidR="00CD548C">
        <w:t xml:space="preserve"> (</w:t>
      </w:r>
      <w:r w:rsidR="00CD548C" w:rsidRPr="00A42D33">
        <w:t>Do</w:t>
      </w:r>
      <w:r w:rsidR="00CD548C">
        <w:t xml:space="preserve"> </w:t>
      </w:r>
      <w:r w:rsidR="00CD548C">
        <w:rPr>
          <w:i/>
          <w:iCs/>
        </w:rPr>
        <w:t>et al</w:t>
      </w:r>
      <w:r w:rsidR="00CD548C">
        <w:t>., 2025)</w:t>
      </w:r>
      <w:r w:rsidRPr="00B34CD1">
        <w:t xml:space="preserve">. </w:t>
      </w:r>
    </w:p>
    <w:p w14:paraId="543F21DD" w14:textId="0AE332EA" w:rsidR="002E4C77" w:rsidRDefault="00EE0DE1" w:rsidP="008204BE">
      <w:pPr>
        <w:spacing w:before="120" w:after="120"/>
      </w:pPr>
      <w:r w:rsidRPr="00B34CD1">
        <w:t xml:space="preserve">All in all, Asda could succeed by balancing between short-term price competitiveness and long-term investments in technology, operational stability, and sustainability. The strategic performance will depend on the alignment of the internal competencies to the external environmental requirements </w:t>
      </w:r>
      <w:proofErr w:type="gramStart"/>
      <w:r w:rsidRPr="00B34CD1">
        <w:t>in order to</w:t>
      </w:r>
      <w:proofErr w:type="gramEnd"/>
      <w:r w:rsidRPr="00B34CD1">
        <w:t xml:space="preserve"> have a sustainable competitive advantage.</w:t>
      </w:r>
      <w:r w:rsidRPr="00B34CD1">
        <w:t> </w:t>
      </w:r>
      <w:r w:rsidRPr="00B34CD1">
        <w:t xml:space="preserve"> </w:t>
      </w:r>
    </w:p>
    <w:p w14:paraId="1502FF05" w14:textId="77777777" w:rsidR="00DF6A24" w:rsidRDefault="00EE0DE1" w:rsidP="008204BE">
      <w:pPr>
        <w:spacing w:before="120" w:after="120"/>
        <w:jc w:val="left"/>
        <w:rPr>
          <w:rFonts w:eastAsiaTheme="majorEastAsia" w:cstheme="majorBidi"/>
          <w:b/>
          <w:szCs w:val="32"/>
          <w:lang w:val="en-IN"/>
        </w:rPr>
      </w:pPr>
      <w:r>
        <w:br w:type="page"/>
      </w:r>
    </w:p>
    <w:p w14:paraId="2EFE0D3A" w14:textId="77777777" w:rsidR="002E4C77" w:rsidRPr="00B34CD1" w:rsidRDefault="00EE0DE1" w:rsidP="008204BE">
      <w:pPr>
        <w:pStyle w:val="Heading1"/>
        <w:spacing w:before="120" w:after="120"/>
      </w:pPr>
      <w:bookmarkStart w:id="3" w:name="_Toc220167238"/>
      <w:r w:rsidRPr="00B34CD1">
        <w:lastRenderedPageBreak/>
        <w:t>Conclusion</w:t>
      </w:r>
      <w:bookmarkEnd w:id="3"/>
      <w:r w:rsidRPr="00B34CD1">
        <w:t xml:space="preserve"> </w:t>
      </w:r>
    </w:p>
    <w:p w14:paraId="634E3C91" w14:textId="77777777" w:rsidR="002E4C77" w:rsidRDefault="00EE0DE1" w:rsidP="008204BE">
      <w:pPr>
        <w:spacing w:before="120" w:after="120"/>
      </w:pPr>
      <w:r w:rsidRPr="00B34CD1">
        <w:t xml:space="preserve">The analysis reveals that Asda is facing a very competitive and volatile retailing environment that is influenced by economic pressure, the demands of regulations, technological disruption, and evolving consumer expectations. Its cost leadership strategy helps to maintain its market </w:t>
      </w:r>
      <w:proofErr w:type="gramStart"/>
      <w:r w:rsidRPr="00B34CD1">
        <w:t>share, but</w:t>
      </w:r>
      <w:proofErr w:type="gramEnd"/>
      <w:r w:rsidRPr="00B34CD1">
        <w:t xml:space="preserve"> limits its profitability and investment. To become successful in the long term, Asda should aim at stabilisation of digital infrastructure, platform-based pricing and value propositions, and sustainability and ethical sourcing. Situational analysis is a very important feature in strategic planning since it enables organisations to anticipate the external threats as well as align internal capabilities in accordance with the market conditions and make sound and flexible decisions that would enable sustainable competitive advantage.</w:t>
      </w:r>
    </w:p>
    <w:p w14:paraId="4B765FFD" w14:textId="77777777" w:rsidR="00AE7C37" w:rsidRDefault="00EE0DE1" w:rsidP="008204BE">
      <w:pPr>
        <w:spacing w:before="120" w:after="120"/>
        <w:jc w:val="left"/>
        <w:rPr>
          <w:rFonts w:eastAsiaTheme="majorEastAsia" w:cstheme="majorBidi"/>
          <w:b/>
          <w:szCs w:val="32"/>
          <w:lang w:val="en-IN"/>
        </w:rPr>
      </w:pPr>
      <w:r>
        <w:br w:type="page"/>
      </w:r>
    </w:p>
    <w:p w14:paraId="174D5A88" w14:textId="77777777" w:rsidR="002E4C77" w:rsidRPr="00B34CD1" w:rsidRDefault="00EE0DE1" w:rsidP="008204BE">
      <w:pPr>
        <w:pStyle w:val="Heading1"/>
        <w:spacing w:before="120" w:after="120"/>
      </w:pPr>
      <w:bookmarkStart w:id="4" w:name="_Toc220167239"/>
      <w:r w:rsidRPr="00B34CD1">
        <w:lastRenderedPageBreak/>
        <w:t>Reference List</w:t>
      </w:r>
      <w:bookmarkEnd w:id="4"/>
      <w:r w:rsidRPr="00B34CD1">
        <w:t xml:space="preserve"> </w:t>
      </w:r>
    </w:p>
    <w:p w14:paraId="0D96E349" w14:textId="7CD48F73" w:rsidR="00CD11B6" w:rsidRPr="00CD11B6" w:rsidRDefault="00EE0DE1" w:rsidP="008204BE">
      <w:pPr>
        <w:spacing w:before="120" w:after="120"/>
      </w:pPr>
      <w:r w:rsidRPr="00CD11B6">
        <w:t>Ali, B.J. and Anwar, G. (2021) ‘Porter’s Generic Competitive Strategies and its influence on the Competitive Advantage’, </w:t>
      </w:r>
      <w:r w:rsidRPr="00CD11B6">
        <w:rPr>
          <w:i/>
          <w:iCs/>
        </w:rPr>
        <w:t>International Journal of Advanced Engineering, Management and Science</w:t>
      </w:r>
      <w:r w:rsidRPr="00CD11B6">
        <w:t>, 7(6), pp.42-51. https://dx.doi.org/10.22161/ijaems.76.5</w:t>
      </w:r>
    </w:p>
    <w:p w14:paraId="709A0CC2" w14:textId="06DFCF36" w:rsidR="00CD11B6" w:rsidRDefault="00EE0DE1" w:rsidP="008204BE">
      <w:pPr>
        <w:spacing w:before="120" w:after="120"/>
      </w:pPr>
      <w:r w:rsidRPr="00B34CD1">
        <w:t xml:space="preserve">Asda (2024) </w:t>
      </w:r>
      <w:r w:rsidRPr="001F046D">
        <w:rPr>
          <w:i/>
          <w:iCs/>
        </w:rPr>
        <w:t>Asda publishes latest Environmental, Social and Governance (ESG) report</w:t>
      </w:r>
      <w:r w:rsidRPr="00B34CD1">
        <w:t xml:space="preserve">. Available at: https://corporate.asda.com/newsroom/2024/08/07/asda-publishes-latest-environmental-social-and-governance-esg-report (Accessed: </w:t>
      </w:r>
      <w:r w:rsidR="00BA480E">
        <w:t>10 February</w:t>
      </w:r>
      <w:r w:rsidRPr="00B34CD1">
        <w:t xml:space="preserve"> 2026). </w:t>
      </w:r>
    </w:p>
    <w:p w14:paraId="60E852E1" w14:textId="6964FF22" w:rsidR="00CD11B6" w:rsidRDefault="00EE0DE1" w:rsidP="008204BE">
      <w:pPr>
        <w:spacing w:before="120" w:after="120"/>
      </w:pPr>
      <w:r w:rsidRPr="00B34CD1">
        <w:t xml:space="preserve">Asda (2025) </w:t>
      </w:r>
      <w:r w:rsidRPr="000F4ADA">
        <w:rPr>
          <w:i/>
          <w:iCs/>
        </w:rPr>
        <w:t>Summary of Asda's GSCOP Annual Compliance Report for 2024</w:t>
      </w:r>
      <w:r w:rsidRPr="00B34CD1">
        <w:t xml:space="preserve">. Available at: https://corporate.asda.com/summary-of-asdas-gscop-annual-compliance-report-for-2024#:~:text=The%20Groceries%20(Supply%20Chain%20Practices,particularly%20proud%20of%20the%20following: (Accessed: </w:t>
      </w:r>
      <w:r w:rsidR="00BA480E">
        <w:t>10 February</w:t>
      </w:r>
      <w:r w:rsidRPr="00B34CD1">
        <w:t xml:space="preserve"> 2026). </w:t>
      </w:r>
    </w:p>
    <w:p w14:paraId="4BC06ADD" w14:textId="77777777" w:rsidR="00CD11B6" w:rsidRDefault="00EE0DE1" w:rsidP="008204BE">
      <w:pPr>
        <w:spacing w:before="120" w:after="120"/>
      </w:pPr>
      <w:r w:rsidRPr="00B34CD1">
        <w:t xml:space="preserve">Asda (2026) </w:t>
      </w:r>
      <w:r w:rsidRPr="00A351C8">
        <w:rPr>
          <w:i/>
          <w:iCs/>
        </w:rPr>
        <w:t>Our histor</w:t>
      </w:r>
      <w:r w:rsidRPr="00B34CD1">
        <w:t>y. Available at: https://corporate.asda.com/our-story/our-history (Accessed: 21 January 2026).</w:t>
      </w:r>
    </w:p>
    <w:p w14:paraId="2FD0740E" w14:textId="1017D1B4" w:rsidR="00CD11B6" w:rsidRPr="00CD11B6" w:rsidRDefault="00EE0DE1" w:rsidP="008204BE">
      <w:pPr>
        <w:spacing w:before="120" w:after="120"/>
      </w:pPr>
      <w:proofErr w:type="spellStart"/>
      <w:r w:rsidRPr="00CD11B6">
        <w:t>Çitilci</w:t>
      </w:r>
      <w:proofErr w:type="spellEnd"/>
      <w:r w:rsidRPr="00CD11B6">
        <w:t xml:space="preserve">, T. and </w:t>
      </w:r>
      <w:proofErr w:type="spellStart"/>
      <w:r w:rsidRPr="00CD11B6">
        <w:t>Akbalık</w:t>
      </w:r>
      <w:proofErr w:type="spellEnd"/>
      <w:r w:rsidRPr="00CD11B6">
        <w:t>, M. (2020) ‘The importance of PESTEL analysis for environmental scanning process’, In </w:t>
      </w:r>
      <w:r w:rsidRPr="00CD11B6">
        <w:rPr>
          <w:i/>
          <w:iCs/>
        </w:rPr>
        <w:t>Handbook of research on decision-making techniques in financial marketing</w:t>
      </w:r>
      <w:r w:rsidRPr="00CD11B6">
        <w:t xml:space="preserve"> (pp. 336-357). IGI Global Scientific Publishing. </w:t>
      </w:r>
      <w:r w:rsidR="008204BE" w:rsidRPr="00CD11B6">
        <w:t>https://doi.org/</w:t>
      </w:r>
      <w:r w:rsidRPr="00CD11B6">
        <w:t xml:space="preserve">10.4018/978-1-7998-2559-3.ch016 </w:t>
      </w:r>
    </w:p>
    <w:p w14:paraId="6B0119C5" w14:textId="77777777" w:rsidR="00CD11B6" w:rsidRPr="00CD11B6" w:rsidRDefault="00EE0DE1" w:rsidP="008204BE">
      <w:pPr>
        <w:spacing w:before="120" w:after="120"/>
      </w:pPr>
      <w:r w:rsidRPr="00CD11B6">
        <w:t>Do, H., Duong, K.T., Huynh, L.D.T. and Vu, N.T. (2025) ‘The Real Effects of Brexit on Labor Demand: Evidence from Firm-level Data’, </w:t>
      </w:r>
      <w:r w:rsidRPr="00CD11B6">
        <w:rPr>
          <w:i/>
          <w:iCs/>
        </w:rPr>
        <w:t>Available at SSRN 5257575</w:t>
      </w:r>
      <w:r w:rsidRPr="00CD11B6">
        <w:t xml:space="preserve">. Available at: https://doi.org/10.1016/j.jinteco.2025.104129 </w:t>
      </w:r>
    </w:p>
    <w:p w14:paraId="24468EDB" w14:textId="144EC6C3" w:rsidR="00CD11B6" w:rsidRDefault="00EE0DE1" w:rsidP="008204BE">
      <w:pPr>
        <w:spacing w:before="120" w:after="120"/>
      </w:pPr>
      <w:r w:rsidRPr="00B34CD1">
        <w:t xml:space="preserve">Food Industry Executive (2024) </w:t>
      </w:r>
      <w:r w:rsidRPr="00091F39">
        <w:rPr>
          <w:i/>
          <w:iCs/>
        </w:rPr>
        <w:t>Adapting to Changing Consumer Preferences: Trends and Strategies</w:t>
      </w:r>
      <w:r w:rsidRPr="00B34CD1">
        <w:t>. Available at https://foodindustryexecutive.com/2024/12/adapting-to-changing-consumer-preferences-trends-and-strategies/ (Accessed</w:t>
      </w:r>
      <w:r w:rsidR="004E52E9">
        <w:t>: 10 February</w:t>
      </w:r>
      <w:r w:rsidRPr="00B34CD1">
        <w:t xml:space="preserve"> 2026). </w:t>
      </w:r>
    </w:p>
    <w:p w14:paraId="41E33DCD" w14:textId="77777777" w:rsidR="00CD11B6" w:rsidRPr="00CD11B6" w:rsidRDefault="00EE0DE1" w:rsidP="008204BE">
      <w:pPr>
        <w:spacing w:before="120" w:after="120"/>
      </w:pPr>
      <w:r w:rsidRPr="00CD11B6">
        <w:t>Kero, C.A. and Bogale, A.T. (2023) ‘A Systematic Review of Resource-Based View and Dynamic Capabilities of Firms and Future Research Avenues’, </w:t>
      </w:r>
      <w:r w:rsidRPr="00CD11B6">
        <w:rPr>
          <w:i/>
          <w:iCs/>
        </w:rPr>
        <w:t>International Journal of Sustainable Development &amp; Planning</w:t>
      </w:r>
      <w:r w:rsidRPr="00CD11B6">
        <w:t xml:space="preserve">, 18(10). Available at: https://doi.org/10.18280/ijsdp.181016 </w:t>
      </w:r>
    </w:p>
    <w:p w14:paraId="45C6BDEF" w14:textId="14BD29A2" w:rsidR="00CD11B6" w:rsidRDefault="00EE0DE1" w:rsidP="008204BE">
      <w:pPr>
        <w:spacing w:before="120" w:after="120"/>
      </w:pPr>
      <w:r w:rsidRPr="00B34CD1">
        <w:t xml:space="preserve">O'Carroll, L. (2023) </w:t>
      </w:r>
      <w:r w:rsidRPr="00F7436E">
        <w:rPr>
          <w:i/>
          <w:iCs/>
        </w:rPr>
        <w:t>Shortfall of 330,000 workers in UK due to Brexit, say thinktanks</w:t>
      </w:r>
      <w:r w:rsidRPr="00B34CD1">
        <w:t xml:space="preserve">. Available at: https://www.theguardian.com/politics/2023/jan/17/shortfall-of-330000-workers-in-uk-due-to-brexit-say-thinktanks (Accessed: </w:t>
      </w:r>
      <w:r w:rsidR="004E52E9">
        <w:t>10 February</w:t>
      </w:r>
      <w:r w:rsidRPr="00B34CD1">
        <w:t xml:space="preserve"> 2026). </w:t>
      </w:r>
    </w:p>
    <w:p w14:paraId="74715934" w14:textId="01901D4D" w:rsidR="00CD11B6" w:rsidRPr="00CD11B6" w:rsidRDefault="00EE0DE1" w:rsidP="008204BE">
      <w:pPr>
        <w:spacing w:before="120" w:after="120"/>
      </w:pPr>
      <w:proofErr w:type="spellStart"/>
      <w:r w:rsidRPr="00CD11B6">
        <w:lastRenderedPageBreak/>
        <w:t>Omazić</w:t>
      </w:r>
      <w:proofErr w:type="spellEnd"/>
      <w:r w:rsidRPr="00CD11B6">
        <w:t xml:space="preserve">, M.A., </w:t>
      </w:r>
      <w:proofErr w:type="spellStart"/>
      <w:r w:rsidRPr="00CD11B6">
        <w:t>Labaš</w:t>
      </w:r>
      <w:proofErr w:type="spellEnd"/>
      <w:r w:rsidRPr="00CD11B6">
        <w:t xml:space="preserve">, D. and </w:t>
      </w:r>
      <w:proofErr w:type="spellStart"/>
      <w:r w:rsidRPr="00CD11B6">
        <w:t>Uroić</w:t>
      </w:r>
      <w:proofErr w:type="spellEnd"/>
      <w:r w:rsidRPr="00CD11B6">
        <w:t>, P. (2023) ‘Contingency theory’, In </w:t>
      </w:r>
      <w:proofErr w:type="spellStart"/>
      <w:r w:rsidRPr="00CD11B6">
        <w:rPr>
          <w:i/>
          <w:iCs/>
        </w:rPr>
        <w:t>Encyclopedia</w:t>
      </w:r>
      <w:proofErr w:type="spellEnd"/>
      <w:r w:rsidRPr="00CD11B6">
        <w:rPr>
          <w:i/>
          <w:iCs/>
        </w:rPr>
        <w:t xml:space="preserve"> of Sustainable Management</w:t>
      </w:r>
      <w:r w:rsidRPr="00CD11B6">
        <w:t xml:space="preserve"> (pp. 1-9). Cham: Springer International Publishing. https://doi.org/10.1007/978-3-030-02006-4_1098-1 </w:t>
      </w:r>
    </w:p>
    <w:p w14:paraId="3B7828DC" w14:textId="7F27E40B" w:rsidR="00CD11B6" w:rsidRDefault="00EE0DE1" w:rsidP="008204BE">
      <w:pPr>
        <w:spacing w:before="120" w:after="120"/>
      </w:pPr>
      <w:r w:rsidRPr="00B34CD1">
        <w:t xml:space="preserve">ONS (2026) </w:t>
      </w:r>
      <w:r w:rsidRPr="00576070">
        <w:rPr>
          <w:i/>
          <w:iCs/>
        </w:rPr>
        <w:t>Inflation and price indices</w:t>
      </w:r>
      <w:r w:rsidRPr="00B34CD1">
        <w:t xml:space="preserve">. Available at: https://www.ons.gov.uk/economy/inflationandpriceindices (Accessed: </w:t>
      </w:r>
      <w:r w:rsidR="00BB31DF">
        <w:t>10 February</w:t>
      </w:r>
      <w:r w:rsidRPr="00B34CD1">
        <w:t xml:space="preserve"> 2026).</w:t>
      </w:r>
    </w:p>
    <w:p w14:paraId="0BC45B43" w14:textId="4E17009F" w:rsidR="00CD11B6" w:rsidRPr="00CD11B6" w:rsidRDefault="00EE0DE1" w:rsidP="008204BE">
      <w:pPr>
        <w:spacing w:before="120" w:after="120"/>
      </w:pPr>
      <w:proofErr w:type="spellStart"/>
      <w:r w:rsidRPr="00CD11B6">
        <w:t>Ramsudeen</w:t>
      </w:r>
      <w:proofErr w:type="spellEnd"/>
      <w:r w:rsidRPr="00CD11B6">
        <w:t xml:space="preserve">, R. ‘A Theoretical, Diagnostic Review of SWOT, PESTLE, Porter’s 5 Five Forces Models, as a Strategic Analytical Planning Tools for the Business Environment’, </w:t>
      </w:r>
      <w:proofErr w:type="spellStart"/>
      <w:r w:rsidRPr="00CD11B6">
        <w:rPr>
          <w:i/>
          <w:iCs/>
        </w:rPr>
        <w:t>Texila</w:t>
      </w:r>
      <w:proofErr w:type="spellEnd"/>
      <w:r w:rsidRPr="00CD11B6">
        <w:rPr>
          <w:i/>
          <w:iCs/>
        </w:rPr>
        <w:t xml:space="preserve"> International Journal of Management</w:t>
      </w:r>
      <w:r w:rsidRPr="00CD11B6">
        <w:t xml:space="preserve">. </w:t>
      </w:r>
      <w:r w:rsidR="008204BE" w:rsidRPr="00CD11B6">
        <w:t>https://doi.org/</w:t>
      </w:r>
      <w:r w:rsidRPr="00CD11B6">
        <w:t>10.21522/TIJMG.2015.11.02.Art047</w:t>
      </w:r>
    </w:p>
    <w:p w14:paraId="06EDDCEE" w14:textId="06FEAE5B" w:rsidR="00CD11B6" w:rsidRDefault="00EE0DE1" w:rsidP="008204BE">
      <w:pPr>
        <w:spacing w:before="120" w:after="120"/>
      </w:pPr>
      <w:r w:rsidRPr="00B34CD1">
        <w:t>Retail Technology Innovation Hub (2024</w:t>
      </w:r>
      <w:r w:rsidRPr="0078791B">
        <w:rPr>
          <w:i/>
          <w:iCs/>
        </w:rPr>
        <w:t xml:space="preserve">) Including </w:t>
      </w:r>
      <w:proofErr w:type="spellStart"/>
      <w:r w:rsidRPr="0078791B">
        <w:rPr>
          <w:i/>
          <w:iCs/>
        </w:rPr>
        <w:t>Shopic</w:t>
      </w:r>
      <w:proofErr w:type="spellEnd"/>
      <w:r w:rsidRPr="0078791B">
        <w:rPr>
          <w:i/>
          <w:iCs/>
        </w:rPr>
        <w:t xml:space="preserve">, </w:t>
      </w:r>
      <w:proofErr w:type="spellStart"/>
      <w:r w:rsidRPr="0078791B">
        <w:rPr>
          <w:i/>
          <w:iCs/>
        </w:rPr>
        <w:t>Zippin</w:t>
      </w:r>
      <w:proofErr w:type="spellEnd"/>
      <w:r w:rsidRPr="0078791B">
        <w:rPr>
          <w:i/>
          <w:iCs/>
        </w:rPr>
        <w:t xml:space="preserve">, and </w:t>
      </w:r>
      <w:proofErr w:type="spellStart"/>
      <w:r w:rsidRPr="0078791B">
        <w:rPr>
          <w:i/>
          <w:iCs/>
        </w:rPr>
        <w:t>Jisp</w:t>
      </w:r>
      <w:proofErr w:type="spellEnd"/>
      <w:r w:rsidRPr="0078791B">
        <w:rPr>
          <w:i/>
          <w:iCs/>
        </w:rPr>
        <w:t xml:space="preserve">: RTIH presents last week’s biggest retail technology plays </w:t>
      </w:r>
      <w:proofErr w:type="gramStart"/>
      <w:r w:rsidRPr="0078791B">
        <w:rPr>
          <w:i/>
          <w:iCs/>
        </w:rPr>
        <w:t>at a glance</w:t>
      </w:r>
      <w:proofErr w:type="gramEnd"/>
      <w:r w:rsidRPr="00B34CD1">
        <w:t xml:space="preserve">. Available at: https://retailtechinnovationhub.com/home/2024/12/8/including-shopic-zippin-and-jisp-rtih-presents-last-weeks-biggest-retail-technology-plays-at-a-glance (Accessed: </w:t>
      </w:r>
      <w:r w:rsidR="00BB31DF">
        <w:t>10 February</w:t>
      </w:r>
      <w:r w:rsidRPr="00B34CD1">
        <w:t xml:space="preserve"> 2026).</w:t>
      </w:r>
    </w:p>
    <w:p w14:paraId="6E4143CA" w14:textId="637FC40A" w:rsidR="00CD11B6" w:rsidRPr="00CD11B6" w:rsidRDefault="00EE0DE1" w:rsidP="008204BE">
      <w:pPr>
        <w:spacing w:before="120" w:after="120"/>
      </w:pPr>
      <w:proofErr w:type="spellStart"/>
      <w:r w:rsidRPr="00CD11B6">
        <w:t>Ristyawan</w:t>
      </w:r>
      <w:proofErr w:type="spellEnd"/>
      <w:r w:rsidRPr="00CD11B6">
        <w:t xml:space="preserve">, M.R., </w:t>
      </w:r>
      <w:proofErr w:type="spellStart"/>
      <w:r w:rsidRPr="00CD11B6">
        <w:t>Putro</w:t>
      </w:r>
      <w:proofErr w:type="spellEnd"/>
      <w:r w:rsidRPr="00CD11B6">
        <w:t xml:space="preserve">, U.S. and </w:t>
      </w:r>
      <w:proofErr w:type="spellStart"/>
      <w:r w:rsidRPr="00CD11B6">
        <w:t>Siallagan</w:t>
      </w:r>
      <w:proofErr w:type="spellEnd"/>
      <w:r w:rsidRPr="00CD11B6">
        <w:t xml:space="preserve">, M. (2023) ‘Decision making mechanism in </w:t>
      </w:r>
      <w:proofErr w:type="gramStart"/>
      <w:r w:rsidRPr="00CD11B6">
        <w:t>resource based</w:t>
      </w:r>
      <w:proofErr w:type="gramEnd"/>
      <w:r w:rsidRPr="00CD11B6">
        <w:t xml:space="preserve"> theory: A literature review, synthesis, and future research’, </w:t>
      </w:r>
      <w:r w:rsidRPr="00CD11B6">
        <w:rPr>
          <w:i/>
          <w:iCs/>
        </w:rPr>
        <w:t>Cogent Business &amp; Management</w:t>
      </w:r>
      <w:r w:rsidRPr="00CD11B6">
        <w:t xml:space="preserve">, 10(2), p.2247217. https://doi.org/10.1080/23311975.2023.2247217 </w:t>
      </w:r>
    </w:p>
    <w:p w14:paraId="58D29876" w14:textId="6A4056EA" w:rsidR="00CD11B6" w:rsidRDefault="00EE0DE1" w:rsidP="008204BE">
      <w:pPr>
        <w:spacing w:before="120" w:after="120"/>
      </w:pPr>
      <w:r w:rsidRPr="00B34CD1">
        <w:t xml:space="preserve">Savills (2025) </w:t>
      </w:r>
      <w:r w:rsidRPr="0056489A">
        <w:rPr>
          <w:i/>
          <w:iCs/>
        </w:rPr>
        <w:t>UK Grocery Report</w:t>
      </w:r>
      <w:r w:rsidRPr="00B34CD1">
        <w:t>. Available at: https://pdf.euro.savills.co.uk/uk/commercial---other/</w:t>
      </w:r>
      <w:proofErr w:type="spellStart"/>
      <w:r w:rsidRPr="00B34CD1">
        <w:t>uk</w:t>
      </w:r>
      <w:proofErr w:type="spellEnd"/>
      <w:r w:rsidRPr="00B34CD1">
        <w:t xml:space="preserve">-grocery-spotlight---summer-2025(1).pdf (Accessed: </w:t>
      </w:r>
      <w:r w:rsidR="00BB31DF">
        <w:t>10 February</w:t>
      </w:r>
      <w:r w:rsidRPr="00B34CD1">
        <w:t xml:space="preserve"> 2026). </w:t>
      </w:r>
    </w:p>
    <w:p w14:paraId="222FDF47" w14:textId="4386DEFA" w:rsidR="00CD11B6" w:rsidRPr="00CD11B6" w:rsidRDefault="00EE0DE1" w:rsidP="008204BE">
      <w:pPr>
        <w:spacing w:before="120" w:after="120"/>
      </w:pPr>
      <w:r w:rsidRPr="00CD11B6">
        <w:t xml:space="preserve">Shala, B., </w:t>
      </w:r>
      <w:proofErr w:type="spellStart"/>
      <w:r w:rsidRPr="00CD11B6">
        <w:t>Prebreza</w:t>
      </w:r>
      <w:proofErr w:type="spellEnd"/>
      <w:r w:rsidRPr="00CD11B6">
        <w:t xml:space="preserve">, A. and Ramosaj, B., 2021. The contingency theory of management as a factor of acknowledging the leaders-managers of our time study case: The practice of the contingency theory in the company </w:t>
      </w:r>
      <w:proofErr w:type="spellStart"/>
      <w:r w:rsidRPr="00CD11B6">
        <w:t>Avrios</w:t>
      </w:r>
      <w:proofErr w:type="spellEnd"/>
      <w:r w:rsidRPr="00CD11B6">
        <w:t>. </w:t>
      </w:r>
      <w:r w:rsidRPr="00CD11B6">
        <w:rPr>
          <w:i/>
          <w:iCs/>
        </w:rPr>
        <w:t>Open Access Library Journal</w:t>
      </w:r>
      <w:r w:rsidRPr="00CD11B6">
        <w:t>, </w:t>
      </w:r>
      <w:r w:rsidRPr="008204BE">
        <w:t>8</w:t>
      </w:r>
      <w:r w:rsidRPr="00CD11B6">
        <w:t xml:space="preserve">(9), pp.1-20. </w:t>
      </w:r>
      <w:r w:rsidR="008204BE" w:rsidRPr="00CD11B6">
        <w:t>https://doi.org/</w:t>
      </w:r>
      <w:r w:rsidRPr="00CD11B6">
        <w:t>10.4236/oalib.1107850</w:t>
      </w:r>
    </w:p>
    <w:p w14:paraId="21957CAA" w14:textId="703FF2EB" w:rsidR="00CD11B6" w:rsidRDefault="00EE0DE1" w:rsidP="008204BE">
      <w:pPr>
        <w:spacing w:before="120" w:after="120"/>
      </w:pPr>
      <w:r w:rsidRPr="00B34CD1">
        <w:t xml:space="preserve">Share Talk (2025) </w:t>
      </w:r>
      <w:r w:rsidRPr="0010158D">
        <w:rPr>
          <w:i/>
          <w:iCs/>
        </w:rPr>
        <w:t>Asda’s Market Share Falls to Record Low Amid Deepening Struggles</w:t>
      </w:r>
      <w:r w:rsidRPr="00B34CD1">
        <w:t xml:space="preserve">. Available at: https://www.share-talk.com/asdas-market-share-falls-to-record-low-amid-deepening-struggles/ (Accessed: </w:t>
      </w:r>
      <w:r w:rsidR="00C74543">
        <w:t>10 February</w:t>
      </w:r>
      <w:r w:rsidRPr="00B34CD1">
        <w:t xml:space="preserve"> 2026). </w:t>
      </w:r>
    </w:p>
    <w:p w14:paraId="7EDC3F60" w14:textId="75231EF5" w:rsidR="00CD11B6" w:rsidRDefault="00EE0DE1" w:rsidP="008204BE">
      <w:pPr>
        <w:spacing w:before="120" w:after="120"/>
      </w:pPr>
      <w:r w:rsidRPr="00B34CD1">
        <w:t>Trading Economics (2026</w:t>
      </w:r>
      <w:r>
        <w:t>a</w:t>
      </w:r>
      <w:r w:rsidRPr="00B34CD1">
        <w:t xml:space="preserve">) </w:t>
      </w:r>
      <w:r w:rsidRPr="002957D2">
        <w:rPr>
          <w:i/>
          <w:iCs/>
        </w:rPr>
        <w:t xml:space="preserve">United Kingdom - Political Stability </w:t>
      </w:r>
      <w:proofErr w:type="gramStart"/>
      <w:r w:rsidRPr="002957D2">
        <w:rPr>
          <w:i/>
          <w:iCs/>
        </w:rPr>
        <w:t>And</w:t>
      </w:r>
      <w:proofErr w:type="gramEnd"/>
      <w:r w:rsidRPr="002957D2">
        <w:rPr>
          <w:i/>
          <w:iCs/>
        </w:rPr>
        <w:t xml:space="preserve"> Absence </w:t>
      </w:r>
      <w:proofErr w:type="gramStart"/>
      <w:r w:rsidRPr="002957D2">
        <w:rPr>
          <w:i/>
          <w:iCs/>
        </w:rPr>
        <w:t>Of</w:t>
      </w:r>
      <w:proofErr w:type="gramEnd"/>
      <w:r w:rsidRPr="002957D2">
        <w:rPr>
          <w:i/>
          <w:iCs/>
        </w:rPr>
        <w:t xml:space="preserve"> Violence/Terrorism: Estimate</w:t>
      </w:r>
      <w:r w:rsidRPr="00B34CD1">
        <w:t xml:space="preserve">. Available at: https://tradingeconomics.com/united-kingdom/political-stability-and-absence-of-violence-terrorism-estimate-wb-data.html (Accessed: </w:t>
      </w:r>
      <w:r w:rsidR="00C74543">
        <w:t>10 February</w:t>
      </w:r>
      <w:r w:rsidRPr="00B34CD1">
        <w:t xml:space="preserve"> 2026). </w:t>
      </w:r>
    </w:p>
    <w:p w14:paraId="627839DD" w14:textId="53FA7A0A" w:rsidR="00CD11B6" w:rsidRDefault="00EE0DE1" w:rsidP="008204BE">
      <w:pPr>
        <w:spacing w:before="120" w:after="120"/>
      </w:pPr>
      <w:r w:rsidRPr="00B34CD1">
        <w:t>Trading Economics (2026</w:t>
      </w:r>
      <w:r>
        <w:t>b</w:t>
      </w:r>
      <w:r w:rsidRPr="00B34CD1">
        <w:t xml:space="preserve">) </w:t>
      </w:r>
      <w:r w:rsidRPr="00B04731">
        <w:rPr>
          <w:i/>
          <w:iCs/>
        </w:rPr>
        <w:t>United Kingdom Inflation Rate</w:t>
      </w:r>
      <w:r w:rsidRPr="00B34CD1">
        <w:t xml:space="preserve">. Available at: </w:t>
      </w:r>
      <w:r w:rsidRPr="00B04731">
        <w:t xml:space="preserve">https://tradingeconomics.com/united-kingdom/inflation-cpi </w:t>
      </w:r>
      <w:r w:rsidRPr="00B34CD1">
        <w:t xml:space="preserve">(Accessed: </w:t>
      </w:r>
      <w:r w:rsidR="00C74543">
        <w:t>10 February</w:t>
      </w:r>
      <w:r w:rsidRPr="00B34CD1">
        <w:t xml:space="preserve"> 2026). </w:t>
      </w:r>
    </w:p>
    <w:p w14:paraId="3950B405" w14:textId="2D7C1E8B" w:rsidR="00CD11B6" w:rsidRPr="00CD11B6" w:rsidRDefault="00EE0DE1" w:rsidP="008204BE">
      <w:pPr>
        <w:spacing w:before="120" w:after="120"/>
      </w:pPr>
      <w:r w:rsidRPr="00CD11B6">
        <w:lastRenderedPageBreak/>
        <w:t>Valentinov, V. (2023) ‘Sustainability and stakeholder theory: a processual perspective’, </w:t>
      </w:r>
      <w:proofErr w:type="spellStart"/>
      <w:r w:rsidRPr="00CD11B6">
        <w:rPr>
          <w:i/>
          <w:iCs/>
        </w:rPr>
        <w:t>Kybernetes</w:t>
      </w:r>
      <w:proofErr w:type="spellEnd"/>
      <w:r w:rsidRPr="00CD11B6">
        <w:t xml:space="preserve">, 52(13), pp.61-77. </w:t>
      </w:r>
      <w:r w:rsidR="008204BE" w:rsidRPr="00CD11B6">
        <w:t>https://doi.org/</w:t>
      </w:r>
      <w:r w:rsidRPr="00CD11B6">
        <w:t>10.1108/K-05-2023-0819</w:t>
      </w:r>
    </w:p>
    <w:p w14:paraId="6816EA66" w14:textId="2C540C00" w:rsidR="00CD11B6" w:rsidRDefault="00EE0DE1" w:rsidP="008204BE">
      <w:pPr>
        <w:spacing w:before="120" w:after="120"/>
      </w:pPr>
      <w:r w:rsidRPr="00CD11B6">
        <w:t>Wadud, I., Liang, Y.D. and Polkinghorne, M. (2025) ‘Digital Transformation in the UK Retail Sector’, </w:t>
      </w:r>
      <w:proofErr w:type="spellStart"/>
      <w:r w:rsidRPr="00CD11B6">
        <w:rPr>
          <w:i/>
          <w:iCs/>
        </w:rPr>
        <w:t>Encyclopedia</w:t>
      </w:r>
      <w:proofErr w:type="spellEnd"/>
      <w:r w:rsidRPr="00CD11B6">
        <w:t>, 5(3), p.142. https://doi.org/10.3390/encyclopedia5030142</w:t>
      </w:r>
    </w:p>
    <w:sectPr w:rsidR="00CD11B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26683" w14:textId="77777777" w:rsidR="0094088F" w:rsidRDefault="0094088F">
      <w:pPr>
        <w:spacing w:line="240" w:lineRule="auto"/>
      </w:pPr>
      <w:r>
        <w:separator/>
      </w:r>
    </w:p>
  </w:endnote>
  <w:endnote w:type="continuationSeparator" w:id="0">
    <w:p w14:paraId="5A8A7823" w14:textId="77777777" w:rsidR="0094088F" w:rsidRDefault="009408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4106700"/>
      <w:docPartObj>
        <w:docPartGallery w:val="Page Numbers (Bottom of Page)"/>
        <w:docPartUnique/>
      </w:docPartObj>
    </w:sdtPr>
    <w:sdtEndPr>
      <w:rPr>
        <w:noProof/>
      </w:rPr>
    </w:sdtEndPr>
    <w:sdtContent>
      <w:p w14:paraId="13D4879A" w14:textId="77777777" w:rsidR="002846F1" w:rsidRDefault="00EE0D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62D3D8" w14:textId="77777777" w:rsidR="002846F1" w:rsidRDefault="002846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2A334" w14:textId="77777777" w:rsidR="0094088F" w:rsidRDefault="0094088F">
      <w:pPr>
        <w:spacing w:line="240" w:lineRule="auto"/>
      </w:pPr>
      <w:r>
        <w:separator/>
      </w:r>
    </w:p>
  </w:footnote>
  <w:footnote w:type="continuationSeparator" w:id="0">
    <w:p w14:paraId="20CC88B1" w14:textId="77777777" w:rsidR="0094088F" w:rsidRDefault="009408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4B6657"/>
    <w:multiLevelType w:val="hybridMultilevel"/>
    <w:tmpl w:val="CBDEB466"/>
    <w:lvl w:ilvl="0" w:tplc="5574A668">
      <w:start w:val="1"/>
      <w:numFmt w:val="decimal"/>
      <w:lvlText w:val="%1."/>
      <w:lvlJc w:val="left"/>
      <w:pPr>
        <w:ind w:left="720" w:hanging="360"/>
      </w:pPr>
    </w:lvl>
    <w:lvl w:ilvl="1" w:tplc="7A9AC8C8" w:tentative="1">
      <w:start w:val="1"/>
      <w:numFmt w:val="lowerLetter"/>
      <w:lvlText w:val="%2."/>
      <w:lvlJc w:val="left"/>
      <w:pPr>
        <w:ind w:left="1440" w:hanging="360"/>
      </w:pPr>
    </w:lvl>
    <w:lvl w:ilvl="2" w:tplc="261EB520" w:tentative="1">
      <w:start w:val="1"/>
      <w:numFmt w:val="lowerRoman"/>
      <w:lvlText w:val="%3."/>
      <w:lvlJc w:val="right"/>
      <w:pPr>
        <w:ind w:left="2160" w:hanging="180"/>
      </w:pPr>
    </w:lvl>
    <w:lvl w:ilvl="3" w:tplc="02002FA8" w:tentative="1">
      <w:start w:val="1"/>
      <w:numFmt w:val="decimal"/>
      <w:lvlText w:val="%4."/>
      <w:lvlJc w:val="left"/>
      <w:pPr>
        <w:ind w:left="2880" w:hanging="360"/>
      </w:pPr>
    </w:lvl>
    <w:lvl w:ilvl="4" w:tplc="CA4A051E" w:tentative="1">
      <w:start w:val="1"/>
      <w:numFmt w:val="lowerLetter"/>
      <w:lvlText w:val="%5."/>
      <w:lvlJc w:val="left"/>
      <w:pPr>
        <w:ind w:left="3600" w:hanging="360"/>
      </w:pPr>
    </w:lvl>
    <w:lvl w:ilvl="5" w:tplc="C34269CE" w:tentative="1">
      <w:start w:val="1"/>
      <w:numFmt w:val="lowerRoman"/>
      <w:lvlText w:val="%6."/>
      <w:lvlJc w:val="right"/>
      <w:pPr>
        <w:ind w:left="4320" w:hanging="180"/>
      </w:pPr>
    </w:lvl>
    <w:lvl w:ilvl="6" w:tplc="99468240" w:tentative="1">
      <w:start w:val="1"/>
      <w:numFmt w:val="decimal"/>
      <w:lvlText w:val="%7."/>
      <w:lvlJc w:val="left"/>
      <w:pPr>
        <w:ind w:left="5040" w:hanging="360"/>
      </w:pPr>
    </w:lvl>
    <w:lvl w:ilvl="7" w:tplc="66C03EAA" w:tentative="1">
      <w:start w:val="1"/>
      <w:numFmt w:val="lowerLetter"/>
      <w:lvlText w:val="%8."/>
      <w:lvlJc w:val="left"/>
      <w:pPr>
        <w:ind w:left="5760" w:hanging="360"/>
      </w:pPr>
    </w:lvl>
    <w:lvl w:ilvl="8" w:tplc="4C90B308" w:tentative="1">
      <w:start w:val="1"/>
      <w:numFmt w:val="lowerRoman"/>
      <w:lvlText w:val="%9."/>
      <w:lvlJc w:val="right"/>
      <w:pPr>
        <w:ind w:left="6480" w:hanging="180"/>
      </w:pPr>
    </w:lvl>
  </w:abstractNum>
  <w:abstractNum w:abstractNumId="1" w15:restartNumberingAfterBreak="0">
    <w:nsid w:val="42643E02"/>
    <w:multiLevelType w:val="hybridMultilevel"/>
    <w:tmpl w:val="D952C686"/>
    <w:lvl w:ilvl="0" w:tplc="49BE8D14">
      <w:start w:val="1"/>
      <w:numFmt w:val="decimal"/>
      <w:lvlText w:val="%1."/>
      <w:lvlJc w:val="left"/>
      <w:pPr>
        <w:ind w:left="720" w:hanging="360"/>
      </w:pPr>
      <w:rPr>
        <w:rFonts w:hint="default"/>
      </w:rPr>
    </w:lvl>
    <w:lvl w:ilvl="1" w:tplc="D43A38F2" w:tentative="1">
      <w:start w:val="1"/>
      <w:numFmt w:val="lowerLetter"/>
      <w:lvlText w:val="%2."/>
      <w:lvlJc w:val="left"/>
      <w:pPr>
        <w:ind w:left="1440" w:hanging="360"/>
      </w:pPr>
    </w:lvl>
    <w:lvl w:ilvl="2" w:tplc="EBD02A14" w:tentative="1">
      <w:start w:val="1"/>
      <w:numFmt w:val="lowerRoman"/>
      <w:lvlText w:val="%3."/>
      <w:lvlJc w:val="right"/>
      <w:pPr>
        <w:ind w:left="2160" w:hanging="180"/>
      </w:pPr>
    </w:lvl>
    <w:lvl w:ilvl="3" w:tplc="B1488CF2" w:tentative="1">
      <w:start w:val="1"/>
      <w:numFmt w:val="decimal"/>
      <w:lvlText w:val="%4."/>
      <w:lvlJc w:val="left"/>
      <w:pPr>
        <w:ind w:left="2880" w:hanging="360"/>
      </w:pPr>
    </w:lvl>
    <w:lvl w:ilvl="4" w:tplc="9948DB20" w:tentative="1">
      <w:start w:val="1"/>
      <w:numFmt w:val="lowerLetter"/>
      <w:lvlText w:val="%5."/>
      <w:lvlJc w:val="left"/>
      <w:pPr>
        <w:ind w:left="3600" w:hanging="360"/>
      </w:pPr>
    </w:lvl>
    <w:lvl w:ilvl="5" w:tplc="019C1058" w:tentative="1">
      <w:start w:val="1"/>
      <w:numFmt w:val="lowerRoman"/>
      <w:lvlText w:val="%6."/>
      <w:lvlJc w:val="right"/>
      <w:pPr>
        <w:ind w:left="4320" w:hanging="180"/>
      </w:pPr>
    </w:lvl>
    <w:lvl w:ilvl="6" w:tplc="3AFC5B3A" w:tentative="1">
      <w:start w:val="1"/>
      <w:numFmt w:val="decimal"/>
      <w:lvlText w:val="%7."/>
      <w:lvlJc w:val="left"/>
      <w:pPr>
        <w:ind w:left="5040" w:hanging="360"/>
      </w:pPr>
    </w:lvl>
    <w:lvl w:ilvl="7" w:tplc="5D168DFA" w:tentative="1">
      <w:start w:val="1"/>
      <w:numFmt w:val="lowerLetter"/>
      <w:lvlText w:val="%8."/>
      <w:lvlJc w:val="left"/>
      <w:pPr>
        <w:ind w:left="5760" w:hanging="360"/>
      </w:pPr>
    </w:lvl>
    <w:lvl w:ilvl="8" w:tplc="59B84A04" w:tentative="1">
      <w:start w:val="1"/>
      <w:numFmt w:val="lowerRoman"/>
      <w:lvlText w:val="%9."/>
      <w:lvlJc w:val="right"/>
      <w:pPr>
        <w:ind w:left="6480" w:hanging="180"/>
      </w:pPr>
    </w:lvl>
  </w:abstractNum>
  <w:abstractNum w:abstractNumId="2" w15:restartNumberingAfterBreak="0">
    <w:nsid w:val="572029F9"/>
    <w:multiLevelType w:val="hybridMultilevel"/>
    <w:tmpl w:val="786058DA"/>
    <w:lvl w:ilvl="0" w:tplc="109EED76">
      <w:start w:val="1"/>
      <w:numFmt w:val="bullet"/>
      <w:lvlText w:val=""/>
      <w:lvlJc w:val="left"/>
      <w:pPr>
        <w:ind w:left="1440" w:hanging="360"/>
      </w:pPr>
      <w:rPr>
        <w:rFonts w:ascii="Symbol" w:hAnsi="Symbol" w:hint="default"/>
      </w:rPr>
    </w:lvl>
    <w:lvl w:ilvl="1" w:tplc="57A01316" w:tentative="1">
      <w:start w:val="1"/>
      <w:numFmt w:val="bullet"/>
      <w:lvlText w:val="o"/>
      <w:lvlJc w:val="left"/>
      <w:pPr>
        <w:ind w:left="2160" w:hanging="360"/>
      </w:pPr>
      <w:rPr>
        <w:rFonts w:ascii="Courier New" w:hAnsi="Courier New" w:cs="Courier New" w:hint="default"/>
      </w:rPr>
    </w:lvl>
    <w:lvl w:ilvl="2" w:tplc="9718ECCC" w:tentative="1">
      <w:start w:val="1"/>
      <w:numFmt w:val="bullet"/>
      <w:lvlText w:val=""/>
      <w:lvlJc w:val="left"/>
      <w:pPr>
        <w:ind w:left="2880" w:hanging="360"/>
      </w:pPr>
      <w:rPr>
        <w:rFonts w:ascii="Wingdings" w:hAnsi="Wingdings" w:hint="default"/>
      </w:rPr>
    </w:lvl>
    <w:lvl w:ilvl="3" w:tplc="D6589B8A" w:tentative="1">
      <w:start w:val="1"/>
      <w:numFmt w:val="bullet"/>
      <w:lvlText w:val=""/>
      <w:lvlJc w:val="left"/>
      <w:pPr>
        <w:ind w:left="3600" w:hanging="360"/>
      </w:pPr>
      <w:rPr>
        <w:rFonts w:ascii="Symbol" w:hAnsi="Symbol" w:hint="default"/>
      </w:rPr>
    </w:lvl>
    <w:lvl w:ilvl="4" w:tplc="792AA5E4" w:tentative="1">
      <w:start w:val="1"/>
      <w:numFmt w:val="bullet"/>
      <w:lvlText w:val="o"/>
      <w:lvlJc w:val="left"/>
      <w:pPr>
        <w:ind w:left="4320" w:hanging="360"/>
      </w:pPr>
      <w:rPr>
        <w:rFonts w:ascii="Courier New" w:hAnsi="Courier New" w:cs="Courier New" w:hint="default"/>
      </w:rPr>
    </w:lvl>
    <w:lvl w:ilvl="5" w:tplc="AAE0EBC6" w:tentative="1">
      <w:start w:val="1"/>
      <w:numFmt w:val="bullet"/>
      <w:lvlText w:val=""/>
      <w:lvlJc w:val="left"/>
      <w:pPr>
        <w:ind w:left="5040" w:hanging="360"/>
      </w:pPr>
      <w:rPr>
        <w:rFonts w:ascii="Wingdings" w:hAnsi="Wingdings" w:hint="default"/>
      </w:rPr>
    </w:lvl>
    <w:lvl w:ilvl="6" w:tplc="C30C5370" w:tentative="1">
      <w:start w:val="1"/>
      <w:numFmt w:val="bullet"/>
      <w:lvlText w:val=""/>
      <w:lvlJc w:val="left"/>
      <w:pPr>
        <w:ind w:left="5760" w:hanging="360"/>
      </w:pPr>
      <w:rPr>
        <w:rFonts w:ascii="Symbol" w:hAnsi="Symbol" w:hint="default"/>
      </w:rPr>
    </w:lvl>
    <w:lvl w:ilvl="7" w:tplc="4108556A" w:tentative="1">
      <w:start w:val="1"/>
      <w:numFmt w:val="bullet"/>
      <w:lvlText w:val="o"/>
      <w:lvlJc w:val="left"/>
      <w:pPr>
        <w:ind w:left="6480" w:hanging="360"/>
      </w:pPr>
      <w:rPr>
        <w:rFonts w:ascii="Courier New" w:hAnsi="Courier New" w:cs="Courier New" w:hint="default"/>
      </w:rPr>
    </w:lvl>
    <w:lvl w:ilvl="8" w:tplc="3F1A3AA0" w:tentative="1">
      <w:start w:val="1"/>
      <w:numFmt w:val="bullet"/>
      <w:lvlText w:val=""/>
      <w:lvlJc w:val="left"/>
      <w:pPr>
        <w:ind w:left="7200" w:hanging="360"/>
      </w:pPr>
      <w:rPr>
        <w:rFonts w:ascii="Wingdings" w:hAnsi="Wingdings" w:hint="default"/>
      </w:rPr>
    </w:lvl>
  </w:abstractNum>
  <w:abstractNum w:abstractNumId="3" w15:restartNumberingAfterBreak="0">
    <w:nsid w:val="5C351AFE"/>
    <w:multiLevelType w:val="hybridMultilevel"/>
    <w:tmpl w:val="D97020C2"/>
    <w:lvl w:ilvl="0" w:tplc="CFB63A08">
      <w:start w:val="2"/>
      <w:numFmt w:val="bullet"/>
      <w:lvlText w:val="-"/>
      <w:lvlJc w:val="left"/>
      <w:pPr>
        <w:ind w:left="2520" w:hanging="360"/>
      </w:pPr>
      <w:rPr>
        <w:rFonts w:ascii="Arial" w:eastAsia="Times New Roman" w:hAnsi="Arial" w:cs="Arial" w:hint="default"/>
        <w:b w:val="0"/>
      </w:rPr>
    </w:lvl>
    <w:lvl w:ilvl="1" w:tplc="945E748E" w:tentative="1">
      <w:start w:val="1"/>
      <w:numFmt w:val="bullet"/>
      <w:lvlText w:val="o"/>
      <w:lvlJc w:val="left"/>
      <w:pPr>
        <w:ind w:left="3240" w:hanging="360"/>
      </w:pPr>
      <w:rPr>
        <w:rFonts w:ascii="Courier New" w:hAnsi="Courier New" w:cs="Courier New" w:hint="default"/>
      </w:rPr>
    </w:lvl>
    <w:lvl w:ilvl="2" w:tplc="F9F48E16" w:tentative="1">
      <w:start w:val="1"/>
      <w:numFmt w:val="bullet"/>
      <w:lvlText w:val=""/>
      <w:lvlJc w:val="left"/>
      <w:pPr>
        <w:ind w:left="3960" w:hanging="360"/>
      </w:pPr>
      <w:rPr>
        <w:rFonts w:ascii="Wingdings" w:hAnsi="Wingdings" w:hint="default"/>
      </w:rPr>
    </w:lvl>
    <w:lvl w:ilvl="3" w:tplc="45623832" w:tentative="1">
      <w:start w:val="1"/>
      <w:numFmt w:val="bullet"/>
      <w:lvlText w:val=""/>
      <w:lvlJc w:val="left"/>
      <w:pPr>
        <w:ind w:left="4680" w:hanging="360"/>
      </w:pPr>
      <w:rPr>
        <w:rFonts w:ascii="Symbol" w:hAnsi="Symbol" w:hint="default"/>
      </w:rPr>
    </w:lvl>
    <w:lvl w:ilvl="4" w:tplc="22E044CE" w:tentative="1">
      <w:start w:val="1"/>
      <w:numFmt w:val="bullet"/>
      <w:lvlText w:val="o"/>
      <w:lvlJc w:val="left"/>
      <w:pPr>
        <w:ind w:left="5400" w:hanging="360"/>
      </w:pPr>
      <w:rPr>
        <w:rFonts w:ascii="Courier New" w:hAnsi="Courier New" w:cs="Courier New" w:hint="default"/>
      </w:rPr>
    </w:lvl>
    <w:lvl w:ilvl="5" w:tplc="DF009C1C" w:tentative="1">
      <w:start w:val="1"/>
      <w:numFmt w:val="bullet"/>
      <w:lvlText w:val=""/>
      <w:lvlJc w:val="left"/>
      <w:pPr>
        <w:ind w:left="6120" w:hanging="360"/>
      </w:pPr>
      <w:rPr>
        <w:rFonts w:ascii="Wingdings" w:hAnsi="Wingdings" w:hint="default"/>
      </w:rPr>
    </w:lvl>
    <w:lvl w:ilvl="6" w:tplc="8192667A" w:tentative="1">
      <w:start w:val="1"/>
      <w:numFmt w:val="bullet"/>
      <w:lvlText w:val=""/>
      <w:lvlJc w:val="left"/>
      <w:pPr>
        <w:ind w:left="6840" w:hanging="360"/>
      </w:pPr>
      <w:rPr>
        <w:rFonts w:ascii="Symbol" w:hAnsi="Symbol" w:hint="default"/>
      </w:rPr>
    </w:lvl>
    <w:lvl w:ilvl="7" w:tplc="F53A7CE6" w:tentative="1">
      <w:start w:val="1"/>
      <w:numFmt w:val="bullet"/>
      <w:lvlText w:val="o"/>
      <w:lvlJc w:val="left"/>
      <w:pPr>
        <w:ind w:left="7560" w:hanging="360"/>
      </w:pPr>
      <w:rPr>
        <w:rFonts w:ascii="Courier New" w:hAnsi="Courier New" w:cs="Courier New" w:hint="default"/>
      </w:rPr>
    </w:lvl>
    <w:lvl w:ilvl="8" w:tplc="F640B96A" w:tentative="1">
      <w:start w:val="1"/>
      <w:numFmt w:val="bullet"/>
      <w:lvlText w:val=""/>
      <w:lvlJc w:val="left"/>
      <w:pPr>
        <w:ind w:left="8280" w:hanging="360"/>
      </w:pPr>
      <w:rPr>
        <w:rFonts w:ascii="Wingdings" w:hAnsi="Wingdings" w:hint="default"/>
      </w:rPr>
    </w:lvl>
  </w:abstractNum>
  <w:abstractNum w:abstractNumId="4" w15:restartNumberingAfterBreak="0">
    <w:nsid w:val="7E5D7989"/>
    <w:multiLevelType w:val="hybridMultilevel"/>
    <w:tmpl w:val="AD40EACC"/>
    <w:lvl w:ilvl="0" w:tplc="D102BD64">
      <w:start w:val="1"/>
      <w:numFmt w:val="bullet"/>
      <w:lvlText w:val=""/>
      <w:lvlJc w:val="left"/>
      <w:pPr>
        <w:ind w:left="1440" w:hanging="360"/>
      </w:pPr>
      <w:rPr>
        <w:rFonts w:ascii="Symbol" w:hAnsi="Symbol" w:hint="default"/>
      </w:rPr>
    </w:lvl>
    <w:lvl w:ilvl="1" w:tplc="19FAF3BA" w:tentative="1">
      <w:start w:val="1"/>
      <w:numFmt w:val="bullet"/>
      <w:lvlText w:val="o"/>
      <w:lvlJc w:val="left"/>
      <w:pPr>
        <w:ind w:left="2160" w:hanging="360"/>
      </w:pPr>
      <w:rPr>
        <w:rFonts w:ascii="Courier New" w:hAnsi="Courier New" w:cs="Courier New" w:hint="default"/>
      </w:rPr>
    </w:lvl>
    <w:lvl w:ilvl="2" w:tplc="C9E83D8E" w:tentative="1">
      <w:start w:val="1"/>
      <w:numFmt w:val="bullet"/>
      <w:lvlText w:val=""/>
      <w:lvlJc w:val="left"/>
      <w:pPr>
        <w:ind w:left="2880" w:hanging="360"/>
      </w:pPr>
      <w:rPr>
        <w:rFonts w:ascii="Wingdings" w:hAnsi="Wingdings" w:hint="default"/>
      </w:rPr>
    </w:lvl>
    <w:lvl w:ilvl="3" w:tplc="C162529A" w:tentative="1">
      <w:start w:val="1"/>
      <w:numFmt w:val="bullet"/>
      <w:lvlText w:val=""/>
      <w:lvlJc w:val="left"/>
      <w:pPr>
        <w:ind w:left="3600" w:hanging="360"/>
      </w:pPr>
      <w:rPr>
        <w:rFonts w:ascii="Symbol" w:hAnsi="Symbol" w:hint="default"/>
      </w:rPr>
    </w:lvl>
    <w:lvl w:ilvl="4" w:tplc="7136A86C" w:tentative="1">
      <w:start w:val="1"/>
      <w:numFmt w:val="bullet"/>
      <w:lvlText w:val="o"/>
      <w:lvlJc w:val="left"/>
      <w:pPr>
        <w:ind w:left="4320" w:hanging="360"/>
      </w:pPr>
      <w:rPr>
        <w:rFonts w:ascii="Courier New" w:hAnsi="Courier New" w:cs="Courier New" w:hint="default"/>
      </w:rPr>
    </w:lvl>
    <w:lvl w:ilvl="5" w:tplc="CCE40068" w:tentative="1">
      <w:start w:val="1"/>
      <w:numFmt w:val="bullet"/>
      <w:lvlText w:val=""/>
      <w:lvlJc w:val="left"/>
      <w:pPr>
        <w:ind w:left="5040" w:hanging="360"/>
      </w:pPr>
      <w:rPr>
        <w:rFonts w:ascii="Wingdings" w:hAnsi="Wingdings" w:hint="default"/>
      </w:rPr>
    </w:lvl>
    <w:lvl w:ilvl="6" w:tplc="FC527ECE" w:tentative="1">
      <w:start w:val="1"/>
      <w:numFmt w:val="bullet"/>
      <w:lvlText w:val=""/>
      <w:lvlJc w:val="left"/>
      <w:pPr>
        <w:ind w:left="5760" w:hanging="360"/>
      </w:pPr>
      <w:rPr>
        <w:rFonts w:ascii="Symbol" w:hAnsi="Symbol" w:hint="default"/>
      </w:rPr>
    </w:lvl>
    <w:lvl w:ilvl="7" w:tplc="3970D0D0" w:tentative="1">
      <w:start w:val="1"/>
      <w:numFmt w:val="bullet"/>
      <w:lvlText w:val="o"/>
      <w:lvlJc w:val="left"/>
      <w:pPr>
        <w:ind w:left="6480" w:hanging="360"/>
      </w:pPr>
      <w:rPr>
        <w:rFonts w:ascii="Courier New" w:hAnsi="Courier New" w:cs="Courier New" w:hint="default"/>
      </w:rPr>
    </w:lvl>
    <w:lvl w:ilvl="8" w:tplc="56F8E22E" w:tentative="1">
      <w:start w:val="1"/>
      <w:numFmt w:val="bullet"/>
      <w:lvlText w:val=""/>
      <w:lvlJc w:val="left"/>
      <w:pPr>
        <w:ind w:left="7200" w:hanging="360"/>
      </w:pPr>
      <w:rPr>
        <w:rFonts w:ascii="Wingdings" w:hAnsi="Wingdings" w:hint="default"/>
      </w:rPr>
    </w:lvl>
  </w:abstractNum>
  <w:num w:numId="1" w16cid:durableId="1989170654">
    <w:abstractNumId w:val="1"/>
  </w:num>
  <w:num w:numId="2" w16cid:durableId="1738474799">
    <w:abstractNumId w:val="4"/>
  </w:num>
  <w:num w:numId="3" w16cid:durableId="1924298508">
    <w:abstractNumId w:val="2"/>
  </w:num>
  <w:num w:numId="4" w16cid:durableId="299966119">
    <w:abstractNumId w:val="3"/>
  </w:num>
  <w:num w:numId="5" w16cid:durableId="1422680575">
    <w:abstractNumId w:val="0"/>
  </w:num>
  <w:num w:numId="6" w16cid:durableId="207867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BD5"/>
    <w:rsid w:val="00006A6C"/>
    <w:rsid w:val="00012B9F"/>
    <w:rsid w:val="00081931"/>
    <w:rsid w:val="00091F39"/>
    <w:rsid w:val="000A07C1"/>
    <w:rsid w:val="000B329C"/>
    <w:rsid w:val="000C0E27"/>
    <w:rsid w:val="000C1AAE"/>
    <w:rsid w:val="000E5D3F"/>
    <w:rsid w:val="000F0AAF"/>
    <w:rsid w:val="000F4ADA"/>
    <w:rsid w:val="000F796C"/>
    <w:rsid w:val="0010158D"/>
    <w:rsid w:val="00132C5F"/>
    <w:rsid w:val="00161EAA"/>
    <w:rsid w:val="00181ADF"/>
    <w:rsid w:val="001B0D83"/>
    <w:rsid w:val="001B3BB4"/>
    <w:rsid w:val="001D12F4"/>
    <w:rsid w:val="001E20EB"/>
    <w:rsid w:val="001E2B05"/>
    <w:rsid w:val="001F046D"/>
    <w:rsid w:val="001F48A0"/>
    <w:rsid w:val="00204594"/>
    <w:rsid w:val="0021173E"/>
    <w:rsid w:val="00220D76"/>
    <w:rsid w:val="002327F0"/>
    <w:rsid w:val="00241CD9"/>
    <w:rsid w:val="00243B12"/>
    <w:rsid w:val="00256093"/>
    <w:rsid w:val="00256397"/>
    <w:rsid w:val="00272759"/>
    <w:rsid w:val="00276158"/>
    <w:rsid w:val="002846F1"/>
    <w:rsid w:val="00285331"/>
    <w:rsid w:val="002957D2"/>
    <w:rsid w:val="002A3916"/>
    <w:rsid w:val="002C2AD1"/>
    <w:rsid w:val="002E4C77"/>
    <w:rsid w:val="002F365C"/>
    <w:rsid w:val="00310BFF"/>
    <w:rsid w:val="00354202"/>
    <w:rsid w:val="00357F81"/>
    <w:rsid w:val="003B376D"/>
    <w:rsid w:val="003C7653"/>
    <w:rsid w:val="003E3ABA"/>
    <w:rsid w:val="0040501F"/>
    <w:rsid w:val="00407832"/>
    <w:rsid w:val="004226F5"/>
    <w:rsid w:val="00426E30"/>
    <w:rsid w:val="00427D13"/>
    <w:rsid w:val="00432F1A"/>
    <w:rsid w:val="004463DA"/>
    <w:rsid w:val="00454C00"/>
    <w:rsid w:val="0047177E"/>
    <w:rsid w:val="004945FB"/>
    <w:rsid w:val="004B6F51"/>
    <w:rsid w:val="004D17E2"/>
    <w:rsid w:val="004E52E9"/>
    <w:rsid w:val="004F7BAA"/>
    <w:rsid w:val="0050293E"/>
    <w:rsid w:val="005164C4"/>
    <w:rsid w:val="005423B4"/>
    <w:rsid w:val="00547D29"/>
    <w:rsid w:val="00552E8E"/>
    <w:rsid w:val="0056489A"/>
    <w:rsid w:val="00565957"/>
    <w:rsid w:val="005661CA"/>
    <w:rsid w:val="00567CEA"/>
    <w:rsid w:val="00576070"/>
    <w:rsid w:val="00577E14"/>
    <w:rsid w:val="00581662"/>
    <w:rsid w:val="005A1EE5"/>
    <w:rsid w:val="005C1B0B"/>
    <w:rsid w:val="005F0DBA"/>
    <w:rsid w:val="0060059D"/>
    <w:rsid w:val="00640132"/>
    <w:rsid w:val="00646161"/>
    <w:rsid w:val="00647728"/>
    <w:rsid w:val="00677BD5"/>
    <w:rsid w:val="006A3BFB"/>
    <w:rsid w:val="006A792C"/>
    <w:rsid w:val="006D5061"/>
    <w:rsid w:val="006D6F76"/>
    <w:rsid w:val="006F0A56"/>
    <w:rsid w:val="007309FC"/>
    <w:rsid w:val="00741EFF"/>
    <w:rsid w:val="007664C4"/>
    <w:rsid w:val="00783B04"/>
    <w:rsid w:val="0078425D"/>
    <w:rsid w:val="0078791B"/>
    <w:rsid w:val="0079312B"/>
    <w:rsid w:val="007B4562"/>
    <w:rsid w:val="007C0E16"/>
    <w:rsid w:val="00801F27"/>
    <w:rsid w:val="008204BE"/>
    <w:rsid w:val="008629E1"/>
    <w:rsid w:val="008648CE"/>
    <w:rsid w:val="00873D5B"/>
    <w:rsid w:val="0088503A"/>
    <w:rsid w:val="008A5FF0"/>
    <w:rsid w:val="008D08BA"/>
    <w:rsid w:val="0094088F"/>
    <w:rsid w:val="00946A6C"/>
    <w:rsid w:val="00967B1D"/>
    <w:rsid w:val="0097223E"/>
    <w:rsid w:val="009846F9"/>
    <w:rsid w:val="009929D7"/>
    <w:rsid w:val="009941FA"/>
    <w:rsid w:val="009B0EB1"/>
    <w:rsid w:val="009B3286"/>
    <w:rsid w:val="009B6C47"/>
    <w:rsid w:val="009F42D4"/>
    <w:rsid w:val="00A1233D"/>
    <w:rsid w:val="00A20A43"/>
    <w:rsid w:val="00A351C8"/>
    <w:rsid w:val="00A42D33"/>
    <w:rsid w:val="00A46879"/>
    <w:rsid w:val="00A65C85"/>
    <w:rsid w:val="00A70E6D"/>
    <w:rsid w:val="00A71BF8"/>
    <w:rsid w:val="00A932D8"/>
    <w:rsid w:val="00AB06AD"/>
    <w:rsid w:val="00AC2618"/>
    <w:rsid w:val="00AE2319"/>
    <w:rsid w:val="00AE7C37"/>
    <w:rsid w:val="00B04731"/>
    <w:rsid w:val="00B05A4C"/>
    <w:rsid w:val="00B07722"/>
    <w:rsid w:val="00B34CD1"/>
    <w:rsid w:val="00BA480E"/>
    <w:rsid w:val="00BB31DF"/>
    <w:rsid w:val="00BE243F"/>
    <w:rsid w:val="00BF1AAC"/>
    <w:rsid w:val="00BF31B1"/>
    <w:rsid w:val="00BF71AF"/>
    <w:rsid w:val="00C0108D"/>
    <w:rsid w:val="00C0469C"/>
    <w:rsid w:val="00C31CBB"/>
    <w:rsid w:val="00C46413"/>
    <w:rsid w:val="00C61DBF"/>
    <w:rsid w:val="00C74543"/>
    <w:rsid w:val="00C97945"/>
    <w:rsid w:val="00C97C7C"/>
    <w:rsid w:val="00CA3ECA"/>
    <w:rsid w:val="00CD11B6"/>
    <w:rsid w:val="00CD548C"/>
    <w:rsid w:val="00D12C29"/>
    <w:rsid w:val="00D1619C"/>
    <w:rsid w:val="00D33CC5"/>
    <w:rsid w:val="00D5532E"/>
    <w:rsid w:val="00D724DE"/>
    <w:rsid w:val="00D91B0C"/>
    <w:rsid w:val="00DB5006"/>
    <w:rsid w:val="00DD150A"/>
    <w:rsid w:val="00DF6A24"/>
    <w:rsid w:val="00E1320B"/>
    <w:rsid w:val="00E22B69"/>
    <w:rsid w:val="00E34EB7"/>
    <w:rsid w:val="00E44476"/>
    <w:rsid w:val="00E60AF3"/>
    <w:rsid w:val="00E6176F"/>
    <w:rsid w:val="00E6276F"/>
    <w:rsid w:val="00E6561F"/>
    <w:rsid w:val="00E932F8"/>
    <w:rsid w:val="00EA1ED5"/>
    <w:rsid w:val="00EA207A"/>
    <w:rsid w:val="00EB3EB2"/>
    <w:rsid w:val="00ED6FE0"/>
    <w:rsid w:val="00EE0DE1"/>
    <w:rsid w:val="00EE24BD"/>
    <w:rsid w:val="00EE2F19"/>
    <w:rsid w:val="00F10471"/>
    <w:rsid w:val="00F2613F"/>
    <w:rsid w:val="00F33C33"/>
    <w:rsid w:val="00F36793"/>
    <w:rsid w:val="00F50D30"/>
    <w:rsid w:val="00F56139"/>
    <w:rsid w:val="00F611A0"/>
    <w:rsid w:val="00F71EDD"/>
    <w:rsid w:val="00F7436E"/>
    <w:rsid w:val="00FB3ED0"/>
    <w:rsid w:val="00FC265C"/>
    <w:rsid w:val="00FD2291"/>
    <w:rsid w:val="00FF2B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B88E2"/>
  <w15:chartTrackingRefBased/>
  <w15:docId w15:val="{FDBC0C8C-3160-4AA9-932E-3F47D0647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5FB"/>
    <w:pPr>
      <w:spacing w:after="0" w:line="360" w:lineRule="auto"/>
      <w:jc w:val="both"/>
    </w:pPr>
    <w:rPr>
      <w:rFonts w:ascii="Times New Roman" w:hAnsi="Times New Roman" w:cs="Times New Roman"/>
      <w:kern w:val="0"/>
      <w:sz w:val="24"/>
      <w:szCs w:val="20"/>
      <w:lang w:val="en-GB" w:eastAsia="en-GB"/>
      <w14:ligatures w14:val="none"/>
    </w:rPr>
  </w:style>
  <w:style w:type="paragraph" w:styleId="Heading1">
    <w:name w:val="heading 1"/>
    <w:basedOn w:val="Normal"/>
    <w:next w:val="Normal"/>
    <w:link w:val="Heading1Char"/>
    <w:uiPriority w:val="9"/>
    <w:qFormat/>
    <w:rsid w:val="00AE7C37"/>
    <w:pPr>
      <w:keepNext/>
      <w:keepLines/>
      <w:spacing w:before="240"/>
      <w:outlineLvl w:val="0"/>
    </w:pPr>
    <w:rPr>
      <w:rFonts w:eastAsiaTheme="majorEastAsia" w:cstheme="majorBidi"/>
      <w:b/>
      <w:szCs w:val="32"/>
      <w:lang w:val="en-IN"/>
    </w:rPr>
  </w:style>
  <w:style w:type="paragraph" w:styleId="Heading2">
    <w:name w:val="heading 2"/>
    <w:basedOn w:val="Normal"/>
    <w:next w:val="Normal"/>
    <w:link w:val="Heading2Char"/>
    <w:unhideWhenUsed/>
    <w:qFormat/>
    <w:rsid w:val="004945FB"/>
    <w:pPr>
      <w:keepNext/>
      <w:keepLines/>
      <w:spacing w:before="160" w:after="80"/>
      <w:outlineLvl w:val="1"/>
    </w:pPr>
    <w:rPr>
      <w:rFonts w:eastAsiaTheme="majorEastAsia" w:cstheme="majorBidi"/>
      <w:b/>
      <w:i/>
      <w:szCs w:val="32"/>
    </w:rPr>
  </w:style>
  <w:style w:type="paragraph" w:styleId="Heading3">
    <w:name w:val="heading 3"/>
    <w:basedOn w:val="Normal"/>
    <w:next w:val="Normal"/>
    <w:link w:val="Heading3Char"/>
    <w:uiPriority w:val="9"/>
    <w:semiHidden/>
    <w:unhideWhenUsed/>
    <w:qFormat/>
    <w:rsid w:val="00677BD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7BD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77BD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77BD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77BD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77BD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77BD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45FB"/>
    <w:rPr>
      <w:rFonts w:ascii="Times New Roman" w:eastAsiaTheme="majorEastAsia" w:hAnsi="Times New Roman" w:cstheme="majorBidi"/>
      <w:b/>
      <w:i/>
      <w:kern w:val="0"/>
      <w:sz w:val="24"/>
      <w:szCs w:val="32"/>
      <w:lang w:val="en-GB" w:eastAsia="en-GB"/>
      <w14:ligatures w14:val="none"/>
    </w:rPr>
  </w:style>
  <w:style w:type="character" w:customStyle="1" w:styleId="Heading1Char">
    <w:name w:val="Heading 1 Char"/>
    <w:basedOn w:val="DefaultParagraphFont"/>
    <w:link w:val="Heading1"/>
    <w:uiPriority w:val="9"/>
    <w:rsid w:val="00AE7C37"/>
    <w:rPr>
      <w:rFonts w:ascii="Times New Roman" w:eastAsiaTheme="majorEastAsia" w:hAnsi="Times New Roman" w:cstheme="majorBidi"/>
      <w:b/>
      <w:kern w:val="0"/>
      <w:sz w:val="24"/>
      <w:szCs w:val="32"/>
      <w:lang w:eastAsia="en-GB"/>
      <w14:ligatures w14:val="none"/>
    </w:rPr>
  </w:style>
  <w:style w:type="paragraph" w:styleId="NoSpacing">
    <w:name w:val="No Spacing"/>
    <w:uiPriority w:val="1"/>
    <w:qFormat/>
    <w:rsid w:val="00204594"/>
    <w:pPr>
      <w:widowControl w:val="0"/>
      <w:autoSpaceDE w:val="0"/>
      <w:autoSpaceDN w:val="0"/>
      <w:spacing w:after="0" w:line="360" w:lineRule="auto"/>
      <w:jc w:val="both"/>
    </w:pPr>
    <w:rPr>
      <w:rFonts w:ascii="Times New Roman" w:eastAsia="Arial" w:hAnsi="Times New Roman" w:cs="Arial"/>
      <w:kern w:val="0"/>
      <w:sz w:val="24"/>
      <w:lang w:val="en-GB"/>
      <w14:ligatures w14:val="none"/>
    </w:rPr>
  </w:style>
  <w:style w:type="paragraph" w:styleId="Title">
    <w:name w:val="Title"/>
    <w:basedOn w:val="Normal"/>
    <w:next w:val="Normal"/>
    <w:link w:val="TitleChar"/>
    <w:uiPriority w:val="10"/>
    <w:qFormat/>
    <w:rsid w:val="008D08BA"/>
    <w:pPr>
      <w:spacing w:after="80"/>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8D08BA"/>
    <w:rPr>
      <w:rFonts w:ascii="Times New Roman" w:eastAsiaTheme="majorEastAsia" w:hAnsi="Times New Roman" w:cstheme="majorBidi"/>
      <w:spacing w:val="-10"/>
      <w:kern w:val="28"/>
      <w:sz w:val="36"/>
      <w:szCs w:val="56"/>
      <w:lang w:val="en-GB"/>
      <w14:ligatures w14:val="none"/>
    </w:rPr>
  </w:style>
  <w:style w:type="character" w:customStyle="1" w:styleId="Heading3Char">
    <w:name w:val="Heading 3 Char"/>
    <w:basedOn w:val="DefaultParagraphFont"/>
    <w:link w:val="Heading3"/>
    <w:uiPriority w:val="9"/>
    <w:semiHidden/>
    <w:rsid w:val="00677BD5"/>
    <w:rPr>
      <w:rFonts w:eastAsiaTheme="majorEastAsia" w:cstheme="majorBidi"/>
      <w:color w:val="2F5496" w:themeColor="accent1" w:themeShade="BF"/>
      <w:kern w:val="0"/>
      <w:sz w:val="28"/>
      <w:szCs w:val="28"/>
      <w:lang w:val="en-GB" w:eastAsia="en-GB"/>
      <w14:ligatures w14:val="none"/>
    </w:rPr>
  </w:style>
  <w:style w:type="character" w:customStyle="1" w:styleId="Heading4Char">
    <w:name w:val="Heading 4 Char"/>
    <w:basedOn w:val="DefaultParagraphFont"/>
    <w:link w:val="Heading4"/>
    <w:uiPriority w:val="9"/>
    <w:semiHidden/>
    <w:rsid w:val="00677BD5"/>
    <w:rPr>
      <w:rFonts w:eastAsiaTheme="majorEastAsia" w:cstheme="majorBidi"/>
      <w:i/>
      <w:iCs/>
      <w:color w:val="2F5496" w:themeColor="accent1" w:themeShade="BF"/>
      <w:kern w:val="0"/>
      <w:sz w:val="24"/>
      <w:szCs w:val="20"/>
      <w:lang w:val="en-GB" w:eastAsia="en-GB"/>
      <w14:ligatures w14:val="none"/>
    </w:rPr>
  </w:style>
  <w:style w:type="character" w:customStyle="1" w:styleId="Heading5Char">
    <w:name w:val="Heading 5 Char"/>
    <w:basedOn w:val="DefaultParagraphFont"/>
    <w:link w:val="Heading5"/>
    <w:uiPriority w:val="9"/>
    <w:semiHidden/>
    <w:rsid w:val="00677BD5"/>
    <w:rPr>
      <w:rFonts w:eastAsiaTheme="majorEastAsia" w:cstheme="majorBidi"/>
      <w:color w:val="2F5496" w:themeColor="accent1" w:themeShade="BF"/>
      <w:kern w:val="0"/>
      <w:sz w:val="24"/>
      <w:szCs w:val="20"/>
      <w:lang w:val="en-GB" w:eastAsia="en-GB"/>
      <w14:ligatures w14:val="none"/>
    </w:rPr>
  </w:style>
  <w:style w:type="character" w:customStyle="1" w:styleId="Heading6Char">
    <w:name w:val="Heading 6 Char"/>
    <w:basedOn w:val="DefaultParagraphFont"/>
    <w:link w:val="Heading6"/>
    <w:uiPriority w:val="9"/>
    <w:semiHidden/>
    <w:rsid w:val="00677BD5"/>
    <w:rPr>
      <w:rFonts w:eastAsiaTheme="majorEastAsia" w:cstheme="majorBidi"/>
      <w:i/>
      <w:iCs/>
      <w:color w:val="595959" w:themeColor="text1" w:themeTint="A6"/>
      <w:kern w:val="0"/>
      <w:sz w:val="24"/>
      <w:szCs w:val="20"/>
      <w:lang w:val="en-GB" w:eastAsia="en-GB"/>
      <w14:ligatures w14:val="none"/>
    </w:rPr>
  </w:style>
  <w:style w:type="character" w:customStyle="1" w:styleId="Heading7Char">
    <w:name w:val="Heading 7 Char"/>
    <w:basedOn w:val="DefaultParagraphFont"/>
    <w:link w:val="Heading7"/>
    <w:uiPriority w:val="9"/>
    <w:semiHidden/>
    <w:rsid w:val="00677BD5"/>
    <w:rPr>
      <w:rFonts w:eastAsiaTheme="majorEastAsia" w:cstheme="majorBidi"/>
      <w:color w:val="595959" w:themeColor="text1" w:themeTint="A6"/>
      <w:kern w:val="0"/>
      <w:sz w:val="24"/>
      <w:szCs w:val="20"/>
      <w:lang w:val="en-GB" w:eastAsia="en-GB"/>
      <w14:ligatures w14:val="none"/>
    </w:rPr>
  </w:style>
  <w:style w:type="character" w:customStyle="1" w:styleId="Heading8Char">
    <w:name w:val="Heading 8 Char"/>
    <w:basedOn w:val="DefaultParagraphFont"/>
    <w:link w:val="Heading8"/>
    <w:uiPriority w:val="9"/>
    <w:semiHidden/>
    <w:rsid w:val="00677BD5"/>
    <w:rPr>
      <w:rFonts w:eastAsiaTheme="majorEastAsia" w:cstheme="majorBidi"/>
      <w:i/>
      <w:iCs/>
      <w:color w:val="272727" w:themeColor="text1" w:themeTint="D8"/>
      <w:kern w:val="0"/>
      <w:sz w:val="24"/>
      <w:szCs w:val="20"/>
      <w:lang w:val="en-GB" w:eastAsia="en-GB"/>
      <w14:ligatures w14:val="none"/>
    </w:rPr>
  </w:style>
  <w:style w:type="character" w:customStyle="1" w:styleId="Heading9Char">
    <w:name w:val="Heading 9 Char"/>
    <w:basedOn w:val="DefaultParagraphFont"/>
    <w:link w:val="Heading9"/>
    <w:uiPriority w:val="9"/>
    <w:semiHidden/>
    <w:rsid w:val="00677BD5"/>
    <w:rPr>
      <w:rFonts w:eastAsiaTheme="majorEastAsia" w:cstheme="majorBidi"/>
      <w:color w:val="272727" w:themeColor="text1" w:themeTint="D8"/>
      <w:kern w:val="0"/>
      <w:sz w:val="24"/>
      <w:szCs w:val="20"/>
      <w:lang w:val="en-GB" w:eastAsia="en-GB"/>
      <w14:ligatures w14:val="none"/>
    </w:rPr>
  </w:style>
  <w:style w:type="paragraph" w:styleId="Subtitle">
    <w:name w:val="Subtitle"/>
    <w:basedOn w:val="Normal"/>
    <w:next w:val="Normal"/>
    <w:link w:val="SubtitleChar"/>
    <w:uiPriority w:val="11"/>
    <w:qFormat/>
    <w:rsid w:val="00677BD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BD5"/>
    <w:rPr>
      <w:rFonts w:eastAsiaTheme="majorEastAsia" w:cstheme="majorBidi"/>
      <w:color w:val="595959" w:themeColor="text1" w:themeTint="A6"/>
      <w:spacing w:val="15"/>
      <w:kern w:val="0"/>
      <w:sz w:val="28"/>
      <w:szCs w:val="28"/>
      <w:lang w:val="en-GB" w:eastAsia="en-GB"/>
      <w14:ligatures w14:val="none"/>
    </w:rPr>
  </w:style>
  <w:style w:type="paragraph" w:styleId="Quote">
    <w:name w:val="Quote"/>
    <w:basedOn w:val="Normal"/>
    <w:next w:val="Normal"/>
    <w:link w:val="QuoteChar"/>
    <w:uiPriority w:val="29"/>
    <w:qFormat/>
    <w:rsid w:val="00677BD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7BD5"/>
    <w:rPr>
      <w:rFonts w:ascii="Times New Roman" w:hAnsi="Times New Roman" w:cs="Times New Roman"/>
      <w:i/>
      <w:iCs/>
      <w:color w:val="404040" w:themeColor="text1" w:themeTint="BF"/>
      <w:kern w:val="0"/>
      <w:sz w:val="24"/>
      <w:szCs w:val="20"/>
      <w:lang w:val="en-GB" w:eastAsia="en-GB"/>
      <w14:ligatures w14:val="none"/>
    </w:rPr>
  </w:style>
  <w:style w:type="paragraph" w:styleId="ListParagraph">
    <w:name w:val="List Paragraph"/>
    <w:basedOn w:val="Normal"/>
    <w:uiPriority w:val="34"/>
    <w:qFormat/>
    <w:rsid w:val="00677BD5"/>
    <w:pPr>
      <w:ind w:left="720"/>
      <w:contextualSpacing/>
    </w:pPr>
  </w:style>
  <w:style w:type="character" w:styleId="IntenseEmphasis">
    <w:name w:val="Intense Emphasis"/>
    <w:basedOn w:val="DefaultParagraphFont"/>
    <w:uiPriority w:val="21"/>
    <w:qFormat/>
    <w:rsid w:val="00677BD5"/>
    <w:rPr>
      <w:i/>
      <w:iCs/>
      <w:color w:val="2F5496" w:themeColor="accent1" w:themeShade="BF"/>
    </w:rPr>
  </w:style>
  <w:style w:type="paragraph" w:styleId="IntenseQuote">
    <w:name w:val="Intense Quote"/>
    <w:basedOn w:val="Normal"/>
    <w:next w:val="Normal"/>
    <w:link w:val="IntenseQuoteChar"/>
    <w:uiPriority w:val="30"/>
    <w:qFormat/>
    <w:rsid w:val="00677B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7BD5"/>
    <w:rPr>
      <w:rFonts w:ascii="Times New Roman" w:hAnsi="Times New Roman" w:cs="Times New Roman"/>
      <w:i/>
      <w:iCs/>
      <w:color w:val="2F5496" w:themeColor="accent1" w:themeShade="BF"/>
      <w:kern w:val="0"/>
      <w:sz w:val="24"/>
      <w:szCs w:val="20"/>
      <w:lang w:val="en-GB" w:eastAsia="en-GB"/>
      <w14:ligatures w14:val="none"/>
    </w:rPr>
  </w:style>
  <w:style w:type="character" w:styleId="IntenseReference">
    <w:name w:val="Intense Reference"/>
    <w:basedOn w:val="DefaultParagraphFont"/>
    <w:uiPriority w:val="32"/>
    <w:qFormat/>
    <w:rsid w:val="00677BD5"/>
    <w:rPr>
      <w:b/>
      <w:bCs/>
      <w:smallCaps/>
      <w:color w:val="2F5496" w:themeColor="accent1" w:themeShade="BF"/>
      <w:spacing w:val="5"/>
    </w:rPr>
  </w:style>
  <w:style w:type="paragraph" w:customStyle="1" w:styleId="TableParagraph">
    <w:name w:val="Table Paragraph"/>
    <w:basedOn w:val="Normal"/>
    <w:uiPriority w:val="1"/>
    <w:qFormat/>
    <w:rsid w:val="002E4C77"/>
    <w:pPr>
      <w:spacing w:line="240" w:lineRule="auto"/>
      <w:ind w:left="107"/>
      <w:jc w:val="left"/>
    </w:pPr>
    <w:rPr>
      <w:rFonts w:asciiTheme="minorHAnsi" w:eastAsiaTheme="minorEastAsia" w:hAnsiTheme="minorHAnsi" w:cstheme="minorBidi"/>
      <w:sz w:val="22"/>
      <w:szCs w:val="22"/>
    </w:rPr>
  </w:style>
  <w:style w:type="paragraph" w:styleId="TOCHeading">
    <w:name w:val="TOC Heading"/>
    <w:basedOn w:val="Heading1"/>
    <w:next w:val="Normal"/>
    <w:uiPriority w:val="39"/>
    <w:unhideWhenUsed/>
    <w:qFormat/>
    <w:rsid w:val="003E3ABA"/>
    <w:pPr>
      <w:spacing w:line="259" w:lineRule="auto"/>
      <w:jc w:val="left"/>
      <w:outlineLvl w:val="9"/>
    </w:pPr>
    <w:rPr>
      <w:rFonts w:asciiTheme="majorHAnsi" w:hAnsiTheme="majorHAnsi"/>
      <w:b w:val="0"/>
      <w:color w:val="2F5496" w:themeColor="accent1" w:themeShade="BF"/>
      <w:sz w:val="32"/>
      <w:lang w:val="en-US" w:eastAsia="en-US"/>
    </w:rPr>
  </w:style>
  <w:style w:type="paragraph" w:styleId="TOC2">
    <w:name w:val="toc 2"/>
    <w:basedOn w:val="Normal"/>
    <w:next w:val="Normal"/>
    <w:autoRedefine/>
    <w:uiPriority w:val="39"/>
    <w:unhideWhenUsed/>
    <w:rsid w:val="003E3ABA"/>
    <w:pPr>
      <w:spacing w:after="100"/>
      <w:ind w:left="240"/>
    </w:pPr>
  </w:style>
  <w:style w:type="paragraph" w:styleId="TOC1">
    <w:name w:val="toc 1"/>
    <w:basedOn w:val="Normal"/>
    <w:next w:val="Normal"/>
    <w:autoRedefine/>
    <w:uiPriority w:val="39"/>
    <w:unhideWhenUsed/>
    <w:rsid w:val="003E3ABA"/>
    <w:pPr>
      <w:spacing w:after="100"/>
    </w:pPr>
  </w:style>
  <w:style w:type="character" w:styleId="Hyperlink">
    <w:name w:val="Hyperlink"/>
    <w:basedOn w:val="DefaultParagraphFont"/>
    <w:uiPriority w:val="99"/>
    <w:unhideWhenUsed/>
    <w:rsid w:val="003E3ABA"/>
    <w:rPr>
      <w:color w:val="0563C1" w:themeColor="hyperlink"/>
      <w:u w:val="single"/>
    </w:rPr>
  </w:style>
  <w:style w:type="paragraph" w:styleId="Header">
    <w:name w:val="header"/>
    <w:basedOn w:val="Normal"/>
    <w:link w:val="HeaderChar"/>
    <w:uiPriority w:val="99"/>
    <w:unhideWhenUsed/>
    <w:rsid w:val="002846F1"/>
    <w:pPr>
      <w:tabs>
        <w:tab w:val="center" w:pos="4513"/>
        <w:tab w:val="right" w:pos="9026"/>
      </w:tabs>
      <w:spacing w:line="240" w:lineRule="auto"/>
    </w:pPr>
  </w:style>
  <w:style w:type="character" w:customStyle="1" w:styleId="HeaderChar">
    <w:name w:val="Header Char"/>
    <w:basedOn w:val="DefaultParagraphFont"/>
    <w:link w:val="Header"/>
    <w:uiPriority w:val="99"/>
    <w:rsid w:val="002846F1"/>
    <w:rPr>
      <w:rFonts w:ascii="Times New Roman" w:hAnsi="Times New Roman" w:cs="Times New Roman"/>
      <w:kern w:val="0"/>
      <w:sz w:val="24"/>
      <w:szCs w:val="20"/>
      <w:lang w:val="en-GB" w:eastAsia="en-GB"/>
      <w14:ligatures w14:val="none"/>
    </w:rPr>
  </w:style>
  <w:style w:type="paragraph" w:styleId="Footer">
    <w:name w:val="footer"/>
    <w:basedOn w:val="Normal"/>
    <w:link w:val="FooterChar"/>
    <w:uiPriority w:val="99"/>
    <w:unhideWhenUsed/>
    <w:rsid w:val="002846F1"/>
    <w:pPr>
      <w:tabs>
        <w:tab w:val="center" w:pos="4513"/>
        <w:tab w:val="right" w:pos="9026"/>
      </w:tabs>
      <w:spacing w:line="240" w:lineRule="auto"/>
    </w:pPr>
  </w:style>
  <w:style w:type="character" w:customStyle="1" w:styleId="FooterChar">
    <w:name w:val="Footer Char"/>
    <w:basedOn w:val="DefaultParagraphFont"/>
    <w:link w:val="Footer"/>
    <w:uiPriority w:val="99"/>
    <w:rsid w:val="002846F1"/>
    <w:rPr>
      <w:rFonts w:ascii="Times New Roman" w:hAnsi="Times New Roman" w:cs="Times New Roman"/>
      <w:kern w:val="0"/>
      <w:sz w:val="24"/>
      <w:szCs w:val="20"/>
      <w:lang w:val="en-GB" w:eastAsia="en-GB"/>
      <w14:ligatures w14:val="none"/>
    </w:rPr>
  </w:style>
  <w:style w:type="character" w:styleId="UnresolvedMention">
    <w:name w:val="Unresolved Mention"/>
    <w:basedOn w:val="DefaultParagraphFont"/>
    <w:uiPriority w:val="99"/>
    <w:semiHidden/>
    <w:unhideWhenUsed/>
    <w:rsid w:val="005816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FEF8A-1795-4192-B6F2-7AC733CD1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2258</Words>
  <Characters>12875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 Kotlarova</dc:creator>
  <cp:lastModifiedBy>Juliana Kotlarova</cp:lastModifiedBy>
  <cp:revision>16</cp:revision>
  <dcterms:created xsi:type="dcterms:W3CDTF">2026-02-21T15:17:00Z</dcterms:created>
  <dcterms:modified xsi:type="dcterms:W3CDTF">2026-02-21T16:42:00Z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df2a787e-ab1d-4b20-b412-6f06a80c67ee</vt:lpwstr>
  </property>
</Properties>
</file>