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4D365B" w14:textId="20794836" w:rsidR="0009599B" w:rsidRPr="004647A0" w:rsidRDefault="0009599B" w:rsidP="004647A0">
      <w:pPr>
        <w:spacing w:line="360" w:lineRule="auto"/>
        <w:jc w:val="center"/>
        <w:rPr>
          <w:rFonts w:ascii="Arial" w:hAnsi="Arial" w:cs="Arial"/>
          <w:sz w:val="22"/>
          <w:szCs w:val="22"/>
        </w:rPr>
      </w:pPr>
      <w:r w:rsidRPr="004647A0">
        <w:rPr>
          <w:rFonts w:ascii="Arial" w:hAnsi="Arial" w:cs="Arial"/>
          <w:sz w:val="22"/>
          <w:szCs w:val="22"/>
        </w:rPr>
        <w:t>Name: Tamyne Cossa</w:t>
      </w:r>
    </w:p>
    <w:p w14:paraId="2E2B3D11" w14:textId="296AAA90" w:rsidR="0009599B" w:rsidRPr="004647A0" w:rsidRDefault="0009599B" w:rsidP="004647A0">
      <w:pPr>
        <w:spacing w:line="360" w:lineRule="auto"/>
        <w:jc w:val="center"/>
        <w:rPr>
          <w:rFonts w:ascii="Arial" w:hAnsi="Arial" w:cs="Arial"/>
          <w:sz w:val="22"/>
          <w:szCs w:val="22"/>
        </w:rPr>
      </w:pPr>
      <w:r w:rsidRPr="004647A0">
        <w:rPr>
          <w:rFonts w:ascii="Arial" w:hAnsi="Arial" w:cs="Arial"/>
          <w:sz w:val="22"/>
          <w:szCs w:val="22"/>
        </w:rPr>
        <w:t>Student Number: 2507591</w:t>
      </w:r>
    </w:p>
    <w:p w14:paraId="4BD28054" w14:textId="77777777" w:rsidR="0009599B" w:rsidRPr="004647A0" w:rsidRDefault="0009599B" w:rsidP="004647A0">
      <w:pPr>
        <w:spacing w:line="360" w:lineRule="auto"/>
        <w:jc w:val="center"/>
        <w:rPr>
          <w:rFonts w:ascii="Arial" w:hAnsi="Arial" w:cs="Arial"/>
          <w:sz w:val="22"/>
          <w:szCs w:val="22"/>
        </w:rPr>
      </w:pPr>
      <w:r w:rsidRPr="004647A0">
        <w:rPr>
          <w:rFonts w:ascii="Arial" w:hAnsi="Arial" w:cs="Arial"/>
          <w:sz w:val="22"/>
          <w:szCs w:val="22"/>
        </w:rPr>
        <w:t>Module Code: BMHP5023</w:t>
      </w:r>
    </w:p>
    <w:p w14:paraId="6591F779" w14:textId="77777777" w:rsidR="0009599B" w:rsidRDefault="0009599B" w:rsidP="004647A0">
      <w:pPr>
        <w:spacing w:line="360" w:lineRule="auto"/>
        <w:jc w:val="center"/>
        <w:rPr>
          <w:rFonts w:ascii="Arial" w:hAnsi="Arial" w:cs="Arial"/>
          <w:sz w:val="22"/>
          <w:szCs w:val="22"/>
        </w:rPr>
      </w:pPr>
      <w:r w:rsidRPr="004647A0">
        <w:rPr>
          <w:rFonts w:ascii="Arial" w:hAnsi="Arial" w:cs="Arial"/>
          <w:sz w:val="22"/>
          <w:szCs w:val="22"/>
        </w:rPr>
        <w:t>Module Title: Introduction to Physiology</w:t>
      </w:r>
    </w:p>
    <w:p w14:paraId="0B60E1EB" w14:textId="512AB468" w:rsidR="00632921" w:rsidRPr="004647A0" w:rsidRDefault="00632921" w:rsidP="004647A0">
      <w:pPr>
        <w:spacing w:line="360" w:lineRule="auto"/>
        <w:jc w:val="center"/>
        <w:rPr>
          <w:rFonts w:ascii="Arial" w:hAnsi="Arial" w:cs="Arial"/>
          <w:sz w:val="22"/>
          <w:szCs w:val="22"/>
        </w:rPr>
      </w:pPr>
      <w:r>
        <w:rPr>
          <w:rFonts w:ascii="Arial" w:hAnsi="Arial" w:cs="Arial"/>
          <w:sz w:val="22"/>
          <w:szCs w:val="22"/>
        </w:rPr>
        <w:t>Assignment Title: Case Study Report</w:t>
      </w:r>
    </w:p>
    <w:p w14:paraId="0A799E73" w14:textId="626012B6" w:rsidR="004647A0" w:rsidRPr="004647A0" w:rsidRDefault="004647A0" w:rsidP="004647A0">
      <w:pPr>
        <w:spacing w:line="360" w:lineRule="auto"/>
        <w:jc w:val="center"/>
        <w:rPr>
          <w:rFonts w:ascii="Arial" w:hAnsi="Arial" w:cs="Arial"/>
          <w:sz w:val="22"/>
          <w:szCs w:val="22"/>
        </w:rPr>
      </w:pPr>
      <w:r w:rsidRPr="004647A0">
        <w:rPr>
          <w:rFonts w:ascii="Arial" w:hAnsi="Arial" w:cs="Arial"/>
          <w:sz w:val="22"/>
          <w:szCs w:val="22"/>
        </w:rPr>
        <w:t xml:space="preserve">Lecturer: Robert </w:t>
      </w:r>
      <w:proofErr w:type="spellStart"/>
      <w:r w:rsidRPr="004647A0">
        <w:rPr>
          <w:rFonts w:ascii="Arial" w:hAnsi="Arial" w:cs="Arial"/>
          <w:sz w:val="22"/>
          <w:szCs w:val="22"/>
        </w:rPr>
        <w:t>Nartowski</w:t>
      </w:r>
      <w:proofErr w:type="spellEnd"/>
    </w:p>
    <w:p w14:paraId="76ABBE5A" w14:textId="2FE8229F" w:rsidR="00054B0E" w:rsidRPr="004647A0" w:rsidRDefault="00054B0E" w:rsidP="004647A0">
      <w:pPr>
        <w:spacing w:line="360" w:lineRule="auto"/>
        <w:jc w:val="center"/>
        <w:rPr>
          <w:rFonts w:ascii="Arial" w:hAnsi="Arial" w:cs="Arial"/>
          <w:sz w:val="22"/>
          <w:szCs w:val="22"/>
        </w:rPr>
      </w:pPr>
      <w:r w:rsidRPr="004647A0">
        <w:rPr>
          <w:rFonts w:ascii="Arial" w:hAnsi="Arial" w:cs="Arial"/>
          <w:sz w:val="22"/>
          <w:szCs w:val="22"/>
        </w:rPr>
        <w:t>Type 2 Diabetes Report</w:t>
      </w:r>
    </w:p>
    <w:p w14:paraId="7C192B38" w14:textId="77777777" w:rsidR="0009599B" w:rsidRPr="004647A0" w:rsidRDefault="0009599B" w:rsidP="004647A0">
      <w:pPr>
        <w:spacing w:line="360" w:lineRule="auto"/>
        <w:jc w:val="center"/>
        <w:rPr>
          <w:rFonts w:ascii="Arial" w:hAnsi="Arial" w:cs="Arial"/>
          <w:sz w:val="22"/>
          <w:szCs w:val="22"/>
        </w:rPr>
      </w:pPr>
    </w:p>
    <w:p w14:paraId="774C88AC" w14:textId="77777777" w:rsidR="0009599B" w:rsidRPr="004647A0" w:rsidRDefault="0009599B" w:rsidP="004647A0">
      <w:pPr>
        <w:spacing w:line="360" w:lineRule="auto"/>
        <w:rPr>
          <w:rFonts w:ascii="Arial" w:hAnsi="Arial" w:cs="Arial"/>
          <w:sz w:val="22"/>
          <w:szCs w:val="22"/>
        </w:rPr>
      </w:pPr>
    </w:p>
    <w:p w14:paraId="5C4B3141" w14:textId="77777777" w:rsidR="0009599B" w:rsidRPr="004647A0" w:rsidRDefault="0009599B" w:rsidP="004647A0">
      <w:pPr>
        <w:spacing w:line="360" w:lineRule="auto"/>
        <w:rPr>
          <w:rFonts w:ascii="Arial" w:hAnsi="Arial" w:cs="Arial"/>
          <w:sz w:val="22"/>
          <w:szCs w:val="22"/>
        </w:rPr>
      </w:pPr>
      <w:r w:rsidRPr="004647A0">
        <w:rPr>
          <w:rFonts w:ascii="Arial" w:hAnsi="Arial" w:cs="Arial"/>
          <w:sz w:val="22"/>
          <w:szCs w:val="22"/>
        </w:rPr>
        <w:br w:type="page"/>
      </w:r>
    </w:p>
    <w:sdt>
      <w:sdtPr>
        <w:rPr>
          <w:rFonts w:ascii="Arial" w:eastAsiaTheme="minorHAnsi" w:hAnsi="Arial" w:cs="Arial"/>
          <w:b w:val="0"/>
          <w:bCs w:val="0"/>
          <w:color w:val="auto"/>
          <w:kern w:val="2"/>
          <w:sz w:val="22"/>
          <w:szCs w:val="22"/>
          <w:lang w:val="en-GB"/>
          <w14:ligatures w14:val="standardContextual"/>
        </w:rPr>
        <w:id w:val="77952465"/>
        <w:docPartObj>
          <w:docPartGallery w:val="Table of Contents"/>
          <w:docPartUnique/>
        </w:docPartObj>
      </w:sdtPr>
      <w:sdtEndPr>
        <w:rPr>
          <w:noProof/>
        </w:rPr>
      </w:sdtEndPr>
      <w:sdtContent>
        <w:p w14:paraId="6F443DDD" w14:textId="5B87C30D" w:rsidR="00054B0E" w:rsidRPr="004647A0" w:rsidRDefault="00054B0E" w:rsidP="004647A0">
          <w:pPr>
            <w:pStyle w:val="TOCHeading"/>
            <w:spacing w:line="360" w:lineRule="auto"/>
            <w:rPr>
              <w:rFonts w:ascii="Arial" w:hAnsi="Arial" w:cs="Arial"/>
              <w:sz w:val="22"/>
              <w:szCs w:val="22"/>
            </w:rPr>
          </w:pPr>
          <w:r w:rsidRPr="004647A0">
            <w:rPr>
              <w:rFonts w:ascii="Arial" w:hAnsi="Arial" w:cs="Arial"/>
              <w:sz w:val="22"/>
              <w:szCs w:val="22"/>
            </w:rPr>
            <w:t>Table of Contents</w:t>
          </w:r>
        </w:p>
        <w:p w14:paraId="6D228BE0" w14:textId="32FA7B45" w:rsidR="001C6DF0" w:rsidRDefault="00054B0E">
          <w:pPr>
            <w:pStyle w:val="TOC1"/>
            <w:tabs>
              <w:tab w:val="right" w:leader="dot" w:pos="9016"/>
            </w:tabs>
            <w:rPr>
              <w:rFonts w:eastAsiaTheme="minorEastAsia"/>
              <w:b w:val="0"/>
              <w:bCs w:val="0"/>
              <w:i w:val="0"/>
              <w:iCs w:val="0"/>
              <w:noProof/>
              <w:lang w:eastAsia="en-GB"/>
            </w:rPr>
          </w:pPr>
          <w:r w:rsidRPr="004647A0">
            <w:rPr>
              <w:rFonts w:ascii="Arial" w:hAnsi="Arial" w:cs="Arial"/>
              <w:b w:val="0"/>
              <w:bCs w:val="0"/>
              <w:sz w:val="22"/>
              <w:szCs w:val="22"/>
            </w:rPr>
            <w:fldChar w:fldCharType="begin"/>
          </w:r>
          <w:r w:rsidRPr="004647A0">
            <w:rPr>
              <w:rFonts w:ascii="Arial" w:hAnsi="Arial" w:cs="Arial"/>
              <w:sz w:val="22"/>
              <w:szCs w:val="22"/>
            </w:rPr>
            <w:instrText xml:space="preserve"> TOC \o "1-3" \h \z \u </w:instrText>
          </w:r>
          <w:r w:rsidRPr="004647A0">
            <w:rPr>
              <w:rFonts w:ascii="Arial" w:hAnsi="Arial" w:cs="Arial"/>
              <w:b w:val="0"/>
              <w:bCs w:val="0"/>
              <w:sz w:val="22"/>
              <w:szCs w:val="22"/>
            </w:rPr>
            <w:fldChar w:fldCharType="separate"/>
          </w:r>
          <w:hyperlink w:anchor="_Toc241325665" w:history="1">
            <w:r w:rsidR="001C6DF0" w:rsidRPr="00CC36BD">
              <w:rPr>
                <w:rStyle w:val="Hyperlink"/>
                <w:rFonts w:ascii="Arial" w:hAnsi="Arial" w:cs="Arial"/>
                <w:noProof/>
              </w:rPr>
              <w:t>Introduction</w:t>
            </w:r>
            <w:r w:rsidR="001C6DF0">
              <w:rPr>
                <w:noProof/>
                <w:webHidden/>
              </w:rPr>
              <w:tab/>
            </w:r>
            <w:r w:rsidR="001C6DF0">
              <w:rPr>
                <w:noProof/>
                <w:webHidden/>
              </w:rPr>
              <w:fldChar w:fldCharType="begin"/>
            </w:r>
            <w:r w:rsidR="001C6DF0">
              <w:rPr>
                <w:noProof/>
                <w:webHidden/>
              </w:rPr>
              <w:instrText xml:space="preserve"> PAGEREF _Toc241325665 \h </w:instrText>
            </w:r>
            <w:r w:rsidR="001C6DF0">
              <w:rPr>
                <w:noProof/>
                <w:webHidden/>
              </w:rPr>
            </w:r>
            <w:r w:rsidR="001C6DF0">
              <w:rPr>
                <w:noProof/>
                <w:webHidden/>
              </w:rPr>
              <w:fldChar w:fldCharType="separate"/>
            </w:r>
            <w:r w:rsidR="001C6DF0">
              <w:rPr>
                <w:noProof/>
                <w:webHidden/>
              </w:rPr>
              <w:t>3</w:t>
            </w:r>
            <w:r w:rsidR="001C6DF0">
              <w:rPr>
                <w:noProof/>
                <w:webHidden/>
              </w:rPr>
              <w:fldChar w:fldCharType="end"/>
            </w:r>
          </w:hyperlink>
        </w:p>
        <w:p w14:paraId="615D0722" w14:textId="1A165166" w:rsidR="001C6DF0" w:rsidRDefault="001C6DF0">
          <w:pPr>
            <w:pStyle w:val="TOC1"/>
            <w:tabs>
              <w:tab w:val="right" w:leader="dot" w:pos="9016"/>
            </w:tabs>
            <w:rPr>
              <w:rFonts w:eastAsiaTheme="minorEastAsia"/>
              <w:b w:val="0"/>
              <w:bCs w:val="0"/>
              <w:i w:val="0"/>
              <w:iCs w:val="0"/>
              <w:noProof/>
              <w:lang w:eastAsia="en-GB"/>
            </w:rPr>
          </w:pPr>
          <w:hyperlink w:anchor="_Toc241325666" w:history="1">
            <w:r w:rsidRPr="00CC36BD">
              <w:rPr>
                <w:rStyle w:val="Hyperlink"/>
                <w:rFonts w:ascii="Arial" w:hAnsi="Arial" w:cs="Arial"/>
                <w:noProof/>
              </w:rPr>
              <w:t>Blood Glucose Regulation, Homeostasis and Cellular Energy Production</w:t>
            </w:r>
            <w:r>
              <w:rPr>
                <w:noProof/>
                <w:webHidden/>
              </w:rPr>
              <w:tab/>
            </w:r>
            <w:r>
              <w:rPr>
                <w:noProof/>
                <w:webHidden/>
              </w:rPr>
              <w:fldChar w:fldCharType="begin"/>
            </w:r>
            <w:r>
              <w:rPr>
                <w:noProof/>
                <w:webHidden/>
              </w:rPr>
              <w:instrText xml:space="preserve"> PAGEREF _Toc241325666 \h </w:instrText>
            </w:r>
            <w:r>
              <w:rPr>
                <w:noProof/>
                <w:webHidden/>
              </w:rPr>
            </w:r>
            <w:r>
              <w:rPr>
                <w:noProof/>
                <w:webHidden/>
              </w:rPr>
              <w:fldChar w:fldCharType="separate"/>
            </w:r>
            <w:r>
              <w:rPr>
                <w:noProof/>
                <w:webHidden/>
              </w:rPr>
              <w:t>3</w:t>
            </w:r>
            <w:r>
              <w:rPr>
                <w:noProof/>
                <w:webHidden/>
              </w:rPr>
              <w:fldChar w:fldCharType="end"/>
            </w:r>
          </w:hyperlink>
        </w:p>
        <w:p w14:paraId="48E79FCF" w14:textId="01B2A4D0" w:rsidR="001C6DF0" w:rsidRDefault="001C6DF0">
          <w:pPr>
            <w:pStyle w:val="TOC1"/>
            <w:tabs>
              <w:tab w:val="right" w:leader="dot" w:pos="9016"/>
            </w:tabs>
            <w:rPr>
              <w:rFonts w:eastAsiaTheme="minorEastAsia"/>
              <w:b w:val="0"/>
              <w:bCs w:val="0"/>
              <w:i w:val="0"/>
              <w:iCs w:val="0"/>
              <w:noProof/>
              <w:lang w:eastAsia="en-GB"/>
            </w:rPr>
          </w:pPr>
          <w:hyperlink w:anchor="_Toc241325667" w:history="1">
            <w:r w:rsidRPr="00CC36BD">
              <w:rPr>
                <w:rStyle w:val="Hyperlink"/>
                <w:rFonts w:ascii="Arial" w:hAnsi="Arial" w:cs="Arial"/>
                <w:noProof/>
              </w:rPr>
              <w:t>Pathophysiology and Impact</w:t>
            </w:r>
            <w:r>
              <w:rPr>
                <w:noProof/>
                <w:webHidden/>
              </w:rPr>
              <w:tab/>
            </w:r>
            <w:r>
              <w:rPr>
                <w:noProof/>
                <w:webHidden/>
              </w:rPr>
              <w:fldChar w:fldCharType="begin"/>
            </w:r>
            <w:r>
              <w:rPr>
                <w:noProof/>
                <w:webHidden/>
              </w:rPr>
              <w:instrText xml:space="preserve"> PAGEREF _Toc241325667 \h </w:instrText>
            </w:r>
            <w:r>
              <w:rPr>
                <w:noProof/>
                <w:webHidden/>
              </w:rPr>
            </w:r>
            <w:r>
              <w:rPr>
                <w:noProof/>
                <w:webHidden/>
              </w:rPr>
              <w:fldChar w:fldCharType="separate"/>
            </w:r>
            <w:r>
              <w:rPr>
                <w:noProof/>
                <w:webHidden/>
              </w:rPr>
              <w:t>4</w:t>
            </w:r>
            <w:r>
              <w:rPr>
                <w:noProof/>
                <w:webHidden/>
              </w:rPr>
              <w:fldChar w:fldCharType="end"/>
            </w:r>
          </w:hyperlink>
        </w:p>
        <w:p w14:paraId="78EA96B9" w14:textId="11553979" w:rsidR="001C6DF0" w:rsidRDefault="001C6DF0">
          <w:pPr>
            <w:pStyle w:val="TOC1"/>
            <w:tabs>
              <w:tab w:val="right" w:leader="dot" w:pos="9016"/>
            </w:tabs>
            <w:rPr>
              <w:rFonts w:eastAsiaTheme="minorEastAsia"/>
              <w:b w:val="0"/>
              <w:bCs w:val="0"/>
              <w:i w:val="0"/>
              <w:iCs w:val="0"/>
              <w:noProof/>
              <w:lang w:eastAsia="en-GB"/>
            </w:rPr>
          </w:pPr>
          <w:hyperlink w:anchor="_Toc241325668" w:history="1">
            <w:r w:rsidRPr="00CC36BD">
              <w:rPr>
                <w:rStyle w:val="Hyperlink"/>
                <w:rFonts w:ascii="Arial" w:hAnsi="Arial" w:cs="Arial"/>
                <w:noProof/>
              </w:rPr>
              <w:t>Blood Glucose Monitoring and Tracking</w:t>
            </w:r>
            <w:r>
              <w:rPr>
                <w:noProof/>
                <w:webHidden/>
              </w:rPr>
              <w:tab/>
            </w:r>
            <w:r>
              <w:rPr>
                <w:noProof/>
                <w:webHidden/>
              </w:rPr>
              <w:fldChar w:fldCharType="begin"/>
            </w:r>
            <w:r>
              <w:rPr>
                <w:noProof/>
                <w:webHidden/>
              </w:rPr>
              <w:instrText xml:space="preserve"> PAGEREF _Toc241325668 \h </w:instrText>
            </w:r>
            <w:r>
              <w:rPr>
                <w:noProof/>
                <w:webHidden/>
              </w:rPr>
            </w:r>
            <w:r>
              <w:rPr>
                <w:noProof/>
                <w:webHidden/>
              </w:rPr>
              <w:fldChar w:fldCharType="separate"/>
            </w:r>
            <w:r>
              <w:rPr>
                <w:noProof/>
                <w:webHidden/>
              </w:rPr>
              <w:t>6</w:t>
            </w:r>
            <w:r>
              <w:rPr>
                <w:noProof/>
                <w:webHidden/>
              </w:rPr>
              <w:fldChar w:fldCharType="end"/>
            </w:r>
          </w:hyperlink>
        </w:p>
        <w:p w14:paraId="5AA51ED5" w14:textId="1A1DF145" w:rsidR="001C6DF0" w:rsidRDefault="001C6DF0">
          <w:pPr>
            <w:pStyle w:val="TOC1"/>
            <w:tabs>
              <w:tab w:val="right" w:leader="dot" w:pos="9016"/>
            </w:tabs>
            <w:rPr>
              <w:rFonts w:eastAsiaTheme="minorEastAsia"/>
              <w:b w:val="0"/>
              <w:bCs w:val="0"/>
              <w:i w:val="0"/>
              <w:iCs w:val="0"/>
              <w:noProof/>
              <w:lang w:eastAsia="en-GB"/>
            </w:rPr>
          </w:pPr>
          <w:hyperlink w:anchor="_Toc241325669" w:history="1">
            <w:r w:rsidRPr="00CC36BD">
              <w:rPr>
                <w:rStyle w:val="Hyperlink"/>
                <w:rFonts w:ascii="Arial" w:hAnsi="Arial" w:cs="Arial"/>
                <w:noProof/>
              </w:rPr>
              <w:t>Evidence-Based Lifestyle Recommendations</w:t>
            </w:r>
            <w:r>
              <w:rPr>
                <w:noProof/>
                <w:webHidden/>
              </w:rPr>
              <w:tab/>
            </w:r>
            <w:r>
              <w:rPr>
                <w:noProof/>
                <w:webHidden/>
              </w:rPr>
              <w:fldChar w:fldCharType="begin"/>
            </w:r>
            <w:r>
              <w:rPr>
                <w:noProof/>
                <w:webHidden/>
              </w:rPr>
              <w:instrText xml:space="preserve"> PAGEREF _Toc241325669 \h </w:instrText>
            </w:r>
            <w:r>
              <w:rPr>
                <w:noProof/>
                <w:webHidden/>
              </w:rPr>
            </w:r>
            <w:r>
              <w:rPr>
                <w:noProof/>
                <w:webHidden/>
              </w:rPr>
              <w:fldChar w:fldCharType="separate"/>
            </w:r>
            <w:r>
              <w:rPr>
                <w:noProof/>
                <w:webHidden/>
              </w:rPr>
              <w:t>7</w:t>
            </w:r>
            <w:r>
              <w:rPr>
                <w:noProof/>
                <w:webHidden/>
              </w:rPr>
              <w:fldChar w:fldCharType="end"/>
            </w:r>
          </w:hyperlink>
        </w:p>
        <w:p w14:paraId="0B9CB350" w14:textId="4C2EA15A" w:rsidR="001C6DF0" w:rsidRDefault="001C6DF0">
          <w:pPr>
            <w:pStyle w:val="TOC1"/>
            <w:tabs>
              <w:tab w:val="right" w:leader="dot" w:pos="9016"/>
            </w:tabs>
            <w:rPr>
              <w:rFonts w:eastAsiaTheme="minorEastAsia"/>
              <w:b w:val="0"/>
              <w:bCs w:val="0"/>
              <w:i w:val="0"/>
              <w:iCs w:val="0"/>
              <w:noProof/>
              <w:lang w:eastAsia="en-GB"/>
            </w:rPr>
          </w:pPr>
          <w:hyperlink w:anchor="_Toc241325670" w:history="1">
            <w:r w:rsidRPr="00CC36BD">
              <w:rPr>
                <w:rStyle w:val="Hyperlink"/>
                <w:rFonts w:ascii="Arial" w:hAnsi="Arial" w:cs="Arial"/>
                <w:noProof/>
              </w:rPr>
              <w:t>Conclusion</w:t>
            </w:r>
            <w:r>
              <w:rPr>
                <w:noProof/>
                <w:webHidden/>
              </w:rPr>
              <w:tab/>
            </w:r>
            <w:r>
              <w:rPr>
                <w:noProof/>
                <w:webHidden/>
              </w:rPr>
              <w:fldChar w:fldCharType="begin"/>
            </w:r>
            <w:r>
              <w:rPr>
                <w:noProof/>
                <w:webHidden/>
              </w:rPr>
              <w:instrText xml:space="preserve"> PAGEREF _Toc241325670 \h </w:instrText>
            </w:r>
            <w:r>
              <w:rPr>
                <w:noProof/>
                <w:webHidden/>
              </w:rPr>
            </w:r>
            <w:r>
              <w:rPr>
                <w:noProof/>
                <w:webHidden/>
              </w:rPr>
              <w:fldChar w:fldCharType="separate"/>
            </w:r>
            <w:r>
              <w:rPr>
                <w:noProof/>
                <w:webHidden/>
              </w:rPr>
              <w:t>8</w:t>
            </w:r>
            <w:r>
              <w:rPr>
                <w:noProof/>
                <w:webHidden/>
              </w:rPr>
              <w:fldChar w:fldCharType="end"/>
            </w:r>
          </w:hyperlink>
        </w:p>
        <w:p w14:paraId="1597C70D" w14:textId="3C2BDB32" w:rsidR="001C6DF0" w:rsidRDefault="001C6DF0">
          <w:pPr>
            <w:pStyle w:val="TOC1"/>
            <w:tabs>
              <w:tab w:val="right" w:leader="dot" w:pos="9016"/>
            </w:tabs>
            <w:rPr>
              <w:rFonts w:eastAsiaTheme="minorEastAsia"/>
              <w:b w:val="0"/>
              <w:bCs w:val="0"/>
              <w:i w:val="0"/>
              <w:iCs w:val="0"/>
              <w:noProof/>
              <w:lang w:eastAsia="en-GB"/>
            </w:rPr>
          </w:pPr>
          <w:hyperlink w:anchor="_Toc241325671" w:history="1">
            <w:r w:rsidRPr="00CC36BD">
              <w:rPr>
                <w:rStyle w:val="Hyperlink"/>
                <w:rFonts w:ascii="Arial" w:hAnsi="Arial" w:cs="Arial"/>
                <w:noProof/>
              </w:rPr>
              <w:t>References</w:t>
            </w:r>
            <w:r>
              <w:rPr>
                <w:noProof/>
                <w:webHidden/>
              </w:rPr>
              <w:tab/>
            </w:r>
            <w:r>
              <w:rPr>
                <w:noProof/>
                <w:webHidden/>
              </w:rPr>
              <w:fldChar w:fldCharType="begin"/>
            </w:r>
            <w:r>
              <w:rPr>
                <w:noProof/>
                <w:webHidden/>
              </w:rPr>
              <w:instrText xml:space="preserve"> PAGEREF _Toc241325671 \h </w:instrText>
            </w:r>
            <w:r>
              <w:rPr>
                <w:noProof/>
                <w:webHidden/>
              </w:rPr>
            </w:r>
            <w:r>
              <w:rPr>
                <w:noProof/>
                <w:webHidden/>
              </w:rPr>
              <w:fldChar w:fldCharType="separate"/>
            </w:r>
            <w:r>
              <w:rPr>
                <w:noProof/>
                <w:webHidden/>
              </w:rPr>
              <w:t>9</w:t>
            </w:r>
            <w:r>
              <w:rPr>
                <w:noProof/>
                <w:webHidden/>
              </w:rPr>
              <w:fldChar w:fldCharType="end"/>
            </w:r>
          </w:hyperlink>
        </w:p>
        <w:p w14:paraId="280640BF" w14:textId="7ABC0008" w:rsidR="00054B0E" w:rsidRPr="004647A0" w:rsidRDefault="00054B0E" w:rsidP="004647A0">
          <w:pPr>
            <w:spacing w:line="360" w:lineRule="auto"/>
            <w:rPr>
              <w:rFonts w:ascii="Arial" w:hAnsi="Arial" w:cs="Arial"/>
              <w:sz w:val="22"/>
              <w:szCs w:val="22"/>
            </w:rPr>
          </w:pPr>
          <w:r w:rsidRPr="004647A0">
            <w:rPr>
              <w:rFonts w:ascii="Arial" w:hAnsi="Arial" w:cs="Arial"/>
              <w:b/>
              <w:bCs/>
              <w:noProof/>
              <w:sz w:val="22"/>
              <w:szCs w:val="22"/>
            </w:rPr>
            <w:fldChar w:fldCharType="end"/>
          </w:r>
        </w:p>
      </w:sdtContent>
    </w:sdt>
    <w:p w14:paraId="365DF955" w14:textId="052F28C7" w:rsidR="0009599B" w:rsidRPr="004647A0" w:rsidRDefault="0009599B" w:rsidP="004647A0">
      <w:pPr>
        <w:spacing w:line="360" w:lineRule="auto"/>
        <w:rPr>
          <w:rFonts w:ascii="Arial" w:hAnsi="Arial" w:cs="Arial"/>
          <w:sz w:val="22"/>
          <w:szCs w:val="22"/>
        </w:rPr>
      </w:pPr>
      <w:r w:rsidRPr="004647A0">
        <w:rPr>
          <w:rFonts w:ascii="Arial" w:hAnsi="Arial" w:cs="Arial"/>
          <w:sz w:val="22"/>
          <w:szCs w:val="22"/>
        </w:rPr>
        <w:br w:type="page"/>
      </w:r>
    </w:p>
    <w:p w14:paraId="7AAB2E60" w14:textId="141F0D9E" w:rsidR="0009599B" w:rsidRPr="004647A0" w:rsidRDefault="0009599B" w:rsidP="004647A0">
      <w:pPr>
        <w:pStyle w:val="Heading1"/>
        <w:spacing w:line="360" w:lineRule="auto"/>
        <w:rPr>
          <w:rFonts w:ascii="Arial" w:hAnsi="Arial" w:cs="Arial"/>
          <w:sz w:val="28"/>
          <w:szCs w:val="28"/>
        </w:rPr>
      </w:pPr>
      <w:bookmarkStart w:id="0" w:name="_Toc241325665"/>
      <w:r w:rsidRPr="004647A0">
        <w:rPr>
          <w:rFonts w:ascii="Arial" w:hAnsi="Arial" w:cs="Arial"/>
          <w:sz w:val="28"/>
          <w:szCs w:val="28"/>
        </w:rPr>
        <w:lastRenderedPageBreak/>
        <w:t>Introduction</w:t>
      </w:r>
      <w:bookmarkEnd w:id="0"/>
    </w:p>
    <w:p w14:paraId="0474625B" w14:textId="77777777" w:rsidR="0009599B" w:rsidRPr="004647A0" w:rsidRDefault="0009599B" w:rsidP="004647A0">
      <w:pPr>
        <w:spacing w:line="360" w:lineRule="auto"/>
        <w:rPr>
          <w:rFonts w:ascii="Arial" w:hAnsi="Arial" w:cs="Arial"/>
          <w:sz w:val="22"/>
          <w:szCs w:val="22"/>
        </w:rPr>
      </w:pPr>
      <w:r w:rsidRPr="004647A0">
        <w:rPr>
          <w:rFonts w:ascii="Arial" w:hAnsi="Arial" w:cs="Arial"/>
          <w:sz w:val="22"/>
          <w:szCs w:val="22"/>
        </w:rPr>
        <w:t>Type 2 diabetes mellitus (T2DM) is a long-term metabolic condition in which the body is unable to regulate blood glucose effectively. It develops mainly because body tissues become less sensitive to the action of insulin, known as insulin resistance, while the pancreatic beta cells gradually become unable to produce enough insulin to meet the body's needs (Galicia-Garcia et al., 2020). As a result, glucose remains in the bloodstream instead of being taken up and used efficiently by cells.</w:t>
      </w:r>
    </w:p>
    <w:p w14:paraId="7FEDE298" w14:textId="5AF3458B" w:rsidR="0009599B" w:rsidRPr="004647A0" w:rsidRDefault="0009599B" w:rsidP="004647A0">
      <w:pPr>
        <w:spacing w:line="360" w:lineRule="auto"/>
        <w:rPr>
          <w:rFonts w:ascii="Arial" w:hAnsi="Arial" w:cs="Arial"/>
          <w:sz w:val="22"/>
          <w:szCs w:val="22"/>
        </w:rPr>
      </w:pPr>
      <w:r w:rsidRPr="004647A0">
        <w:rPr>
          <w:rFonts w:ascii="Arial" w:hAnsi="Arial" w:cs="Arial"/>
          <w:sz w:val="22"/>
          <w:szCs w:val="22"/>
        </w:rPr>
        <w:t>Type 2 diabetes is the most common form of diabetes and accounts for more than 95% of diabetes cases worldwide (World Health Organization, 2024). Several factors can increase a person's risk. These include living with overweight or obesity, particularly excess abdominal fat, physical inactivity, increasing age and having a family history of diabetes. Ethnicity can also affect risk, with some populations developing Type 2 diabetes at a younger age and lower body mass index (NHS, 202</w:t>
      </w:r>
      <w:r w:rsidR="00FC11F5" w:rsidRPr="004647A0">
        <w:rPr>
          <w:rFonts w:ascii="Arial" w:hAnsi="Arial" w:cs="Arial"/>
          <w:sz w:val="22"/>
          <w:szCs w:val="22"/>
        </w:rPr>
        <w:t>5</w:t>
      </w:r>
      <w:r w:rsidRPr="004647A0">
        <w:rPr>
          <w:rFonts w:ascii="Arial" w:hAnsi="Arial" w:cs="Arial"/>
          <w:sz w:val="22"/>
          <w:szCs w:val="22"/>
        </w:rPr>
        <w:t>). Although some risk factors, such as genetics and age, cannot be changed, diet, physical activity, smoking and body weight can be modified.</w:t>
      </w:r>
    </w:p>
    <w:p w14:paraId="6E88F09A" w14:textId="77777777" w:rsidR="00AB61E0" w:rsidRDefault="00AB61E0" w:rsidP="00AB61E0">
      <w:bookmarkStart w:id="1" w:name="_Toc241325666"/>
      <w:r w:rsidRPr="00AB61E0">
        <w:t>This report examines blood glucose regulation, cellular energy production, Type 2 diabetes management and evidence-based lifestyle recommendations. It also considers how practice nurses can support patients in managing their condition and reducing complications.</w:t>
      </w:r>
    </w:p>
    <w:p w14:paraId="5CFA6319" w14:textId="654DA391" w:rsidR="0009599B" w:rsidRPr="004647A0" w:rsidRDefault="00840812" w:rsidP="004647A0">
      <w:pPr>
        <w:pStyle w:val="Heading1"/>
        <w:spacing w:line="360" w:lineRule="auto"/>
        <w:rPr>
          <w:rFonts w:ascii="Arial" w:hAnsi="Arial" w:cs="Arial"/>
          <w:sz w:val="28"/>
          <w:szCs w:val="28"/>
        </w:rPr>
      </w:pPr>
      <w:r w:rsidRPr="004647A0">
        <w:rPr>
          <w:rFonts w:ascii="Arial" w:hAnsi="Arial" w:cs="Arial"/>
          <w:sz w:val="28"/>
          <w:szCs w:val="28"/>
        </w:rPr>
        <w:t>Blood Glucose Regulation</w:t>
      </w:r>
      <w:r w:rsidR="001C6DF0">
        <w:rPr>
          <w:rFonts w:ascii="Arial" w:hAnsi="Arial" w:cs="Arial"/>
          <w:sz w:val="28"/>
          <w:szCs w:val="28"/>
        </w:rPr>
        <w:t xml:space="preserve">, </w:t>
      </w:r>
      <w:r w:rsidRPr="004647A0">
        <w:rPr>
          <w:rFonts w:ascii="Arial" w:hAnsi="Arial" w:cs="Arial"/>
          <w:sz w:val="28"/>
          <w:szCs w:val="28"/>
        </w:rPr>
        <w:t>Homeostasis</w:t>
      </w:r>
      <w:r w:rsidR="001C6DF0">
        <w:rPr>
          <w:rFonts w:ascii="Arial" w:hAnsi="Arial" w:cs="Arial"/>
          <w:sz w:val="28"/>
          <w:szCs w:val="28"/>
        </w:rPr>
        <w:t xml:space="preserve"> </w:t>
      </w:r>
      <w:r w:rsidR="001C6DF0" w:rsidRPr="001C6DF0">
        <w:rPr>
          <w:rFonts w:ascii="Arial" w:hAnsi="Arial" w:cs="Arial"/>
          <w:sz w:val="28"/>
          <w:szCs w:val="28"/>
        </w:rPr>
        <w:t>and Cellular Energy Production</w:t>
      </w:r>
      <w:bookmarkEnd w:id="1"/>
    </w:p>
    <w:p w14:paraId="0CB893D2" w14:textId="1B9DD408" w:rsidR="0009599B" w:rsidRPr="004647A0" w:rsidRDefault="0009599B" w:rsidP="004647A0">
      <w:pPr>
        <w:spacing w:line="360" w:lineRule="auto"/>
        <w:rPr>
          <w:rFonts w:ascii="Arial" w:hAnsi="Arial" w:cs="Arial"/>
          <w:sz w:val="22"/>
          <w:szCs w:val="22"/>
        </w:rPr>
      </w:pPr>
      <w:r w:rsidRPr="004647A0">
        <w:rPr>
          <w:rFonts w:ascii="Arial" w:hAnsi="Arial" w:cs="Arial"/>
          <w:sz w:val="22"/>
          <w:szCs w:val="22"/>
        </w:rPr>
        <w:t>The body needs to keep blood glucose within a relatively controlled range because glucose is an important source of energy. One of the main organs responsible for regulating this process is the pancreas. The pancreas contains groups of endocrine cells called the islets of Langerhans. Within these islets, beta cells produce insulin and alpha cells produce glucagon.</w:t>
      </w:r>
      <w:r w:rsidR="00E74354" w:rsidRPr="00E74354">
        <w:t xml:space="preserve"> </w:t>
      </w:r>
      <w:r w:rsidR="00E74354" w:rsidRPr="00E74354">
        <w:rPr>
          <w:rFonts w:ascii="Arial" w:hAnsi="Arial" w:cs="Arial"/>
          <w:sz w:val="22"/>
          <w:szCs w:val="22"/>
        </w:rPr>
        <w:t>(Betts et al., 2022)</w:t>
      </w:r>
      <w:r w:rsidRPr="004647A0">
        <w:rPr>
          <w:rFonts w:ascii="Arial" w:hAnsi="Arial" w:cs="Arial"/>
          <w:sz w:val="22"/>
          <w:szCs w:val="22"/>
        </w:rPr>
        <w:t xml:space="preserve"> These hormones have opposing actions and work together to maintain glucose homeostasis.</w:t>
      </w:r>
    </w:p>
    <w:p w14:paraId="6F140D5E" w14:textId="77777777" w:rsidR="00AB61E0" w:rsidRDefault="00AB61E0" w:rsidP="004647A0">
      <w:pPr>
        <w:spacing w:line="360" w:lineRule="auto"/>
        <w:rPr>
          <w:rFonts w:ascii="Arial" w:hAnsi="Arial" w:cs="Arial"/>
          <w:sz w:val="22"/>
          <w:szCs w:val="22"/>
        </w:rPr>
      </w:pPr>
      <w:r w:rsidRPr="00AB61E0">
        <w:rPr>
          <w:rFonts w:ascii="Arial" w:hAnsi="Arial" w:cs="Arial"/>
          <w:sz w:val="22"/>
          <w:szCs w:val="22"/>
        </w:rPr>
        <w:t>After a carbohydrate-containing meal, digestion breaks carbohydrates into glucose, which is absorbed into the bloodstream. Rising glucose stimulates pancreatic beta cells to release insulin. Insulin promotes glucose uptake by skeletal muscle and adipose tissue, encourages glycogen storage in the liver and muscles, and reduces glucose release from the liver (Galicia-Garcia et al., 2020).</w:t>
      </w:r>
    </w:p>
    <w:p w14:paraId="78604B7B" w14:textId="7B25AABD" w:rsidR="0009599B" w:rsidRPr="004647A0" w:rsidRDefault="0009599B" w:rsidP="004647A0">
      <w:pPr>
        <w:spacing w:line="360" w:lineRule="auto"/>
        <w:rPr>
          <w:rFonts w:ascii="Arial" w:hAnsi="Arial" w:cs="Arial"/>
          <w:sz w:val="22"/>
          <w:szCs w:val="22"/>
        </w:rPr>
      </w:pPr>
      <w:r w:rsidRPr="004647A0">
        <w:rPr>
          <w:rFonts w:ascii="Arial" w:hAnsi="Arial" w:cs="Arial"/>
          <w:sz w:val="22"/>
          <w:szCs w:val="22"/>
        </w:rPr>
        <w:t xml:space="preserve">When a person has not eaten for several hours, blood glucose begins to fall. Pancreatic alpha cells respond by releasing glucagon. Glucagon mainly acts on the liver, where it promotes the breakdown of stored glycogen into glucose. The liver can then release this </w:t>
      </w:r>
      <w:r w:rsidRPr="004647A0">
        <w:rPr>
          <w:rFonts w:ascii="Arial" w:hAnsi="Arial" w:cs="Arial"/>
          <w:sz w:val="22"/>
          <w:szCs w:val="22"/>
        </w:rPr>
        <w:lastRenderedPageBreak/>
        <w:t>glucose into the blood. Together, insulin and glucagon therefore form an important negative-feedback system that prevents large changes in blood glucose.</w:t>
      </w:r>
    </w:p>
    <w:p w14:paraId="4A5D1809" w14:textId="77777777" w:rsidR="002451A5" w:rsidRPr="002451A5" w:rsidRDefault="002451A5" w:rsidP="008826EA">
      <w:pPr>
        <w:spacing w:line="360" w:lineRule="auto"/>
        <w:rPr>
          <w:rFonts w:ascii="Arial" w:hAnsi="Arial" w:cs="Arial"/>
          <w:color w:val="000000"/>
          <w:sz w:val="22"/>
          <w:szCs w:val="22"/>
        </w:rPr>
      </w:pPr>
      <w:r w:rsidRPr="002451A5">
        <w:rPr>
          <w:rFonts w:ascii="Arial" w:hAnsi="Arial" w:cs="Arial"/>
          <w:color w:val="000000"/>
          <w:sz w:val="22"/>
          <w:szCs w:val="22"/>
        </w:rPr>
        <w:t>Glucose</w:t>
      </w:r>
      <w:r w:rsidRPr="002451A5">
        <w:rPr>
          <w:rStyle w:val="apple-converted-space"/>
          <w:rFonts w:ascii="Arial" w:hAnsi="Arial" w:cs="Arial"/>
          <w:color w:val="000000"/>
          <w:sz w:val="22"/>
          <w:szCs w:val="22"/>
        </w:rPr>
        <w:t> </w:t>
      </w:r>
      <w:r w:rsidRPr="002451A5">
        <w:rPr>
          <w:rFonts w:ascii="Arial" w:hAnsi="Arial" w:cs="Arial"/>
          <w:color w:val="000000"/>
          <w:sz w:val="22"/>
          <w:szCs w:val="22"/>
        </w:rPr>
        <w:t>is</w:t>
      </w:r>
      <w:r w:rsidRPr="002451A5">
        <w:rPr>
          <w:rStyle w:val="apple-converted-space"/>
          <w:rFonts w:ascii="Arial" w:hAnsi="Arial" w:cs="Arial"/>
          <w:color w:val="000000"/>
          <w:sz w:val="22"/>
          <w:szCs w:val="22"/>
        </w:rPr>
        <w:t> </w:t>
      </w:r>
      <w:r w:rsidRPr="002451A5">
        <w:rPr>
          <w:rFonts w:ascii="Arial" w:hAnsi="Arial" w:cs="Arial"/>
          <w:color w:val="000000"/>
          <w:sz w:val="22"/>
          <w:szCs w:val="22"/>
        </w:rPr>
        <w:t>used</w:t>
      </w:r>
      <w:r w:rsidRPr="002451A5">
        <w:rPr>
          <w:rStyle w:val="apple-converted-space"/>
          <w:rFonts w:ascii="Arial" w:hAnsi="Arial" w:cs="Arial"/>
          <w:color w:val="000000"/>
          <w:sz w:val="22"/>
          <w:szCs w:val="22"/>
        </w:rPr>
        <w:t> </w:t>
      </w:r>
      <w:r w:rsidRPr="002451A5">
        <w:rPr>
          <w:rFonts w:ascii="Arial" w:hAnsi="Arial" w:cs="Arial"/>
          <w:color w:val="000000"/>
          <w:sz w:val="22"/>
          <w:szCs w:val="22"/>
        </w:rPr>
        <w:t>to</w:t>
      </w:r>
      <w:r w:rsidRPr="002451A5">
        <w:rPr>
          <w:rStyle w:val="apple-converted-space"/>
          <w:rFonts w:ascii="Arial" w:hAnsi="Arial" w:cs="Arial"/>
          <w:color w:val="000000"/>
          <w:sz w:val="22"/>
          <w:szCs w:val="22"/>
        </w:rPr>
        <w:t> </w:t>
      </w:r>
      <w:r w:rsidRPr="002451A5">
        <w:rPr>
          <w:rFonts w:ascii="Arial" w:hAnsi="Arial" w:cs="Arial"/>
          <w:color w:val="000000"/>
          <w:sz w:val="22"/>
          <w:szCs w:val="22"/>
        </w:rPr>
        <w:t>produce</w:t>
      </w:r>
      <w:r w:rsidRPr="002451A5">
        <w:rPr>
          <w:rStyle w:val="apple-converted-space"/>
          <w:rFonts w:ascii="Arial" w:hAnsi="Arial" w:cs="Arial"/>
          <w:color w:val="000000"/>
          <w:sz w:val="22"/>
          <w:szCs w:val="22"/>
        </w:rPr>
        <w:t> </w:t>
      </w:r>
      <w:r w:rsidRPr="002451A5">
        <w:rPr>
          <w:rFonts w:ascii="Arial" w:hAnsi="Arial" w:cs="Arial"/>
          <w:color w:val="000000"/>
          <w:sz w:val="22"/>
          <w:szCs w:val="22"/>
        </w:rPr>
        <w:t>adenosine</w:t>
      </w:r>
      <w:r w:rsidRPr="002451A5">
        <w:rPr>
          <w:rStyle w:val="apple-converted-space"/>
          <w:rFonts w:ascii="Arial" w:hAnsi="Arial" w:cs="Arial"/>
          <w:color w:val="000000"/>
          <w:sz w:val="22"/>
          <w:szCs w:val="22"/>
        </w:rPr>
        <w:t> </w:t>
      </w:r>
      <w:r w:rsidRPr="002451A5">
        <w:rPr>
          <w:rFonts w:ascii="Arial" w:hAnsi="Arial" w:cs="Arial"/>
          <w:color w:val="000000"/>
          <w:sz w:val="22"/>
          <w:szCs w:val="22"/>
        </w:rPr>
        <w:t>triphosphate</w:t>
      </w:r>
      <w:r w:rsidRPr="002451A5">
        <w:rPr>
          <w:rStyle w:val="apple-converted-space"/>
          <w:rFonts w:ascii="Arial" w:hAnsi="Arial" w:cs="Arial"/>
          <w:color w:val="000000"/>
          <w:sz w:val="22"/>
          <w:szCs w:val="22"/>
        </w:rPr>
        <w:t> </w:t>
      </w:r>
      <w:r w:rsidRPr="002451A5">
        <w:rPr>
          <w:rFonts w:ascii="Arial" w:hAnsi="Arial" w:cs="Arial"/>
          <w:color w:val="000000"/>
          <w:sz w:val="22"/>
          <w:szCs w:val="22"/>
        </w:rPr>
        <w:t>(ATP),</w:t>
      </w:r>
      <w:r w:rsidRPr="002451A5">
        <w:rPr>
          <w:rStyle w:val="apple-converted-space"/>
          <w:rFonts w:ascii="Arial" w:hAnsi="Arial" w:cs="Arial"/>
          <w:color w:val="000000"/>
          <w:sz w:val="22"/>
          <w:szCs w:val="22"/>
        </w:rPr>
        <w:t> </w:t>
      </w:r>
      <w:r w:rsidRPr="002451A5">
        <w:rPr>
          <w:rFonts w:ascii="Arial" w:hAnsi="Arial" w:cs="Arial"/>
          <w:color w:val="000000"/>
          <w:sz w:val="22"/>
          <w:szCs w:val="22"/>
        </w:rPr>
        <w:t>which</w:t>
      </w:r>
      <w:r w:rsidRPr="002451A5">
        <w:rPr>
          <w:rStyle w:val="apple-converted-space"/>
          <w:rFonts w:ascii="Arial" w:hAnsi="Arial" w:cs="Arial"/>
          <w:color w:val="000000"/>
          <w:sz w:val="22"/>
          <w:szCs w:val="22"/>
        </w:rPr>
        <w:t> </w:t>
      </w:r>
      <w:r w:rsidRPr="002451A5">
        <w:rPr>
          <w:rFonts w:ascii="Arial" w:hAnsi="Arial" w:cs="Arial"/>
          <w:color w:val="000000"/>
          <w:sz w:val="22"/>
          <w:szCs w:val="22"/>
        </w:rPr>
        <w:t>supplies</w:t>
      </w:r>
      <w:r w:rsidRPr="002451A5">
        <w:rPr>
          <w:rStyle w:val="apple-converted-space"/>
          <w:rFonts w:ascii="Arial" w:hAnsi="Arial" w:cs="Arial"/>
          <w:color w:val="000000"/>
          <w:sz w:val="22"/>
          <w:szCs w:val="22"/>
        </w:rPr>
        <w:t> </w:t>
      </w:r>
      <w:r w:rsidRPr="002451A5">
        <w:rPr>
          <w:rFonts w:ascii="Arial" w:hAnsi="Arial" w:cs="Arial"/>
          <w:color w:val="000000"/>
          <w:sz w:val="22"/>
          <w:szCs w:val="22"/>
        </w:rPr>
        <w:t>energy</w:t>
      </w:r>
      <w:r w:rsidRPr="002451A5">
        <w:rPr>
          <w:rStyle w:val="apple-converted-space"/>
          <w:rFonts w:ascii="Arial" w:hAnsi="Arial" w:cs="Arial"/>
          <w:color w:val="000000"/>
          <w:sz w:val="22"/>
          <w:szCs w:val="22"/>
        </w:rPr>
        <w:t> </w:t>
      </w:r>
      <w:r w:rsidRPr="002451A5">
        <w:rPr>
          <w:rFonts w:ascii="Arial" w:hAnsi="Arial" w:cs="Arial"/>
          <w:color w:val="000000"/>
          <w:sz w:val="22"/>
          <w:szCs w:val="22"/>
        </w:rPr>
        <w:t>for</w:t>
      </w:r>
      <w:r w:rsidRPr="002451A5">
        <w:rPr>
          <w:rStyle w:val="apple-converted-space"/>
          <w:rFonts w:ascii="Arial" w:hAnsi="Arial" w:cs="Arial"/>
          <w:color w:val="000000"/>
          <w:sz w:val="22"/>
          <w:szCs w:val="22"/>
        </w:rPr>
        <w:t> </w:t>
      </w:r>
      <w:r w:rsidRPr="002451A5">
        <w:rPr>
          <w:rFonts w:ascii="Arial" w:hAnsi="Arial" w:cs="Arial"/>
          <w:color w:val="000000"/>
          <w:sz w:val="22"/>
          <w:szCs w:val="22"/>
        </w:rPr>
        <w:t>muscle</w:t>
      </w:r>
      <w:r w:rsidRPr="002451A5">
        <w:rPr>
          <w:rStyle w:val="apple-converted-space"/>
          <w:rFonts w:ascii="Arial" w:hAnsi="Arial" w:cs="Arial"/>
          <w:color w:val="000000"/>
          <w:sz w:val="22"/>
          <w:szCs w:val="22"/>
        </w:rPr>
        <w:t> </w:t>
      </w:r>
      <w:r w:rsidRPr="002451A5">
        <w:rPr>
          <w:rFonts w:ascii="Arial" w:hAnsi="Arial" w:cs="Arial"/>
          <w:color w:val="000000"/>
          <w:sz w:val="22"/>
          <w:szCs w:val="22"/>
        </w:rPr>
        <w:t>contraction,</w:t>
      </w:r>
      <w:r w:rsidRPr="002451A5">
        <w:rPr>
          <w:rStyle w:val="apple-converted-space"/>
          <w:rFonts w:ascii="Arial" w:hAnsi="Arial" w:cs="Arial"/>
          <w:color w:val="000000"/>
          <w:sz w:val="22"/>
          <w:szCs w:val="22"/>
        </w:rPr>
        <w:t> </w:t>
      </w:r>
      <w:r w:rsidRPr="002451A5">
        <w:rPr>
          <w:rFonts w:ascii="Arial" w:hAnsi="Arial" w:cs="Arial"/>
          <w:color w:val="000000"/>
          <w:sz w:val="22"/>
          <w:szCs w:val="22"/>
        </w:rPr>
        <w:t>active</w:t>
      </w:r>
      <w:r w:rsidRPr="002451A5">
        <w:rPr>
          <w:rStyle w:val="apple-converted-space"/>
          <w:rFonts w:ascii="Arial" w:hAnsi="Arial" w:cs="Arial"/>
          <w:color w:val="000000"/>
          <w:sz w:val="22"/>
          <w:szCs w:val="22"/>
        </w:rPr>
        <w:t> </w:t>
      </w:r>
      <w:r w:rsidRPr="002451A5">
        <w:rPr>
          <w:rFonts w:ascii="Arial" w:hAnsi="Arial" w:cs="Arial"/>
          <w:color w:val="000000"/>
          <w:sz w:val="22"/>
          <w:szCs w:val="22"/>
        </w:rPr>
        <w:t>transport</w:t>
      </w:r>
      <w:r w:rsidRPr="002451A5">
        <w:rPr>
          <w:rStyle w:val="apple-converted-space"/>
          <w:rFonts w:ascii="Arial" w:hAnsi="Arial" w:cs="Arial"/>
          <w:color w:val="000000"/>
          <w:sz w:val="22"/>
          <w:szCs w:val="22"/>
        </w:rPr>
        <w:t> </w:t>
      </w:r>
      <w:r w:rsidRPr="002451A5">
        <w:rPr>
          <w:rFonts w:ascii="Arial" w:hAnsi="Arial" w:cs="Arial"/>
          <w:color w:val="000000"/>
          <w:sz w:val="22"/>
          <w:szCs w:val="22"/>
        </w:rPr>
        <w:t>and</w:t>
      </w:r>
      <w:r w:rsidRPr="002451A5">
        <w:rPr>
          <w:rStyle w:val="apple-converted-space"/>
          <w:rFonts w:ascii="Arial" w:hAnsi="Arial" w:cs="Arial"/>
          <w:color w:val="000000"/>
          <w:sz w:val="22"/>
          <w:szCs w:val="22"/>
        </w:rPr>
        <w:t> </w:t>
      </w:r>
      <w:r w:rsidRPr="002451A5">
        <w:rPr>
          <w:rFonts w:ascii="Arial" w:hAnsi="Arial" w:cs="Arial"/>
          <w:color w:val="000000"/>
          <w:sz w:val="22"/>
          <w:szCs w:val="22"/>
        </w:rPr>
        <w:t>molecule</w:t>
      </w:r>
      <w:r w:rsidRPr="002451A5">
        <w:rPr>
          <w:rStyle w:val="apple-converted-space"/>
          <w:rFonts w:ascii="Arial" w:hAnsi="Arial" w:cs="Arial"/>
          <w:color w:val="000000"/>
          <w:sz w:val="22"/>
          <w:szCs w:val="22"/>
        </w:rPr>
        <w:t> </w:t>
      </w:r>
      <w:r w:rsidRPr="002451A5">
        <w:rPr>
          <w:rFonts w:ascii="Arial" w:hAnsi="Arial" w:cs="Arial"/>
          <w:color w:val="000000"/>
          <w:sz w:val="22"/>
          <w:szCs w:val="22"/>
        </w:rPr>
        <w:t>synthesis.</w:t>
      </w:r>
      <w:r w:rsidRPr="002451A5">
        <w:rPr>
          <w:rStyle w:val="apple-converted-space"/>
          <w:rFonts w:ascii="Arial" w:hAnsi="Arial" w:cs="Arial"/>
          <w:color w:val="000000"/>
          <w:sz w:val="22"/>
          <w:szCs w:val="22"/>
        </w:rPr>
        <w:t> </w:t>
      </w:r>
      <w:r w:rsidRPr="002451A5">
        <w:rPr>
          <w:rFonts w:ascii="Arial" w:hAnsi="Arial" w:cs="Arial"/>
          <w:color w:val="000000"/>
          <w:sz w:val="22"/>
          <w:szCs w:val="22"/>
        </w:rPr>
        <w:t>During</w:t>
      </w:r>
      <w:r w:rsidRPr="002451A5">
        <w:rPr>
          <w:rStyle w:val="apple-converted-space"/>
          <w:rFonts w:ascii="Arial" w:hAnsi="Arial" w:cs="Arial"/>
          <w:color w:val="000000"/>
          <w:sz w:val="22"/>
          <w:szCs w:val="22"/>
        </w:rPr>
        <w:t> </w:t>
      </w:r>
      <w:r w:rsidRPr="002451A5">
        <w:rPr>
          <w:rFonts w:ascii="Arial" w:hAnsi="Arial" w:cs="Arial"/>
          <w:color w:val="000000"/>
          <w:sz w:val="22"/>
          <w:szCs w:val="22"/>
        </w:rPr>
        <w:t>aerobic</w:t>
      </w:r>
      <w:r w:rsidRPr="002451A5">
        <w:rPr>
          <w:rStyle w:val="apple-converted-space"/>
          <w:rFonts w:ascii="Arial" w:hAnsi="Arial" w:cs="Arial"/>
          <w:color w:val="000000"/>
          <w:sz w:val="22"/>
          <w:szCs w:val="22"/>
        </w:rPr>
        <w:t> </w:t>
      </w:r>
      <w:r w:rsidRPr="002451A5">
        <w:rPr>
          <w:rFonts w:ascii="Arial" w:hAnsi="Arial" w:cs="Arial"/>
          <w:color w:val="000000"/>
          <w:sz w:val="22"/>
          <w:szCs w:val="22"/>
        </w:rPr>
        <w:t>respiration,</w:t>
      </w:r>
      <w:r w:rsidRPr="002451A5">
        <w:rPr>
          <w:rStyle w:val="apple-converted-space"/>
          <w:rFonts w:ascii="Arial" w:hAnsi="Arial" w:cs="Arial"/>
          <w:color w:val="000000"/>
          <w:sz w:val="22"/>
          <w:szCs w:val="22"/>
        </w:rPr>
        <w:t> </w:t>
      </w:r>
      <w:r w:rsidRPr="002451A5">
        <w:rPr>
          <w:rFonts w:ascii="Arial" w:hAnsi="Arial" w:cs="Arial"/>
          <w:color w:val="000000"/>
          <w:sz w:val="22"/>
          <w:szCs w:val="22"/>
        </w:rPr>
        <w:t>glycolysis</w:t>
      </w:r>
      <w:r w:rsidRPr="002451A5">
        <w:rPr>
          <w:rStyle w:val="apple-converted-space"/>
          <w:rFonts w:ascii="Arial" w:hAnsi="Arial" w:cs="Arial"/>
          <w:color w:val="000000"/>
          <w:sz w:val="22"/>
          <w:szCs w:val="22"/>
        </w:rPr>
        <w:t> </w:t>
      </w:r>
      <w:r w:rsidRPr="002451A5">
        <w:rPr>
          <w:rFonts w:ascii="Arial" w:hAnsi="Arial" w:cs="Arial"/>
          <w:color w:val="000000"/>
          <w:sz w:val="22"/>
          <w:szCs w:val="22"/>
        </w:rPr>
        <w:t>begins</w:t>
      </w:r>
      <w:r w:rsidRPr="002451A5">
        <w:rPr>
          <w:rStyle w:val="apple-converted-space"/>
          <w:rFonts w:ascii="Arial" w:hAnsi="Arial" w:cs="Arial"/>
          <w:color w:val="000000"/>
          <w:sz w:val="22"/>
          <w:szCs w:val="22"/>
        </w:rPr>
        <w:t> </w:t>
      </w:r>
      <w:r w:rsidRPr="002451A5">
        <w:rPr>
          <w:rFonts w:ascii="Arial" w:hAnsi="Arial" w:cs="Arial"/>
          <w:color w:val="000000"/>
          <w:sz w:val="22"/>
          <w:szCs w:val="22"/>
        </w:rPr>
        <w:t>in</w:t>
      </w:r>
      <w:r w:rsidRPr="002451A5">
        <w:rPr>
          <w:rStyle w:val="apple-converted-space"/>
          <w:rFonts w:ascii="Arial" w:hAnsi="Arial" w:cs="Arial"/>
          <w:color w:val="000000"/>
          <w:sz w:val="22"/>
          <w:szCs w:val="22"/>
        </w:rPr>
        <w:t> </w:t>
      </w:r>
      <w:r w:rsidRPr="002451A5">
        <w:rPr>
          <w:rFonts w:ascii="Arial" w:hAnsi="Arial" w:cs="Arial"/>
          <w:color w:val="000000"/>
          <w:sz w:val="22"/>
          <w:szCs w:val="22"/>
        </w:rPr>
        <w:t>the</w:t>
      </w:r>
      <w:r w:rsidRPr="002451A5">
        <w:rPr>
          <w:rStyle w:val="apple-converted-space"/>
          <w:rFonts w:ascii="Arial" w:hAnsi="Arial" w:cs="Arial"/>
          <w:color w:val="000000"/>
          <w:sz w:val="22"/>
          <w:szCs w:val="22"/>
        </w:rPr>
        <w:t> </w:t>
      </w:r>
      <w:r w:rsidRPr="002451A5">
        <w:rPr>
          <w:rFonts w:ascii="Arial" w:hAnsi="Arial" w:cs="Arial"/>
          <w:color w:val="000000"/>
          <w:sz w:val="22"/>
          <w:szCs w:val="22"/>
        </w:rPr>
        <w:t>cytoplasm;</w:t>
      </w:r>
      <w:r w:rsidRPr="002451A5">
        <w:rPr>
          <w:rStyle w:val="apple-converted-space"/>
          <w:rFonts w:ascii="Arial" w:hAnsi="Arial" w:cs="Arial"/>
          <w:color w:val="000000"/>
          <w:sz w:val="22"/>
          <w:szCs w:val="22"/>
        </w:rPr>
        <w:t> </w:t>
      </w:r>
      <w:r w:rsidRPr="002451A5">
        <w:rPr>
          <w:rFonts w:ascii="Arial" w:hAnsi="Arial" w:cs="Arial"/>
          <w:color w:val="000000"/>
          <w:sz w:val="22"/>
          <w:szCs w:val="22"/>
        </w:rPr>
        <w:t>further</w:t>
      </w:r>
      <w:r w:rsidRPr="002451A5">
        <w:rPr>
          <w:rStyle w:val="apple-converted-space"/>
          <w:rFonts w:ascii="Arial" w:hAnsi="Arial" w:cs="Arial"/>
          <w:color w:val="000000"/>
          <w:sz w:val="22"/>
          <w:szCs w:val="22"/>
        </w:rPr>
        <w:t> </w:t>
      </w:r>
      <w:r w:rsidRPr="002451A5">
        <w:rPr>
          <w:rFonts w:ascii="Arial" w:hAnsi="Arial" w:cs="Arial"/>
          <w:color w:val="000000"/>
          <w:sz w:val="22"/>
          <w:szCs w:val="22"/>
        </w:rPr>
        <w:t>reactions</w:t>
      </w:r>
      <w:r w:rsidRPr="002451A5">
        <w:rPr>
          <w:rStyle w:val="apple-converted-space"/>
          <w:rFonts w:ascii="Arial" w:hAnsi="Arial" w:cs="Arial"/>
          <w:color w:val="000000"/>
          <w:sz w:val="22"/>
          <w:szCs w:val="22"/>
        </w:rPr>
        <w:t> </w:t>
      </w:r>
      <w:r w:rsidRPr="002451A5">
        <w:rPr>
          <w:rFonts w:ascii="Arial" w:hAnsi="Arial" w:cs="Arial"/>
          <w:color w:val="000000"/>
          <w:sz w:val="22"/>
          <w:szCs w:val="22"/>
        </w:rPr>
        <w:t>occur</w:t>
      </w:r>
      <w:r w:rsidRPr="002451A5">
        <w:rPr>
          <w:rStyle w:val="apple-converted-space"/>
          <w:rFonts w:ascii="Arial" w:hAnsi="Arial" w:cs="Arial"/>
          <w:color w:val="000000"/>
          <w:sz w:val="22"/>
          <w:szCs w:val="22"/>
        </w:rPr>
        <w:t> </w:t>
      </w:r>
      <w:r w:rsidRPr="002451A5">
        <w:rPr>
          <w:rFonts w:ascii="Arial" w:hAnsi="Arial" w:cs="Arial"/>
          <w:color w:val="000000"/>
          <w:sz w:val="22"/>
          <w:szCs w:val="22"/>
        </w:rPr>
        <w:t>in</w:t>
      </w:r>
      <w:r w:rsidRPr="002451A5">
        <w:rPr>
          <w:rStyle w:val="apple-converted-space"/>
          <w:rFonts w:ascii="Arial" w:hAnsi="Arial" w:cs="Arial"/>
          <w:color w:val="000000"/>
          <w:sz w:val="22"/>
          <w:szCs w:val="22"/>
        </w:rPr>
        <w:t> </w:t>
      </w:r>
      <w:r w:rsidRPr="002451A5">
        <w:rPr>
          <w:rFonts w:ascii="Arial" w:hAnsi="Arial" w:cs="Arial"/>
          <w:color w:val="000000"/>
          <w:sz w:val="22"/>
          <w:szCs w:val="22"/>
        </w:rPr>
        <w:t>mitochondria</w:t>
      </w:r>
      <w:r w:rsidRPr="002451A5">
        <w:rPr>
          <w:rStyle w:val="apple-converted-space"/>
          <w:rFonts w:ascii="Arial" w:hAnsi="Arial" w:cs="Arial"/>
          <w:color w:val="000000"/>
          <w:sz w:val="22"/>
          <w:szCs w:val="22"/>
        </w:rPr>
        <w:t> </w:t>
      </w:r>
      <w:r w:rsidRPr="002451A5">
        <w:rPr>
          <w:rFonts w:ascii="Arial" w:hAnsi="Arial" w:cs="Arial"/>
          <w:color w:val="000000"/>
          <w:sz w:val="22"/>
          <w:szCs w:val="22"/>
        </w:rPr>
        <w:t>through</w:t>
      </w:r>
      <w:r w:rsidRPr="002451A5">
        <w:rPr>
          <w:rStyle w:val="apple-converted-space"/>
          <w:rFonts w:ascii="Arial" w:hAnsi="Arial" w:cs="Arial"/>
          <w:color w:val="000000"/>
          <w:sz w:val="22"/>
          <w:szCs w:val="22"/>
        </w:rPr>
        <w:t> </w:t>
      </w:r>
      <w:r w:rsidRPr="002451A5">
        <w:rPr>
          <w:rFonts w:ascii="Arial" w:hAnsi="Arial" w:cs="Arial"/>
          <w:color w:val="000000"/>
          <w:sz w:val="22"/>
          <w:szCs w:val="22"/>
        </w:rPr>
        <w:t>the</w:t>
      </w:r>
      <w:r w:rsidRPr="002451A5">
        <w:rPr>
          <w:rStyle w:val="apple-converted-space"/>
          <w:rFonts w:ascii="Arial" w:hAnsi="Arial" w:cs="Arial"/>
          <w:color w:val="000000"/>
          <w:sz w:val="22"/>
          <w:szCs w:val="22"/>
        </w:rPr>
        <w:t> </w:t>
      </w:r>
      <w:r w:rsidRPr="002451A5">
        <w:rPr>
          <w:rFonts w:ascii="Arial" w:hAnsi="Arial" w:cs="Arial"/>
          <w:color w:val="000000"/>
          <w:sz w:val="22"/>
          <w:szCs w:val="22"/>
        </w:rPr>
        <w:t>Krebs</w:t>
      </w:r>
      <w:r w:rsidRPr="002451A5">
        <w:rPr>
          <w:rStyle w:val="apple-converted-space"/>
          <w:rFonts w:ascii="Arial" w:hAnsi="Arial" w:cs="Arial"/>
          <w:color w:val="000000"/>
          <w:sz w:val="22"/>
          <w:szCs w:val="22"/>
        </w:rPr>
        <w:t> </w:t>
      </w:r>
      <w:r w:rsidRPr="002451A5">
        <w:rPr>
          <w:rFonts w:ascii="Arial" w:hAnsi="Arial" w:cs="Arial"/>
          <w:color w:val="000000"/>
          <w:sz w:val="22"/>
          <w:szCs w:val="22"/>
        </w:rPr>
        <w:t>cycle</w:t>
      </w:r>
      <w:r w:rsidRPr="002451A5">
        <w:rPr>
          <w:rStyle w:val="apple-converted-space"/>
          <w:rFonts w:ascii="Arial" w:hAnsi="Arial" w:cs="Arial"/>
          <w:color w:val="000000"/>
          <w:sz w:val="22"/>
          <w:szCs w:val="22"/>
        </w:rPr>
        <w:t> </w:t>
      </w:r>
      <w:r w:rsidRPr="002451A5">
        <w:rPr>
          <w:rFonts w:ascii="Arial" w:hAnsi="Arial" w:cs="Arial"/>
          <w:color w:val="000000"/>
          <w:sz w:val="22"/>
          <w:szCs w:val="22"/>
        </w:rPr>
        <w:t>and</w:t>
      </w:r>
      <w:r w:rsidRPr="002451A5">
        <w:rPr>
          <w:rStyle w:val="apple-converted-space"/>
          <w:rFonts w:ascii="Arial" w:hAnsi="Arial" w:cs="Arial"/>
          <w:color w:val="000000"/>
          <w:sz w:val="22"/>
          <w:szCs w:val="22"/>
        </w:rPr>
        <w:t> </w:t>
      </w:r>
      <w:r w:rsidRPr="002451A5">
        <w:rPr>
          <w:rFonts w:ascii="Arial" w:hAnsi="Arial" w:cs="Arial"/>
          <w:color w:val="000000"/>
          <w:sz w:val="22"/>
          <w:szCs w:val="22"/>
        </w:rPr>
        <w:t>oxidative</w:t>
      </w:r>
      <w:r w:rsidRPr="002451A5">
        <w:rPr>
          <w:rStyle w:val="apple-converted-space"/>
          <w:rFonts w:ascii="Arial" w:hAnsi="Arial" w:cs="Arial"/>
          <w:color w:val="000000"/>
          <w:sz w:val="22"/>
          <w:szCs w:val="22"/>
        </w:rPr>
        <w:t> </w:t>
      </w:r>
      <w:r w:rsidRPr="002451A5">
        <w:rPr>
          <w:rFonts w:ascii="Arial" w:hAnsi="Arial" w:cs="Arial"/>
          <w:color w:val="000000"/>
          <w:sz w:val="22"/>
          <w:szCs w:val="22"/>
        </w:rPr>
        <w:t>phosphorylation.</w:t>
      </w:r>
      <w:r w:rsidRPr="002451A5">
        <w:rPr>
          <w:rStyle w:val="apple-converted-space"/>
          <w:rFonts w:ascii="Arial" w:hAnsi="Arial" w:cs="Arial"/>
          <w:color w:val="000000"/>
          <w:sz w:val="22"/>
          <w:szCs w:val="22"/>
        </w:rPr>
        <w:t> </w:t>
      </w:r>
      <w:r w:rsidRPr="002451A5">
        <w:rPr>
          <w:rFonts w:ascii="Arial" w:hAnsi="Arial" w:cs="Arial"/>
          <w:color w:val="000000"/>
          <w:sz w:val="22"/>
          <w:szCs w:val="22"/>
        </w:rPr>
        <w:t>Energy</w:t>
      </w:r>
      <w:r w:rsidRPr="002451A5">
        <w:rPr>
          <w:rStyle w:val="apple-converted-space"/>
          <w:rFonts w:ascii="Arial" w:hAnsi="Arial" w:cs="Arial"/>
          <w:color w:val="000000"/>
          <w:sz w:val="22"/>
          <w:szCs w:val="22"/>
        </w:rPr>
        <w:t> </w:t>
      </w:r>
      <w:r w:rsidRPr="002451A5">
        <w:rPr>
          <w:rFonts w:ascii="Arial" w:hAnsi="Arial" w:cs="Arial"/>
          <w:color w:val="000000"/>
          <w:sz w:val="22"/>
          <w:szCs w:val="22"/>
        </w:rPr>
        <w:t>from</w:t>
      </w:r>
      <w:r w:rsidRPr="002451A5">
        <w:rPr>
          <w:rStyle w:val="apple-converted-space"/>
          <w:rFonts w:ascii="Arial" w:hAnsi="Arial" w:cs="Arial"/>
          <w:color w:val="000000"/>
          <w:sz w:val="22"/>
          <w:szCs w:val="22"/>
        </w:rPr>
        <w:t> </w:t>
      </w:r>
      <w:r w:rsidRPr="002451A5">
        <w:rPr>
          <w:rFonts w:ascii="Arial" w:hAnsi="Arial" w:cs="Arial"/>
          <w:color w:val="000000"/>
          <w:sz w:val="22"/>
          <w:szCs w:val="22"/>
        </w:rPr>
        <w:t>glucose</w:t>
      </w:r>
      <w:r w:rsidRPr="002451A5">
        <w:rPr>
          <w:rStyle w:val="apple-converted-space"/>
          <w:rFonts w:ascii="Arial" w:hAnsi="Arial" w:cs="Arial"/>
          <w:color w:val="000000"/>
          <w:sz w:val="22"/>
          <w:szCs w:val="22"/>
        </w:rPr>
        <w:t> </w:t>
      </w:r>
      <w:r w:rsidRPr="002451A5">
        <w:rPr>
          <w:rFonts w:ascii="Arial" w:hAnsi="Arial" w:cs="Arial"/>
          <w:color w:val="000000"/>
          <w:sz w:val="22"/>
          <w:szCs w:val="22"/>
        </w:rPr>
        <w:t>is</w:t>
      </w:r>
      <w:r w:rsidRPr="002451A5">
        <w:rPr>
          <w:rStyle w:val="apple-converted-space"/>
          <w:rFonts w:ascii="Arial" w:hAnsi="Arial" w:cs="Arial"/>
          <w:color w:val="000000"/>
          <w:sz w:val="22"/>
          <w:szCs w:val="22"/>
        </w:rPr>
        <w:t> </w:t>
      </w:r>
      <w:r w:rsidRPr="002451A5">
        <w:rPr>
          <w:rFonts w:ascii="Arial" w:hAnsi="Arial" w:cs="Arial"/>
          <w:color w:val="000000"/>
          <w:sz w:val="22"/>
          <w:szCs w:val="22"/>
        </w:rPr>
        <w:t>transferred</w:t>
      </w:r>
      <w:r w:rsidRPr="002451A5">
        <w:rPr>
          <w:rStyle w:val="apple-converted-space"/>
          <w:rFonts w:ascii="Arial" w:hAnsi="Arial" w:cs="Arial"/>
          <w:color w:val="000000"/>
          <w:sz w:val="22"/>
          <w:szCs w:val="22"/>
        </w:rPr>
        <w:t> </w:t>
      </w:r>
      <w:r w:rsidRPr="002451A5">
        <w:rPr>
          <w:rFonts w:ascii="Arial" w:hAnsi="Arial" w:cs="Arial"/>
          <w:color w:val="000000"/>
          <w:sz w:val="22"/>
          <w:szCs w:val="22"/>
        </w:rPr>
        <w:t>to</w:t>
      </w:r>
      <w:r w:rsidRPr="002451A5">
        <w:rPr>
          <w:rStyle w:val="apple-converted-space"/>
          <w:rFonts w:ascii="Arial" w:hAnsi="Arial" w:cs="Arial"/>
          <w:color w:val="000000"/>
          <w:sz w:val="22"/>
          <w:szCs w:val="22"/>
        </w:rPr>
        <w:t> </w:t>
      </w:r>
      <w:r w:rsidRPr="002451A5">
        <w:rPr>
          <w:rFonts w:ascii="Arial" w:hAnsi="Arial" w:cs="Arial"/>
          <w:color w:val="000000"/>
          <w:sz w:val="22"/>
          <w:szCs w:val="22"/>
        </w:rPr>
        <w:t>ATP</w:t>
      </w:r>
      <w:r w:rsidRPr="002451A5">
        <w:rPr>
          <w:rStyle w:val="apple-converted-space"/>
          <w:rFonts w:ascii="Arial" w:hAnsi="Arial" w:cs="Arial"/>
          <w:color w:val="000000"/>
          <w:sz w:val="22"/>
          <w:szCs w:val="22"/>
        </w:rPr>
        <w:t> </w:t>
      </w:r>
      <w:r w:rsidRPr="002451A5">
        <w:rPr>
          <w:rFonts w:ascii="Arial" w:hAnsi="Arial" w:cs="Arial"/>
          <w:color w:val="000000"/>
          <w:sz w:val="22"/>
          <w:szCs w:val="22"/>
        </w:rPr>
        <w:t>(Betts</w:t>
      </w:r>
      <w:r w:rsidRPr="002451A5">
        <w:rPr>
          <w:rStyle w:val="apple-converted-space"/>
          <w:rFonts w:ascii="Arial" w:hAnsi="Arial" w:cs="Arial"/>
          <w:color w:val="000000"/>
          <w:sz w:val="22"/>
          <w:szCs w:val="22"/>
        </w:rPr>
        <w:t> </w:t>
      </w:r>
      <w:r w:rsidRPr="002451A5">
        <w:rPr>
          <w:rFonts w:ascii="Arial" w:hAnsi="Arial" w:cs="Arial"/>
          <w:color w:val="000000"/>
          <w:sz w:val="22"/>
          <w:szCs w:val="22"/>
        </w:rPr>
        <w:t>et</w:t>
      </w:r>
      <w:r w:rsidRPr="002451A5">
        <w:rPr>
          <w:rStyle w:val="apple-converted-space"/>
          <w:rFonts w:ascii="Arial" w:hAnsi="Arial" w:cs="Arial"/>
          <w:color w:val="000000"/>
          <w:sz w:val="22"/>
          <w:szCs w:val="22"/>
        </w:rPr>
        <w:t> </w:t>
      </w:r>
      <w:r w:rsidRPr="002451A5">
        <w:rPr>
          <w:rFonts w:ascii="Arial" w:hAnsi="Arial" w:cs="Arial"/>
          <w:color w:val="000000"/>
          <w:sz w:val="22"/>
          <w:szCs w:val="22"/>
        </w:rPr>
        <w:t>al.,</w:t>
      </w:r>
      <w:r w:rsidRPr="002451A5">
        <w:rPr>
          <w:rStyle w:val="apple-converted-space"/>
          <w:rFonts w:ascii="Arial" w:hAnsi="Arial" w:cs="Arial"/>
          <w:color w:val="000000"/>
          <w:sz w:val="22"/>
          <w:szCs w:val="22"/>
        </w:rPr>
        <w:t> </w:t>
      </w:r>
      <w:r w:rsidRPr="002451A5">
        <w:rPr>
          <w:rFonts w:ascii="Arial" w:hAnsi="Arial" w:cs="Arial"/>
          <w:color w:val="000000"/>
          <w:sz w:val="22"/>
          <w:szCs w:val="22"/>
        </w:rPr>
        <w:t>2022).</w:t>
      </w:r>
    </w:p>
    <w:p w14:paraId="77004A3F" w14:textId="76EBAD1D" w:rsidR="008826EA" w:rsidRPr="008826EA" w:rsidRDefault="004647A0" w:rsidP="008826EA">
      <w:pPr>
        <w:spacing w:line="360" w:lineRule="auto"/>
        <w:rPr>
          <w:rFonts w:ascii="Arial" w:hAnsi="Arial" w:cs="Arial"/>
          <w:sz w:val="22"/>
          <w:szCs w:val="22"/>
        </w:rPr>
      </w:pPr>
      <w:r w:rsidRPr="004647A0">
        <w:rPr>
          <w:rFonts w:ascii="Arial" w:hAnsi="Arial" w:cs="Arial"/>
          <w:sz w:val="22"/>
          <w:szCs w:val="22"/>
        </w:rPr>
        <w:t xml:space="preserve">Oxygen is essential during aerobic respiration because it acts as the final electron acceptor in the electron transport chain, allowing oxidative phosphorylation to continue and large amounts of ATP to be produced. </w:t>
      </w:r>
      <w:r w:rsidR="008826EA" w:rsidRPr="008826EA">
        <w:rPr>
          <w:rFonts w:ascii="Arial" w:hAnsi="Arial" w:cs="Arial"/>
          <w:sz w:val="22"/>
          <w:szCs w:val="22"/>
        </w:rPr>
        <w:t>The overall equation for aerobic cellular respiration is:</w:t>
      </w:r>
    </w:p>
    <w:p w14:paraId="2066C74C" w14:textId="4D84A310" w:rsidR="008826EA" w:rsidRPr="008826EA" w:rsidRDefault="008826EA" w:rsidP="008826EA">
      <w:pPr>
        <w:spacing w:line="360" w:lineRule="auto"/>
        <w:rPr>
          <w:rFonts w:ascii="Arial" w:hAnsi="Arial" w:cs="Arial"/>
          <w:b/>
          <w:bCs/>
          <w:sz w:val="22"/>
          <w:szCs w:val="22"/>
        </w:rPr>
      </w:pPr>
      <w:r w:rsidRPr="008826EA">
        <w:rPr>
          <w:rFonts w:ascii="Arial" w:hAnsi="Arial" w:cs="Arial"/>
          <w:b/>
          <w:bCs/>
          <w:sz w:val="22"/>
          <w:szCs w:val="22"/>
        </w:rPr>
        <w:t>Glucose + oxygen → carbon dioxide + water + energy (ATP)</w:t>
      </w:r>
    </w:p>
    <w:p w14:paraId="076869B8" w14:textId="514E155C" w:rsidR="0009599B" w:rsidRPr="004647A0" w:rsidRDefault="0009599B" w:rsidP="004647A0">
      <w:pPr>
        <w:spacing w:line="360" w:lineRule="auto"/>
        <w:rPr>
          <w:rFonts w:ascii="Arial" w:hAnsi="Arial" w:cs="Arial"/>
          <w:sz w:val="22"/>
          <w:szCs w:val="22"/>
        </w:rPr>
      </w:pPr>
      <w:r w:rsidRPr="004647A0">
        <w:rPr>
          <w:rFonts w:ascii="Arial" w:hAnsi="Arial" w:cs="Arial"/>
          <w:sz w:val="22"/>
          <w:szCs w:val="22"/>
        </w:rPr>
        <w:t>Therefore, normal glucose regulation is linked closely with cellular energy production. If insulin cannot work effectively, cells such as skeletal muscle do not take up glucose as efficiently. This contributes to increased glucose within the bloodstream while also affecting normal energy metabolism. The pancreas initially attempts to compensate for reduced insulin sensitivity by producing additional insulin. However, if this compensation cannot be maintained, blood glucose begins to increase and Type 2 diabetes can develop (DeFronzo et al., 2015).</w:t>
      </w:r>
    </w:p>
    <w:p w14:paraId="0BBB658D" w14:textId="28CFA326" w:rsidR="00840812" w:rsidRPr="004647A0" w:rsidRDefault="00840812" w:rsidP="004647A0">
      <w:pPr>
        <w:pStyle w:val="Heading1"/>
        <w:spacing w:line="360" w:lineRule="auto"/>
        <w:rPr>
          <w:rFonts w:ascii="Arial" w:hAnsi="Arial" w:cs="Arial"/>
          <w:sz w:val="28"/>
          <w:szCs w:val="28"/>
        </w:rPr>
      </w:pPr>
      <w:bookmarkStart w:id="2" w:name="_Toc241325667"/>
      <w:r w:rsidRPr="004647A0">
        <w:rPr>
          <w:rFonts w:ascii="Arial" w:hAnsi="Arial" w:cs="Arial"/>
          <w:sz w:val="28"/>
          <w:szCs w:val="28"/>
        </w:rPr>
        <w:t>Pathophysiology and Impac</w:t>
      </w:r>
      <w:r w:rsidR="004647A0" w:rsidRPr="004647A0">
        <w:rPr>
          <w:rFonts w:ascii="Arial" w:hAnsi="Arial" w:cs="Arial"/>
          <w:sz w:val="28"/>
          <w:szCs w:val="28"/>
        </w:rPr>
        <w:t>t</w:t>
      </w:r>
      <w:bookmarkEnd w:id="2"/>
    </w:p>
    <w:p w14:paraId="1838BE25" w14:textId="09DFC2DD" w:rsidR="00054B0E" w:rsidRPr="004647A0" w:rsidRDefault="00A77396" w:rsidP="004647A0">
      <w:pPr>
        <w:spacing w:line="360" w:lineRule="auto"/>
        <w:rPr>
          <w:rFonts w:ascii="Arial" w:hAnsi="Arial" w:cs="Arial"/>
          <w:sz w:val="22"/>
          <w:szCs w:val="22"/>
        </w:rPr>
      </w:pPr>
      <w:r w:rsidRPr="00A77396">
        <w:rPr>
          <w:rFonts w:ascii="Arial" w:hAnsi="Arial" w:cs="Arial"/>
          <w:sz w:val="22"/>
          <w:szCs w:val="22"/>
        </w:rPr>
        <w:t>Type 2 diabetes develops through a combination of insulin resistance and progressive pancreatic beta-cell dysfunction. Skeletal muscle, liver and adipose tissue respond less effectively to insulin, reducing glucose uptake and allowing continued hepatic glucose release. The pancreas initially compensates by producing more insulin, but over time beta cells may fail to meet this increased demand, resulting in persistent hyperglycaemia.</w:t>
      </w:r>
      <w:r>
        <w:rPr>
          <w:rFonts w:ascii="Arial" w:hAnsi="Arial" w:cs="Arial"/>
          <w:sz w:val="22"/>
          <w:szCs w:val="22"/>
        </w:rPr>
        <w:t xml:space="preserve"> </w:t>
      </w:r>
      <w:r w:rsidR="00054B0E" w:rsidRPr="004647A0">
        <w:rPr>
          <w:rFonts w:ascii="Arial" w:hAnsi="Arial" w:cs="Arial"/>
          <w:sz w:val="22"/>
          <w:szCs w:val="22"/>
        </w:rPr>
        <w:t>Obesity, particularly excess abdominal fat, is strongly associated with insulin resistance. Excess adipose tissue can release free fatty acids and inflammatory substances that interfere with insulin signalling. This reduces the ability of muscle, liver and adipose cells to respond normally to insulin. Long-term exposure to raised glucose and fatty acids can also place further stress on pancreatic beta cells, worsening their function (Galicia-Garcia et al., 2020).</w:t>
      </w:r>
    </w:p>
    <w:p w14:paraId="53502097" w14:textId="06644251" w:rsidR="00054B0E" w:rsidRPr="004647A0" w:rsidRDefault="00054B0E" w:rsidP="004647A0">
      <w:pPr>
        <w:spacing w:line="360" w:lineRule="auto"/>
        <w:rPr>
          <w:rFonts w:ascii="Arial" w:hAnsi="Arial" w:cs="Arial"/>
          <w:sz w:val="22"/>
          <w:szCs w:val="22"/>
        </w:rPr>
      </w:pPr>
      <w:r w:rsidRPr="004647A0">
        <w:rPr>
          <w:rFonts w:ascii="Arial" w:hAnsi="Arial" w:cs="Arial"/>
          <w:sz w:val="22"/>
          <w:szCs w:val="22"/>
        </w:rPr>
        <w:t>Diet also affects glucose control. Regularly consuming more energy than the body requires can lead to weight gain and increased fat storage, which may worsen insulin resistance. However, overall dietary pattern, energy intake, body weight and physical activity are more important than focusing on individual foods alone.</w:t>
      </w:r>
    </w:p>
    <w:p w14:paraId="2EBB18CD" w14:textId="4F50D04D" w:rsidR="00054B0E" w:rsidRPr="004647A0" w:rsidRDefault="00054B0E" w:rsidP="004647A0">
      <w:pPr>
        <w:spacing w:line="360" w:lineRule="auto"/>
        <w:rPr>
          <w:rFonts w:ascii="Arial" w:hAnsi="Arial" w:cs="Arial"/>
          <w:sz w:val="22"/>
          <w:szCs w:val="22"/>
        </w:rPr>
      </w:pPr>
      <w:r w:rsidRPr="004647A0">
        <w:rPr>
          <w:rFonts w:ascii="Arial" w:hAnsi="Arial" w:cs="Arial"/>
          <w:sz w:val="22"/>
          <w:szCs w:val="22"/>
        </w:rPr>
        <w:lastRenderedPageBreak/>
        <w:t xml:space="preserve">Physical inactivity can worsen glucose control because skeletal muscle is a major site of glucose uptake. During and after exercise, muscle glucose uptake </w:t>
      </w:r>
      <w:proofErr w:type="gramStart"/>
      <w:r w:rsidRPr="004647A0">
        <w:rPr>
          <w:rFonts w:ascii="Arial" w:hAnsi="Arial" w:cs="Arial"/>
          <w:sz w:val="22"/>
          <w:szCs w:val="22"/>
        </w:rPr>
        <w:t>increases</w:t>
      </w:r>
      <w:proofErr w:type="gramEnd"/>
      <w:r w:rsidRPr="004647A0">
        <w:rPr>
          <w:rFonts w:ascii="Arial" w:hAnsi="Arial" w:cs="Arial"/>
          <w:sz w:val="22"/>
          <w:szCs w:val="22"/>
        </w:rPr>
        <w:t xml:space="preserve"> and insulin sensitivity can improve. A systematic review found that structured exercise improved HbA1c control in people with Type 2 diabetes, with greater benefits in programmes involving more than 150 minutes of exercise per week (Umpierre et al., 2011).</w:t>
      </w:r>
    </w:p>
    <w:p w14:paraId="27FAD5FB" w14:textId="6A54009F" w:rsidR="00054B0E" w:rsidRDefault="00054B0E" w:rsidP="004647A0">
      <w:pPr>
        <w:spacing w:line="360" w:lineRule="auto"/>
        <w:rPr>
          <w:rFonts w:ascii="Arial" w:hAnsi="Arial" w:cs="Arial"/>
          <w:sz w:val="22"/>
          <w:szCs w:val="22"/>
        </w:rPr>
      </w:pPr>
      <w:r w:rsidRPr="004647A0">
        <w:rPr>
          <w:rFonts w:ascii="Arial" w:hAnsi="Arial" w:cs="Arial"/>
          <w:sz w:val="22"/>
          <w:szCs w:val="22"/>
        </w:rPr>
        <w:t>Smoking is another important factor because it damages blood vessels and increases cardiovascular risk. This is particularly concerning in diabetes, where chronic hyperglycaemia already contributes to vascular damage and increases the risk of heart disease, stroke and poor circulation.</w:t>
      </w:r>
    </w:p>
    <w:p w14:paraId="647BB5DB" w14:textId="78FC8EDD" w:rsidR="00AB61E0" w:rsidRDefault="00AB61E0" w:rsidP="004647A0">
      <w:pPr>
        <w:spacing w:line="360" w:lineRule="auto"/>
        <w:rPr>
          <w:rFonts w:ascii="Arial" w:hAnsi="Arial" w:cs="Arial"/>
          <w:sz w:val="22"/>
          <w:szCs w:val="22"/>
        </w:rPr>
      </w:pPr>
      <w:r w:rsidRPr="00AB61E0">
        <w:rPr>
          <w:rFonts w:ascii="Arial" w:hAnsi="Arial" w:cs="Arial"/>
          <w:sz w:val="22"/>
          <w:szCs w:val="22"/>
        </w:rPr>
        <w:t>Type 2 diabetes can affect daily life and wellbeing. Fatigue, thirst and frequent urination may disrupt work, sleep and everyday activities. Long-term complications can reduce mobility, independence and quality of life. Managing medication and lifestyle changes may also cause emotional stress, so healthcare professionals should consider both physical and psychological needs.</w:t>
      </w:r>
    </w:p>
    <w:p w14:paraId="2C110DFD" w14:textId="4EC486FF" w:rsidR="00054B0E" w:rsidRPr="004647A0" w:rsidRDefault="00054B0E" w:rsidP="004647A0">
      <w:pPr>
        <w:spacing w:line="360" w:lineRule="auto"/>
        <w:rPr>
          <w:rFonts w:ascii="Arial" w:hAnsi="Arial" w:cs="Arial"/>
          <w:sz w:val="22"/>
          <w:szCs w:val="22"/>
        </w:rPr>
      </w:pPr>
      <w:r w:rsidRPr="004647A0">
        <w:rPr>
          <w:rFonts w:ascii="Arial" w:hAnsi="Arial" w:cs="Arial"/>
          <w:sz w:val="22"/>
          <w:szCs w:val="22"/>
        </w:rPr>
        <w:t xml:space="preserve">If hyperglycaemia remains poorly controlled over time, both small and large blood vessels can be damaged. Microvascular complications include diabetic retinopathy, kidney disease and peripheral neuropathy, while macrovascular disease can lead to myocardial infarction and stroke. The UK Prospective Diabetes Study showed that improved glycaemic control reduced the risk of diabetic complications, particularly microvascular disease (UK Prospective Diabetes Study Group, 1998). </w:t>
      </w:r>
    </w:p>
    <w:p w14:paraId="3BB0A3B5" w14:textId="2CF8A294" w:rsidR="00840812" w:rsidRPr="004647A0" w:rsidRDefault="00840812" w:rsidP="004647A0">
      <w:pPr>
        <w:pStyle w:val="Heading1"/>
        <w:spacing w:line="360" w:lineRule="auto"/>
        <w:rPr>
          <w:rFonts w:ascii="Arial" w:hAnsi="Arial" w:cs="Arial"/>
          <w:sz w:val="28"/>
          <w:szCs w:val="28"/>
        </w:rPr>
      </w:pPr>
      <w:bookmarkStart w:id="3" w:name="_Toc241325668"/>
      <w:r w:rsidRPr="004647A0">
        <w:rPr>
          <w:rFonts w:ascii="Arial" w:hAnsi="Arial" w:cs="Arial"/>
          <w:sz w:val="28"/>
          <w:szCs w:val="28"/>
        </w:rPr>
        <w:t>Blood Glucose Monitoring and Trackin</w:t>
      </w:r>
      <w:r w:rsidR="004647A0" w:rsidRPr="004647A0">
        <w:rPr>
          <w:rFonts w:ascii="Arial" w:hAnsi="Arial" w:cs="Arial"/>
          <w:sz w:val="28"/>
          <w:szCs w:val="28"/>
        </w:rPr>
        <w:t>g</w:t>
      </w:r>
      <w:bookmarkEnd w:id="3"/>
      <w:r w:rsidRPr="004647A0">
        <w:rPr>
          <w:rFonts w:ascii="Arial" w:hAnsi="Arial" w:cs="Arial"/>
          <w:sz w:val="28"/>
          <w:szCs w:val="28"/>
        </w:rPr>
        <w:t xml:space="preserve"> </w:t>
      </w:r>
    </w:p>
    <w:p w14:paraId="13DAFE23" w14:textId="2B4CC865" w:rsidR="00054B0E" w:rsidRPr="004647A0" w:rsidRDefault="00054B0E" w:rsidP="004647A0">
      <w:pPr>
        <w:spacing w:line="360" w:lineRule="auto"/>
        <w:rPr>
          <w:rFonts w:ascii="Arial" w:hAnsi="Arial" w:cs="Arial"/>
          <w:sz w:val="22"/>
          <w:szCs w:val="22"/>
        </w:rPr>
      </w:pPr>
      <w:r w:rsidRPr="004647A0">
        <w:rPr>
          <w:rFonts w:ascii="Arial" w:hAnsi="Arial" w:cs="Arial"/>
          <w:sz w:val="22"/>
          <w:szCs w:val="22"/>
        </w:rPr>
        <w:t>Monitoring provides healthcare professionals and patients with important information about whether Type 2 diabetes is being managed effectively. One of the main measurements is glycated haemoglobin, known as HbA1c. HbA1c reflects the amount of glucose attached to haemoglobin in red blood cells and indicates average blood glucose levels over the previous two to three months. This makes it more useful for assessing long-term glucose control than a single blood glucose reading, which can vary with food intake, physical activity, stress or illness.</w:t>
      </w:r>
    </w:p>
    <w:p w14:paraId="64945816" w14:textId="46FEFE40" w:rsidR="00054B0E" w:rsidRPr="004647A0" w:rsidRDefault="00054B0E" w:rsidP="004647A0">
      <w:pPr>
        <w:spacing w:line="360" w:lineRule="auto"/>
        <w:rPr>
          <w:rFonts w:ascii="Arial" w:hAnsi="Arial" w:cs="Arial"/>
          <w:sz w:val="22"/>
          <w:szCs w:val="22"/>
        </w:rPr>
      </w:pPr>
      <w:r w:rsidRPr="004647A0">
        <w:rPr>
          <w:rFonts w:ascii="Arial" w:hAnsi="Arial" w:cs="Arial"/>
          <w:sz w:val="22"/>
          <w:szCs w:val="22"/>
        </w:rPr>
        <w:t>Current NICE guidance recommends measuring HbA1c every three to six months until blood glucose levels and treatment are stable.</w:t>
      </w:r>
      <w:r w:rsidR="00E74354" w:rsidRPr="00E74354">
        <w:t xml:space="preserve"> </w:t>
      </w:r>
      <w:r w:rsidR="00E74354" w:rsidRPr="00E74354">
        <w:rPr>
          <w:rFonts w:ascii="Arial" w:hAnsi="Arial" w:cs="Arial"/>
          <w:sz w:val="22"/>
          <w:szCs w:val="22"/>
        </w:rPr>
        <w:t>(NICE, 2026)</w:t>
      </w:r>
      <w:r w:rsidRPr="004647A0">
        <w:rPr>
          <w:rFonts w:ascii="Arial" w:hAnsi="Arial" w:cs="Arial"/>
          <w:sz w:val="22"/>
          <w:szCs w:val="22"/>
        </w:rPr>
        <w:t xml:space="preserve"> Once stable, HbA1c is usually checked every six months (NICE, 2026). The target should be agreed individually between the patient and healthcare professional. For many </w:t>
      </w:r>
      <w:proofErr w:type="gramStart"/>
      <w:r w:rsidRPr="004647A0">
        <w:rPr>
          <w:rFonts w:ascii="Arial" w:hAnsi="Arial" w:cs="Arial"/>
          <w:sz w:val="22"/>
          <w:szCs w:val="22"/>
        </w:rPr>
        <w:t>adults</w:t>
      </w:r>
      <w:proofErr w:type="gramEnd"/>
      <w:r w:rsidRPr="004647A0">
        <w:rPr>
          <w:rFonts w:ascii="Arial" w:hAnsi="Arial" w:cs="Arial"/>
          <w:sz w:val="22"/>
          <w:szCs w:val="22"/>
        </w:rPr>
        <w:t xml:space="preserve"> managing diabetes through healthy living and treatments not associated with hypoglycaemia, NICE recommends an HbA1c </w:t>
      </w:r>
      <w:r w:rsidRPr="004647A0">
        <w:rPr>
          <w:rFonts w:ascii="Arial" w:hAnsi="Arial" w:cs="Arial"/>
          <w:sz w:val="22"/>
          <w:szCs w:val="22"/>
        </w:rPr>
        <w:lastRenderedPageBreak/>
        <w:t>target of around 48 mmol/mol (6.5%). However, targets may differ depending on age, medication, other health conditions and risk of hypoglycaemia (NICE, 2026).</w:t>
      </w:r>
    </w:p>
    <w:p w14:paraId="7E7FDD70" w14:textId="1F2507A8" w:rsidR="00054B0E" w:rsidRPr="004647A0" w:rsidRDefault="00054B0E" w:rsidP="004647A0">
      <w:pPr>
        <w:spacing w:line="360" w:lineRule="auto"/>
        <w:rPr>
          <w:rFonts w:ascii="Arial" w:hAnsi="Arial" w:cs="Arial"/>
          <w:sz w:val="22"/>
          <w:szCs w:val="22"/>
        </w:rPr>
      </w:pPr>
      <w:r w:rsidRPr="004647A0">
        <w:rPr>
          <w:rFonts w:ascii="Arial" w:hAnsi="Arial" w:cs="Arial"/>
          <w:sz w:val="22"/>
          <w:szCs w:val="22"/>
        </w:rPr>
        <w:t>Regular HbA1c results allow changes to be identified over time. A gradual increase may suggest that diet, physical activity or medication is no longer controlling blood glucose effectively. This allows the healthcare team to review the management plan before complications develop. A stable or improving HbA1c may indicate that current lifestyle changes or treatment are effective.</w:t>
      </w:r>
    </w:p>
    <w:p w14:paraId="7DB99880" w14:textId="6AA38C79" w:rsidR="00054B0E" w:rsidRDefault="00054B0E" w:rsidP="004647A0">
      <w:pPr>
        <w:spacing w:line="360" w:lineRule="auto"/>
        <w:rPr>
          <w:rFonts w:ascii="Arial" w:hAnsi="Arial" w:cs="Arial"/>
          <w:sz w:val="22"/>
          <w:szCs w:val="22"/>
        </w:rPr>
      </w:pPr>
      <w:r w:rsidRPr="004647A0">
        <w:rPr>
          <w:rFonts w:ascii="Arial" w:hAnsi="Arial" w:cs="Arial"/>
          <w:sz w:val="22"/>
          <w:szCs w:val="22"/>
        </w:rPr>
        <w:t>Routine finger-prick testing is not required for every person with Type 2 diabetes. NICE (2026) states that self-monitoring of capillary blood glucose should not normally be offered unless there is a specific reason, such as insulin treatment or risk of hypoglycaemia. Monitoring should therefore be based on individual clinical need.</w:t>
      </w:r>
    </w:p>
    <w:p w14:paraId="3C526867" w14:textId="704F25C2" w:rsidR="00A77396" w:rsidRDefault="00A77396" w:rsidP="004647A0">
      <w:pPr>
        <w:spacing w:line="360" w:lineRule="auto"/>
        <w:rPr>
          <w:rFonts w:ascii="Arial" w:hAnsi="Arial" w:cs="Arial"/>
          <w:sz w:val="22"/>
          <w:szCs w:val="22"/>
        </w:rPr>
      </w:pPr>
      <w:r w:rsidRPr="00A77396">
        <w:rPr>
          <w:rFonts w:ascii="Arial" w:hAnsi="Arial" w:cs="Arial"/>
          <w:sz w:val="22"/>
          <w:szCs w:val="22"/>
        </w:rPr>
        <w:t xml:space="preserve">For individuals who have been advised to self-monitor their blood glucose, recording results over time can help identify patterns that may not be apparent from a single reading. Patients can record glucose readings alongside factors such as meals, physical activity, medication and illness. Reviewing these records with a healthcare professional can help identify factors associated with higher or lower glucose levels and determine whether the current management plan remains appropriate. </w:t>
      </w:r>
    </w:p>
    <w:p w14:paraId="608E79DB" w14:textId="1F50F2FF" w:rsidR="00054B0E" w:rsidRPr="004647A0" w:rsidRDefault="00054B0E" w:rsidP="004647A0">
      <w:pPr>
        <w:spacing w:line="360" w:lineRule="auto"/>
        <w:rPr>
          <w:rFonts w:ascii="Arial" w:hAnsi="Arial" w:cs="Arial"/>
          <w:sz w:val="22"/>
          <w:szCs w:val="22"/>
        </w:rPr>
      </w:pPr>
      <w:r w:rsidRPr="004647A0">
        <w:rPr>
          <w:rFonts w:ascii="Arial" w:hAnsi="Arial" w:cs="Arial"/>
          <w:sz w:val="22"/>
          <w:szCs w:val="22"/>
        </w:rPr>
        <w:t>Other health data is also important because Type 2 diabetes can affect several body systems. Body weight and body mass index can help assess weight-management strategies, while blood pressure and cholesterol measurements help identify cardiovascular risk. Kidney function should be monitored because prolonged hyperglycaemia can damage small blood vessels in the kidneys. Foot checks can identify reduced sensation, poor circulation or skin damage, while diabetic eye screening can detect early signs of retinopathy.</w:t>
      </w:r>
    </w:p>
    <w:p w14:paraId="5407B970" w14:textId="54E5C27D" w:rsidR="00054B0E" w:rsidRPr="004647A0" w:rsidRDefault="00054B0E" w:rsidP="004647A0">
      <w:pPr>
        <w:spacing w:line="360" w:lineRule="auto"/>
        <w:rPr>
          <w:rFonts w:ascii="Arial" w:hAnsi="Arial" w:cs="Arial"/>
          <w:sz w:val="22"/>
          <w:szCs w:val="22"/>
        </w:rPr>
      </w:pPr>
      <w:r w:rsidRPr="004647A0">
        <w:rPr>
          <w:rFonts w:ascii="Arial" w:hAnsi="Arial" w:cs="Arial"/>
          <w:sz w:val="22"/>
          <w:szCs w:val="22"/>
        </w:rPr>
        <w:t>Together, these measurements provide a more complete picture of health than blood glucose alone. Discussing results with patients can improve understanding, support involvement in treatment decisions and encourage long-term self-management.</w:t>
      </w:r>
    </w:p>
    <w:p w14:paraId="39896A8E" w14:textId="07368E67" w:rsidR="00197B29" w:rsidRPr="004647A0" w:rsidRDefault="00197B29" w:rsidP="004647A0">
      <w:pPr>
        <w:pStyle w:val="Heading1"/>
        <w:spacing w:line="360" w:lineRule="auto"/>
        <w:rPr>
          <w:rFonts w:ascii="Arial" w:hAnsi="Arial" w:cs="Arial"/>
          <w:sz w:val="28"/>
          <w:szCs w:val="28"/>
        </w:rPr>
      </w:pPr>
      <w:bookmarkStart w:id="4" w:name="_Toc241325669"/>
      <w:r w:rsidRPr="004647A0">
        <w:rPr>
          <w:rFonts w:ascii="Arial" w:hAnsi="Arial" w:cs="Arial"/>
          <w:sz w:val="28"/>
          <w:szCs w:val="28"/>
        </w:rPr>
        <w:t>Evidence-Based Lifestyle Recommendations</w:t>
      </w:r>
      <w:bookmarkEnd w:id="4"/>
    </w:p>
    <w:p w14:paraId="4C19EB68" w14:textId="33D796BD" w:rsidR="00054B0E" w:rsidRPr="004647A0" w:rsidRDefault="00FC11F5" w:rsidP="004647A0">
      <w:pPr>
        <w:spacing w:line="360" w:lineRule="auto"/>
        <w:rPr>
          <w:rFonts w:ascii="Arial" w:hAnsi="Arial" w:cs="Arial"/>
          <w:sz w:val="22"/>
          <w:szCs w:val="22"/>
        </w:rPr>
      </w:pPr>
      <w:r w:rsidRPr="004647A0">
        <w:rPr>
          <w:rFonts w:ascii="Arial" w:hAnsi="Arial" w:cs="Arial"/>
          <w:sz w:val="22"/>
          <w:szCs w:val="22"/>
        </w:rPr>
        <w:t xml:space="preserve">Lifestyle management is an important part of Type 2 diabetes care and should be personalised rather than based on unrealistic restrictions. For people living with overweight or obesity, weight management should be considered an important part of treatment alongside glycaemic management. Evidence suggests that losing around 5–7% of initial body weight can improve glycaemic control and other cardiovascular risk factors, while </w:t>
      </w:r>
      <w:r w:rsidRPr="004647A0">
        <w:rPr>
          <w:rFonts w:ascii="Arial" w:hAnsi="Arial" w:cs="Arial"/>
          <w:sz w:val="22"/>
          <w:szCs w:val="22"/>
        </w:rPr>
        <w:lastRenderedPageBreak/>
        <w:t>greater sustained weight loss may provide additional benefits (American Diabetes Association Professional Practice Committee for Diabetes, 2026).</w:t>
      </w:r>
    </w:p>
    <w:p w14:paraId="65ABB158" w14:textId="56345870" w:rsidR="00054B0E" w:rsidRPr="004647A0" w:rsidRDefault="00054B0E" w:rsidP="004647A0">
      <w:pPr>
        <w:spacing w:line="360" w:lineRule="auto"/>
        <w:rPr>
          <w:rFonts w:ascii="Arial" w:hAnsi="Arial" w:cs="Arial"/>
          <w:sz w:val="22"/>
          <w:szCs w:val="22"/>
        </w:rPr>
      </w:pPr>
      <w:r w:rsidRPr="004647A0">
        <w:rPr>
          <w:rFonts w:ascii="Arial" w:hAnsi="Arial" w:cs="Arial"/>
          <w:sz w:val="22"/>
          <w:szCs w:val="22"/>
        </w:rPr>
        <w:t xml:space="preserve">Evidence for this is provided by the </w:t>
      </w:r>
      <w:proofErr w:type="spellStart"/>
      <w:r w:rsidRPr="004647A0">
        <w:rPr>
          <w:rFonts w:ascii="Arial" w:hAnsi="Arial" w:cs="Arial"/>
          <w:sz w:val="22"/>
          <w:szCs w:val="22"/>
        </w:rPr>
        <w:t>DiRECT</w:t>
      </w:r>
      <w:proofErr w:type="spellEnd"/>
      <w:r w:rsidRPr="004647A0">
        <w:rPr>
          <w:rFonts w:ascii="Arial" w:hAnsi="Arial" w:cs="Arial"/>
          <w:sz w:val="22"/>
          <w:szCs w:val="22"/>
        </w:rPr>
        <w:t xml:space="preserve"> study, which examined an intensive weight-management programme in people with relatively recently diagnosed Type 2 diabetes. At two years, 36% of participants receiving the intervention were in remission, particularly those who maintained substantial weight loss. Although remission rates reduced over time, five-year follow-up still showed benefits from maintaining weight loss (Lean et al., 2024). This demonstrates that weight management can significantly improve glucose control, although remission cannot be guaranteed.</w:t>
      </w:r>
    </w:p>
    <w:p w14:paraId="78F2EC85" w14:textId="3131943C" w:rsidR="00054B0E" w:rsidRDefault="00054B0E" w:rsidP="004647A0">
      <w:pPr>
        <w:spacing w:line="360" w:lineRule="auto"/>
        <w:rPr>
          <w:rFonts w:ascii="Arial" w:hAnsi="Arial" w:cs="Arial"/>
          <w:sz w:val="22"/>
          <w:szCs w:val="22"/>
        </w:rPr>
      </w:pPr>
      <w:r w:rsidRPr="004647A0">
        <w:rPr>
          <w:rFonts w:ascii="Arial" w:hAnsi="Arial" w:cs="Arial"/>
          <w:sz w:val="22"/>
          <w:szCs w:val="22"/>
        </w:rPr>
        <w:t>Dietary changes should focus on a balanced eating pattern that is realistic and sustainable. This may include reducing overall energy intake where weight loss is needed, limiting foods high in free sugars and saturated fat, and increasing vegetables, whole grains and fibre-rich foods. Portion size is also important. Dietary advice should consider culture, finances, food preferences and other health conditions so that changes are practical for the individual.</w:t>
      </w:r>
    </w:p>
    <w:p w14:paraId="168B5D73" w14:textId="651CDF54" w:rsidR="008826EA" w:rsidRPr="004647A0" w:rsidRDefault="008826EA" w:rsidP="004647A0">
      <w:pPr>
        <w:spacing w:line="360" w:lineRule="auto"/>
        <w:rPr>
          <w:rFonts w:ascii="Arial" w:hAnsi="Arial" w:cs="Arial"/>
          <w:sz w:val="22"/>
          <w:szCs w:val="22"/>
        </w:rPr>
      </w:pPr>
      <w:r w:rsidRPr="008826EA">
        <w:rPr>
          <w:rFonts w:ascii="Arial" w:hAnsi="Arial" w:cs="Arial"/>
          <w:sz w:val="22"/>
          <w:szCs w:val="22"/>
        </w:rPr>
        <w:t>For example, a patient who regularly drinks sugary beverages could begin by replacing one drink each day with water. Someone who is physically inactive could start with a 10-minute walk and gradually increase activity according to their ability. Setting small, measurable goals can make lifestyle changes more manageable. Progress should be reviewed with the healthcare professional, and goals adjusted when necessary.</w:t>
      </w:r>
    </w:p>
    <w:p w14:paraId="395A64FB" w14:textId="019E2F56" w:rsidR="00054B0E" w:rsidRPr="004647A0" w:rsidRDefault="00054B0E" w:rsidP="004647A0">
      <w:pPr>
        <w:spacing w:line="360" w:lineRule="auto"/>
        <w:rPr>
          <w:rFonts w:ascii="Arial" w:hAnsi="Arial" w:cs="Arial"/>
          <w:sz w:val="22"/>
          <w:szCs w:val="22"/>
        </w:rPr>
      </w:pPr>
      <w:r w:rsidRPr="004647A0">
        <w:rPr>
          <w:rFonts w:ascii="Arial" w:hAnsi="Arial" w:cs="Arial"/>
          <w:sz w:val="22"/>
          <w:szCs w:val="22"/>
        </w:rPr>
        <w:t>Physical activity should also be increased gradually. A realistic target for many adults is at least 150 minutes of moderate activity each week, such as brisk walking, cycling or swimming. Resistance exercise may also be helpful because muscle activity increases glucose uptake. Exercise can improve insulin sensitivity even before major weight loss occurs. Umpierre et al. (2011) found that structured exercise programmes were associated with reductions in HbA1c.</w:t>
      </w:r>
      <w:r w:rsidR="00E74354">
        <w:rPr>
          <w:rFonts w:ascii="Arial" w:hAnsi="Arial" w:cs="Arial"/>
          <w:sz w:val="22"/>
          <w:szCs w:val="22"/>
        </w:rPr>
        <w:t xml:space="preserve"> </w:t>
      </w:r>
      <w:r w:rsidR="00E74354" w:rsidRPr="00E74354">
        <w:rPr>
          <w:rFonts w:ascii="Arial" w:hAnsi="Arial" w:cs="Arial"/>
          <w:sz w:val="22"/>
          <w:szCs w:val="22"/>
        </w:rPr>
        <w:t>Activity should be increased safely according to the person's health, physical ability and existing complications</w:t>
      </w:r>
      <w:r w:rsidR="00E74354">
        <w:rPr>
          <w:rFonts w:ascii="Arial" w:hAnsi="Arial" w:cs="Arial"/>
          <w:sz w:val="22"/>
          <w:szCs w:val="22"/>
        </w:rPr>
        <w:t>.</w:t>
      </w:r>
    </w:p>
    <w:p w14:paraId="1DF83D9F" w14:textId="77777777" w:rsidR="00A77396" w:rsidRDefault="00A77396" w:rsidP="004647A0">
      <w:pPr>
        <w:spacing w:line="360" w:lineRule="auto"/>
        <w:rPr>
          <w:rFonts w:ascii="Arial" w:hAnsi="Arial" w:cs="Arial"/>
          <w:sz w:val="22"/>
          <w:szCs w:val="22"/>
        </w:rPr>
      </w:pPr>
      <w:r w:rsidRPr="00A77396">
        <w:rPr>
          <w:rFonts w:ascii="Arial" w:hAnsi="Arial" w:cs="Arial"/>
          <w:sz w:val="22"/>
          <w:szCs w:val="22"/>
        </w:rPr>
        <w:t>Smoking cessation should be encouraged because smoking increases cardiovascular and respiratory risk, which is particularly important for people with Type 2 diabetes who already have an increased risk of cardiovascular disease. Patients who smoke should therefore be offered appropriate smoking-cessation support. Reducing this additional cardiovascular risk forms an important part of diabetes management alongside controlling blood glucose, blood pressure and cholesterol.</w:t>
      </w:r>
    </w:p>
    <w:p w14:paraId="7ABB1521" w14:textId="6C917C8D" w:rsidR="00054B0E" w:rsidRPr="004647A0" w:rsidRDefault="00054B0E" w:rsidP="004647A0">
      <w:pPr>
        <w:spacing w:line="360" w:lineRule="auto"/>
        <w:rPr>
          <w:rFonts w:ascii="Arial" w:hAnsi="Arial" w:cs="Arial"/>
          <w:sz w:val="22"/>
          <w:szCs w:val="22"/>
        </w:rPr>
      </w:pPr>
      <w:r w:rsidRPr="004647A0">
        <w:rPr>
          <w:rFonts w:ascii="Arial" w:hAnsi="Arial" w:cs="Arial"/>
          <w:sz w:val="22"/>
          <w:szCs w:val="22"/>
        </w:rPr>
        <w:t xml:space="preserve">Finally, lifestyle recommendations should be achievable. Healthcare professionals should work with patients to set small, realistic goals and review progress regularly. NICE (2026) </w:t>
      </w:r>
      <w:r w:rsidRPr="004647A0">
        <w:rPr>
          <w:rFonts w:ascii="Arial" w:hAnsi="Arial" w:cs="Arial"/>
          <w:sz w:val="22"/>
          <w:szCs w:val="22"/>
        </w:rPr>
        <w:lastRenderedPageBreak/>
        <w:t>recommends an individualised approach that considers personal circumstances, preferences and other health conditions.</w:t>
      </w:r>
      <w:r w:rsidR="008826EA">
        <w:rPr>
          <w:rFonts w:ascii="Arial" w:hAnsi="Arial" w:cs="Arial"/>
          <w:sz w:val="22"/>
          <w:szCs w:val="22"/>
        </w:rPr>
        <w:t xml:space="preserve"> </w:t>
      </w:r>
      <w:r w:rsidR="008826EA" w:rsidRPr="008826EA">
        <w:rPr>
          <w:rFonts w:ascii="Arial" w:hAnsi="Arial" w:cs="Arial"/>
          <w:sz w:val="22"/>
          <w:szCs w:val="22"/>
        </w:rPr>
        <w:t>Structured diabetes education is another important component of care. NICE recommends that adults with Type 2 diabetes are offered structured education to improve their understanding of the condition and develop the skills needed for self-management (NICE, 2026). Practice nurses can encourage attendance at suitable education programmes and reinforce key messages during consultations. This can help patients understand the relationship between diet, physical activity, medication and blood glucose control, enabling them to make informed decisions about their health.</w:t>
      </w:r>
    </w:p>
    <w:p w14:paraId="7A086250" w14:textId="77777777" w:rsidR="00197B29" w:rsidRPr="004647A0" w:rsidRDefault="00197B29" w:rsidP="004647A0">
      <w:pPr>
        <w:pStyle w:val="Heading1"/>
        <w:spacing w:line="360" w:lineRule="auto"/>
        <w:rPr>
          <w:rFonts w:ascii="Arial" w:hAnsi="Arial" w:cs="Arial"/>
          <w:sz w:val="28"/>
          <w:szCs w:val="28"/>
        </w:rPr>
      </w:pPr>
      <w:bookmarkStart w:id="5" w:name="_Toc241325670"/>
      <w:r w:rsidRPr="004647A0">
        <w:rPr>
          <w:rFonts w:ascii="Arial" w:hAnsi="Arial" w:cs="Arial"/>
          <w:sz w:val="28"/>
          <w:szCs w:val="28"/>
        </w:rPr>
        <w:t>Conclusion</w:t>
      </w:r>
      <w:bookmarkEnd w:id="5"/>
    </w:p>
    <w:p w14:paraId="44899DE2" w14:textId="0754C211" w:rsidR="00A77396" w:rsidRPr="00A77396" w:rsidRDefault="00A77396" w:rsidP="00A77396">
      <w:pPr>
        <w:pStyle w:val="Heading1"/>
        <w:spacing w:line="360" w:lineRule="auto"/>
        <w:rPr>
          <w:rFonts w:ascii="Arial" w:eastAsiaTheme="minorHAnsi" w:hAnsi="Arial" w:cs="Arial"/>
          <w:color w:val="auto"/>
          <w:sz w:val="22"/>
          <w:szCs w:val="22"/>
        </w:rPr>
      </w:pPr>
      <w:bookmarkStart w:id="6" w:name="_Toc241325671"/>
      <w:r w:rsidRPr="00A77396">
        <w:rPr>
          <w:rFonts w:ascii="Arial" w:eastAsiaTheme="minorHAnsi" w:hAnsi="Arial" w:cs="Arial"/>
          <w:color w:val="auto"/>
          <w:sz w:val="22"/>
          <w:szCs w:val="22"/>
        </w:rPr>
        <w:t>Type 2 diabetes develops when normal glucose homeostasis is disrupted by insulin resistance and progressive beta-cell dysfunction, leading to persistent hyperglycaemia. Normally, insulin and glucagon work together to maintain blood glucose, while glucose and oxygen are used during cellular respiration to generate ATP.</w:t>
      </w:r>
    </w:p>
    <w:p w14:paraId="77C9DDE4" w14:textId="126D54A4" w:rsidR="00A77396" w:rsidRPr="00A77396" w:rsidRDefault="00A77396" w:rsidP="00A77396">
      <w:pPr>
        <w:pStyle w:val="Heading1"/>
        <w:spacing w:line="360" w:lineRule="auto"/>
        <w:rPr>
          <w:rFonts w:ascii="Arial" w:eastAsiaTheme="minorHAnsi" w:hAnsi="Arial" w:cs="Arial"/>
          <w:color w:val="auto"/>
          <w:sz w:val="22"/>
          <w:szCs w:val="22"/>
        </w:rPr>
      </w:pPr>
      <w:r w:rsidRPr="00A77396">
        <w:rPr>
          <w:rFonts w:ascii="Arial" w:eastAsiaTheme="minorHAnsi" w:hAnsi="Arial" w:cs="Arial"/>
          <w:color w:val="auto"/>
          <w:sz w:val="22"/>
          <w:szCs w:val="22"/>
        </w:rPr>
        <w:t>Effective management requires more than controlling a single glucose reading. HbA1c and other health measurements help patients and healthcare professionals identify trends, assess treatment effectiveness and reduce the risk of complications. Lifestyle measures including weight management, a balanced diet, regular physical activity and smoking cessation can improve glycaemic control and reduce cardiovascular risk.</w:t>
      </w:r>
    </w:p>
    <w:p w14:paraId="17D646F8" w14:textId="77777777" w:rsidR="00A77396" w:rsidRDefault="00A77396" w:rsidP="00A77396">
      <w:pPr>
        <w:pStyle w:val="Heading1"/>
        <w:spacing w:line="360" w:lineRule="auto"/>
        <w:rPr>
          <w:rFonts w:ascii="Arial" w:eastAsiaTheme="minorHAnsi" w:hAnsi="Arial" w:cs="Arial"/>
          <w:color w:val="auto"/>
          <w:sz w:val="22"/>
          <w:szCs w:val="22"/>
        </w:rPr>
      </w:pPr>
      <w:r w:rsidRPr="00A77396">
        <w:rPr>
          <w:rFonts w:ascii="Arial" w:eastAsiaTheme="minorHAnsi" w:hAnsi="Arial" w:cs="Arial"/>
          <w:color w:val="auto"/>
          <w:sz w:val="22"/>
          <w:szCs w:val="22"/>
        </w:rPr>
        <w:t>Practice nurses have an important role in helping patients understand their condition, interpret health information and make realistic, sustainable changes. Supporting informed self-management can improve long-term glucose control and reduce the risk of complications.</w:t>
      </w:r>
    </w:p>
    <w:p w14:paraId="60698B5B" w14:textId="29E9156C" w:rsidR="00197B29" w:rsidRPr="004647A0" w:rsidRDefault="00197B29" w:rsidP="00A77396">
      <w:pPr>
        <w:pStyle w:val="Heading1"/>
        <w:spacing w:line="360" w:lineRule="auto"/>
        <w:rPr>
          <w:rFonts w:ascii="Arial" w:hAnsi="Arial" w:cs="Arial"/>
          <w:sz w:val="28"/>
          <w:szCs w:val="28"/>
        </w:rPr>
      </w:pPr>
      <w:r w:rsidRPr="004647A0">
        <w:rPr>
          <w:rFonts w:ascii="Arial" w:hAnsi="Arial" w:cs="Arial"/>
          <w:sz w:val="28"/>
          <w:szCs w:val="28"/>
        </w:rPr>
        <w:t>References</w:t>
      </w:r>
      <w:bookmarkEnd w:id="6"/>
      <w:r w:rsidRPr="004647A0">
        <w:rPr>
          <w:rFonts w:ascii="Arial" w:hAnsi="Arial" w:cs="Arial"/>
          <w:sz w:val="28"/>
          <w:szCs w:val="28"/>
        </w:rPr>
        <w:t xml:space="preserve"> </w:t>
      </w:r>
    </w:p>
    <w:p w14:paraId="7F9F4CD8" w14:textId="77777777" w:rsidR="00E74354" w:rsidRPr="00E74354" w:rsidRDefault="00E74354" w:rsidP="00E74354">
      <w:pPr>
        <w:pStyle w:val="NormalWeb"/>
        <w:rPr>
          <w:rFonts w:ascii="Arial" w:hAnsi="Arial" w:cs="Arial"/>
          <w:color w:val="000000"/>
          <w:sz w:val="22"/>
          <w:szCs w:val="22"/>
        </w:rPr>
      </w:pPr>
      <w:r w:rsidRPr="00E74354">
        <w:rPr>
          <w:rFonts w:ascii="Arial" w:hAnsi="Arial" w:cs="Arial"/>
          <w:color w:val="000000"/>
          <w:sz w:val="22"/>
          <w:szCs w:val="22"/>
        </w:rPr>
        <w:t>American Diabetes Association Professional Practice Committee for Diabetes (2026) ‘8. Obesity and weight management for the prevention and treatment of diabetes: Standards of Care in Diabetes—2026’,</w:t>
      </w:r>
      <w:r w:rsidRPr="00E74354">
        <w:rPr>
          <w:rStyle w:val="apple-converted-space"/>
          <w:rFonts w:ascii="Arial" w:eastAsiaTheme="majorEastAsia" w:hAnsi="Arial" w:cs="Arial"/>
          <w:color w:val="000000"/>
          <w:sz w:val="22"/>
          <w:szCs w:val="22"/>
        </w:rPr>
        <w:t> </w:t>
      </w:r>
      <w:r w:rsidRPr="00E74354">
        <w:rPr>
          <w:rStyle w:val="Emphasis"/>
          <w:rFonts w:ascii="Arial" w:eastAsiaTheme="majorEastAsia" w:hAnsi="Arial" w:cs="Arial"/>
          <w:color w:val="000000"/>
          <w:sz w:val="22"/>
          <w:szCs w:val="22"/>
        </w:rPr>
        <w:t>Diabetes Care</w:t>
      </w:r>
      <w:r w:rsidRPr="00E74354">
        <w:rPr>
          <w:rFonts w:ascii="Arial" w:hAnsi="Arial" w:cs="Arial"/>
          <w:color w:val="000000"/>
          <w:sz w:val="22"/>
          <w:szCs w:val="22"/>
        </w:rPr>
        <w:t>, 49(Suppl. 1), pp. S166–S182. Available at:</w:t>
      </w:r>
      <w:r w:rsidRPr="00E74354">
        <w:rPr>
          <w:rStyle w:val="apple-converted-space"/>
          <w:rFonts w:ascii="Arial" w:eastAsiaTheme="majorEastAsia" w:hAnsi="Arial" w:cs="Arial"/>
          <w:color w:val="000000"/>
          <w:sz w:val="22"/>
          <w:szCs w:val="22"/>
        </w:rPr>
        <w:t> </w:t>
      </w:r>
      <w:hyperlink r:id="rId7" w:history="1">
        <w:r w:rsidRPr="00E74354">
          <w:rPr>
            <w:rStyle w:val="Hyperlink"/>
            <w:rFonts w:ascii="Arial" w:eastAsiaTheme="majorEastAsia" w:hAnsi="Arial" w:cs="Arial"/>
            <w:sz w:val="22"/>
            <w:szCs w:val="22"/>
          </w:rPr>
          <w:t>https://doi.org/10.2337/dc26-S008</w:t>
        </w:r>
      </w:hyperlink>
      <w:r w:rsidRPr="00E74354">
        <w:rPr>
          <w:rStyle w:val="apple-converted-space"/>
          <w:rFonts w:ascii="Arial" w:eastAsiaTheme="majorEastAsia" w:hAnsi="Arial" w:cs="Arial"/>
          <w:color w:val="000000"/>
          <w:sz w:val="22"/>
          <w:szCs w:val="22"/>
        </w:rPr>
        <w:t> </w:t>
      </w:r>
      <w:r w:rsidRPr="00E74354">
        <w:rPr>
          <w:rFonts w:ascii="Arial" w:hAnsi="Arial" w:cs="Arial"/>
          <w:color w:val="000000"/>
          <w:sz w:val="22"/>
          <w:szCs w:val="22"/>
        </w:rPr>
        <w:t>(Accessed: 10 October 2026).</w:t>
      </w:r>
    </w:p>
    <w:p w14:paraId="1D53FC52" w14:textId="77777777" w:rsidR="00E74354" w:rsidRPr="00E74354" w:rsidRDefault="00E74354" w:rsidP="00E74354">
      <w:pPr>
        <w:pStyle w:val="NormalWeb"/>
        <w:rPr>
          <w:rFonts w:ascii="Arial" w:hAnsi="Arial" w:cs="Arial"/>
          <w:color w:val="000000"/>
          <w:sz w:val="22"/>
          <w:szCs w:val="22"/>
        </w:rPr>
      </w:pPr>
      <w:r w:rsidRPr="00E74354">
        <w:rPr>
          <w:rFonts w:ascii="Arial" w:hAnsi="Arial" w:cs="Arial"/>
          <w:color w:val="000000"/>
          <w:sz w:val="22"/>
          <w:szCs w:val="22"/>
        </w:rPr>
        <w:t xml:space="preserve">Betts, J.G., Young, K.A., Wise, J.A., Johnson, E., Poe, B., Kruse, D.H., Korol, O., Johnson, J.E., Womble, M. and </w:t>
      </w:r>
      <w:proofErr w:type="spellStart"/>
      <w:r w:rsidRPr="00E74354">
        <w:rPr>
          <w:rFonts w:ascii="Arial" w:hAnsi="Arial" w:cs="Arial"/>
          <w:color w:val="000000"/>
          <w:sz w:val="22"/>
          <w:szCs w:val="22"/>
        </w:rPr>
        <w:t>DeSaix</w:t>
      </w:r>
      <w:proofErr w:type="spellEnd"/>
      <w:r w:rsidRPr="00E74354">
        <w:rPr>
          <w:rFonts w:ascii="Arial" w:hAnsi="Arial" w:cs="Arial"/>
          <w:color w:val="000000"/>
          <w:sz w:val="22"/>
          <w:szCs w:val="22"/>
        </w:rPr>
        <w:t>, P. (2022)</w:t>
      </w:r>
      <w:r w:rsidRPr="00E74354">
        <w:rPr>
          <w:rStyle w:val="apple-converted-space"/>
          <w:rFonts w:ascii="Arial" w:eastAsiaTheme="majorEastAsia" w:hAnsi="Arial" w:cs="Arial"/>
          <w:color w:val="000000"/>
          <w:sz w:val="22"/>
          <w:szCs w:val="22"/>
        </w:rPr>
        <w:t> </w:t>
      </w:r>
      <w:r w:rsidRPr="00E74354">
        <w:rPr>
          <w:rStyle w:val="Emphasis"/>
          <w:rFonts w:ascii="Arial" w:eastAsiaTheme="majorEastAsia" w:hAnsi="Arial" w:cs="Arial"/>
          <w:color w:val="000000"/>
          <w:sz w:val="22"/>
          <w:szCs w:val="22"/>
        </w:rPr>
        <w:t>Anatomy and Physiology 2e</w:t>
      </w:r>
      <w:r w:rsidRPr="00E74354">
        <w:rPr>
          <w:rFonts w:ascii="Arial" w:hAnsi="Arial" w:cs="Arial"/>
          <w:color w:val="000000"/>
          <w:sz w:val="22"/>
          <w:szCs w:val="22"/>
        </w:rPr>
        <w:t>. Houston, TX: OpenStax. Available at:</w:t>
      </w:r>
      <w:r w:rsidRPr="00E74354">
        <w:rPr>
          <w:rStyle w:val="apple-converted-space"/>
          <w:rFonts w:ascii="Arial" w:eastAsiaTheme="majorEastAsia" w:hAnsi="Arial" w:cs="Arial"/>
          <w:color w:val="000000"/>
          <w:sz w:val="22"/>
          <w:szCs w:val="22"/>
        </w:rPr>
        <w:t> </w:t>
      </w:r>
      <w:hyperlink r:id="rId8" w:history="1">
        <w:r w:rsidRPr="00E74354">
          <w:rPr>
            <w:rStyle w:val="Hyperlink"/>
            <w:rFonts w:ascii="Arial" w:eastAsiaTheme="majorEastAsia" w:hAnsi="Arial" w:cs="Arial"/>
            <w:sz w:val="22"/>
            <w:szCs w:val="22"/>
          </w:rPr>
          <w:t>https://openstax.org/books/anatomy-and-physiology-2e/pages/24-2-carbohydrate-metabolism</w:t>
        </w:r>
      </w:hyperlink>
      <w:r w:rsidRPr="00E74354">
        <w:rPr>
          <w:rStyle w:val="apple-converted-space"/>
          <w:rFonts w:ascii="Arial" w:eastAsiaTheme="majorEastAsia" w:hAnsi="Arial" w:cs="Arial"/>
          <w:color w:val="000000"/>
          <w:sz w:val="22"/>
          <w:szCs w:val="22"/>
        </w:rPr>
        <w:t> </w:t>
      </w:r>
      <w:r w:rsidRPr="00E74354">
        <w:rPr>
          <w:rFonts w:ascii="Arial" w:hAnsi="Arial" w:cs="Arial"/>
          <w:color w:val="000000"/>
          <w:sz w:val="22"/>
          <w:szCs w:val="22"/>
        </w:rPr>
        <w:t>(Accessed: 10 October 2026).</w:t>
      </w:r>
    </w:p>
    <w:p w14:paraId="3A03A763" w14:textId="77777777" w:rsidR="00E74354" w:rsidRPr="00E74354" w:rsidRDefault="00E74354" w:rsidP="00E74354">
      <w:pPr>
        <w:pStyle w:val="NormalWeb"/>
        <w:rPr>
          <w:rFonts w:ascii="Arial" w:hAnsi="Arial" w:cs="Arial"/>
          <w:color w:val="000000"/>
          <w:sz w:val="22"/>
          <w:szCs w:val="22"/>
        </w:rPr>
      </w:pPr>
      <w:r w:rsidRPr="00E74354">
        <w:rPr>
          <w:rFonts w:ascii="Arial" w:hAnsi="Arial" w:cs="Arial"/>
          <w:color w:val="000000"/>
          <w:sz w:val="22"/>
          <w:szCs w:val="22"/>
        </w:rPr>
        <w:lastRenderedPageBreak/>
        <w:t xml:space="preserve">DeFronzo, R.A., </w:t>
      </w:r>
      <w:proofErr w:type="spellStart"/>
      <w:r w:rsidRPr="00E74354">
        <w:rPr>
          <w:rFonts w:ascii="Arial" w:hAnsi="Arial" w:cs="Arial"/>
          <w:color w:val="000000"/>
          <w:sz w:val="22"/>
          <w:szCs w:val="22"/>
        </w:rPr>
        <w:t>Ferrannini</w:t>
      </w:r>
      <w:proofErr w:type="spellEnd"/>
      <w:r w:rsidRPr="00E74354">
        <w:rPr>
          <w:rFonts w:ascii="Arial" w:hAnsi="Arial" w:cs="Arial"/>
          <w:color w:val="000000"/>
          <w:sz w:val="22"/>
          <w:szCs w:val="22"/>
        </w:rPr>
        <w:t>, E., Groop, L., Henry, R.R., Herman, W.H., Holst, J.J., Hu, F.B., Kahn, C.R., Raz, I., Shulman, G.I., Simonson, D.C., Testa, M.A. and Weiss, R. (2015) ‘Type 2 diabetes mellitus’,</w:t>
      </w:r>
      <w:r w:rsidRPr="00E74354">
        <w:rPr>
          <w:rStyle w:val="apple-converted-space"/>
          <w:rFonts w:ascii="Arial" w:eastAsiaTheme="majorEastAsia" w:hAnsi="Arial" w:cs="Arial"/>
          <w:color w:val="000000"/>
          <w:sz w:val="22"/>
          <w:szCs w:val="22"/>
        </w:rPr>
        <w:t> </w:t>
      </w:r>
      <w:r w:rsidRPr="00E74354">
        <w:rPr>
          <w:rStyle w:val="Emphasis"/>
          <w:rFonts w:ascii="Arial" w:eastAsiaTheme="majorEastAsia" w:hAnsi="Arial" w:cs="Arial"/>
          <w:color w:val="000000"/>
          <w:sz w:val="22"/>
          <w:szCs w:val="22"/>
        </w:rPr>
        <w:t>Nature Reviews Disease Primers</w:t>
      </w:r>
      <w:r w:rsidRPr="00E74354">
        <w:rPr>
          <w:rFonts w:ascii="Arial" w:hAnsi="Arial" w:cs="Arial"/>
          <w:color w:val="000000"/>
          <w:sz w:val="22"/>
          <w:szCs w:val="22"/>
        </w:rPr>
        <w:t>, 1, article 15019. Available at:</w:t>
      </w:r>
      <w:r w:rsidRPr="00E74354">
        <w:rPr>
          <w:rStyle w:val="apple-converted-space"/>
          <w:rFonts w:ascii="Arial" w:eastAsiaTheme="majorEastAsia" w:hAnsi="Arial" w:cs="Arial"/>
          <w:color w:val="000000"/>
          <w:sz w:val="22"/>
          <w:szCs w:val="22"/>
        </w:rPr>
        <w:t> </w:t>
      </w:r>
      <w:hyperlink r:id="rId9" w:history="1">
        <w:r w:rsidRPr="00E74354">
          <w:rPr>
            <w:rStyle w:val="Hyperlink"/>
            <w:rFonts w:ascii="Arial" w:eastAsiaTheme="majorEastAsia" w:hAnsi="Arial" w:cs="Arial"/>
            <w:sz w:val="22"/>
            <w:szCs w:val="22"/>
          </w:rPr>
          <w:t>https://doi.org/10.1038/nrdp.2015.19</w:t>
        </w:r>
      </w:hyperlink>
      <w:r w:rsidRPr="00E74354">
        <w:rPr>
          <w:rStyle w:val="apple-converted-space"/>
          <w:rFonts w:ascii="Arial" w:eastAsiaTheme="majorEastAsia" w:hAnsi="Arial" w:cs="Arial"/>
          <w:color w:val="000000"/>
          <w:sz w:val="22"/>
          <w:szCs w:val="22"/>
        </w:rPr>
        <w:t> </w:t>
      </w:r>
      <w:r w:rsidRPr="00E74354">
        <w:rPr>
          <w:rFonts w:ascii="Arial" w:hAnsi="Arial" w:cs="Arial"/>
          <w:color w:val="000000"/>
          <w:sz w:val="22"/>
          <w:szCs w:val="22"/>
        </w:rPr>
        <w:t>(Accessed: 10 October 2026).</w:t>
      </w:r>
    </w:p>
    <w:p w14:paraId="39395363" w14:textId="77777777" w:rsidR="00E74354" w:rsidRPr="00E74354" w:rsidRDefault="00E74354" w:rsidP="00E74354">
      <w:pPr>
        <w:pStyle w:val="NormalWeb"/>
        <w:rPr>
          <w:rFonts w:ascii="Arial" w:hAnsi="Arial" w:cs="Arial"/>
          <w:color w:val="000000"/>
          <w:sz w:val="22"/>
          <w:szCs w:val="22"/>
        </w:rPr>
      </w:pPr>
      <w:r w:rsidRPr="00E74354">
        <w:rPr>
          <w:rFonts w:ascii="Arial" w:hAnsi="Arial" w:cs="Arial"/>
          <w:color w:val="000000"/>
          <w:sz w:val="22"/>
          <w:szCs w:val="22"/>
        </w:rPr>
        <w:t xml:space="preserve">Galicia-Garcia, U., Benito-Vicente, A., </w:t>
      </w:r>
      <w:proofErr w:type="spellStart"/>
      <w:r w:rsidRPr="00E74354">
        <w:rPr>
          <w:rFonts w:ascii="Arial" w:hAnsi="Arial" w:cs="Arial"/>
          <w:color w:val="000000"/>
          <w:sz w:val="22"/>
          <w:szCs w:val="22"/>
        </w:rPr>
        <w:t>Jebari</w:t>
      </w:r>
      <w:proofErr w:type="spellEnd"/>
      <w:r w:rsidRPr="00E74354">
        <w:rPr>
          <w:rFonts w:ascii="Arial" w:hAnsi="Arial" w:cs="Arial"/>
          <w:color w:val="000000"/>
          <w:sz w:val="22"/>
          <w:szCs w:val="22"/>
        </w:rPr>
        <w:t>, S., Larrea-</w:t>
      </w:r>
      <w:proofErr w:type="spellStart"/>
      <w:r w:rsidRPr="00E74354">
        <w:rPr>
          <w:rFonts w:ascii="Arial" w:hAnsi="Arial" w:cs="Arial"/>
          <w:color w:val="000000"/>
          <w:sz w:val="22"/>
          <w:szCs w:val="22"/>
        </w:rPr>
        <w:t>Sebal</w:t>
      </w:r>
      <w:proofErr w:type="spellEnd"/>
      <w:r w:rsidRPr="00E74354">
        <w:rPr>
          <w:rFonts w:ascii="Arial" w:hAnsi="Arial" w:cs="Arial"/>
          <w:color w:val="000000"/>
          <w:sz w:val="22"/>
          <w:szCs w:val="22"/>
        </w:rPr>
        <w:t>, A., Siddiqi, H., Uribe, K.B., Ostolaza, H. and Martín, C. (2020) ‘Pathophysiology of Type 2 Diabetes Mellitus’,</w:t>
      </w:r>
      <w:r w:rsidRPr="00E74354">
        <w:rPr>
          <w:rStyle w:val="apple-converted-space"/>
          <w:rFonts w:ascii="Arial" w:eastAsiaTheme="majorEastAsia" w:hAnsi="Arial" w:cs="Arial"/>
          <w:color w:val="000000"/>
          <w:sz w:val="22"/>
          <w:szCs w:val="22"/>
        </w:rPr>
        <w:t> </w:t>
      </w:r>
      <w:r w:rsidRPr="00E74354">
        <w:rPr>
          <w:rStyle w:val="Emphasis"/>
          <w:rFonts w:ascii="Arial" w:eastAsiaTheme="majorEastAsia" w:hAnsi="Arial" w:cs="Arial"/>
          <w:color w:val="000000"/>
          <w:sz w:val="22"/>
          <w:szCs w:val="22"/>
        </w:rPr>
        <w:t>International Journal of Molecular Sciences</w:t>
      </w:r>
      <w:r w:rsidRPr="00E74354">
        <w:rPr>
          <w:rFonts w:ascii="Arial" w:hAnsi="Arial" w:cs="Arial"/>
          <w:color w:val="000000"/>
          <w:sz w:val="22"/>
          <w:szCs w:val="22"/>
        </w:rPr>
        <w:t>, 21(17), article 6275. Available at:</w:t>
      </w:r>
      <w:r w:rsidRPr="00E74354">
        <w:rPr>
          <w:rStyle w:val="apple-converted-space"/>
          <w:rFonts w:ascii="Arial" w:eastAsiaTheme="majorEastAsia" w:hAnsi="Arial" w:cs="Arial"/>
          <w:color w:val="000000"/>
          <w:sz w:val="22"/>
          <w:szCs w:val="22"/>
        </w:rPr>
        <w:t> </w:t>
      </w:r>
      <w:hyperlink r:id="rId10" w:history="1">
        <w:r w:rsidRPr="00E74354">
          <w:rPr>
            <w:rStyle w:val="Hyperlink"/>
            <w:rFonts w:ascii="Arial" w:eastAsiaTheme="majorEastAsia" w:hAnsi="Arial" w:cs="Arial"/>
            <w:sz w:val="22"/>
            <w:szCs w:val="22"/>
          </w:rPr>
          <w:t>https://doi.org/10.3390/ijms21176275</w:t>
        </w:r>
      </w:hyperlink>
      <w:r w:rsidRPr="00E74354">
        <w:rPr>
          <w:rStyle w:val="apple-converted-space"/>
          <w:rFonts w:ascii="Arial" w:eastAsiaTheme="majorEastAsia" w:hAnsi="Arial" w:cs="Arial"/>
          <w:color w:val="000000"/>
          <w:sz w:val="22"/>
          <w:szCs w:val="22"/>
        </w:rPr>
        <w:t> </w:t>
      </w:r>
      <w:r w:rsidRPr="00E74354">
        <w:rPr>
          <w:rFonts w:ascii="Arial" w:hAnsi="Arial" w:cs="Arial"/>
          <w:color w:val="000000"/>
          <w:sz w:val="22"/>
          <w:szCs w:val="22"/>
        </w:rPr>
        <w:t>(Accessed: 10 October 2026).</w:t>
      </w:r>
    </w:p>
    <w:p w14:paraId="6740CF4F" w14:textId="77777777" w:rsidR="00E74354" w:rsidRPr="00E74354" w:rsidRDefault="00E74354" w:rsidP="00E74354">
      <w:pPr>
        <w:pStyle w:val="NormalWeb"/>
        <w:rPr>
          <w:rFonts w:ascii="Arial" w:hAnsi="Arial" w:cs="Arial"/>
          <w:color w:val="000000"/>
          <w:sz w:val="22"/>
          <w:szCs w:val="22"/>
        </w:rPr>
      </w:pPr>
      <w:r w:rsidRPr="00E74354">
        <w:rPr>
          <w:rFonts w:ascii="Arial" w:hAnsi="Arial" w:cs="Arial"/>
          <w:color w:val="000000"/>
          <w:sz w:val="22"/>
          <w:szCs w:val="22"/>
        </w:rPr>
        <w:t>Lean, M.E.J., Leslie, W.S., Barnes, A.C.</w:t>
      </w:r>
      <w:r w:rsidRPr="00E74354">
        <w:rPr>
          <w:rStyle w:val="apple-converted-space"/>
          <w:rFonts w:ascii="Arial" w:eastAsiaTheme="majorEastAsia" w:hAnsi="Arial" w:cs="Arial"/>
          <w:color w:val="000000"/>
          <w:sz w:val="22"/>
          <w:szCs w:val="22"/>
        </w:rPr>
        <w:t> </w:t>
      </w:r>
      <w:r w:rsidRPr="00E74354">
        <w:rPr>
          <w:rStyle w:val="Emphasis"/>
          <w:rFonts w:ascii="Arial" w:eastAsiaTheme="majorEastAsia" w:hAnsi="Arial" w:cs="Arial"/>
          <w:color w:val="000000"/>
          <w:sz w:val="22"/>
          <w:szCs w:val="22"/>
        </w:rPr>
        <w:t>et al.</w:t>
      </w:r>
      <w:r w:rsidRPr="00E74354">
        <w:rPr>
          <w:rStyle w:val="apple-converted-space"/>
          <w:rFonts w:ascii="Arial" w:eastAsiaTheme="majorEastAsia" w:hAnsi="Arial" w:cs="Arial"/>
          <w:color w:val="000000"/>
          <w:sz w:val="22"/>
          <w:szCs w:val="22"/>
        </w:rPr>
        <w:t> </w:t>
      </w:r>
      <w:r w:rsidRPr="00E74354">
        <w:rPr>
          <w:rFonts w:ascii="Arial" w:hAnsi="Arial" w:cs="Arial"/>
          <w:color w:val="000000"/>
          <w:sz w:val="22"/>
          <w:szCs w:val="22"/>
        </w:rPr>
        <w:t>(2024) ‘5-year follow-up of the randomised Diabetes Remission Clinical Trial (</w:t>
      </w:r>
      <w:proofErr w:type="spellStart"/>
      <w:r w:rsidRPr="00E74354">
        <w:rPr>
          <w:rFonts w:ascii="Arial" w:hAnsi="Arial" w:cs="Arial"/>
          <w:color w:val="000000"/>
          <w:sz w:val="22"/>
          <w:szCs w:val="22"/>
        </w:rPr>
        <w:t>DiRECT</w:t>
      </w:r>
      <w:proofErr w:type="spellEnd"/>
      <w:r w:rsidRPr="00E74354">
        <w:rPr>
          <w:rFonts w:ascii="Arial" w:hAnsi="Arial" w:cs="Arial"/>
          <w:color w:val="000000"/>
          <w:sz w:val="22"/>
          <w:szCs w:val="22"/>
        </w:rPr>
        <w:t>) of continued support for weight loss maintenance in the UK: an extension study’,</w:t>
      </w:r>
      <w:r w:rsidRPr="00E74354">
        <w:rPr>
          <w:rStyle w:val="apple-converted-space"/>
          <w:rFonts w:ascii="Arial" w:eastAsiaTheme="majorEastAsia" w:hAnsi="Arial" w:cs="Arial"/>
          <w:color w:val="000000"/>
          <w:sz w:val="22"/>
          <w:szCs w:val="22"/>
        </w:rPr>
        <w:t> </w:t>
      </w:r>
      <w:r w:rsidRPr="00E74354">
        <w:rPr>
          <w:rStyle w:val="Emphasis"/>
          <w:rFonts w:ascii="Arial" w:eastAsiaTheme="majorEastAsia" w:hAnsi="Arial" w:cs="Arial"/>
          <w:color w:val="000000"/>
          <w:sz w:val="22"/>
          <w:szCs w:val="22"/>
        </w:rPr>
        <w:t>The Lancet Diabetes &amp; Endocrinology</w:t>
      </w:r>
      <w:r w:rsidRPr="00E74354">
        <w:rPr>
          <w:rFonts w:ascii="Arial" w:hAnsi="Arial" w:cs="Arial"/>
          <w:color w:val="000000"/>
          <w:sz w:val="22"/>
          <w:szCs w:val="22"/>
        </w:rPr>
        <w:t>, 12(4), pp. 233–246. Available at:</w:t>
      </w:r>
      <w:r w:rsidRPr="00E74354">
        <w:rPr>
          <w:rStyle w:val="apple-converted-space"/>
          <w:rFonts w:ascii="Arial" w:eastAsiaTheme="majorEastAsia" w:hAnsi="Arial" w:cs="Arial"/>
          <w:color w:val="000000"/>
          <w:sz w:val="22"/>
          <w:szCs w:val="22"/>
        </w:rPr>
        <w:t> </w:t>
      </w:r>
      <w:hyperlink r:id="rId11" w:history="1">
        <w:r w:rsidRPr="00E74354">
          <w:rPr>
            <w:rStyle w:val="Hyperlink"/>
            <w:rFonts w:ascii="Arial" w:eastAsiaTheme="majorEastAsia" w:hAnsi="Arial" w:cs="Arial"/>
            <w:sz w:val="22"/>
            <w:szCs w:val="22"/>
          </w:rPr>
          <w:t>https://doi.org/10.1016/S2213-8587(23)00385-6</w:t>
        </w:r>
      </w:hyperlink>
      <w:r w:rsidRPr="00E74354">
        <w:rPr>
          <w:rStyle w:val="apple-converted-space"/>
          <w:rFonts w:ascii="Arial" w:eastAsiaTheme="majorEastAsia" w:hAnsi="Arial" w:cs="Arial"/>
          <w:color w:val="000000"/>
          <w:sz w:val="22"/>
          <w:szCs w:val="22"/>
        </w:rPr>
        <w:t> </w:t>
      </w:r>
      <w:r w:rsidRPr="00E74354">
        <w:rPr>
          <w:rFonts w:ascii="Arial" w:hAnsi="Arial" w:cs="Arial"/>
          <w:color w:val="000000"/>
          <w:sz w:val="22"/>
          <w:szCs w:val="22"/>
        </w:rPr>
        <w:t>(Accessed: 10 October 2026).</w:t>
      </w:r>
    </w:p>
    <w:p w14:paraId="3C5DFB71" w14:textId="77777777" w:rsidR="00E74354" w:rsidRPr="00E74354" w:rsidRDefault="00E74354" w:rsidP="00E74354">
      <w:pPr>
        <w:pStyle w:val="NormalWeb"/>
        <w:rPr>
          <w:rFonts w:ascii="Arial" w:hAnsi="Arial" w:cs="Arial"/>
          <w:color w:val="000000"/>
          <w:sz w:val="22"/>
          <w:szCs w:val="22"/>
        </w:rPr>
      </w:pPr>
      <w:r w:rsidRPr="00E74354">
        <w:rPr>
          <w:rFonts w:ascii="Arial" w:hAnsi="Arial" w:cs="Arial"/>
          <w:color w:val="000000"/>
          <w:sz w:val="22"/>
          <w:szCs w:val="22"/>
        </w:rPr>
        <w:t>National Health Service (NHS) (2025)</w:t>
      </w:r>
      <w:r w:rsidRPr="00E74354">
        <w:rPr>
          <w:rStyle w:val="apple-converted-space"/>
          <w:rFonts w:ascii="Arial" w:eastAsiaTheme="majorEastAsia" w:hAnsi="Arial" w:cs="Arial"/>
          <w:color w:val="000000"/>
          <w:sz w:val="22"/>
          <w:szCs w:val="22"/>
        </w:rPr>
        <w:t> </w:t>
      </w:r>
      <w:r w:rsidRPr="00E74354">
        <w:rPr>
          <w:rStyle w:val="Emphasis"/>
          <w:rFonts w:ascii="Arial" w:eastAsiaTheme="majorEastAsia" w:hAnsi="Arial" w:cs="Arial"/>
          <w:color w:val="000000"/>
          <w:sz w:val="22"/>
          <w:szCs w:val="22"/>
        </w:rPr>
        <w:t>Symptoms of type 2 diabetes and how it is diagnosed</w:t>
      </w:r>
      <w:r w:rsidRPr="00E74354">
        <w:rPr>
          <w:rFonts w:ascii="Arial" w:hAnsi="Arial" w:cs="Arial"/>
          <w:color w:val="000000"/>
          <w:sz w:val="22"/>
          <w:szCs w:val="22"/>
        </w:rPr>
        <w:t>. Available at:</w:t>
      </w:r>
      <w:r w:rsidRPr="00E74354">
        <w:rPr>
          <w:rStyle w:val="apple-converted-space"/>
          <w:rFonts w:ascii="Arial" w:eastAsiaTheme="majorEastAsia" w:hAnsi="Arial" w:cs="Arial"/>
          <w:color w:val="000000"/>
          <w:sz w:val="22"/>
          <w:szCs w:val="22"/>
        </w:rPr>
        <w:t> </w:t>
      </w:r>
      <w:hyperlink r:id="rId12" w:history="1">
        <w:r w:rsidRPr="00E74354">
          <w:rPr>
            <w:rStyle w:val="Hyperlink"/>
            <w:rFonts w:ascii="Arial" w:eastAsiaTheme="majorEastAsia" w:hAnsi="Arial" w:cs="Arial"/>
            <w:sz w:val="22"/>
            <w:szCs w:val="22"/>
          </w:rPr>
          <w:t>https://www.nhs.uk/conditions/type-2-diabetes/symptoms/</w:t>
        </w:r>
      </w:hyperlink>
      <w:r w:rsidRPr="00E74354">
        <w:rPr>
          <w:rStyle w:val="apple-converted-space"/>
          <w:rFonts w:ascii="Arial" w:eastAsiaTheme="majorEastAsia" w:hAnsi="Arial" w:cs="Arial"/>
          <w:color w:val="000000"/>
          <w:sz w:val="22"/>
          <w:szCs w:val="22"/>
        </w:rPr>
        <w:t> </w:t>
      </w:r>
      <w:r w:rsidRPr="00E74354">
        <w:rPr>
          <w:rFonts w:ascii="Arial" w:hAnsi="Arial" w:cs="Arial"/>
          <w:color w:val="000000"/>
          <w:sz w:val="22"/>
          <w:szCs w:val="22"/>
        </w:rPr>
        <w:t>(Accessed: 12 October 2026).</w:t>
      </w:r>
    </w:p>
    <w:p w14:paraId="7C83ED8C" w14:textId="77777777" w:rsidR="00E74354" w:rsidRPr="00E74354" w:rsidRDefault="00E74354" w:rsidP="00E74354">
      <w:pPr>
        <w:pStyle w:val="NormalWeb"/>
        <w:rPr>
          <w:rFonts w:ascii="Arial" w:hAnsi="Arial" w:cs="Arial"/>
          <w:color w:val="000000"/>
          <w:sz w:val="22"/>
          <w:szCs w:val="22"/>
        </w:rPr>
      </w:pPr>
      <w:r w:rsidRPr="00E74354">
        <w:rPr>
          <w:rFonts w:ascii="Arial" w:hAnsi="Arial" w:cs="Arial"/>
          <w:color w:val="000000"/>
          <w:sz w:val="22"/>
          <w:szCs w:val="22"/>
        </w:rPr>
        <w:t>National Institute for Health and Care Excellence (NICE) (2026)</w:t>
      </w:r>
      <w:r w:rsidRPr="00E74354">
        <w:rPr>
          <w:rStyle w:val="apple-converted-space"/>
          <w:rFonts w:ascii="Arial" w:eastAsiaTheme="majorEastAsia" w:hAnsi="Arial" w:cs="Arial"/>
          <w:color w:val="000000"/>
          <w:sz w:val="22"/>
          <w:szCs w:val="22"/>
        </w:rPr>
        <w:t> </w:t>
      </w:r>
      <w:r w:rsidRPr="00E74354">
        <w:rPr>
          <w:rStyle w:val="Emphasis"/>
          <w:rFonts w:ascii="Arial" w:eastAsiaTheme="majorEastAsia" w:hAnsi="Arial" w:cs="Arial"/>
          <w:color w:val="000000"/>
          <w:sz w:val="22"/>
          <w:szCs w:val="22"/>
        </w:rPr>
        <w:t>Type 2 diabetes in adults: management</w:t>
      </w:r>
      <w:r w:rsidRPr="00E74354">
        <w:rPr>
          <w:rFonts w:ascii="Arial" w:hAnsi="Arial" w:cs="Arial"/>
          <w:color w:val="000000"/>
          <w:sz w:val="22"/>
          <w:szCs w:val="22"/>
        </w:rPr>
        <w:t>. NICE guideline NG28. Available at:</w:t>
      </w:r>
      <w:r w:rsidRPr="00E74354">
        <w:rPr>
          <w:rStyle w:val="apple-converted-space"/>
          <w:rFonts w:ascii="Arial" w:eastAsiaTheme="majorEastAsia" w:hAnsi="Arial" w:cs="Arial"/>
          <w:color w:val="000000"/>
          <w:sz w:val="22"/>
          <w:szCs w:val="22"/>
        </w:rPr>
        <w:t> </w:t>
      </w:r>
      <w:hyperlink r:id="rId13" w:history="1">
        <w:r w:rsidRPr="00E74354">
          <w:rPr>
            <w:rStyle w:val="Hyperlink"/>
            <w:rFonts w:ascii="Arial" w:eastAsiaTheme="majorEastAsia" w:hAnsi="Arial" w:cs="Arial"/>
            <w:sz w:val="22"/>
            <w:szCs w:val="22"/>
          </w:rPr>
          <w:t>https://www.nice.org.uk/guidance/ng28</w:t>
        </w:r>
      </w:hyperlink>
      <w:r w:rsidRPr="00E74354">
        <w:rPr>
          <w:rStyle w:val="apple-converted-space"/>
          <w:rFonts w:ascii="Arial" w:eastAsiaTheme="majorEastAsia" w:hAnsi="Arial" w:cs="Arial"/>
          <w:color w:val="000000"/>
          <w:sz w:val="22"/>
          <w:szCs w:val="22"/>
        </w:rPr>
        <w:t> </w:t>
      </w:r>
      <w:r w:rsidRPr="00E74354">
        <w:rPr>
          <w:rFonts w:ascii="Arial" w:hAnsi="Arial" w:cs="Arial"/>
          <w:color w:val="000000"/>
          <w:sz w:val="22"/>
          <w:szCs w:val="22"/>
        </w:rPr>
        <w:t>(Accessed: 12 October 2026).</w:t>
      </w:r>
    </w:p>
    <w:p w14:paraId="6C3D0958" w14:textId="77777777" w:rsidR="00E74354" w:rsidRPr="00E74354" w:rsidRDefault="00E74354" w:rsidP="00E74354">
      <w:pPr>
        <w:pStyle w:val="NormalWeb"/>
        <w:rPr>
          <w:rFonts w:ascii="Arial" w:hAnsi="Arial" w:cs="Arial"/>
          <w:color w:val="000000"/>
          <w:sz w:val="22"/>
          <w:szCs w:val="22"/>
        </w:rPr>
      </w:pPr>
      <w:r w:rsidRPr="00E74354">
        <w:rPr>
          <w:rFonts w:ascii="Arial" w:hAnsi="Arial" w:cs="Arial"/>
          <w:color w:val="000000"/>
          <w:sz w:val="22"/>
          <w:szCs w:val="22"/>
        </w:rPr>
        <w:t xml:space="preserve">UK Prospective Diabetes Study (UKPDS) Group (1998) ‘Intensive blood-glucose control with </w:t>
      </w:r>
      <w:proofErr w:type="spellStart"/>
      <w:r w:rsidRPr="00E74354">
        <w:rPr>
          <w:rFonts w:ascii="Arial" w:hAnsi="Arial" w:cs="Arial"/>
          <w:color w:val="000000"/>
          <w:sz w:val="22"/>
          <w:szCs w:val="22"/>
        </w:rPr>
        <w:t>sulphonylureas</w:t>
      </w:r>
      <w:proofErr w:type="spellEnd"/>
      <w:r w:rsidRPr="00E74354">
        <w:rPr>
          <w:rFonts w:ascii="Arial" w:hAnsi="Arial" w:cs="Arial"/>
          <w:color w:val="000000"/>
          <w:sz w:val="22"/>
          <w:szCs w:val="22"/>
        </w:rPr>
        <w:t xml:space="preserve"> or insulin compared with conventional treatment and risk of complications in patients with Type 2 diabetes (UKPDS 33)’,</w:t>
      </w:r>
      <w:r w:rsidRPr="00E74354">
        <w:rPr>
          <w:rStyle w:val="apple-converted-space"/>
          <w:rFonts w:ascii="Arial" w:eastAsiaTheme="majorEastAsia" w:hAnsi="Arial" w:cs="Arial"/>
          <w:color w:val="000000"/>
          <w:sz w:val="22"/>
          <w:szCs w:val="22"/>
        </w:rPr>
        <w:t> </w:t>
      </w:r>
      <w:r w:rsidRPr="00E74354">
        <w:rPr>
          <w:rStyle w:val="Emphasis"/>
          <w:rFonts w:ascii="Arial" w:eastAsiaTheme="majorEastAsia" w:hAnsi="Arial" w:cs="Arial"/>
          <w:color w:val="000000"/>
          <w:sz w:val="22"/>
          <w:szCs w:val="22"/>
        </w:rPr>
        <w:t>The Lancet</w:t>
      </w:r>
      <w:r w:rsidRPr="00E74354">
        <w:rPr>
          <w:rFonts w:ascii="Arial" w:hAnsi="Arial" w:cs="Arial"/>
          <w:color w:val="000000"/>
          <w:sz w:val="22"/>
          <w:szCs w:val="22"/>
        </w:rPr>
        <w:t>, 352(9131), pp. 837–853. Available at:</w:t>
      </w:r>
      <w:r w:rsidRPr="00E74354">
        <w:rPr>
          <w:rStyle w:val="apple-converted-space"/>
          <w:rFonts w:ascii="Arial" w:eastAsiaTheme="majorEastAsia" w:hAnsi="Arial" w:cs="Arial"/>
          <w:color w:val="000000"/>
          <w:sz w:val="22"/>
          <w:szCs w:val="22"/>
        </w:rPr>
        <w:t> </w:t>
      </w:r>
      <w:hyperlink r:id="rId14" w:history="1">
        <w:r w:rsidRPr="00E74354">
          <w:rPr>
            <w:rStyle w:val="Hyperlink"/>
            <w:rFonts w:ascii="Arial" w:eastAsiaTheme="majorEastAsia" w:hAnsi="Arial" w:cs="Arial"/>
            <w:sz w:val="22"/>
            <w:szCs w:val="22"/>
          </w:rPr>
          <w:t>https://doi.org/10.1016/S0140-6736(98)07019-6</w:t>
        </w:r>
      </w:hyperlink>
      <w:r w:rsidRPr="00E74354">
        <w:rPr>
          <w:rStyle w:val="apple-converted-space"/>
          <w:rFonts w:ascii="Arial" w:eastAsiaTheme="majorEastAsia" w:hAnsi="Arial" w:cs="Arial"/>
          <w:color w:val="000000"/>
          <w:sz w:val="22"/>
          <w:szCs w:val="22"/>
        </w:rPr>
        <w:t> </w:t>
      </w:r>
      <w:r w:rsidRPr="00E74354">
        <w:rPr>
          <w:rFonts w:ascii="Arial" w:hAnsi="Arial" w:cs="Arial"/>
          <w:color w:val="000000"/>
          <w:sz w:val="22"/>
          <w:szCs w:val="22"/>
        </w:rPr>
        <w:t>(Accessed: 10 October 2026).</w:t>
      </w:r>
    </w:p>
    <w:p w14:paraId="7C9C6DF9" w14:textId="77777777" w:rsidR="00E74354" w:rsidRPr="00E74354" w:rsidRDefault="00E74354" w:rsidP="00E74354">
      <w:pPr>
        <w:pStyle w:val="NormalWeb"/>
        <w:rPr>
          <w:rFonts w:ascii="Arial" w:hAnsi="Arial" w:cs="Arial"/>
          <w:color w:val="000000"/>
          <w:sz w:val="22"/>
          <w:szCs w:val="22"/>
        </w:rPr>
      </w:pPr>
      <w:r w:rsidRPr="00E74354">
        <w:rPr>
          <w:rFonts w:ascii="Arial" w:hAnsi="Arial" w:cs="Arial"/>
          <w:color w:val="000000"/>
          <w:sz w:val="22"/>
          <w:szCs w:val="22"/>
        </w:rPr>
        <w:t xml:space="preserve">Umpierre, D., Ribeiro, P.A.B., Kramer, C.K., Leitão, C.B., </w:t>
      </w:r>
      <w:proofErr w:type="spellStart"/>
      <w:r w:rsidRPr="00E74354">
        <w:rPr>
          <w:rFonts w:ascii="Arial" w:hAnsi="Arial" w:cs="Arial"/>
          <w:color w:val="000000"/>
          <w:sz w:val="22"/>
          <w:szCs w:val="22"/>
        </w:rPr>
        <w:t>Zucatti</w:t>
      </w:r>
      <w:proofErr w:type="spellEnd"/>
      <w:r w:rsidRPr="00E74354">
        <w:rPr>
          <w:rFonts w:ascii="Arial" w:hAnsi="Arial" w:cs="Arial"/>
          <w:color w:val="000000"/>
          <w:sz w:val="22"/>
          <w:szCs w:val="22"/>
        </w:rPr>
        <w:t>, A.T.N., Azevedo, M.J., Gross, J.L., Ribeiro, J.P. and Schaan, B.D. (2011) ‘Physical activity advice only or structured exercise training and association with HbA1c levels in Type 2 diabetes: a systematic review and meta-analysis’,</w:t>
      </w:r>
      <w:r w:rsidRPr="00E74354">
        <w:rPr>
          <w:rStyle w:val="apple-converted-space"/>
          <w:rFonts w:ascii="Arial" w:eastAsiaTheme="majorEastAsia" w:hAnsi="Arial" w:cs="Arial"/>
          <w:color w:val="000000"/>
          <w:sz w:val="22"/>
          <w:szCs w:val="22"/>
        </w:rPr>
        <w:t> </w:t>
      </w:r>
      <w:r w:rsidRPr="00E74354">
        <w:rPr>
          <w:rStyle w:val="Emphasis"/>
          <w:rFonts w:ascii="Arial" w:eastAsiaTheme="majorEastAsia" w:hAnsi="Arial" w:cs="Arial"/>
          <w:color w:val="000000"/>
          <w:sz w:val="22"/>
          <w:szCs w:val="22"/>
        </w:rPr>
        <w:t>JAMA</w:t>
      </w:r>
      <w:r w:rsidRPr="00E74354">
        <w:rPr>
          <w:rFonts w:ascii="Arial" w:hAnsi="Arial" w:cs="Arial"/>
          <w:color w:val="000000"/>
          <w:sz w:val="22"/>
          <w:szCs w:val="22"/>
        </w:rPr>
        <w:t>, 305(17), pp. 1790–1799. Available at:</w:t>
      </w:r>
      <w:r w:rsidRPr="00E74354">
        <w:rPr>
          <w:rStyle w:val="apple-converted-space"/>
          <w:rFonts w:ascii="Arial" w:eastAsiaTheme="majorEastAsia" w:hAnsi="Arial" w:cs="Arial"/>
          <w:color w:val="000000"/>
          <w:sz w:val="22"/>
          <w:szCs w:val="22"/>
        </w:rPr>
        <w:t> </w:t>
      </w:r>
      <w:hyperlink r:id="rId15" w:history="1">
        <w:r w:rsidRPr="00E74354">
          <w:rPr>
            <w:rStyle w:val="Hyperlink"/>
            <w:rFonts w:ascii="Arial" w:eastAsiaTheme="majorEastAsia" w:hAnsi="Arial" w:cs="Arial"/>
            <w:sz w:val="22"/>
            <w:szCs w:val="22"/>
          </w:rPr>
          <w:t>https://doi.org/10.1001/jama.2011.576</w:t>
        </w:r>
      </w:hyperlink>
      <w:r w:rsidRPr="00E74354">
        <w:rPr>
          <w:rStyle w:val="apple-converted-space"/>
          <w:rFonts w:ascii="Arial" w:eastAsiaTheme="majorEastAsia" w:hAnsi="Arial" w:cs="Arial"/>
          <w:color w:val="000000"/>
          <w:sz w:val="22"/>
          <w:szCs w:val="22"/>
        </w:rPr>
        <w:t> </w:t>
      </w:r>
      <w:r w:rsidRPr="00E74354">
        <w:rPr>
          <w:rFonts w:ascii="Arial" w:hAnsi="Arial" w:cs="Arial"/>
          <w:color w:val="000000"/>
          <w:sz w:val="22"/>
          <w:szCs w:val="22"/>
        </w:rPr>
        <w:t>(Accessed: 10 October 2026).</w:t>
      </w:r>
    </w:p>
    <w:p w14:paraId="1833F726" w14:textId="77777777" w:rsidR="00E74354" w:rsidRPr="00E74354" w:rsidRDefault="00E74354" w:rsidP="00E74354">
      <w:pPr>
        <w:pStyle w:val="NormalWeb"/>
        <w:rPr>
          <w:rFonts w:ascii="Arial" w:hAnsi="Arial" w:cs="Arial"/>
          <w:color w:val="000000"/>
          <w:sz w:val="22"/>
          <w:szCs w:val="22"/>
        </w:rPr>
      </w:pPr>
      <w:r w:rsidRPr="00E74354">
        <w:rPr>
          <w:rFonts w:ascii="Arial" w:hAnsi="Arial" w:cs="Arial"/>
          <w:color w:val="000000"/>
          <w:sz w:val="22"/>
          <w:szCs w:val="22"/>
        </w:rPr>
        <w:t>World Health Organization (WHO) (2024)</w:t>
      </w:r>
      <w:r w:rsidRPr="00E74354">
        <w:rPr>
          <w:rStyle w:val="apple-converted-space"/>
          <w:rFonts w:ascii="Arial" w:eastAsiaTheme="majorEastAsia" w:hAnsi="Arial" w:cs="Arial"/>
          <w:color w:val="000000"/>
          <w:sz w:val="22"/>
          <w:szCs w:val="22"/>
        </w:rPr>
        <w:t> </w:t>
      </w:r>
      <w:r w:rsidRPr="00E74354">
        <w:rPr>
          <w:rStyle w:val="Emphasis"/>
          <w:rFonts w:ascii="Arial" w:eastAsiaTheme="majorEastAsia" w:hAnsi="Arial" w:cs="Arial"/>
          <w:color w:val="000000"/>
          <w:sz w:val="22"/>
          <w:szCs w:val="22"/>
        </w:rPr>
        <w:t>Diabetes</w:t>
      </w:r>
      <w:r w:rsidRPr="00E74354">
        <w:rPr>
          <w:rFonts w:ascii="Arial" w:hAnsi="Arial" w:cs="Arial"/>
          <w:color w:val="000000"/>
          <w:sz w:val="22"/>
          <w:szCs w:val="22"/>
        </w:rPr>
        <w:t>. Geneva: World Health Organization. Available at:</w:t>
      </w:r>
      <w:r w:rsidRPr="00E74354">
        <w:rPr>
          <w:rStyle w:val="apple-converted-space"/>
          <w:rFonts w:ascii="Arial" w:eastAsiaTheme="majorEastAsia" w:hAnsi="Arial" w:cs="Arial"/>
          <w:color w:val="000000"/>
          <w:sz w:val="22"/>
          <w:szCs w:val="22"/>
        </w:rPr>
        <w:t> </w:t>
      </w:r>
      <w:hyperlink r:id="rId16" w:history="1">
        <w:r w:rsidRPr="00E74354">
          <w:rPr>
            <w:rStyle w:val="Hyperlink"/>
            <w:rFonts w:ascii="Arial" w:eastAsiaTheme="majorEastAsia" w:hAnsi="Arial" w:cs="Arial"/>
            <w:sz w:val="22"/>
            <w:szCs w:val="22"/>
          </w:rPr>
          <w:t>https://www.who.int/news-room/fact-sheets/detail/diabetes</w:t>
        </w:r>
      </w:hyperlink>
      <w:r w:rsidRPr="00E74354">
        <w:rPr>
          <w:rStyle w:val="apple-converted-space"/>
          <w:rFonts w:ascii="Arial" w:eastAsiaTheme="majorEastAsia" w:hAnsi="Arial" w:cs="Arial"/>
          <w:color w:val="000000"/>
          <w:sz w:val="22"/>
          <w:szCs w:val="22"/>
        </w:rPr>
        <w:t> </w:t>
      </w:r>
      <w:r w:rsidRPr="00E74354">
        <w:rPr>
          <w:rFonts w:ascii="Arial" w:hAnsi="Arial" w:cs="Arial"/>
          <w:color w:val="000000"/>
          <w:sz w:val="22"/>
          <w:szCs w:val="22"/>
        </w:rPr>
        <w:t>(Accessed: 12 October 2026).</w:t>
      </w:r>
    </w:p>
    <w:p w14:paraId="785F4CE7" w14:textId="77777777" w:rsidR="0009599B" w:rsidRPr="004647A0" w:rsidRDefault="0009599B" w:rsidP="004647A0">
      <w:pPr>
        <w:spacing w:line="360" w:lineRule="auto"/>
        <w:rPr>
          <w:rFonts w:ascii="Arial" w:hAnsi="Arial" w:cs="Arial"/>
          <w:sz w:val="22"/>
          <w:szCs w:val="22"/>
        </w:rPr>
      </w:pPr>
      <w:r w:rsidRPr="004647A0">
        <w:rPr>
          <w:rFonts w:ascii="Arial" w:hAnsi="Arial" w:cs="Arial"/>
          <w:sz w:val="22"/>
          <w:szCs w:val="22"/>
        </w:rPr>
        <w:br w:type="page"/>
      </w:r>
    </w:p>
    <w:p w14:paraId="0F9B6100" w14:textId="05CD3DC1" w:rsidR="0009599B" w:rsidRPr="0009599B" w:rsidRDefault="0009599B" w:rsidP="0009599B">
      <w:pPr>
        <w:jc w:val="center"/>
        <w:rPr>
          <w:rFonts w:ascii="Arial" w:hAnsi="Arial" w:cs="Arial"/>
        </w:rPr>
      </w:pPr>
    </w:p>
    <w:sectPr w:rsidR="0009599B" w:rsidRPr="0009599B" w:rsidSect="00054B0E">
      <w:footerReference w:type="even" r:id="rId17"/>
      <w:footerReference w:type="default" r:id="rId1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B59C62" w14:textId="77777777" w:rsidR="0081463B" w:rsidRDefault="0081463B" w:rsidP="00054B0E">
      <w:pPr>
        <w:spacing w:after="0" w:line="240" w:lineRule="auto"/>
      </w:pPr>
      <w:r>
        <w:separator/>
      </w:r>
    </w:p>
  </w:endnote>
  <w:endnote w:type="continuationSeparator" w:id="0">
    <w:p w14:paraId="533A5F10" w14:textId="77777777" w:rsidR="0081463B" w:rsidRDefault="0081463B" w:rsidP="00054B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00607723"/>
      <w:docPartObj>
        <w:docPartGallery w:val="Page Numbers (Bottom of Page)"/>
        <w:docPartUnique/>
      </w:docPartObj>
    </w:sdtPr>
    <w:sdtContent>
      <w:p w14:paraId="35E89C69" w14:textId="23452BF5" w:rsidR="00054B0E" w:rsidRDefault="00054B0E" w:rsidP="000369A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DC8BB5" w14:textId="77777777" w:rsidR="00054B0E" w:rsidRDefault="00054B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91324102"/>
      <w:docPartObj>
        <w:docPartGallery w:val="Page Numbers (Bottom of Page)"/>
        <w:docPartUnique/>
      </w:docPartObj>
    </w:sdtPr>
    <w:sdtContent>
      <w:p w14:paraId="4E7DDB1E" w14:textId="714B5D52" w:rsidR="00054B0E" w:rsidRDefault="00054B0E" w:rsidP="000369A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93918EB" w14:textId="77777777" w:rsidR="00054B0E" w:rsidRDefault="00054B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A5A984" w14:textId="77777777" w:rsidR="0081463B" w:rsidRDefault="0081463B" w:rsidP="00054B0E">
      <w:pPr>
        <w:spacing w:after="0" w:line="240" w:lineRule="auto"/>
      </w:pPr>
      <w:r>
        <w:separator/>
      </w:r>
    </w:p>
  </w:footnote>
  <w:footnote w:type="continuationSeparator" w:id="0">
    <w:p w14:paraId="0A97CFE4" w14:textId="77777777" w:rsidR="0081463B" w:rsidRDefault="0081463B" w:rsidP="00054B0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599B"/>
    <w:rsid w:val="00054B0E"/>
    <w:rsid w:val="0009599B"/>
    <w:rsid w:val="00197B29"/>
    <w:rsid w:val="001C6DF0"/>
    <w:rsid w:val="002451A5"/>
    <w:rsid w:val="0026340A"/>
    <w:rsid w:val="00347403"/>
    <w:rsid w:val="004156AE"/>
    <w:rsid w:val="004647A0"/>
    <w:rsid w:val="00564A19"/>
    <w:rsid w:val="00632921"/>
    <w:rsid w:val="0081463B"/>
    <w:rsid w:val="00840812"/>
    <w:rsid w:val="00865B1B"/>
    <w:rsid w:val="008826EA"/>
    <w:rsid w:val="00A77396"/>
    <w:rsid w:val="00AB568D"/>
    <w:rsid w:val="00AB61E0"/>
    <w:rsid w:val="00DD29A8"/>
    <w:rsid w:val="00E74354"/>
    <w:rsid w:val="00EF7A9B"/>
    <w:rsid w:val="00FA20BA"/>
    <w:rsid w:val="00FC11F5"/>
    <w:rsid w:val="00FF7F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DF031"/>
  <w15:chartTrackingRefBased/>
  <w15:docId w15:val="{BF971C45-686D-084F-BF87-4B768ECB8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59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959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59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59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59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59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59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59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59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59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959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59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59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59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59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59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59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599B"/>
    <w:rPr>
      <w:rFonts w:eastAsiaTheme="majorEastAsia" w:cstheme="majorBidi"/>
      <w:color w:val="272727" w:themeColor="text1" w:themeTint="D8"/>
    </w:rPr>
  </w:style>
  <w:style w:type="paragraph" w:styleId="Title">
    <w:name w:val="Title"/>
    <w:basedOn w:val="Normal"/>
    <w:next w:val="Normal"/>
    <w:link w:val="TitleChar"/>
    <w:uiPriority w:val="10"/>
    <w:qFormat/>
    <w:rsid w:val="000959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59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59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59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599B"/>
    <w:pPr>
      <w:spacing w:before="160"/>
      <w:jc w:val="center"/>
    </w:pPr>
    <w:rPr>
      <w:i/>
      <w:iCs/>
      <w:color w:val="404040" w:themeColor="text1" w:themeTint="BF"/>
    </w:rPr>
  </w:style>
  <w:style w:type="character" w:customStyle="1" w:styleId="QuoteChar">
    <w:name w:val="Quote Char"/>
    <w:basedOn w:val="DefaultParagraphFont"/>
    <w:link w:val="Quote"/>
    <w:uiPriority w:val="29"/>
    <w:rsid w:val="0009599B"/>
    <w:rPr>
      <w:i/>
      <w:iCs/>
      <w:color w:val="404040" w:themeColor="text1" w:themeTint="BF"/>
    </w:rPr>
  </w:style>
  <w:style w:type="paragraph" w:styleId="ListParagraph">
    <w:name w:val="List Paragraph"/>
    <w:basedOn w:val="Normal"/>
    <w:uiPriority w:val="34"/>
    <w:qFormat/>
    <w:rsid w:val="0009599B"/>
    <w:pPr>
      <w:ind w:left="720"/>
      <w:contextualSpacing/>
    </w:pPr>
  </w:style>
  <w:style w:type="character" w:styleId="IntenseEmphasis">
    <w:name w:val="Intense Emphasis"/>
    <w:basedOn w:val="DefaultParagraphFont"/>
    <w:uiPriority w:val="21"/>
    <w:qFormat/>
    <w:rsid w:val="0009599B"/>
    <w:rPr>
      <w:i/>
      <w:iCs/>
      <w:color w:val="0F4761" w:themeColor="accent1" w:themeShade="BF"/>
    </w:rPr>
  </w:style>
  <w:style w:type="paragraph" w:styleId="IntenseQuote">
    <w:name w:val="Intense Quote"/>
    <w:basedOn w:val="Normal"/>
    <w:next w:val="Normal"/>
    <w:link w:val="IntenseQuoteChar"/>
    <w:uiPriority w:val="30"/>
    <w:qFormat/>
    <w:rsid w:val="000959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599B"/>
    <w:rPr>
      <w:i/>
      <w:iCs/>
      <w:color w:val="0F4761" w:themeColor="accent1" w:themeShade="BF"/>
    </w:rPr>
  </w:style>
  <w:style w:type="character" w:styleId="IntenseReference">
    <w:name w:val="Intense Reference"/>
    <w:basedOn w:val="DefaultParagraphFont"/>
    <w:uiPriority w:val="32"/>
    <w:qFormat/>
    <w:rsid w:val="0009599B"/>
    <w:rPr>
      <w:b/>
      <w:bCs/>
      <w:smallCaps/>
      <w:color w:val="0F4761" w:themeColor="accent1" w:themeShade="BF"/>
      <w:spacing w:val="5"/>
    </w:rPr>
  </w:style>
  <w:style w:type="paragraph" w:styleId="TOCHeading">
    <w:name w:val="TOC Heading"/>
    <w:basedOn w:val="Heading1"/>
    <w:next w:val="Normal"/>
    <w:uiPriority w:val="39"/>
    <w:unhideWhenUsed/>
    <w:qFormat/>
    <w:rsid w:val="0009599B"/>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09599B"/>
    <w:pPr>
      <w:spacing w:before="120" w:after="0"/>
    </w:pPr>
    <w:rPr>
      <w:b/>
      <w:bCs/>
      <w:i/>
      <w:iCs/>
    </w:rPr>
  </w:style>
  <w:style w:type="paragraph" w:styleId="TOC2">
    <w:name w:val="toc 2"/>
    <w:basedOn w:val="Normal"/>
    <w:next w:val="Normal"/>
    <w:autoRedefine/>
    <w:uiPriority w:val="39"/>
    <w:semiHidden/>
    <w:unhideWhenUsed/>
    <w:rsid w:val="0009599B"/>
    <w:pPr>
      <w:spacing w:before="120" w:after="0"/>
      <w:ind w:left="240"/>
    </w:pPr>
    <w:rPr>
      <w:b/>
      <w:bCs/>
      <w:sz w:val="22"/>
      <w:szCs w:val="22"/>
    </w:rPr>
  </w:style>
  <w:style w:type="paragraph" w:styleId="TOC3">
    <w:name w:val="toc 3"/>
    <w:basedOn w:val="Normal"/>
    <w:next w:val="Normal"/>
    <w:autoRedefine/>
    <w:uiPriority w:val="39"/>
    <w:semiHidden/>
    <w:unhideWhenUsed/>
    <w:rsid w:val="0009599B"/>
    <w:pPr>
      <w:spacing w:after="0"/>
      <w:ind w:left="480"/>
    </w:pPr>
    <w:rPr>
      <w:sz w:val="20"/>
      <w:szCs w:val="20"/>
    </w:rPr>
  </w:style>
  <w:style w:type="paragraph" w:styleId="TOC4">
    <w:name w:val="toc 4"/>
    <w:basedOn w:val="Normal"/>
    <w:next w:val="Normal"/>
    <w:autoRedefine/>
    <w:uiPriority w:val="39"/>
    <w:semiHidden/>
    <w:unhideWhenUsed/>
    <w:rsid w:val="0009599B"/>
    <w:pPr>
      <w:spacing w:after="0"/>
      <w:ind w:left="720"/>
    </w:pPr>
    <w:rPr>
      <w:sz w:val="20"/>
      <w:szCs w:val="20"/>
    </w:rPr>
  </w:style>
  <w:style w:type="paragraph" w:styleId="TOC5">
    <w:name w:val="toc 5"/>
    <w:basedOn w:val="Normal"/>
    <w:next w:val="Normal"/>
    <w:autoRedefine/>
    <w:uiPriority w:val="39"/>
    <w:semiHidden/>
    <w:unhideWhenUsed/>
    <w:rsid w:val="0009599B"/>
    <w:pPr>
      <w:spacing w:after="0"/>
      <w:ind w:left="960"/>
    </w:pPr>
    <w:rPr>
      <w:sz w:val="20"/>
      <w:szCs w:val="20"/>
    </w:rPr>
  </w:style>
  <w:style w:type="paragraph" w:styleId="TOC6">
    <w:name w:val="toc 6"/>
    <w:basedOn w:val="Normal"/>
    <w:next w:val="Normal"/>
    <w:autoRedefine/>
    <w:uiPriority w:val="39"/>
    <w:semiHidden/>
    <w:unhideWhenUsed/>
    <w:rsid w:val="0009599B"/>
    <w:pPr>
      <w:spacing w:after="0"/>
      <w:ind w:left="1200"/>
    </w:pPr>
    <w:rPr>
      <w:sz w:val="20"/>
      <w:szCs w:val="20"/>
    </w:rPr>
  </w:style>
  <w:style w:type="paragraph" w:styleId="TOC7">
    <w:name w:val="toc 7"/>
    <w:basedOn w:val="Normal"/>
    <w:next w:val="Normal"/>
    <w:autoRedefine/>
    <w:uiPriority w:val="39"/>
    <w:semiHidden/>
    <w:unhideWhenUsed/>
    <w:rsid w:val="0009599B"/>
    <w:pPr>
      <w:spacing w:after="0"/>
      <w:ind w:left="1440"/>
    </w:pPr>
    <w:rPr>
      <w:sz w:val="20"/>
      <w:szCs w:val="20"/>
    </w:rPr>
  </w:style>
  <w:style w:type="paragraph" w:styleId="TOC8">
    <w:name w:val="toc 8"/>
    <w:basedOn w:val="Normal"/>
    <w:next w:val="Normal"/>
    <w:autoRedefine/>
    <w:uiPriority w:val="39"/>
    <w:semiHidden/>
    <w:unhideWhenUsed/>
    <w:rsid w:val="0009599B"/>
    <w:pPr>
      <w:spacing w:after="0"/>
      <w:ind w:left="1680"/>
    </w:pPr>
    <w:rPr>
      <w:sz w:val="20"/>
      <w:szCs w:val="20"/>
    </w:rPr>
  </w:style>
  <w:style w:type="paragraph" w:styleId="TOC9">
    <w:name w:val="toc 9"/>
    <w:basedOn w:val="Normal"/>
    <w:next w:val="Normal"/>
    <w:autoRedefine/>
    <w:uiPriority w:val="39"/>
    <w:semiHidden/>
    <w:unhideWhenUsed/>
    <w:rsid w:val="0009599B"/>
    <w:pPr>
      <w:spacing w:after="0"/>
      <w:ind w:left="1920"/>
    </w:pPr>
    <w:rPr>
      <w:sz w:val="20"/>
      <w:szCs w:val="20"/>
    </w:rPr>
  </w:style>
  <w:style w:type="paragraph" w:customStyle="1" w:styleId="isselectedend">
    <w:name w:val="isselectedend"/>
    <w:basedOn w:val="Normal"/>
    <w:rsid w:val="0009599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09599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dq2pgselectionanchorcontainer">
    <w:name w:val="pdq2pg_selectionanchorcontainer"/>
    <w:basedOn w:val="Normal"/>
    <w:rsid w:val="00197B2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197B29"/>
  </w:style>
  <w:style w:type="character" w:styleId="Emphasis">
    <w:name w:val="Emphasis"/>
    <w:basedOn w:val="DefaultParagraphFont"/>
    <w:uiPriority w:val="20"/>
    <w:qFormat/>
    <w:rsid w:val="00197B29"/>
    <w:rPr>
      <w:i/>
      <w:iCs/>
    </w:rPr>
  </w:style>
  <w:style w:type="character" w:customStyle="1" w:styleId="contents">
    <w:name w:val="contents"/>
    <w:basedOn w:val="DefaultParagraphFont"/>
    <w:rsid w:val="00197B29"/>
  </w:style>
  <w:style w:type="character" w:styleId="Hyperlink">
    <w:name w:val="Hyperlink"/>
    <w:basedOn w:val="DefaultParagraphFont"/>
    <w:uiPriority w:val="99"/>
    <w:unhideWhenUsed/>
    <w:rsid w:val="00197B29"/>
    <w:rPr>
      <w:color w:val="0000FF"/>
      <w:u w:val="single"/>
    </w:rPr>
  </w:style>
  <w:style w:type="character" w:styleId="UnresolvedMention">
    <w:name w:val="Unresolved Mention"/>
    <w:basedOn w:val="DefaultParagraphFont"/>
    <w:uiPriority w:val="99"/>
    <w:semiHidden/>
    <w:unhideWhenUsed/>
    <w:rsid w:val="00197B29"/>
    <w:rPr>
      <w:color w:val="605E5C"/>
      <w:shd w:val="clear" w:color="auto" w:fill="E1DFDD"/>
    </w:rPr>
  </w:style>
  <w:style w:type="paragraph" w:styleId="Footer">
    <w:name w:val="footer"/>
    <w:basedOn w:val="Normal"/>
    <w:link w:val="FooterChar"/>
    <w:uiPriority w:val="99"/>
    <w:unhideWhenUsed/>
    <w:rsid w:val="00054B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4B0E"/>
  </w:style>
  <w:style w:type="character" w:styleId="PageNumber">
    <w:name w:val="page number"/>
    <w:basedOn w:val="DefaultParagraphFont"/>
    <w:uiPriority w:val="99"/>
    <w:semiHidden/>
    <w:unhideWhenUsed/>
    <w:rsid w:val="00054B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penstax.org/books/anatomy-and-physiology-2e/pages/24-2-carbohydrate-metabolism" TargetMode="External"/><Relationship Id="rId13" Type="http://schemas.openxmlformats.org/officeDocument/2006/relationships/hyperlink" Target="https://www.nice.org.uk/guidance/ng28"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doi.org/10.2337/dc26-S008" TargetMode="External"/><Relationship Id="rId12" Type="http://schemas.openxmlformats.org/officeDocument/2006/relationships/hyperlink" Target="https://www.nhs.uk/conditions/type-2-diabetes/symptom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who.int/news-room/fact-sheets/detail/diabet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16/S2213-8587(23)00385-6" TargetMode="External"/><Relationship Id="rId5" Type="http://schemas.openxmlformats.org/officeDocument/2006/relationships/footnotes" Target="footnotes.xml"/><Relationship Id="rId15" Type="http://schemas.openxmlformats.org/officeDocument/2006/relationships/hyperlink" Target="https://doi.org/10.1001/jama.2011.576" TargetMode="External"/><Relationship Id="rId10" Type="http://schemas.openxmlformats.org/officeDocument/2006/relationships/hyperlink" Target="https://doi.org/10.3390/ijms21176275"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38/nrdp.2015.19" TargetMode="External"/><Relationship Id="rId14" Type="http://schemas.openxmlformats.org/officeDocument/2006/relationships/hyperlink" Target="https://doi.org/10.1016/S0140-6736(98)0701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7B895F-9E78-BB47-BC8E-6D81FAD88C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2912</Words>
  <Characters>16602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Tamyne Summer Cossa (2507591)</dc:creator>
  <cp:keywords/>
  <dc:description/>
  <cp:lastModifiedBy>Tamyne Summer Cossa (2507591)</cp:lastModifiedBy>
  <cp:revision>2</cp:revision>
  <dcterms:created xsi:type="dcterms:W3CDTF">2026-10-23T10:13:00Z</dcterms:created>
  <dcterms:modified xsi:type="dcterms:W3CDTF">2026-10-23T10:13:00Z</dcterms:modified>
</cp:coreProperties>
</file>