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B8776F" w14:textId="717A5C5B" w:rsidR="00350882" w:rsidRPr="00E96FF5" w:rsidRDefault="00C43CFE" w:rsidP="00E96FF5">
      <w:pPr>
        <w:jc w:val="center"/>
        <w:rPr>
          <w:sz w:val="24"/>
          <w:szCs w:val="24"/>
          <w:u w:val="single"/>
        </w:rPr>
      </w:pPr>
      <w:r w:rsidRPr="00E96FF5">
        <w:rPr>
          <w:sz w:val="24"/>
          <w:szCs w:val="24"/>
          <w:u w:val="single"/>
        </w:rPr>
        <w:t>Commentary 1 – Coronation Mantle</w:t>
      </w:r>
      <w:r w:rsidR="00BF451D">
        <w:rPr>
          <w:sz w:val="24"/>
          <w:szCs w:val="24"/>
          <w:u w:val="single"/>
        </w:rPr>
        <w:t xml:space="preserve"> – 1,250 words</w:t>
      </w:r>
    </w:p>
    <w:p w14:paraId="1EB10676" w14:textId="38F04CA4" w:rsidR="00E96FF5" w:rsidRDefault="00E96FF5">
      <w:r>
        <w:rPr>
          <w:noProof/>
        </w:rPr>
        <w:drawing>
          <wp:inline distT="0" distB="0" distL="0" distR="0" wp14:anchorId="3CAEEDD8" wp14:editId="65ACD65B">
            <wp:extent cx="5731510" cy="3107055"/>
            <wp:effectExtent l="0" t="0" r="2540" b="0"/>
            <wp:docPr id="1" name="Picture 1" descr="http://upload.wikimedia.org/wikipedia/commons/4/44/Weltliche_Schatzkammer_Wien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upload.wikimedia.org/wikipedia/commons/4/44/Weltliche_Schatzkammer_Wienc.jpg"/>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107055"/>
                    </a:xfrm>
                    <a:prstGeom prst="rect">
                      <a:avLst/>
                    </a:prstGeom>
                    <a:noFill/>
                    <a:ln>
                      <a:noFill/>
                    </a:ln>
                  </pic:spPr>
                </pic:pic>
              </a:graphicData>
            </a:graphic>
          </wp:inline>
        </w:drawing>
      </w:r>
    </w:p>
    <w:p w14:paraId="33F99083" w14:textId="7F64E720" w:rsidR="000D2C04" w:rsidRPr="00EC702F" w:rsidRDefault="0041606F">
      <w:pPr>
        <w:rPr>
          <w:b/>
          <w:bCs/>
        </w:rPr>
      </w:pPr>
      <w:r>
        <w:t>This is a Mantle</w:t>
      </w:r>
      <w:r w:rsidR="00F36AAC">
        <w:t xml:space="preserve"> made for Roger II of Sicily</w:t>
      </w:r>
      <w:r w:rsidR="0013006B">
        <w:t xml:space="preserve"> in Palermo, Sicily. </w:t>
      </w:r>
      <w:r w:rsidR="00196F94">
        <w:t>A mantle is a garment made to be worn across the shoulders and draping across the chest and back. Coronation garments are common across</w:t>
      </w:r>
      <w:r w:rsidR="006131D6">
        <w:t xml:space="preserve"> </w:t>
      </w:r>
      <w:r w:rsidR="00196F94">
        <w:t xml:space="preserve">European </w:t>
      </w:r>
      <w:r w:rsidR="006131D6">
        <w:t>royalty and</w:t>
      </w:r>
      <w:r w:rsidR="00196F94">
        <w:t xml:space="preserve"> are often only worn once</w:t>
      </w:r>
      <w:r w:rsidR="006131D6">
        <w:t>,</w:t>
      </w:r>
      <w:r w:rsidR="00196F94">
        <w:t xml:space="preserve"> in the coronation itself. This mantle </w:t>
      </w:r>
      <w:proofErr w:type="gramStart"/>
      <w:r w:rsidR="00196F94">
        <w:t>in particular is</w:t>
      </w:r>
      <w:proofErr w:type="gramEnd"/>
      <w:r w:rsidR="0013006B">
        <w:t xml:space="preserve"> made from red woven silk, and decorated with golden thread, enamel, and gemstones.</w:t>
      </w:r>
      <w:r w:rsidR="00C51FF4">
        <w:rPr>
          <w:rStyle w:val="FootnoteReference"/>
        </w:rPr>
        <w:footnoteReference w:id="1"/>
      </w:r>
      <w:r w:rsidR="0013006B">
        <w:t xml:space="preserve"> The decoration consists of a central palm tree, surrounded on either side by the imagery of a lion crushing a camel under its weight. </w:t>
      </w:r>
      <w:r w:rsidR="00D12E54">
        <w:t xml:space="preserve">A description around the edge, written in Arabic, claims this mantle was made in Palermo, Sicily in 1133-1134. </w:t>
      </w:r>
    </w:p>
    <w:p w14:paraId="42A00DE6" w14:textId="3E679772" w:rsidR="00E96FF5" w:rsidRDefault="000D2C04">
      <w:r>
        <w:t xml:space="preserve">While often referred to as Roger II’s Coronation Mantle, the inscription on the mantle itself tells us that the garment was made after the Coronation of Roger II, which took place in </w:t>
      </w:r>
      <w:r w:rsidR="00300FEB">
        <w:t xml:space="preserve">the year </w:t>
      </w:r>
      <w:r>
        <w:t>1130.</w:t>
      </w:r>
      <w:r>
        <w:rPr>
          <w:rStyle w:val="FootnoteReference"/>
        </w:rPr>
        <w:footnoteReference w:id="2"/>
      </w:r>
      <w:r w:rsidR="00D164CF">
        <w:t xml:space="preserve"> </w:t>
      </w:r>
      <w:r w:rsidR="00300FEB">
        <w:t xml:space="preserve"> It is therefore likely that this mantle was not made for Roger II but rather for his successors. Alternatively, this mantle could have been made as a political statement rather than a garment of ceremony. </w:t>
      </w:r>
      <w:r w:rsidR="00C51FF4">
        <w:t xml:space="preserve">We do know that the mantle, alongside other Sicilian </w:t>
      </w:r>
      <w:proofErr w:type="gramStart"/>
      <w:r w:rsidR="00C51FF4">
        <w:t>garments</w:t>
      </w:r>
      <w:proofErr w:type="gramEnd"/>
      <w:r w:rsidR="00C51FF4">
        <w:t xml:space="preserve"> and relics, was passed on to the Holy Roman Empire where it was used for coronations and ceremonies.</w:t>
      </w:r>
      <w:r w:rsidR="00C51FF4">
        <w:rPr>
          <w:rStyle w:val="FootnoteReference"/>
        </w:rPr>
        <w:footnoteReference w:id="3"/>
      </w:r>
      <w:r w:rsidR="00C51FF4">
        <w:t xml:space="preserve"> </w:t>
      </w:r>
    </w:p>
    <w:p w14:paraId="71BBB047" w14:textId="36983981" w:rsidR="00146A0C" w:rsidRDefault="00146A0C">
      <w:r>
        <w:t xml:space="preserve">The mantle was made, according to the inscription, in Palermo. </w:t>
      </w:r>
      <w:r w:rsidR="00C94DD1">
        <w:t xml:space="preserve">It consists of layers </w:t>
      </w:r>
      <w:r w:rsidR="000A75B6">
        <w:t xml:space="preserve">three </w:t>
      </w:r>
      <w:r w:rsidR="00C94DD1">
        <w:t xml:space="preserve">original layers of silk and gold tapestry, </w:t>
      </w:r>
      <w:r w:rsidR="000A75B6">
        <w:t>plus</w:t>
      </w:r>
      <w:r w:rsidR="00C94DD1">
        <w:t xml:space="preserve"> an additional layer of “</w:t>
      </w:r>
      <w:proofErr w:type="spellStart"/>
      <w:r w:rsidR="00C94DD1">
        <w:t>lampas</w:t>
      </w:r>
      <w:proofErr w:type="spellEnd"/>
      <w:r w:rsidR="00C94DD1">
        <w:t xml:space="preserve">” weave, a style of silk weaving interlaced with gold, thought to have been </w:t>
      </w:r>
      <w:r w:rsidR="006C368A">
        <w:t>added sometime in the High Medieval Period of the 1200s-1300s</w:t>
      </w:r>
      <w:r w:rsidR="00C94DD1">
        <w:t>.</w:t>
      </w:r>
      <w:r w:rsidR="00C94DD1">
        <w:rPr>
          <w:rStyle w:val="FootnoteReference"/>
        </w:rPr>
        <w:footnoteReference w:id="4"/>
      </w:r>
      <w:r w:rsidR="00C94DD1">
        <w:t xml:space="preserve"> The three original layers all contain similar designs, combining the iconography of “Coptic” Christianity, found in the region of Egypt, and Byzantine style iconography.</w:t>
      </w:r>
      <w:r w:rsidR="00C94DD1">
        <w:rPr>
          <w:rStyle w:val="FootnoteReference"/>
        </w:rPr>
        <w:footnoteReference w:id="5"/>
      </w:r>
      <w:r w:rsidR="00C94DD1">
        <w:t xml:space="preserve"> While it is believed that this mantle was crafted in Palermo, it has been argued that the fabrics used were </w:t>
      </w:r>
      <w:r w:rsidR="00E2796F">
        <w:t xml:space="preserve">taken </w:t>
      </w:r>
      <w:r w:rsidR="00E2796F">
        <w:lastRenderedPageBreak/>
        <w:t>from old stores, most likely diplomatic gifts or spoils of war.</w:t>
      </w:r>
      <w:r w:rsidR="006C368A">
        <w:rPr>
          <w:rStyle w:val="FootnoteReference"/>
        </w:rPr>
        <w:footnoteReference w:id="6"/>
      </w:r>
      <w:r w:rsidR="00E2796F">
        <w:t xml:space="preserve"> This could be seen as an attempt to </w:t>
      </w:r>
      <w:r w:rsidR="006C368A">
        <w:t xml:space="preserve">either consolidate trade relations by using gifted fabrics in an important ceremonial garment, or to emphasise their prowess in combat by taking “spoils of war” and converting them into a garment that would only be viewed as celebratory in regards to the royal line. </w:t>
      </w:r>
      <w:r w:rsidR="0059774F">
        <w:t>This has been described as an “intentional display of political continuity with a legitimising function”.</w:t>
      </w:r>
      <w:r w:rsidR="0059774F">
        <w:rPr>
          <w:rStyle w:val="FootnoteReference"/>
        </w:rPr>
        <w:footnoteReference w:id="7"/>
      </w:r>
      <w:r w:rsidR="0059774F">
        <w:t xml:space="preserve"> </w:t>
      </w:r>
    </w:p>
    <w:p w14:paraId="09BB1DBB" w14:textId="348FABB5" w:rsidR="00146A0C" w:rsidRDefault="0059774F">
      <w:r>
        <w:t>The materials of the mantle were some of the most expensive and hard to acquire in the period of the 1130s, and most likely would have been imported into the country.</w:t>
      </w:r>
      <w:r>
        <w:rPr>
          <w:rStyle w:val="FootnoteReference"/>
        </w:rPr>
        <w:footnoteReference w:id="8"/>
      </w:r>
      <w:r>
        <w:t xml:space="preserve"> </w:t>
      </w:r>
      <w:r w:rsidR="00227E5C">
        <w:t>The silk is finely woven and thus was most likely imported from elsewhere, as there is no evidence that the Normans had the technology or the skills to make silk of this quality. It is most likely Byzantine in origin, though other places such as Egypt have been suggested as an origin.</w:t>
      </w:r>
      <w:r w:rsidR="00227E5C">
        <w:rPr>
          <w:rStyle w:val="FootnoteReference"/>
        </w:rPr>
        <w:footnoteReference w:id="9"/>
      </w:r>
      <w:r w:rsidR="00227E5C">
        <w:t xml:space="preserve"> </w:t>
      </w:r>
      <w:r w:rsidR="00FD52AD">
        <w:t xml:space="preserve">This ability to import expensive materials for a mantle most likely intended to be worn only a couple of times implies to onlookers the prosperity </w:t>
      </w:r>
      <w:r w:rsidR="001160D0">
        <w:t xml:space="preserve">of Roger II’s economy, and therefore, stability. </w:t>
      </w:r>
      <w:r w:rsidR="000D2C04">
        <w:t>It is very likely that the iconography would have been second to the materials used to make the garment.</w:t>
      </w:r>
      <w:r w:rsidR="000D2C04">
        <w:rPr>
          <w:rStyle w:val="FootnoteReference"/>
        </w:rPr>
        <w:footnoteReference w:id="10"/>
      </w:r>
    </w:p>
    <w:p w14:paraId="3E8E1CAE" w14:textId="1C3CB959" w:rsidR="00C931D4" w:rsidRPr="00C931D4" w:rsidRDefault="00FD52AD" w:rsidP="0013006B">
      <w:r>
        <w:t xml:space="preserve">The iconography on this mantle displays a central palm tree, surrounded on either side by a lion crushing a camel beneath it. </w:t>
      </w:r>
      <w:r w:rsidR="00EF4201">
        <w:t xml:space="preserve">This is created through gold thread, gemstones, and enamel. There are several different ways that scholars have interpreted the decoration of this mantle. </w:t>
      </w:r>
      <w:r w:rsidR="005775BB">
        <w:t xml:space="preserve">The most common interpretation is that the lion represents the Normans, </w:t>
      </w:r>
      <w:r w:rsidR="0054722F">
        <w:t>specifically the Christian Roger II, and the camel represents his new Muslim subjects. However, there has never been any evidence for the camel being a symbol representing Islam.</w:t>
      </w:r>
      <w:r w:rsidR="0054722F">
        <w:rPr>
          <w:rStyle w:val="FootnoteReference"/>
        </w:rPr>
        <w:footnoteReference w:id="11"/>
      </w:r>
      <w:r w:rsidR="0054722F">
        <w:t xml:space="preserve"> These symbols may represent Roger’s new kingship, how his forces have invaded Sicily</w:t>
      </w:r>
      <w:r w:rsidR="00C931D4">
        <w:t xml:space="preserve"> and placed him on the throne. It could also be a comment on heaven and its depiction of triumph over good and evil and the idealised nature of heaven being represented in a palm tree, a form of lush vegetation native to Sicily.</w:t>
      </w:r>
      <w:r w:rsidR="00C931D4">
        <w:rPr>
          <w:rStyle w:val="FootnoteReference"/>
        </w:rPr>
        <w:footnoteReference w:id="12"/>
      </w:r>
      <w:r w:rsidR="00C931D4">
        <w:t xml:space="preserve"> This could also be a representation of how good Roger II’s new kingdom is, comparing it to heaven. The choice to use a palm tree, rather than vegetation native to Normandy, is just one example of how the Normans assimilated into their new cultures. Just as the “Northmen” adapted to Christianity, this mantle is an example of the Normans settling into Sicily with their adaptation of cultural features, such as using palm trees to represent lush vegetation, using local craftsmen and traders to weave their silk, and using the Arabic language for the inscription on this mantle. </w:t>
      </w:r>
    </w:p>
    <w:p w14:paraId="2F11D76D" w14:textId="526A566F" w:rsidR="0013006B" w:rsidRDefault="0013006B" w:rsidP="0013006B">
      <w:r>
        <w:t>T</w:t>
      </w:r>
      <w:r w:rsidR="00FD52AD">
        <w:t xml:space="preserve">he mantle has an inscription around the base edge. </w:t>
      </w:r>
      <w:r w:rsidR="00C874EF">
        <w:t xml:space="preserve">This inscription is written in </w:t>
      </w:r>
      <w:r w:rsidR="00C931D4">
        <w:t>Arabic</w:t>
      </w:r>
      <w:r w:rsidR="00C874EF">
        <w:t xml:space="preserve">, and there are several differing translations. One such translation reads: </w:t>
      </w:r>
    </w:p>
    <w:p w14:paraId="5AC50E7C" w14:textId="25774408" w:rsidR="00C874EF" w:rsidRDefault="00C874EF" w:rsidP="0013006B">
      <w:r>
        <w:t>“This was made in the most royal, flourishing wardrobe, with good fortune, magnificence, splendour, perfection, might, superiority, generosity, prosperity, propitious fate, dignity, glory, beauty, attainment of desires and hopes, pleasure of days and nights without end or removal, with power, declaration of faith, vigilance, protection, good fortune, security, victory and capability, in the city of Sicily, in the year five-hundred and twenty-eight [1133-4 CE].”</w:t>
      </w:r>
      <w:r>
        <w:rPr>
          <w:rStyle w:val="FootnoteReference"/>
        </w:rPr>
        <w:footnoteReference w:id="13"/>
      </w:r>
    </w:p>
    <w:p w14:paraId="6DD1AC12" w14:textId="43AEAC7D" w:rsidR="00EA6418" w:rsidRDefault="00C874EF" w:rsidP="0013006B">
      <w:pPr>
        <w:rPr>
          <w:rFonts w:cstheme="minorHAnsi"/>
          <w:color w:val="202122"/>
          <w:shd w:val="clear" w:color="auto" w:fill="FFFFFF"/>
        </w:rPr>
      </w:pPr>
      <w:r>
        <w:lastRenderedPageBreak/>
        <w:t>T</w:t>
      </w:r>
      <w:r w:rsidR="00C931D4">
        <w:t xml:space="preserve">he language of the inscription is significant. Where most Norman writings of this period are in Latin, this inscription is written in Arabic. </w:t>
      </w:r>
      <w:r w:rsidR="00EA6418">
        <w:t>While garments inscribed with Arabic were common in Arabic courts, it is rare to see these inscriptions on a piece of ceremonial clothing made for a Christian king.</w:t>
      </w:r>
      <w:r w:rsidR="00EA6418">
        <w:rPr>
          <w:rStyle w:val="FootnoteReference"/>
        </w:rPr>
        <w:footnoteReference w:id="14"/>
      </w:r>
      <w:r w:rsidR="00EA6418">
        <w:t xml:space="preserve"> It is likely then, that because Sicily was under Islamic rule for nearly 200 years, that this inclusion of Arabic text may have been a form of assimilation on the Normans behalf. Since Roger II and his people were coming into a culture that used Arabic script this was a way to cater to the people living in Sicily and show that they were able to adapt even on the highest level of their leadership. Furthermore, this could be a mimicking or adaptation of the medieval Arabic </w:t>
      </w:r>
      <w:r w:rsidR="00EA6418" w:rsidRPr="00EA6418">
        <w:rPr>
          <w:rFonts w:cstheme="minorHAnsi"/>
          <w:color w:val="202122"/>
          <w:shd w:val="clear" w:color="auto" w:fill="FFFFFF"/>
          <w:lang/>
        </w:rPr>
        <w:t>ṭirāz</w:t>
      </w:r>
      <w:r w:rsidR="00EA6418">
        <w:rPr>
          <w:rFonts w:cstheme="minorHAnsi"/>
          <w:color w:val="202122"/>
          <w:shd w:val="clear" w:color="auto" w:fill="FFFFFF"/>
        </w:rPr>
        <w:t>, a garment decorated with the names and titles of rulers (known as caliphs) and handed out to those who served the Caliphs and showed loyalty, as a form of political favour.</w:t>
      </w:r>
      <w:r w:rsidR="00EA6418">
        <w:rPr>
          <w:rStyle w:val="FootnoteReference"/>
          <w:rFonts w:cstheme="minorHAnsi"/>
          <w:color w:val="202122"/>
          <w:shd w:val="clear" w:color="auto" w:fill="FFFFFF"/>
        </w:rPr>
        <w:footnoteReference w:id="15"/>
      </w:r>
      <w:r w:rsidR="00EA6418">
        <w:rPr>
          <w:rFonts w:cstheme="minorHAnsi"/>
          <w:color w:val="202122"/>
          <w:shd w:val="clear" w:color="auto" w:fill="FFFFFF"/>
        </w:rPr>
        <w:t xml:space="preserve"> </w:t>
      </w:r>
      <w:r w:rsidR="004B575B">
        <w:rPr>
          <w:rFonts w:cstheme="minorHAnsi"/>
          <w:color w:val="202122"/>
          <w:shd w:val="clear" w:color="auto" w:fill="FFFFFF"/>
        </w:rPr>
        <w:t xml:space="preserve">However, there is no evidence that any garments with inscriptions like the </w:t>
      </w:r>
      <w:r w:rsidR="004B575B" w:rsidRPr="004B575B">
        <w:rPr>
          <w:rFonts w:cstheme="minorHAnsi"/>
          <w:i/>
          <w:iCs/>
          <w:color w:val="202122"/>
          <w:shd w:val="clear" w:color="auto" w:fill="FFFFFF"/>
          <w:lang/>
        </w:rPr>
        <w:t>ṭirāz</w:t>
      </w:r>
      <w:r w:rsidR="004B575B" w:rsidRPr="004B575B">
        <w:rPr>
          <w:rFonts w:cstheme="minorHAnsi"/>
          <w:i/>
          <w:iCs/>
          <w:color w:val="202122"/>
          <w:shd w:val="clear" w:color="auto" w:fill="FFFFFF"/>
        </w:rPr>
        <w:t xml:space="preserve"> </w:t>
      </w:r>
      <w:r w:rsidR="004B575B" w:rsidRPr="004B575B">
        <w:rPr>
          <w:rFonts w:cstheme="minorHAnsi"/>
          <w:color w:val="202122"/>
          <w:shd w:val="clear" w:color="auto" w:fill="FFFFFF"/>
        </w:rPr>
        <w:t>were produced in Sicily before the Normans arrived</w:t>
      </w:r>
      <w:r w:rsidR="004B575B">
        <w:rPr>
          <w:rFonts w:ascii="Arial" w:hAnsi="Arial" w:cs="Arial"/>
          <w:color w:val="202122"/>
          <w:sz w:val="21"/>
          <w:szCs w:val="21"/>
          <w:shd w:val="clear" w:color="auto" w:fill="FFFFFF"/>
        </w:rPr>
        <w:t>.</w:t>
      </w:r>
      <w:r w:rsidR="00587A96">
        <w:rPr>
          <w:rStyle w:val="FootnoteReference"/>
          <w:rFonts w:ascii="Arial" w:hAnsi="Arial" w:cs="Arial"/>
          <w:color w:val="202122"/>
          <w:sz w:val="21"/>
          <w:szCs w:val="21"/>
          <w:shd w:val="clear" w:color="auto" w:fill="FFFFFF"/>
        </w:rPr>
        <w:footnoteReference w:id="16"/>
      </w:r>
      <w:r w:rsidR="004B575B">
        <w:rPr>
          <w:rFonts w:cstheme="minorHAnsi"/>
          <w:color w:val="202122"/>
          <w:shd w:val="clear" w:color="auto" w:fill="FFFFFF"/>
        </w:rPr>
        <w:t xml:space="preserve"> </w:t>
      </w:r>
      <w:r w:rsidR="00B535BC">
        <w:rPr>
          <w:rFonts w:cstheme="minorHAnsi"/>
          <w:color w:val="202122"/>
          <w:shd w:val="clear" w:color="auto" w:fill="FFFFFF"/>
        </w:rPr>
        <w:t xml:space="preserve">Therefore, this creation of an inscription on the mantle is a conscious and active choice by the Normans to cultivate an appearance and culture that makes active use of these traditions that while </w:t>
      </w:r>
      <w:r w:rsidR="00020959">
        <w:rPr>
          <w:rFonts w:cstheme="minorHAnsi"/>
          <w:color w:val="202122"/>
          <w:shd w:val="clear" w:color="auto" w:fill="FFFFFF"/>
        </w:rPr>
        <w:t>not being produced</w:t>
      </w:r>
      <w:r w:rsidR="00B535BC">
        <w:rPr>
          <w:rFonts w:cstheme="minorHAnsi"/>
          <w:color w:val="202122"/>
          <w:shd w:val="clear" w:color="auto" w:fill="FFFFFF"/>
        </w:rPr>
        <w:t xml:space="preserve"> within Sicily, would have been familiar to the Arabic culture that they knew. </w:t>
      </w:r>
    </w:p>
    <w:p w14:paraId="1F1C0C3B" w14:textId="120DFE97" w:rsidR="0068507E" w:rsidRDefault="0068507E" w:rsidP="0013006B">
      <w:pPr>
        <w:rPr>
          <w:rFonts w:cstheme="minorHAnsi"/>
          <w:color w:val="202122"/>
          <w:shd w:val="clear" w:color="auto" w:fill="FFFFFF"/>
        </w:rPr>
      </w:pPr>
    </w:p>
    <w:p w14:paraId="5D5503FC" w14:textId="623A20A5" w:rsidR="0013006B" w:rsidRDefault="0068507E" w:rsidP="0013006B">
      <w:r>
        <w:rPr>
          <w:rFonts w:cstheme="minorHAnsi"/>
          <w:color w:val="202122"/>
          <w:shd w:val="clear" w:color="auto" w:fill="FFFFFF"/>
        </w:rPr>
        <w:t xml:space="preserve">[Word Count – 1224] </w:t>
      </w:r>
    </w:p>
    <w:p w14:paraId="4A582DE4" w14:textId="463306D3" w:rsidR="0013006B" w:rsidRDefault="0013006B" w:rsidP="0013006B">
      <w:pPr>
        <w:rPr>
          <w:u w:val="single"/>
        </w:rPr>
      </w:pPr>
      <w:r>
        <w:rPr>
          <w:u w:val="single"/>
        </w:rPr>
        <w:t>Bibliography</w:t>
      </w:r>
    </w:p>
    <w:p w14:paraId="560A1AD8" w14:textId="4B393F03" w:rsidR="00146A0C" w:rsidRDefault="0013006B" w:rsidP="00146A0C">
      <w:r>
        <w:t>Vernon, Clare, ‘Dressing for Succession in Norman Italy: The Mantle of King Roger II’, Al-</w:t>
      </w:r>
      <w:proofErr w:type="spellStart"/>
      <w:r>
        <w:t>Masaq</w:t>
      </w:r>
      <w:proofErr w:type="spellEnd"/>
      <w:r>
        <w:t xml:space="preserve">, 31.1 (2019), </w:t>
      </w:r>
      <w:r w:rsidR="008176A5">
        <w:t>p.</w:t>
      </w:r>
      <w:r>
        <w:t>95–110</w:t>
      </w:r>
      <w:r w:rsidR="008176A5">
        <w:t xml:space="preserve">. </w:t>
      </w:r>
    </w:p>
    <w:p w14:paraId="736F5D97" w14:textId="3DF576FC" w:rsidR="00146A0C" w:rsidRDefault="00146A0C" w:rsidP="00146A0C">
      <w:proofErr w:type="spellStart"/>
      <w:r>
        <w:t>Dolezalek</w:t>
      </w:r>
      <w:proofErr w:type="spellEnd"/>
      <w:r>
        <w:t>, Isabelle, Arabic Script on Christian Kings : Textile Inscriptions on Royal Garments from Norman Sicily (Berlin, [Germany] ;: De Gruyter, 2017)</w:t>
      </w:r>
      <w:r w:rsidR="008176A5">
        <w:t xml:space="preserve">. </w:t>
      </w:r>
    </w:p>
    <w:p w14:paraId="40D00138" w14:textId="2092A7D7" w:rsidR="000D2C04" w:rsidRDefault="000D2C04" w:rsidP="000D2C04">
      <w:proofErr w:type="spellStart"/>
      <w:r>
        <w:t>Dolezalek</w:t>
      </w:r>
      <w:proofErr w:type="spellEnd"/>
      <w:r>
        <w:t xml:space="preserve">, Isabelle, ‘Textile Connections? Two </w:t>
      </w:r>
      <w:proofErr w:type="spellStart"/>
      <w:r>
        <w:t>Ifrīqiyan</w:t>
      </w:r>
      <w:proofErr w:type="spellEnd"/>
      <w:r>
        <w:t xml:space="preserve"> Church Treasuries in Norman Sicily and the Problem of Continuity Across Political Change’, Al-</w:t>
      </w:r>
      <w:proofErr w:type="spellStart"/>
      <w:r>
        <w:t>Masaq</w:t>
      </w:r>
      <w:proofErr w:type="spellEnd"/>
      <w:r>
        <w:t xml:space="preserve">, 25.1 (2013), </w:t>
      </w:r>
      <w:r w:rsidR="008176A5">
        <w:t>p.</w:t>
      </w:r>
      <w:r>
        <w:t>92–112</w:t>
      </w:r>
      <w:r w:rsidR="008176A5">
        <w:t>.</w:t>
      </w:r>
    </w:p>
    <w:p w14:paraId="11571FC3" w14:textId="79F1A883" w:rsidR="000D2C04" w:rsidRDefault="000D2C04" w:rsidP="000D2C04">
      <w:r>
        <w:t xml:space="preserve">Mattison, Elizabeth Rice, ‘The Receptions and Rejections of Sicilian Regalia in Late Medieval Nuremberg’, </w:t>
      </w:r>
      <w:proofErr w:type="spellStart"/>
      <w:r>
        <w:t>Gesta</w:t>
      </w:r>
      <w:proofErr w:type="spellEnd"/>
      <w:r>
        <w:t xml:space="preserve"> (Fort Tryon Park, N.Y.), 58.1 (2019), </w:t>
      </w:r>
      <w:r w:rsidR="008176A5">
        <w:t>p.</w:t>
      </w:r>
      <w:r>
        <w:t>77–102</w:t>
      </w:r>
      <w:r w:rsidR="008176A5">
        <w:t xml:space="preserve">. </w:t>
      </w:r>
    </w:p>
    <w:p w14:paraId="657C6F77" w14:textId="4C9CB472" w:rsidR="008176A5" w:rsidRDefault="005E394F" w:rsidP="000D2C04">
      <w:r>
        <w:t xml:space="preserve">Johns, J, ‘Arabic Inscriptions in the Capella </w:t>
      </w:r>
      <w:proofErr w:type="spellStart"/>
      <w:r>
        <w:t>Palatina</w:t>
      </w:r>
      <w:proofErr w:type="spellEnd"/>
      <w:r>
        <w:t xml:space="preserve">: Performativity, Audience, Legibility and Illegibility’, </w:t>
      </w:r>
      <w:r w:rsidR="008176A5">
        <w:rPr>
          <w:i/>
          <w:iCs/>
        </w:rPr>
        <w:t>Viewing Inscriptions in the Late Antique and Medieval World</w:t>
      </w:r>
      <w:r w:rsidR="008176A5">
        <w:t xml:space="preserve">, Cambridge University Press, p. 124-147. </w:t>
      </w:r>
    </w:p>
    <w:p w14:paraId="50F827F3" w14:textId="383F2CB0" w:rsidR="0054722F" w:rsidRPr="0013006B" w:rsidRDefault="008176A5" w:rsidP="000D2C04">
      <w:proofErr w:type="spellStart"/>
      <w:r>
        <w:t>Houben</w:t>
      </w:r>
      <w:proofErr w:type="spellEnd"/>
      <w:r>
        <w:t xml:space="preserve">, Hubert, ‘Roger II of Sicily: A Ruler between East and West’, Cambridge University Press (2002). </w:t>
      </w:r>
    </w:p>
    <w:sectPr w:rsidR="0054722F" w:rsidRPr="001300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43ED1B" w14:textId="77777777" w:rsidR="00E260C9" w:rsidRDefault="00E260C9" w:rsidP="00C94DD1">
      <w:pPr>
        <w:spacing w:after="0" w:line="240" w:lineRule="auto"/>
      </w:pPr>
      <w:r>
        <w:separator/>
      </w:r>
    </w:p>
  </w:endnote>
  <w:endnote w:type="continuationSeparator" w:id="0">
    <w:p w14:paraId="6FFC7351" w14:textId="77777777" w:rsidR="00E260C9" w:rsidRDefault="00E260C9" w:rsidP="00C94D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B585E8" w14:textId="77777777" w:rsidR="00E260C9" w:rsidRDefault="00E260C9" w:rsidP="00C94DD1">
      <w:pPr>
        <w:spacing w:after="0" w:line="240" w:lineRule="auto"/>
      </w:pPr>
      <w:r>
        <w:separator/>
      </w:r>
    </w:p>
  </w:footnote>
  <w:footnote w:type="continuationSeparator" w:id="0">
    <w:p w14:paraId="7411ECB4" w14:textId="77777777" w:rsidR="00E260C9" w:rsidRDefault="00E260C9" w:rsidP="00C94DD1">
      <w:pPr>
        <w:spacing w:after="0" w:line="240" w:lineRule="auto"/>
      </w:pPr>
      <w:r>
        <w:continuationSeparator/>
      </w:r>
    </w:p>
  </w:footnote>
  <w:footnote w:id="1">
    <w:p w14:paraId="145EAB28" w14:textId="6C04F4B1" w:rsidR="00C51FF4" w:rsidRDefault="00C51FF4" w:rsidP="00AF2F67">
      <w:pPr>
        <w:spacing w:line="240" w:lineRule="auto"/>
      </w:pPr>
      <w:r>
        <w:rPr>
          <w:rStyle w:val="FootnoteReference"/>
        </w:rPr>
        <w:footnoteRef/>
      </w:r>
      <w:r>
        <w:t xml:space="preserve"> </w:t>
      </w:r>
      <w:r w:rsidR="0060278F" w:rsidRPr="00AF2F67">
        <w:rPr>
          <w:sz w:val="20"/>
          <w:szCs w:val="20"/>
        </w:rPr>
        <w:t>Clare Vernon, ‘Dressing for Succession in Norman Italy</w:t>
      </w:r>
      <w:r w:rsidR="00AF2F67" w:rsidRPr="00AF2F67">
        <w:rPr>
          <w:sz w:val="20"/>
          <w:szCs w:val="20"/>
        </w:rPr>
        <w:t xml:space="preserve">: The Mantle of King Roger II’, </w:t>
      </w:r>
      <w:r w:rsidR="00AF2F67" w:rsidRPr="00AF2F67">
        <w:rPr>
          <w:sz w:val="20"/>
          <w:szCs w:val="20"/>
        </w:rPr>
        <w:t>Al-</w:t>
      </w:r>
      <w:proofErr w:type="spellStart"/>
      <w:r w:rsidR="00AF2F67" w:rsidRPr="00AF2F67">
        <w:rPr>
          <w:sz w:val="20"/>
          <w:szCs w:val="20"/>
        </w:rPr>
        <w:t>Masaq</w:t>
      </w:r>
      <w:proofErr w:type="spellEnd"/>
      <w:r w:rsidR="00AF2F67" w:rsidRPr="00AF2F67">
        <w:rPr>
          <w:sz w:val="20"/>
          <w:szCs w:val="20"/>
        </w:rPr>
        <w:t>, 31.1 (2019), p.95–110.</w:t>
      </w:r>
    </w:p>
  </w:footnote>
  <w:footnote w:id="2">
    <w:p w14:paraId="0475EEFD" w14:textId="64C8A80D" w:rsidR="000D2C04" w:rsidRDefault="000D2C04" w:rsidP="00AF2F67">
      <w:pPr>
        <w:spacing w:line="240" w:lineRule="auto"/>
      </w:pPr>
      <w:r>
        <w:rPr>
          <w:rStyle w:val="FootnoteReference"/>
        </w:rPr>
        <w:footnoteRef/>
      </w:r>
      <w:r>
        <w:t xml:space="preserve"> </w:t>
      </w:r>
      <w:r w:rsidR="00AF2F67">
        <w:rPr>
          <w:sz w:val="20"/>
          <w:szCs w:val="20"/>
        </w:rPr>
        <w:t>Elizabeth Rice Mattison</w:t>
      </w:r>
      <w:r w:rsidR="00AF2F67" w:rsidRPr="00AF2F67">
        <w:rPr>
          <w:sz w:val="20"/>
          <w:szCs w:val="20"/>
        </w:rPr>
        <w:t xml:space="preserve">, ‘The Receptions and Rejections of Sicilian Regalia in Late Medieval Nuremberg’, p.77–102. </w:t>
      </w:r>
    </w:p>
  </w:footnote>
  <w:footnote w:id="3">
    <w:p w14:paraId="44C53795" w14:textId="238CF0EA" w:rsidR="00C51FF4" w:rsidRDefault="00C51FF4">
      <w:pPr>
        <w:pStyle w:val="FootnoteText"/>
      </w:pPr>
      <w:r>
        <w:rPr>
          <w:rStyle w:val="FootnoteReference"/>
        </w:rPr>
        <w:footnoteRef/>
      </w:r>
      <w:r>
        <w:t xml:space="preserve"> </w:t>
      </w:r>
      <w:r w:rsidR="00AF2F67">
        <w:t xml:space="preserve">Mattison, Receptions and Rejections. </w:t>
      </w:r>
    </w:p>
  </w:footnote>
  <w:footnote w:id="4">
    <w:p w14:paraId="49F574B5" w14:textId="0DAD5045" w:rsidR="00C94DD1" w:rsidRDefault="00C94DD1">
      <w:pPr>
        <w:pStyle w:val="FootnoteText"/>
      </w:pPr>
      <w:r>
        <w:rPr>
          <w:rStyle w:val="FootnoteReference"/>
        </w:rPr>
        <w:footnoteRef/>
      </w:r>
      <w:r>
        <w:t xml:space="preserve"> </w:t>
      </w:r>
      <w:r w:rsidR="00AF2F67">
        <w:t xml:space="preserve">Vernon, Dressing for Succession.  </w:t>
      </w:r>
    </w:p>
  </w:footnote>
  <w:footnote w:id="5">
    <w:p w14:paraId="088B50F0" w14:textId="672FC7A2" w:rsidR="00C94DD1" w:rsidRDefault="00C94DD1">
      <w:pPr>
        <w:pStyle w:val="FootnoteText"/>
      </w:pPr>
      <w:r>
        <w:rPr>
          <w:rStyle w:val="FootnoteReference"/>
        </w:rPr>
        <w:footnoteRef/>
      </w:r>
      <w:r>
        <w:t xml:space="preserve"> </w:t>
      </w:r>
      <w:r w:rsidR="00AF2F67">
        <w:t>Vernon, Dressing for Succession</w:t>
      </w:r>
      <w:r w:rsidR="00AF2F67">
        <w:t xml:space="preserve">. </w:t>
      </w:r>
    </w:p>
  </w:footnote>
  <w:footnote w:id="6">
    <w:p w14:paraId="70A6D5F8" w14:textId="7E858808" w:rsidR="006C368A" w:rsidRDefault="006C368A" w:rsidP="00AF2F67">
      <w:pPr>
        <w:spacing w:line="240" w:lineRule="auto"/>
      </w:pPr>
      <w:r>
        <w:rPr>
          <w:rStyle w:val="FootnoteReference"/>
        </w:rPr>
        <w:footnoteRef/>
      </w:r>
      <w:r>
        <w:t xml:space="preserve"> </w:t>
      </w:r>
      <w:r w:rsidR="00AF2F67">
        <w:rPr>
          <w:sz w:val="20"/>
          <w:szCs w:val="20"/>
        </w:rPr>
        <w:t>Isabelle</w:t>
      </w:r>
      <w:r w:rsidR="000D2C04" w:rsidRPr="00AF2F67">
        <w:rPr>
          <w:sz w:val="20"/>
          <w:szCs w:val="20"/>
        </w:rPr>
        <w:t xml:space="preserve"> </w:t>
      </w:r>
      <w:proofErr w:type="spellStart"/>
      <w:r w:rsidR="00AF2F67" w:rsidRPr="00AF2F67">
        <w:rPr>
          <w:sz w:val="20"/>
          <w:szCs w:val="20"/>
        </w:rPr>
        <w:t>Dolezalek</w:t>
      </w:r>
      <w:proofErr w:type="spellEnd"/>
      <w:r w:rsidR="00AF2F67" w:rsidRPr="00AF2F67">
        <w:rPr>
          <w:sz w:val="20"/>
          <w:szCs w:val="20"/>
        </w:rPr>
        <w:t xml:space="preserve">, ‘Textile Connections? Two </w:t>
      </w:r>
      <w:proofErr w:type="spellStart"/>
      <w:r w:rsidR="00AF2F67" w:rsidRPr="00AF2F67">
        <w:rPr>
          <w:sz w:val="20"/>
          <w:szCs w:val="20"/>
        </w:rPr>
        <w:t>Ifrīqiyan</w:t>
      </w:r>
      <w:proofErr w:type="spellEnd"/>
      <w:r w:rsidR="00AF2F67" w:rsidRPr="00AF2F67">
        <w:rPr>
          <w:sz w:val="20"/>
          <w:szCs w:val="20"/>
        </w:rPr>
        <w:t xml:space="preserve"> Church Treasuries in Norman Sicily and the Problem of Continuity Across Political Change’, p.92–112.</w:t>
      </w:r>
    </w:p>
  </w:footnote>
  <w:footnote w:id="7">
    <w:p w14:paraId="2748FE5A" w14:textId="5D8E10AC" w:rsidR="0059774F" w:rsidRDefault="0059774F">
      <w:pPr>
        <w:pStyle w:val="FootnoteText"/>
      </w:pPr>
      <w:r>
        <w:rPr>
          <w:rStyle w:val="FootnoteReference"/>
        </w:rPr>
        <w:footnoteRef/>
      </w:r>
      <w:r>
        <w:t xml:space="preserve"> </w:t>
      </w:r>
      <w:proofErr w:type="spellStart"/>
      <w:r w:rsidR="00AF2F67">
        <w:t>Dolezalek</w:t>
      </w:r>
      <w:proofErr w:type="spellEnd"/>
      <w:r w:rsidR="00AF2F67">
        <w:t xml:space="preserve">, Textile </w:t>
      </w:r>
      <w:proofErr w:type="gramStart"/>
      <w:r w:rsidR="00AF2F67">
        <w:t>Connections?.</w:t>
      </w:r>
      <w:proofErr w:type="gramEnd"/>
      <w:r w:rsidR="00AF2F67">
        <w:t xml:space="preserve"> </w:t>
      </w:r>
    </w:p>
  </w:footnote>
  <w:footnote w:id="8">
    <w:p w14:paraId="6DAB088A" w14:textId="6E630213" w:rsidR="0059774F" w:rsidRDefault="0059774F">
      <w:pPr>
        <w:pStyle w:val="FootnoteText"/>
      </w:pPr>
      <w:r>
        <w:rPr>
          <w:rStyle w:val="FootnoteReference"/>
        </w:rPr>
        <w:footnoteRef/>
      </w:r>
      <w:r>
        <w:t xml:space="preserve"> </w:t>
      </w:r>
      <w:r w:rsidR="00AF2F67">
        <w:t>Vernon, Dressing for Succession</w:t>
      </w:r>
      <w:r w:rsidR="00AF2F67">
        <w:t xml:space="preserve">. </w:t>
      </w:r>
    </w:p>
  </w:footnote>
  <w:footnote w:id="9">
    <w:p w14:paraId="4B86A640" w14:textId="24912C16" w:rsidR="00227E5C" w:rsidRDefault="00227E5C">
      <w:pPr>
        <w:pStyle w:val="FootnoteText"/>
      </w:pPr>
      <w:r>
        <w:rPr>
          <w:rStyle w:val="FootnoteReference"/>
        </w:rPr>
        <w:footnoteRef/>
      </w:r>
      <w:r>
        <w:t xml:space="preserve"> </w:t>
      </w:r>
      <w:r w:rsidR="00AF2F67">
        <w:t>Vernon, Dressing for Successi</w:t>
      </w:r>
      <w:r w:rsidR="00AF2F67">
        <w:t xml:space="preserve">on. </w:t>
      </w:r>
    </w:p>
  </w:footnote>
  <w:footnote w:id="10">
    <w:p w14:paraId="21E2B6B6" w14:textId="6F19AED1" w:rsidR="000D2C04" w:rsidRDefault="000D2C04">
      <w:pPr>
        <w:pStyle w:val="FootnoteText"/>
      </w:pPr>
      <w:r>
        <w:rPr>
          <w:rStyle w:val="FootnoteReference"/>
        </w:rPr>
        <w:footnoteRef/>
      </w:r>
      <w:r>
        <w:t xml:space="preserve"> </w:t>
      </w:r>
      <w:r w:rsidR="00AF2F67">
        <w:t>Vernon, Dressing for Succession</w:t>
      </w:r>
      <w:r w:rsidR="00AF2F67">
        <w:t>.</w:t>
      </w:r>
    </w:p>
  </w:footnote>
  <w:footnote w:id="11">
    <w:p w14:paraId="1937912E" w14:textId="35F54784" w:rsidR="0054722F" w:rsidRPr="0060278F" w:rsidRDefault="0054722F">
      <w:pPr>
        <w:pStyle w:val="FootnoteText"/>
      </w:pPr>
      <w:r>
        <w:rPr>
          <w:rStyle w:val="FootnoteReference"/>
        </w:rPr>
        <w:footnoteRef/>
      </w:r>
      <w:r>
        <w:t xml:space="preserve"> </w:t>
      </w:r>
      <w:r w:rsidR="0060278F">
        <w:t xml:space="preserve">Hubert </w:t>
      </w:r>
      <w:proofErr w:type="spellStart"/>
      <w:r w:rsidR="0060278F">
        <w:t>Houen</w:t>
      </w:r>
      <w:proofErr w:type="spellEnd"/>
      <w:r w:rsidR="0060278F">
        <w:t xml:space="preserve">, </w:t>
      </w:r>
      <w:r w:rsidR="0060278F">
        <w:rPr>
          <w:i/>
          <w:iCs/>
        </w:rPr>
        <w:t>Roger II of Sicily: A Ruler between East and West</w:t>
      </w:r>
      <w:r w:rsidR="0060278F">
        <w:t xml:space="preserve">, Cambridge University Press, p. 124-5. </w:t>
      </w:r>
    </w:p>
  </w:footnote>
  <w:footnote w:id="12">
    <w:p w14:paraId="37E494B0" w14:textId="5E26F13E" w:rsidR="00C931D4" w:rsidRDefault="00C931D4">
      <w:pPr>
        <w:pStyle w:val="FootnoteText"/>
      </w:pPr>
      <w:r>
        <w:rPr>
          <w:rStyle w:val="FootnoteReference"/>
        </w:rPr>
        <w:footnoteRef/>
      </w:r>
      <w:r>
        <w:t xml:space="preserve"> </w:t>
      </w:r>
      <w:r w:rsidR="00AF2F67">
        <w:t>Vernon, Dressing for Succession</w:t>
      </w:r>
      <w:r w:rsidR="00AF2F67">
        <w:t xml:space="preserve">. </w:t>
      </w:r>
    </w:p>
  </w:footnote>
  <w:footnote w:id="13">
    <w:p w14:paraId="025E54DA" w14:textId="26677DDB" w:rsidR="00C874EF" w:rsidRDefault="00C874EF">
      <w:pPr>
        <w:pStyle w:val="FootnoteText"/>
      </w:pPr>
      <w:r>
        <w:rPr>
          <w:rStyle w:val="FootnoteReference"/>
        </w:rPr>
        <w:footnoteRef/>
      </w:r>
      <w:r>
        <w:t xml:space="preserve"> </w:t>
      </w:r>
      <w:r w:rsidR="00AF2F67">
        <w:t xml:space="preserve">J. Johns, ‘Arabic Inscriptions in the Capella </w:t>
      </w:r>
      <w:proofErr w:type="spellStart"/>
      <w:r w:rsidR="00AF2F67">
        <w:t>Palatina</w:t>
      </w:r>
      <w:proofErr w:type="spellEnd"/>
      <w:r w:rsidR="00AF2F67">
        <w:t xml:space="preserve">: Performativity, Audience, Legibility and Illegibility’, Cambridge University Press, p. 124-147. </w:t>
      </w:r>
    </w:p>
  </w:footnote>
  <w:footnote w:id="14">
    <w:p w14:paraId="70AAF477" w14:textId="110D1C58" w:rsidR="00EA6418" w:rsidRDefault="00EA6418">
      <w:pPr>
        <w:pStyle w:val="FootnoteText"/>
      </w:pPr>
      <w:r>
        <w:rPr>
          <w:rStyle w:val="FootnoteReference"/>
        </w:rPr>
        <w:footnoteRef/>
      </w:r>
      <w:r>
        <w:t xml:space="preserve"> </w:t>
      </w:r>
      <w:r w:rsidR="00AF2F67">
        <w:t xml:space="preserve">Johns, Arabic Inscriptions in the Capella </w:t>
      </w:r>
      <w:proofErr w:type="spellStart"/>
      <w:r w:rsidR="00AF2F67">
        <w:t>Palatina</w:t>
      </w:r>
      <w:proofErr w:type="spellEnd"/>
      <w:r w:rsidR="00AF2F67">
        <w:t>.</w:t>
      </w:r>
    </w:p>
  </w:footnote>
  <w:footnote w:id="15">
    <w:p w14:paraId="713BBF3B" w14:textId="3D7E2479" w:rsidR="00EA6418" w:rsidRDefault="00EA6418">
      <w:pPr>
        <w:pStyle w:val="FootnoteText"/>
      </w:pPr>
      <w:r>
        <w:rPr>
          <w:rStyle w:val="FootnoteReference"/>
        </w:rPr>
        <w:footnoteRef/>
      </w:r>
      <w:r>
        <w:t xml:space="preserve"> </w:t>
      </w:r>
      <w:r w:rsidR="00AF2F67">
        <w:t xml:space="preserve">Johns, Arabic Inscriptions in the Capella </w:t>
      </w:r>
      <w:proofErr w:type="spellStart"/>
      <w:r w:rsidR="00AF2F67">
        <w:t>Palatina</w:t>
      </w:r>
      <w:proofErr w:type="spellEnd"/>
      <w:r w:rsidR="00AF2F67">
        <w:t xml:space="preserve">. </w:t>
      </w:r>
    </w:p>
  </w:footnote>
  <w:footnote w:id="16">
    <w:p w14:paraId="162575B3" w14:textId="019DCBE2" w:rsidR="00587A96" w:rsidRDefault="00587A96">
      <w:pPr>
        <w:pStyle w:val="FootnoteText"/>
      </w:pPr>
      <w:r>
        <w:rPr>
          <w:rStyle w:val="FootnoteReference"/>
        </w:rPr>
        <w:footnoteRef/>
      </w:r>
      <w:r>
        <w:t xml:space="preserve"> </w:t>
      </w:r>
      <w:r w:rsidR="00AF2F67">
        <w:t xml:space="preserve">Johns, Arabic Inscriptions in the Capella </w:t>
      </w:r>
      <w:proofErr w:type="spellStart"/>
      <w:r w:rsidR="00AF2F67">
        <w:t>Palatina</w:t>
      </w:r>
      <w:proofErr w:type="spellEnd"/>
      <w:r w:rsidR="00AF2F67">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3395C"/>
    <w:multiLevelType w:val="hybridMultilevel"/>
    <w:tmpl w:val="23A86968"/>
    <w:lvl w:ilvl="0" w:tplc="E440F5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03542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CFE"/>
    <w:rsid w:val="00020959"/>
    <w:rsid w:val="000A75B6"/>
    <w:rsid w:val="000D2C04"/>
    <w:rsid w:val="001160D0"/>
    <w:rsid w:val="0013006B"/>
    <w:rsid w:val="00146A0C"/>
    <w:rsid w:val="00167546"/>
    <w:rsid w:val="00196F94"/>
    <w:rsid w:val="00227E5C"/>
    <w:rsid w:val="002374C2"/>
    <w:rsid w:val="00255A22"/>
    <w:rsid w:val="002D3789"/>
    <w:rsid w:val="00300FEB"/>
    <w:rsid w:val="0041606F"/>
    <w:rsid w:val="004B575B"/>
    <w:rsid w:val="0054722F"/>
    <w:rsid w:val="005775BB"/>
    <w:rsid w:val="00587A96"/>
    <w:rsid w:val="0059774F"/>
    <w:rsid w:val="005E394F"/>
    <w:rsid w:val="0060278F"/>
    <w:rsid w:val="006131D6"/>
    <w:rsid w:val="0068507E"/>
    <w:rsid w:val="006C368A"/>
    <w:rsid w:val="008176A5"/>
    <w:rsid w:val="00AF2F67"/>
    <w:rsid w:val="00B535BC"/>
    <w:rsid w:val="00BF451D"/>
    <w:rsid w:val="00C43CFE"/>
    <w:rsid w:val="00C51FF4"/>
    <w:rsid w:val="00C874EF"/>
    <w:rsid w:val="00C931D4"/>
    <w:rsid w:val="00C94DD1"/>
    <w:rsid w:val="00CF2DB5"/>
    <w:rsid w:val="00D01AA0"/>
    <w:rsid w:val="00D12E54"/>
    <w:rsid w:val="00D164CF"/>
    <w:rsid w:val="00D8254C"/>
    <w:rsid w:val="00DD2908"/>
    <w:rsid w:val="00DE6156"/>
    <w:rsid w:val="00E260C9"/>
    <w:rsid w:val="00E2796F"/>
    <w:rsid w:val="00E96FF5"/>
    <w:rsid w:val="00EA6418"/>
    <w:rsid w:val="00EC702F"/>
    <w:rsid w:val="00EF4201"/>
    <w:rsid w:val="00F36AAC"/>
    <w:rsid w:val="00FD52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793BD"/>
  <w15:chartTrackingRefBased/>
  <w15:docId w15:val="{422187E0-E18D-45E5-BBC9-98714DBEF1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6FF5"/>
    <w:pPr>
      <w:ind w:left="720"/>
      <w:contextualSpacing/>
    </w:pPr>
  </w:style>
  <w:style w:type="paragraph" w:styleId="FootnoteText">
    <w:name w:val="footnote text"/>
    <w:basedOn w:val="Normal"/>
    <w:link w:val="FootnoteTextChar"/>
    <w:uiPriority w:val="99"/>
    <w:semiHidden/>
    <w:unhideWhenUsed/>
    <w:rsid w:val="00C94DD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94DD1"/>
    <w:rPr>
      <w:sz w:val="20"/>
      <w:szCs w:val="20"/>
    </w:rPr>
  </w:style>
  <w:style w:type="character" w:styleId="FootnoteReference">
    <w:name w:val="footnote reference"/>
    <w:basedOn w:val="DefaultParagraphFont"/>
    <w:uiPriority w:val="99"/>
    <w:semiHidden/>
    <w:unhideWhenUsed/>
    <w:rsid w:val="00C94DD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599</TotalTime>
  <Pages>3</Pages>
  <Words>1120</Words>
  <Characters>6387</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Laughlin</dc:creator>
  <cp:keywords/>
  <dc:description/>
  <cp:lastModifiedBy>Becky Laughlin</cp:lastModifiedBy>
  <cp:revision>28</cp:revision>
  <dcterms:created xsi:type="dcterms:W3CDTF">2023-01-25T10:27:00Z</dcterms:created>
  <dcterms:modified xsi:type="dcterms:W3CDTF">2023-01-25T20:30:00Z</dcterms:modified>
</cp:coreProperties>
</file>