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ind w:firstLine="720"/>
        <w:jc w:val="center"/>
        <w:rPr>
          <w:rFonts w:ascii="Times New Roman" w:hAnsi="Times New Roman" w:cs="Times New Roman"/>
          <w:sz w:val="24"/>
        </w:rPr>
      </w:pPr>
      <w:r>
        <w:rPr>
          <w:rFonts w:ascii="Times New Roman" w:hAnsi="Times New Roman" w:cs="Times New Roman"/>
          <w:sz w:val="24"/>
        </w:rPr>
        <w:t>A Critical Assessment of Pragmatic Failure of Students Conversation in Speaking Class</w:t>
      </w:r>
    </w:p>
    <w:p>
      <w:pPr>
        <w:spacing w:line="480" w:lineRule="auto"/>
        <w:ind w:firstLine="720"/>
        <w:rPr>
          <w:rFonts w:hint="eastAsia" w:ascii="Times New Roman" w:hAnsi="Times New Roman" w:cs="Times New Roman"/>
          <w:sz w:val="24"/>
        </w:rPr>
      </w:pPr>
      <w:r>
        <w:rPr>
          <w:rFonts w:ascii="Times New Roman" w:hAnsi="Times New Roman" w:cs="Times New Roman"/>
          <w:sz w:val="24"/>
        </w:rPr>
        <w:t>Article I selected "Pragmatic Failure of Students Conversation in Speaking Class" by Ahmad Tauchid, Era Tri Nur Kumala, and Alfi Nika Rizkiana published in 2022. The research purpose of Tauchid et al.’s (2022) article is to explain the various types of speech acts of English students in conversations in after-school classes and to expound on the pragmatic failure of English students in conversations in oral classes. Pragmatic failure has a long history, and there are many reasons for pragmatic failure, such as cross-cultural understanding under the globalized economy, the influence of language environment, and the misreading of grammatical forms. Pragmatic failure may not only occur in real life, but also It happens in the classroom, and it is in this context that this article is developed. And draw three conclusions: 1. The dialogue behaviors of English students in oral English class are mostly directive, assertive and declarative. 2. Pragmatic failure is common in conversations in oral English classes for English students. 3. Students are exposed that incorrect grammatical forms and misunderstandings are caused by limited language knowledge. Critical reviews mainly focus on critically evaluating the research scope, methods, and limitations of the article as well as strengths, contributions, etc. First, it summarizes the goal, scope, and main arguments of this article, and then focuses on analyzing the article from the perspective of research methods.</w:t>
      </w:r>
    </w:p>
    <w:p>
      <w:pPr>
        <w:spacing w:line="480" w:lineRule="auto"/>
        <w:ind w:firstLine="720"/>
        <w:rPr>
          <w:rFonts w:hint="eastAsia" w:ascii="Times New Roman" w:hAnsi="Times New Roman" w:cs="Times New Roman"/>
          <w:sz w:val="24"/>
        </w:rPr>
      </w:pPr>
      <w:r>
        <w:rPr>
          <w:rFonts w:hint="eastAsia" w:ascii="Times New Roman" w:hAnsi="Times New Roman" w:cs="Times New Roman"/>
          <w:sz w:val="24"/>
        </w:rPr>
        <w:t>This article aim</w:t>
      </w:r>
      <w:r>
        <w:rPr>
          <w:rFonts w:ascii="Times New Roman" w:hAnsi="Times New Roman" w:cs="Times New Roman"/>
          <w:sz w:val="24"/>
        </w:rPr>
        <w:t xml:space="preserve"> to study the pragmatic failure of English students' conversations in oral English classes, to provide theoretical accumulation for the study of speech acts and pragmatic failure, and to provide benefits for readers to understand the process of teaching and learning. The article also mentions the various perspectives on discourse research that the researcher was able to gather by reading this article. The study set two pre-determined questions: the first is, what speech acts do English students use in the speaking classroom? The second is how does discourse failure manifest itself through conversations in speaking classes? The author's review of the literature on pragmatics is detailed but inadequate in the section on the explanation of pragmatic failure that needs to be highlighted. Another problem is the concept of speech act, which is presented in the presuppositional question he needs to answer, with no literature and no academic explanation.</w:t>
      </w:r>
    </w:p>
    <w:p>
      <w:pPr>
        <w:spacing w:line="480" w:lineRule="auto"/>
        <w:ind w:firstLine="720"/>
        <w:rPr>
          <w:rFonts w:hint="eastAsia" w:ascii="Times New Roman" w:hAnsi="Times New Roman" w:cs="Times New Roman"/>
          <w:sz w:val="24"/>
        </w:rPr>
      </w:pPr>
      <w:r>
        <w:rPr>
          <w:rFonts w:ascii="Times New Roman" w:hAnsi="Times New Roman" w:cs="Times New Roman"/>
          <w:sz w:val="24"/>
        </w:rPr>
        <w:t>In the text, the authors mention that the conclusion is based on Jenny Thomas' proposal of pragmatic failure, "the inability to comprehend what is intended by what is spoken" (1983, p. 22), and Levinson's (1983) account of speech acts. However, as far as I am concerned, the theory of Levinson's theory is not a good enough match for this study. There are various classifications of speech acts or communicative speech in the academic community. The philosopher Austin (1963) introduced the linguistic concept of "talking is doing", thus pioneering speech act theory. He distinguished speech acts into verdictives, exercitives, behabitives, commissives, and expositives. Searle (1968, 1973, 1979) redesigned the criteria for classifying speech acts, insisting that the point or purpose of the type of activity, the direction of fit between words and the world, and expressed psychological states are the three most important factors shaping the classification of speech acts, the five categories of speech acts are re-defined as assertives, directives, commissives, expressives, and declarations. Cohen &amp; Perrault (1979) proposed a plan-based theory of speech acts, describing speech acts as "planning operators". Holmes (1992: 286 ⁃287) distinguishes six types of speech, expressive utterances, directive utterances, referential utterances, metalinguistic utterances, poetic utterances, and phatic utterances, and regards them as six functions of speech. Halliday (2014) argues that although the verbal communication tasks of language are so diverse, there are only two primary tasks: giving and demanding. The process of speech is actually an exchange process between the speaker and the listener.</w:t>
      </w:r>
    </w:p>
    <w:p>
      <w:pPr>
        <w:spacing w:line="480" w:lineRule="auto"/>
        <w:ind w:firstLine="720"/>
        <w:rPr>
          <w:rFonts w:hint="eastAsia" w:ascii="Times New Roman" w:hAnsi="Times New Roman" w:cs="Times New Roman"/>
          <w:sz w:val="24"/>
        </w:rPr>
      </w:pPr>
      <w:r>
        <w:rPr>
          <w:rFonts w:ascii="Times New Roman" w:hAnsi="Times New Roman" w:cs="Times New Roman"/>
          <w:sz w:val="24"/>
        </w:rPr>
        <w:t>The research method used in this article is a quantitative study. The main methods of quantitative research design are the survey method, correlation method, and experimental method. The survey method is an ancient research method, which refers to formulating a plan to collect various materials on a particular aspect of the research object comprehensively or relatively comprehensively in order to achieve the intended purpose, and to make analysis and synthesis to reach a certain conclusion. research methods. However, there are some limitations in this article that need to be improved, such as the sample size of the study is not very large; furthermore, the development of language socialization of individuals is a complex and long-term process, and this article controls for language level variables, age, and nationality variables appropriately, and other individual factors such as gender and personality are not taken into account, which will inevitably lead to some bias in the research results. Another point that the author needs to pay attention to is that the corpus of this study mainly comes from the dialogues in the classroom, and the intersection scenarios covered need to be more comprehensive. The research objects are English learners in Indonesia. They are all second-language learners. The author should explain the definition of pragmatic failure and the cause of pragmatic failure more carefully through the investigation and analysis of second language learners’ pragmatic failure.</w:t>
      </w:r>
    </w:p>
    <w:p>
      <w:pPr>
        <w:spacing w:line="480" w:lineRule="auto"/>
        <w:ind w:firstLine="720"/>
        <w:rPr>
          <w:rFonts w:hint="eastAsia" w:ascii="Times New Roman" w:hAnsi="Times New Roman" w:cs="Times New Roman"/>
          <w:sz w:val="24"/>
        </w:rPr>
      </w:pPr>
      <w:r>
        <w:rPr>
          <w:rFonts w:ascii="Times New Roman" w:hAnsi="Times New Roman" w:cs="Times New Roman"/>
          <w:sz w:val="24"/>
        </w:rPr>
        <w:t>The research and analysis of this article are only based on some theories and do not analyze the conclusions of previous research and the development process of pragmatic failure. From the time Jenny Thomas first introduced the concept of pragmatic failure in 1983, it has received the attention of many scholars and generated enthusiasm for its study. Jenny Thomas (1983) points out the weaknesses in language teaching, defines and classifies pragmatic failure, and affirms the broad scope of "interculturalism". In subsequent theoretical research, Kasper (1990) has identified three types of "motivated rudeness," namely "rudeness without emotional control," "strategic rudeness," and "sarcastic rudeness," and beyond these three types of "motivated rudeness" is "motiveless rudeness," or pragmatic failure. Manuel Padilla Cruz (2013, 2018) argues that the study of pragmatic failures should shift from a focus on the speaker to a focus on the listener. He also explores the relationship between epistemic injustice and pragmatic competence injustice and linguistic failure. In terms of empirical research, Andrea Golato (2002) used the method of discourse analysis to study the preference of German compliment sequences by comparing the different responses of Germans and Americans to compliments and pointed out that cross-cultural communication is prone to problems. Olivier Irrmann (2005) conducted two qualitative studies in Finland and France to explore the cross-cultural dimension of communicative events and the pragmatic failures in the integration stage of cross-cultural mergers and acquisitions. Kale, Herrera and Nagy (2021) analyzed examples of language-related communication failures in the air-to-ground communication involving language between pilots and air traffic controllers and conducted a survey of 212 respondents with a self-made questionnaire. The results of the survey found that English Native-speaking airline operators have developed the valuable skill of focusing on semantics while avoiding adding pragmatic meaning, in order to minimize the possibility of pragmatic failure.</w:t>
      </w:r>
      <w:r>
        <w:t xml:space="preserve"> </w:t>
      </w:r>
      <w:r>
        <w:rPr>
          <w:rFonts w:ascii="Times New Roman" w:hAnsi="Times New Roman" w:cs="Times New Roman"/>
          <w:sz w:val="24"/>
        </w:rPr>
        <w:t>These are the conclusions drawn from some successful studies and studies on pragmatic failure.</w:t>
      </w:r>
    </w:p>
    <w:p>
      <w:pPr>
        <w:spacing w:line="480" w:lineRule="auto"/>
        <w:ind w:firstLine="720"/>
        <w:rPr>
          <w:rFonts w:hint="eastAsia" w:ascii="Times New Roman" w:hAnsi="Times New Roman" w:cs="Times New Roman"/>
          <w:sz w:val="24"/>
        </w:rPr>
      </w:pPr>
      <w:r>
        <w:rPr>
          <w:rFonts w:ascii="Times New Roman" w:hAnsi="Times New Roman" w:cs="Times New Roman"/>
          <w:sz w:val="24"/>
        </w:rPr>
        <w:t>The author's pragmatic failure analysis reflected in the conclusion part is caused by the students' limited language knowledge. However, in the above literature the author mentioned “The learner's inability to recognize the distinctions between his or her own culture and the culture of the language he or she is attempting to acquire is the root cause of the pragmatic failure that results.” For second language learners learning English in Indonesia, the reason for pragmatic failure is not only the students' limited language knowledge but also the negative transfer of their mother tongue and the influence of cultural differences. When there are cultural differences in language behavior, there will be Some pragmatic failures occur because the speaker does not know whose culture to use to dictate the language act. Therefore, the conclusion of his research article is not rigorous enough and does not match well with the literature review mentioned by the author himself. One of the manifestations of pragmatic failure is the failure of pragmatic cognitive association. An important factor that determines the success of intercultural communication is whether pragmatic individuals can accurately grasp the communication environment. If a pragmatic individual has a wrong perception of the communicative environment in which he or she lives, he or she will inevitably fail in specific pragmatic relevance, which is the so-called failure of cognitive relevance. Another form of failure is the failure of pragmatic cultural association. Everyone knows that language is the product of a specific cultural background, and the relationship between the two is inseparable. Language habits depend on cultural background, so the language behavior of pragmatic individuals is naturally restricted by their respective cultural values. Just imagine that both sides of the communication have different values of politeness or not, which will, of course lead to the wrong choice of language form. Sociopragmatic failure refers to the failure of language expression in cross-cultural communication due to ignorance or ignorance of the cultural background and social status differences between the two parties in the dialogue. Pragmatics has both universality and social-cultural relativity. If English learners are impeccable in English diction, grammar, pronunciation, and intonation, it does not necessarily mean that they are successful enough to communicate with native English speakers without barriers. Different values and even communication styles are rooted in different cultural backgrounds. Habits of thought can also form obstacles. Even if the speech is fluent enough, if you don't know the cultural background of the target language or have a half-knowledge of cultural differences, you will not be able to express your ideas and achieve successful cross-cultural communication.</w:t>
      </w:r>
    </w:p>
    <w:p>
      <w:pPr>
        <w:spacing w:line="480" w:lineRule="auto"/>
        <w:ind w:firstLine="720"/>
        <w:rPr>
          <w:rFonts w:ascii="Times New Roman" w:hAnsi="Times New Roman" w:cs="Times New Roman"/>
          <w:sz w:val="24"/>
        </w:rPr>
      </w:pPr>
      <w:r>
        <w:rPr>
          <w:rFonts w:ascii="Times New Roman" w:hAnsi="Times New Roman" w:cs="Times New Roman"/>
          <w:sz w:val="24"/>
        </w:rPr>
        <w:t>In summary, although this article has limitations and deficiencies, it analyzes the pragmatic failures in oral English classes and draws three conclusions, and answers presupposed questions based on theoretical research. I think the article can further analyze the reasons for the failure of pragmatics, because this is a study of the problems of students in oral English classes. The objects of these studies are all students who need to learn a second language. The article should put forward higher-level conclusions and prospects, such as the inspiration for second language teaching, etc. Pragmatic failure research is an important research field in cross-cultural communication and pragmatics, but there are still many deficiencies in this field, and there are still many aspects worthy of in-depth exploration, but in fact, no matter what research is being done, its purpose is to minimize or avoid pragmatic failures and improve learners' pragmatic competence. Pragmatic failure is too common in second language learning. In-depth research and analysis of students' pragmatic failure can help students better understand the essence of second language acquisition and grasp the rules. At the same time, it can also allow teachers to improve the quality of teaching and provide experience for other schools' English teaching.</w:t>
      </w:r>
    </w:p>
    <w:p>
      <w:pPr>
        <w:spacing w:line="480" w:lineRule="auto"/>
        <w:ind w:firstLine="720"/>
        <w:rPr>
          <w:rFonts w:ascii="Times New Roman" w:hAnsi="Times New Roman" w:cs="Times New Roman"/>
          <w:sz w:val="24"/>
        </w:rPr>
      </w:pPr>
    </w:p>
    <w:p>
      <w:pPr>
        <w:spacing w:line="480" w:lineRule="auto"/>
        <w:ind w:firstLine="720"/>
        <w:rPr>
          <w:rFonts w:ascii="Times New Roman" w:hAnsi="Times New Roman" w:cs="Times New Roman"/>
          <w:sz w:val="24"/>
        </w:rPr>
      </w:pPr>
    </w:p>
    <w:p>
      <w:pPr>
        <w:spacing w:line="480" w:lineRule="auto"/>
        <w:ind w:firstLine="720"/>
        <w:rPr>
          <w:rFonts w:ascii="Times New Roman" w:hAnsi="Times New Roman" w:cs="Times New Roman"/>
          <w:sz w:val="24"/>
        </w:rPr>
      </w:pPr>
    </w:p>
    <w:p>
      <w:pPr>
        <w:spacing w:line="480" w:lineRule="auto"/>
        <w:ind w:firstLine="720"/>
        <w:rPr>
          <w:rFonts w:ascii="Times New Roman" w:hAnsi="Times New Roman" w:cs="Times New Roman"/>
          <w:sz w:val="24"/>
        </w:rPr>
      </w:pPr>
    </w:p>
    <w:p>
      <w:pPr>
        <w:spacing w:line="480" w:lineRule="auto"/>
        <w:ind w:firstLine="720"/>
        <w:rPr>
          <w:rFonts w:ascii="Times New Roman" w:hAnsi="Times New Roman" w:cs="Times New Roman"/>
          <w:sz w:val="24"/>
        </w:rPr>
      </w:pPr>
    </w:p>
    <w:p>
      <w:pPr>
        <w:spacing w:line="480" w:lineRule="auto"/>
        <w:ind w:firstLine="720"/>
        <w:rPr>
          <w:rFonts w:ascii="Times New Roman" w:hAnsi="Times New Roman" w:cs="Times New Roman"/>
          <w:sz w:val="24"/>
        </w:rPr>
      </w:pPr>
    </w:p>
    <w:p>
      <w:pPr>
        <w:spacing w:line="480" w:lineRule="auto"/>
        <w:ind w:firstLine="720"/>
        <w:rPr>
          <w:rFonts w:ascii="Times New Roman" w:hAnsi="Times New Roman" w:cs="Times New Roman"/>
          <w:sz w:val="24"/>
        </w:rPr>
      </w:pPr>
    </w:p>
    <w:p>
      <w:pPr>
        <w:pStyle w:val="2"/>
        <w:spacing w:before="0" w:beforeAutospacing="0" w:after="240" w:afterAutospacing="0" w:line="360" w:lineRule="auto"/>
        <w:rPr>
          <w:rFonts w:hint="eastAsia" w:ascii="Times New Roman" w:hAnsi="Times New Roman" w:cs="Times New Roman"/>
          <w:b/>
          <w:bCs/>
        </w:rPr>
      </w:pPr>
      <w:r>
        <w:rPr>
          <w:rFonts w:hint="eastAsia" w:ascii="Times New Roman" w:hAnsi="Times New Roman" w:cs="Times New Roman"/>
          <w:b/>
          <w:bCs/>
        </w:rPr>
        <w:t>R</w:t>
      </w:r>
      <w:r>
        <w:rPr>
          <w:rFonts w:ascii="Times New Roman" w:hAnsi="Times New Roman" w:cs="Times New Roman"/>
          <w:b/>
          <w:bCs/>
        </w:rPr>
        <w:t>eference List</w:t>
      </w:r>
    </w:p>
    <w:p>
      <w:pPr>
        <w:pStyle w:val="2"/>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Cohen, P.R. and Perrault, C.R. (1979). Elements of a Plan-Based Theory of Speech Acts*. </w:t>
      </w:r>
      <w:r>
        <w:rPr>
          <w:rFonts w:ascii="Times New Roman" w:hAnsi="Times New Roman" w:cs="Times New Roman"/>
          <w:i/>
          <w:iCs/>
        </w:rPr>
        <w:t>Cognitive Science</w:t>
      </w:r>
      <w:r>
        <w:rPr>
          <w:rFonts w:ascii="Times New Roman" w:hAnsi="Times New Roman" w:cs="Times New Roman"/>
        </w:rPr>
        <w:t xml:space="preserve">, 3(3), pp.177–212. </w:t>
      </w:r>
    </w:p>
    <w:p>
      <w:pPr>
        <w:pStyle w:val="2"/>
        <w:spacing w:before="0" w:beforeAutospacing="0" w:after="240" w:afterAutospacing="0" w:line="360" w:lineRule="auto"/>
        <w:rPr>
          <w:rFonts w:ascii="Times New Roman" w:hAnsi="Times New Roman" w:cs="Times New Roman"/>
        </w:rPr>
      </w:pPr>
      <w:r>
        <w:rPr>
          <w:rFonts w:ascii="Times New Roman" w:hAnsi="Times New Roman" w:cs="Times New Roman"/>
        </w:rPr>
        <w:t>Golato</w:t>
      </w:r>
      <w:r>
        <w:rPr>
          <w:rFonts w:ascii="Cambria Math" w:hAnsi="Cambria Math" w:cs="Cambria Math"/>
        </w:rPr>
        <w:t>∗</w:t>
      </w:r>
      <w:r>
        <w:rPr>
          <w:rFonts w:ascii="Times New Roman" w:hAnsi="Times New Roman" w:cs="Times New Roman"/>
        </w:rPr>
        <w:t xml:space="preserve">, A. (2002). German compliment responses. </w:t>
      </w:r>
      <w:r>
        <w:rPr>
          <w:rFonts w:ascii="Times New Roman" w:hAnsi="Times New Roman" w:cs="Times New Roman"/>
          <w:i/>
          <w:iCs/>
        </w:rPr>
        <w:t>Journal of Pragmatics</w:t>
      </w:r>
      <w:r>
        <w:rPr>
          <w:rFonts w:ascii="Times New Roman" w:hAnsi="Times New Roman" w:cs="Times New Roman"/>
        </w:rPr>
        <w:t xml:space="preserve">, 34(5), pp.547–571. </w:t>
      </w:r>
    </w:p>
    <w:p>
      <w:pPr>
        <w:pStyle w:val="2"/>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Halliday, M.A.K. and M, C. (2014). </w:t>
      </w:r>
      <w:r>
        <w:rPr>
          <w:rFonts w:ascii="Times New Roman" w:hAnsi="Times New Roman" w:cs="Times New Roman"/>
          <w:i/>
          <w:iCs/>
        </w:rPr>
        <w:t>Halliday’s introduction to functional grammar</w:t>
      </w:r>
      <w:r>
        <w:rPr>
          <w:rFonts w:ascii="Times New Roman" w:hAnsi="Times New Roman" w:cs="Times New Roman"/>
        </w:rPr>
        <w:t>. Milton Park, Abingdon, Oxon: Routledge.</w:t>
      </w:r>
    </w:p>
    <w:p>
      <w:pPr>
        <w:pStyle w:val="2"/>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Holmes, J. (n.d.). </w:t>
      </w:r>
      <w:r>
        <w:rPr>
          <w:rFonts w:ascii="Times New Roman" w:hAnsi="Times New Roman" w:cs="Times New Roman"/>
          <w:i/>
          <w:iCs/>
        </w:rPr>
        <w:t>An introduction to sociolinguistics</w:t>
      </w:r>
      <w:r>
        <w:rPr>
          <w:rFonts w:ascii="Times New Roman" w:hAnsi="Times New Roman" w:cs="Times New Roman"/>
        </w:rPr>
        <w:t>. Harlow Pearson/Longman 1992.</w:t>
      </w:r>
    </w:p>
    <w:p>
      <w:pPr>
        <w:pStyle w:val="2"/>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Irrmann, O. (2005). Communication Dissonance and Pragmatic Failures Strategic Processes: The Cross-border Acquisitions. </w:t>
      </w:r>
      <w:r>
        <w:rPr>
          <w:rFonts w:ascii="Times New Roman" w:hAnsi="Times New Roman" w:cs="Times New Roman"/>
          <w:i/>
          <w:iCs/>
        </w:rPr>
        <w:t>Academy of Management Proceedings</w:t>
      </w:r>
      <w:r>
        <w:rPr>
          <w:rFonts w:ascii="Times New Roman" w:hAnsi="Times New Roman" w:cs="Times New Roman"/>
        </w:rPr>
        <w:t xml:space="preserve">, 2005(1), p.14008. </w:t>
      </w:r>
    </w:p>
    <w:p>
      <w:pPr>
        <w:pStyle w:val="2"/>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Kale, U., Herrera, M. and Nagy, A. (2021). Examining pragmatic failure and other language-related risks in global aviation. </w:t>
      </w:r>
      <w:r>
        <w:rPr>
          <w:rFonts w:ascii="Times New Roman" w:hAnsi="Times New Roman" w:cs="Times New Roman"/>
          <w:i/>
          <w:iCs/>
        </w:rPr>
        <w:t>Aircraft Engineering and Aerospace Technology</w:t>
      </w:r>
      <w:r>
        <w:rPr>
          <w:rFonts w:ascii="Times New Roman" w:hAnsi="Times New Roman" w:cs="Times New Roman"/>
        </w:rPr>
        <w:t xml:space="preserve">, 93(8), pp.1313–1322. </w:t>
      </w:r>
    </w:p>
    <w:p>
      <w:pPr>
        <w:pStyle w:val="2"/>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Kasper, G. (1990). Linguistic politeness: </w:t>
      </w:r>
      <w:r>
        <w:rPr>
          <w:rFonts w:ascii="Times New Roman" w:hAnsi="Times New Roman" w:cs="Times New Roman"/>
          <w:i/>
          <w:iCs/>
        </w:rPr>
        <w:t>Journal of Pragmatics</w:t>
      </w:r>
      <w:r>
        <w:rPr>
          <w:rFonts w:ascii="Times New Roman" w:hAnsi="Times New Roman" w:cs="Times New Roman"/>
        </w:rPr>
        <w:t xml:space="preserve">, 14(2), pp.193–218. </w:t>
      </w:r>
    </w:p>
    <w:p>
      <w:pPr>
        <w:pStyle w:val="2"/>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Koller, A. and Searle, J.R. (1970). Speech Acts: An Essay in the Philosophy of Language. </w:t>
      </w:r>
      <w:r>
        <w:rPr>
          <w:rFonts w:ascii="Times New Roman" w:hAnsi="Times New Roman" w:cs="Times New Roman"/>
          <w:i/>
          <w:iCs/>
        </w:rPr>
        <w:t>Language</w:t>
      </w:r>
      <w:r>
        <w:rPr>
          <w:rFonts w:ascii="Times New Roman" w:hAnsi="Times New Roman" w:cs="Times New Roman"/>
        </w:rPr>
        <w:t xml:space="preserve">, 46(1), p.217. </w:t>
      </w:r>
    </w:p>
    <w:p>
      <w:pPr>
        <w:pStyle w:val="2"/>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Padilla Cruz, M. (2013). Understanding and overcoming pragmatic failure in intercultural communication: From focus on speakers to focus on hearers. </w:t>
      </w:r>
      <w:r>
        <w:rPr>
          <w:rFonts w:ascii="Times New Roman" w:hAnsi="Times New Roman" w:cs="Times New Roman"/>
          <w:i/>
          <w:iCs/>
        </w:rPr>
        <w:t>iral</w:t>
      </w:r>
      <w:r>
        <w:rPr>
          <w:rFonts w:ascii="Times New Roman" w:hAnsi="Times New Roman" w:cs="Times New Roman"/>
        </w:rPr>
        <w:t xml:space="preserve">, 51(1), pp.23–54. </w:t>
      </w:r>
    </w:p>
    <w:p>
      <w:pPr>
        <w:pStyle w:val="2"/>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Padilla Cruz, M. (2014). Pragmatic failure, epistemic injustice and epistemic vigilance. </w:t>
      </w:r>
      <w:r>
        <w:rPr>
          <w:rFonts w:ascii="Times New Roman" w:hAnsi="Times New Roman" w:cs="Times New Roman"/>
          <w:i/>
          <w:iCs/>
        </w:rPr>
        <w:t>Language &amp; Communication</w:t>
      </w:r>
      <w:r>
        <w:rPr>
          <w:rFonts w:ascii="Times New Roman" w:hAnsi="Times New Roman" w:cs="Times New Roman"/>
        </w:rPr>
        <w:t>, 39, pp.34–50. doi:10.1016/j.langcom.2014.08.002.</w:t>
      </w:r>
    </w:p>
    <w:p>
      <w:pPr>
        <w:pStyle w:val="2"/>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Searle, J.R. (1968). Austin on Locutionary and Illocutionary Acts. </w:t>
      </w:r>
      <w:r>
        <w:rPr>
          <w:rFonts w:ascii="Times New Roman" w:hAnsi="Times New Roman" w:cs="Times New Roman"/>
          <w:i/>
          <w:iCs/>
        </w:rPr>
        <w:t>The Philosophical Review</w:t>
      </w:r>
      <w:r>
        <w:rPr>
          <w:rFonts w:ascii="Times New Roman" w:hAnsi="Times New Roman" w:cs="Times New Roman"/>
        </w:rPr>
        <w:t xml:space="preserve">, 77(4), p.405. </w:t>
      </w:r>
    </w:p>
    <w:p>
      <w:pPr>
        <w:pStyle w:val="2"/>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Tauchid, A., Era Tri Nur Kumala, E.T.N. and Rizkiana, A.N. (2022). Pragmatic Failure of Students Conversation in Speaking Class. </w:t>
      </w:r>
      <w:r>
        <w:rPr>
          <w:rFonts w:ascii="Times New Roman" w:hAnsi="Times New Roman" w:cs="Times New Roman"/>
          <w:i/>
          <w:iCs/>
        </w:rPr>
        <w:t>IDEAS: Journal on English Language Teaching and Learning, Linguistics and Literature</w:t>
      </w:r>
      <w:r>
        <w:rPr>
          <w:rFonts w:ascii="Times New Roman" w:hAnsi="Times New Roman" w:cs="Times New Roman"/>
        </w:rPr>
        <w:t xml:space="preserve">, 10(1), pp.975–983. </w:t>
      </w:r>
    </w:p>
    <w:p>
      <w:pPr>
        <w:pStyle w:val="2"/>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THOMAS, J. (1983). Cross-Cultural Pragmatic Failure. </w:t>
      </w:r>
      <w:r>
        <w:rPr>
          <w:rFonts w:ascii="Times New Roman" w:hAnsi="Times New Roman" w:cs="Times New Roman"/>
          <w:i/>
          <w:iCs/>
        </w:rPr>
        <w:t>Applied Linguistics</w:t>
      </w:r>
      <w:r>
        <w:rPr>
          <w:rFonts w:ascii="Times New Roman" w:hAnsi="Times New Roman" w:cs="Times New Roman"/>
        </w:rPr>
        <w:t xml:space="preserve">, [online] 4(2), pp.91–112. </w:t>
      </w:r>
      <w:bookmarkStart w:id="0" w:name="_GoBack"/>
      <w:bookmarkEnd w:id="0"/>
    </w:p>
    <w:p>
      <w:pPr>
        <w:pStyle w:val="2"/>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White, A.R., Austin, J.L. and Urmson, J.O. (1963). How to Do Things with Words. </w:t>
      </w:r>
      <w:r>
        <w:rPr>
          <w:rFonts w:ascii="Times New Roman" w:hAnsi="Times New Roman" w:cs="Times New Roman"/>
          <w:i/>
          <w:iCs/>
        </w:rPr>
        <w:t>Analysis</w:t>
      </w:r>
      <w:r>
        <w:rPr>
          <w:rFonts w:ascii="Times New Roman" w:hAnsi="Times New Roman" w:cs="Times New Roman"/>
        </w:rPr>
        <w:t xml:space="preserve">, 23, p.58. </w:t>
      </w:r>
    </w:p>
    <w:p>
      <w:pPr>
        <w:spacing w:line="480" w:lineRule="auto"/>
        <w:rPr>
          <w:rFonts w:hint="eastAsia" w:ascii="Times New Roman" w:hAnsi="Times New Roman" w:cs="Times New Roman"/>
          <w:sz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等线">
    <w:altName w:val="汉仪中等线KW"/>
    <w:panose1 w:val="00000000000000000000"/>
    <w:charset w:val="86"/>
    <w:family w:val="auto"/>
    <w:pitch w:val="default"/>
    <w:sig w:usb0="00000000" w:usb1="00000000" w:usb2="00000000" w:usb3="00000000" w:csb0="00000000" w:csb1="00000000"/>
  </w:font>
  <w:font w:name="汉仪中等线KW">
    <w:panose1 w:val="01010104010101010101"/>
    <w:charset w:val="86"/>
    <w:family w:val="auto"/>
    <w:pitch w:val="default"/>
    <w:sig w:usb0="00000000" w:usb1="00000000" w:usb2="00000000" w:usb3="00000000" w:csb0="00160000" w:csb1="00000000"/>
  </w:font>
  <w:font w:name="等线">
    <w:altName w:val="汉仪中等线KW"/>
    <w:panose1 w:val="00000000000000000000"/>
    <w:charset w:val="00"/>
    <w:family w:val="auto"/>
    <w:pitch w:val="default"/>
    <w:sig w:usb0="00000000" w:usb1="00000000" w:usb2="00000000" w:usb3="00000000" w:csb0="00000000" w:csb1="00000000"/>
  </w:font>
  <w:font w:name="Cambria Math">
    <w:altName w:val="Kingsoft Math"/>
    <w:panose1 w:val="02040503050406030204"/>
    <w:charset w:val="00"/>
    <w:family w:val="roman"/>
    <w:pitch w:val="default"/>
    <w:sig w:usb0="00000000" w:usb1="00000000" w:usb2="00000000" w:usb3="00000000" w:csb0="0000019F" w:csb1="00000000"/>
  </w:font>
  <w:font w:name="Kingsoft Math">
    <w:panose1 w:val="02040503050406030204"/>
    <w:charset w:val="00"/>
    <w:family w:val="auto"/>
    <w:pitch w:val="default"/>
    <w:sig w:usb0="00000000" w:usb1="00000000" w:usb2="00000000" w:usb3="00000000" w:csb0="00000000" w:csb1="00000000"/>
  </w:font>
  <w:font w:name="Arial Unicode MS">
    <w:panose1 w:val="020B0604020202020204"/>
    <w:charset w:val="86"/>
    <w:family w:val="auto"/>
    <w:pitch w:val="default"/>
    <w:sig w:usb0="00000000" w:usb1="00000000" w:usb2="00000000" w:usb3="00000000" w:csb0="003E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3"/>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7ABB"/>
    <w:rsid w:val="00040CA6"/>
    <w:rsid w:val="00143FD7"/>
    <w:rsid w:val="001F676D"/>
    <w:rsid w:val="002E1246"/>
    <w:rsid w:val="00401B35"/>
    <w:rsid w:val="00407FC4"/>
    <w:rsid w:val="00780883"/>
    <w:rsid w:val="007E6C59"/>
    <w:rsid w:val="0098390B"/>
    <w:rsid w:val="00A852FB"/>
    <w:rsid w:val="00B17ABB"/>
    <w:rsid w:val="00CB2627"/>
    <w:rsid w:val="00E9673D"/>
    <w:rsid w:val="DD753F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nhideWhenUsed/>
    <w:qFormat/>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paragraph" w:styleId="2">
    <w:name w:val="Normal (Web)"/>
    <w:basedOn w:val="1"/>
    <w:semiHidden/>
    <w:unhideWhenUsed/>
    <w:qFormat/>
    <w:uiPriority w:val="99"/>
    <w:pPr>
      <w:widowControl/>
      <w:spacing w:before="100" w:beforeAutospacing="1" w:after="100" w:afterAutospacing="1"/>
      <w:jc w:val="left"/>
    </w:pPr>
    <w:rPr>
      <w:rFonts w:ascii="宋体" w:hAnsi="宋体" w:eastAsia="宋体" w:cs="宋体"/>
      <w:kern w:val="0"/>
      <w:sz w:val="24"/>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9</Pages>
  <Words>2139</Words>
  <Characters>12239</Characters>
  <Lines>174</Lines>
  <Paragraphs>11</Paragraphs>
  <TotalTime>59</TotalTime>
  <ScaleCrop>false</ScaleCrop>
  <LinksUpToDate>false</LinksUpToDate>
  <CharactersWithSpaces>14367</CharactersWithSpaces>
  <Application>WPS Office_4.2.2.6882_F1E327BC-269C-435d-A152-05C5408002CA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2022-11-28T00:44:00Z</dcterms:created>
  <dc:creator>Ruijia Zhang (2209331)</dc:creator>
  <cp:lastModifiedBy>Fifteen</cp:lastModifiedBy>
  <dcterms:modified xsi:type="dcterms:W3CDTF">2022-11-28T18:27:23Z</dcterms:modified>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2052-4.2.2.6882</vt:lpwstr>
  </property>
  <property fmtid="{D5CDD505-2E9C-101B-9397-08002B2CF9AE}" pid="3" name="ICV">
    <vt:lpwstr>938CCE680883FB6E0B8D8463C64FF47C</vt:lpwstr>
  </property>
</Properties>
</file>