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842754" w14:textId="5A4417C6" w:rsidR="006A7A68" w:rsidRPr="006A7A68" w:rsidRDefault="006A7A68" w:rsidP="006A7A68">
      <w:pPr>
        <w:spacing w:after="0" w:line="240" w:lineRule="auto"/>
        <w:jc w:val="right"/>
        <w:rPr>
          <w:rFonts w:ascii="宋体" w:eastAsia="宋体" w:hAnsi="宋体" w:cs="宋体"/>
          <w:kern w:val="0"/>
          <w:lang w:val="en-US" w:eastAsia="zh-CN"/>
        </w:rPr>
      </w:pPr>
      <w:r w:rsidRPr="006A7A68">
        <w:rPr>
          <w:rFonts w:ascii="宋体" w:eastAsia="宋体" w:hAnsi="宋体" w:cs="宋体"/>
          <w:kern w:val="0"/>
          <w:lang w:val="en-US" w:eastAsia="zh-CN"/>
        </w:rPr>
        <w:fldChar w:fldCharType="begin"/>
      </w:r>
      <w:r w:rsidRPr="006A7A68">
        <w:rPr>
          <w:rFonts w:ascii="宋体" w:eastAsia="宋体" w:hAnsi="宋体" w:cs="宋体"/>
          <w:kern w:val="0"/>
          <w:lang w:val="en-US" w:eastAsia="zh-CN"/>
        </w:rPr>
        <w:instrText xml:space="preserve"> INCLUDEPICTURE "/var/folders/cw/87dshcdx4rxc76fwpnxkg96c0000gn/T/com.microsoft.Word/WebArchiveCopyPasteTempFiles/page1image3837152" \* MERGEFORMATINET </w:instrText>
      </w:r>
      <w:r w:rsidRPr="006A7A68">
        <w:rPr>
          <w:rFonts w:ascii="宋体" w:eastAsia="宋体" w:hAnsi="宋体" w:cs="宋体"/>
          <w:kern w:val="0"/>
          <w:lang w:val="en-US" w:eastAsia="zh-CN"/>
        </w:rPr>
        <w:fldChar w:fldCharType="separate"/>
      </w:r>
      <w:r w:rsidRPr="006A7A68">
        <w:rPr>
          <w:rFonts w:ascii="宋体" w:eastAsia="宋体" w:hAnsi="宋体" w:cs="宋体"/>
          <w:noProof/>
          <w:kern w:val="0"/>
          <w:lang w:val="en-US" w:eastAsia="zh-CN"/>
        </w:rPr>
        <w:drawing>
          <wp:inline distT="0" distB="0" distL="0" distR="0" wp14:anchorId="71856BC4" wp14:editId="60E8B3BC">
            <wp:extent cx="2967990" cy="1101725"/>
            <wp:effectExtent l="0" t="0" r="3810" b="3175"/>
            <wp:docPr id="2" name="图片 2" descr="page1image3837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383715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7990" cy="1101725"/>
                    </a:xfrm>
                    <a:prstGeom prst="rect">
                      <a:avLst/>
                    </a:prstGeom>
                    <a:noFill/>
                    <a:ln>
                      <a:noFill/>
                    </a:ln>
                  </pic:spPr>
                </pic:pic>
              </a:graphicData>
            </a:graphic>
          </wp:inline>
        </w:drawing>
      </w:r>
      <w:r w:rsidRPr="006A7A68">
        <w:rPr>
          <w:rFonts w:ascii="宋体" w:eastAsia="宋体" w:hAnsi="宋体" w:cs="宋体"/>
          <w:kern w:val="0"/>
          <w:lang w:val="en-US" w:eastAsia="zh-CN"/>
        </w:rPr>
        <w:fldChar w:fldCharType="end"/>
      </w:r>
    </w:p>
    <w:p w14:paraId="0284A1A7" w14:textId="6DF1D501" w:rsidR="006A7A68" w:rsidRPr="006A7A68" w:rsidRDefault="006A7A68" w:rsidP="006A7A68">
      <w:pPr>
        <w:spacing w:after="0" w:line="240" w:lineRule="auto"/>
        <w:jc w:val="right"/>
        <w:rPr>
          <w:rFonts w:ascii="宋体" w:eastAsia="宋体" w:hAnsi="宋体" w:cs="宋体"/>
          <w:kern w:val="0"/>
          <w:lang w:val="en-US" w:eastAsia="zh-CN"/>
        </w:rPr>
      </w:pPr>
    </w:p>
    <w:p w14:paraId="7EBCE629" w14:textId="495B6937" w:rsidR="006A7A68" w:rsidRDefault="006A7A68" w:rsidP="006A7A68">
      <w:pPr>
        <w:rPr>
          <w:rFonts w:ascii="Calibri" w:hAnsi="Calibri" w:cs="Calibri"/>
          <w:b/>
        </w:rPr>
      </w:pPr>
    </w:p>
    <w:p w14:paraId="52E04FDA" w14:textId="0264351E" w:rsidR="00334A09" w:rsidRDefault="00334A09" w:rsidP="006A7A68">
      <w:pPr>
        <w:rPr>
          <w:rFonts w:ascii="Calibri" w:hAnsi="Calibri" w:cs="Calibri"/>
          <w:b/>
        </w:rPr>
      </w:pPr>
    </w:p>
    <w:p w14:paraId="595667FC" w14:textId="62E00F34" w:rsidR="00334A09" w:rsidRDefault="00334A09" w:rsidP="006A7A68">
      <w:pPr>
        <w:rPr>
          <w:rFonts w:ascii="Calibri" w:hAnsi="Calibri" w:cs="Calibri"/>
          <w:b/>
        </w:rPr>
      </w:pPr>
    </w:p>
    <w:p w14:paraId="48B43ADF" w14:textId="77777777" w:rsidR="00334A09" w:rsidRPr="00B75C6B" w:rsidRDefault="00334A09" w:rsidP="006A7A68">
      <w:pPr>
        <w:rPr>
          <w:rFonts w:ascii="Calibri" w:hAnsi="Calibri" w:cs="Calibri"/>
          <w:b/>
        </w:rPr>
      </w:pPr>
    </w:p>
    <w:p w14:paraId="60D75427" w14:textId="03C54265" w:rsidR="006A7A68" w:rsidRDefault="00334A09" w:rsidP="006A7A68">
      <w:pPr>
        <w:spacing w:after="0" w:line="240" w:lineRule="auto"/>
        <w:jc w:val="center"/>
        <w:rPr>
          <w:rFonts w:ascii="TimesNewRomanPS" w:eastAsia="宋体" w:hAnsi="TimesNewRomanPS" w:cs="宋体" w:hint="eastAsia"/>
          <w:b/>
          <w:bCs/>
          <w:color w:val="232323"/>
          <w:kern w:val="0"/>
          <w:sz w:val="36"/>
          <w:szCs w:val="36"/>
          <w:lang w:val="en-US" w:eastAsia="zh-CN"/>
        </w:rPr>
      </w:pPr>
      <w:r w:rsidRPr="00334A09">
        <w:rPr>
          <w:rFonts w:ascii="TimesNewRomanPS" w:eastAsia="宋体" w:hAnsi="TimesNewRomanPS" w:cs="宋体"/>
          <w:b/>
          <w:bCs/>
          <w:color w:val="232323"/>
          <w:kern w:val="0"/>
          <w:sz w:val="36"/>
          <w:szCs w:val="36"/>
          <w:lang w:val="en-US" w:eastAsia="zh-CN"/>
        </w:rPr>
        <w:t>Critical Literature Review: Sustainable Supply Chain Resilience in the Face of Global Disruptions -- Integrating Circular Economy Principles</w:t>
      </w:r>
    </w:p>
    <w:p w14:paraId="4190DAF5" w14:textId="6D2CC0AB" w:rsidR="00334A09" w:rsidRDefault="00334A09" w:rsidP="006A7A68">
      <w:pPr>
        <w:spacing w:after="0" w:line="240" w:lineRule="auto"/>
        <w:jc w:val="center"/>
        <w:rPr>
          <w:rFonts w:ascii="TimesNewRomanPS" w:eastAsia="宋体" w:hAnsi="TimesNewRomanPS" w:cs="宋体" w:hint="eastAsia"/>
          <w:b/>
          <w:bCs/>
          <w:color w:val="232323"/>
          <w:kern w:val="0"/>
          <w:sz w:val="36"/>
          <w:szCs w:val="36"/>
          <w:lang w:val="en-US" w:eastAsia="zh-CN"/>
        </w:rPr>
      </w:pPr>
    </w:p>
    <w:p w14:paraId="68E84DE4" w14:textId="77777777" w:rsidR="00334A09" w:rsidRPr="00B75C6B" w:rsidRDefault="00334A09" w:rsidP="006A7A68">
      <w:pPr>
        <w:spacing w:after="0" w:line="240" w:lineRule="auto"/>
        <w:jc w:val="center"/>
        <w:rPr>
          <w:rFonts w:ascii="Calibri" w:hAnsi="Calibri" w:cs="Calibri"/>
          <w:b/>
          <w:sz w:val="36"/>
          <w:szCs w:val="36"/>
        </w:rPr>
      </w:pPr>
    </w:p>
    <w:p w14:paraId="3FC44D63" w14:textId="77777777" w:rsidR="006A7A68" w:rsidRPr="00B75C6B" w:rsidRDefault="006A7A68" w:rsidP="006A7A68">
      <w:pPr>
        <w:spacing w:after="0" w:line="240" w:lineRule="auto"/>
        <w:jc w:val="center"/>
        <w:rPr>
          <w:rFonts w:ascii="Calibri" w:hAnsi="Calibri" w:cs="Calibri"/>
          <w:bCs/>
          <w:sz w:val="32"/>
          <w:szCs w:val="32"/>
          <w:lang w:eastAsia="zh-CN"/>
        </w:rPr>
      </w:pPr>
      <w:r w:rsidRPr="00B75C6B">
        <w:rPr>
          <w:rFonts w:ascii="Calibri" w:hAnsi="Calibri" w:cs="Calibri"/>
          <w:bCs/>
          <w:sz w:val="32"/>
          <w:szCs w:val="32"/>
        </w:rPr>
        <w:t xml:space="preserve">By </w:t>
      </w:r>
      <w:proofErr w:type="spellStart"/>
      <w:r w:rsidRPr="00B75C6B">
        <w:rPr>
          <w:rFonts w:ascii="Calibri" w:hAnsi="Calibri" w:cs="Calibri"/>
          <w:bCs/>
          <w:sz w:val="32"/>
          <w:szCs w:val="32"/>
        </w:rPr>
        <w:t>Xianghan</w:t>
      </w:r>
      <w:proofErr w:type="spellEnd"/>
      <w:r w:rsidRPr="00B75C6B">
        <w:rPr>
          <w:rFonts w:ascii="Calibri" w:hAnsi="Calibri" w:cs="Calibri"/>
          <w:bCs/>
          <w:sz w:val="32"/>
          <w:szCs w:val="32"/>
        </w:rPr>
        <w:t xml:space="preserve"> Zhou</w:t>
      </w:r>
    </w:p>
    <w:p w14:paraId="71A8F7BD" w14:textId="77777777" w:rsidR="006A7A68" w:rsidRPr="00B75C6B" w:rsidRDefault="006A7A68" w:rsidP="00334A09">
      <w:pPr>
        <w:spacing w:after="0" w:line="240" w:lineRule="auto"/>
        <w:jc w:val="center"/>
        <w:rPr>
          <w:rFonts w:ascii="Calibri" w:hAnsi="Calibri" w:cs="Calibri"/>
          <w:bCs/>
          <w:sz w:val="32"/>
          <w:szCs w:val="32"/>
        </w:rPr>
      </w:pPr>
    </w:p>
    <w:p w14:paraId="7A34FE80" w14:textId="77777777" w:rsidR="006A7A68" w:rsidRPr="00B75C6B" w:rsidRDefault="006A7A68" w:rsidP="006A7A68">
      <w:pPr>
        <w:spacing w:after="0" w:line="240" w:lineRule="auto"/>
        <w:jc w:val="center"/>
        <w:rPr>
          <w:rFonts w:ascii="Calibri" w:hAnsi="Calibri" w:cs="Calibri"/>
          <w:bCs/>
          <w:sz w:val="32"/>
          <w:szCs w:val="32"/>
        </w:rPr>
      </w:pPr>
    </w:p>
    <w:p w14:paraId="5E14639E" w14:textId="3EDB5873" w:rsidR="006A7A68" w:rsidRPr="00B75C6B" w:rsidRDefault="006A7A68" w:rsidP="006A7A68">
      <w:pPr>
        <w:spacing w:after="0" w:line="240" w:lineRule="auto"/>
        <w:jc w:val="center"/>
        <w:rPr>
          <w:rFonts w:ascii="Calibri" w:hAnsi="Calibri" w:cs="Calibri"/>
          <w:bCs/>
          <w:sz w:val="32"/>
          <w:szCs w:val="32"/>
          <w:lang w:eastAsia="zh-CN"/>
        </w:rPr>
      </w:pPr>
      <w:r w:rsidRPr="00B75C6B">
        <w:rPr>
          <w:rFonts w:ascii="Calibri" w:hAnsi="Calibri" w:cs="Calibri"/>
          <w:bCs/>
          <w:sz w:val="32"/>
          <w:szCs w:val="32"/>
        </w:rPr>
        <w:t>Student Number: 2408612</w:t>
      </w:r>
    </w:p>
    <w:p w14:paraId="4F3E8CA0" w14:textId="77777777" w:rsidR="006A7A68" w:rsidRPr="00B75C6B" w:rsidRDefault="006A7A68" w:rsidP="006A7A68">
      <w:pPr>
        <w:spacing w:after="0" w:line="240" w:lineRule="auto"/>
        <w:jc w:val="center"/>
        <w:rPr>
          <w:rFonts w:ascii="Calibri" w:hAnsi="Calibri" w:cs="Calibri"/>
          <w:bCs/>
          <w:sz w:val="32"/>
          <w:szCs w:val="32"/>
        </w:rPr>
      </w:pPr>
    </w:p>
    <w:p w14:paraId="2DA5A301" w14:textId="330101B7" w:rsidR="006A7A68" w:rsidRDefault="006A7A68" w:rsidP="006A7A68">
      <w:pPr>
        <w:spacing w:after="0" w:line="240" w:lineRule="auto"/>
        <w:jc w:val="center"/>
        <w:rPr>
          <w:rFonts w:ascii="Calibri" w:hAnsi="Calibri" w:cs="Calibri"/>
          <w:bCs/>
          <w:sz w:val="32"/>
          <w:szCs w:val="32"/>
        </w:rPr>
      </w:pPr>
    </w:p>
    <w:p w14:paraId="48AB93CF" w14:textId="79524D3A" w:rsidR="00334A09" w:rsidRDefault="00334A09" w:rsidP="006A7A68">
      <w:pPr>
        <w:spacing w:after="0" w:line="240" w:lineRule="auto"/>
        <w:jc w:val="center"/>
        <w:rPr>
          <w:rFonts w:ascii="Calibri" w:hAnsi="Calibri" w:cs="Calibri"/>
          <w:bCs/>
          <w:sz w:val="32"/>
          <w:szCs w:val="32"/>
        </w:rPr>
      </w:pPr>
    </w:p>
    <w:p w14:paraId="6BB3DBAF" w14:textId="6DFFBCC9" w:rsidR="00334A09" w:rsidRDefault="00334A09" w:rsidP="00334A09">
      <w:pPr>
        <w:spacing w:after="0" w:line="240" w:lineRule="auto"/>
        <w:jc w:val="center"/>
        <w:rPr>
          <w:rFonts w:ascii="Calibri" w:hAnsi="Calibri" w:cs="Calibri"/>
          <w:bCs/>
          <w:sz w:val="32"/>
          <w:szCs w:val="32"/>
        </w:rPr>
      </w:pPr>
    </w:p>
    <w:p w14:paraId="06FA60BC" w14:textId="4E5DCD8F" w:rsidR="00334A09" w:rsidRDefault="00334A09" w:rsidP="006A7A68">
      <w:pPr>
        <w:spacing w:after="0" w:line="240" w:lineRule="auto"/>
        <w:jc w:val="center"/>
        <w:rPr>
          <w:rFonts w:ascii="Calibri" w:hAnsi="Calibri" w:cs="Calibri"/>
          <w:bCs/>
          <w:sz w:val="32"/>
          <w:szCs w:val="32"/>
        </w:rPr>
      </w:pPr>
    </w:p>
    <w:p w14:paraId="7FA3C8CD" w14:textId="77777777" w:rsidR="00334A09" w:rsidRPr="00B75C6B" w:rsidRDefault="00334A09" w:rsidP="006A7A68">
      <w:pPr>
        <w:spacing w:after="0" w:line="240" w:lineRule="auto"/>
        <w:jc w:val="center"/>
        <w:rPr>
          <w:rFonts w:ascii="Calibri" w:hAnsi="Calibri" w:cs="Calibri"/>
          <w:bCs/>
          <w:sz w:val="32"/>
          <w:szCs w:val="32"/>
        </w:rPr>
      </w:pPr>
    </w:p>
    <w:commentRangeStart w:id="0" w:displacedByCustomXml="next"/>
    <w:sdt>
      <w:sdtPr>
        <w:rPr>
          <w:rFonts w:asciiTheme="minorHAnsi" w:eastAsiaTheme="minorEastAsia" w:hAnsiTheme="minorHAnsi" w:cstheme="minorBidi"/>
          <w:color w:val="auto"/>
          <w:kern w:val="2"/>
          <w:sz w:val="22"/>
          <w:szCs w:val="22"/>
          <w:lang w:val="en-GB"/>
        </w:rPr>
        <w:id w:val="1509792278"/>
        <w:docPartObj>
          <w:docPartGallery w:val="Table of Contents"/>
          <w:docPartUnique/>
        </w:docPartObj>
      </w:sdtPr>
      <w:sdtEndPr>
        <w:rPr>
          <w:rFonts w:ascii="Aptos" w:eastAsia="DengXian" w:hAnsi="Aptos" w:cs="Arial"/>
          <w:b/>
          <w:bCs/>
          <w:noProof/>
          <w:sz w:val="24"/>
          <w:szCs w:val="24"/>
        </w:rPr>
      </w:sdtEndPr>
      <w:sdtContent>
        <w:p w14:paraId="352CA70A" w14:textId="77777777" w:rsidR="00E60C54" w:rsidRPr="00837219" w:rsidRDefault="00E60C54" w:rsidP="00E60C54">
          <w:pPr>
            <w:pStyle w:val="TOC"/>
            <w:spacing w:line="240" w:lineRule="auto"/>
            <w:rPr>
              <w:rFonts w:asciiTheme="minorHAnsi" w:eastAsiaTheme="minorEastAsia" w:hAnsiTheme="minorHAnsi" w:cstheme="minorBidi"/>
              <w:color w:val="auto"/>
              <w:sz w:val="22"/>
              <w:szCs w:val="22"/>
            </w:rPr>
          </w:pPr>
          <w:r w:rsidRPr="00FE619D">
            <w:rPr>
              <w:rFonts w:ascii="Times New Roman" w:hAnsi="Times New Roman" w:cs="Times New Roman"/>
              <w:b/>
              <w:color w:val="auto"/>
              <w:sz w:val="24"/>
              <w:szCs w:val="24"/>
            </w:rPr>
            <w:t>Table of Contents</w:t>
          </w:r>
          <w:commentRangeEnd w:id="0"/>
          <w:r>
            <w:rPr>
              <w:rStyle w:val="a7"/>
              <w:rFonts w:asciiTheme="minorHAnsi" w:eastAsiaTheme="minorEastAsia" w:hAnsiTheme="minorHAnsi" w:cstheme="minorBidi"/>
              <w:color w:val="auto"/>
            </w:rPr>
            <w:commentReference w:id="0"/>
          </w:r>
        </w:p>
        <w:p w14:paraId="0D1106A6" w14:textId="77777777" w:rsidR="00E60C54" w:rsidRPr="00600212" w:rsidRDefault="00E60C54" w:rsidP="00E60C54">
          <w:pPr>
            <w:pStyle w:val="TOC1"/>
            <w:tabs>
              <w:tab w:val="right" w:leader="dot" w:pos="9350"/>
            </w:tabs>
            <w:rPr>
              <w:rFonts w:ascii="Times New Roman" w:hAnsi="Times New Roman" w:cs="Times New Roman"/>
              <w:noProof/>
              <w:sz w:val="24"/>
              <w:szCs w:val="24"/>
            </w:rPr>
          </w:pPr>
          <w:r w:rsidRPr="00FE619D">
            <w:rPr>
              <w:rFonts w:ascii="Times New Roman" w:hAnsi="Times New Roman" w:cs="Times New Roman"/>
              <w:sz w:val="24"/>
              <w:szCs w:val="24"/>
            </w:rPr>
            <w:fldChar w:fldCharType="begin"/>
          </w:r>
          <w:r w:rsidRPr="00FE619D">
            <w:rPr>
              <w:rFonts w:ascii="Times New Roman" w:hAnsi="Times New Roman" w:cs="Times New Roman"/>
              <w:sz w:val="24"/>
              <w:szCs w:val="24"/>
            </w:rPr>
            <w:instrText xml:space="preserve"> TOC \o "1-3" \h \z \u </w:instrText>
          </w:r>
          <w:r w:rsidRPr="00FE619D">
            <w:rPr>
              <w:rFonts w:ascii="Times New Roman" w:hAnsi="Times New Roman" w:cs="Times New Roman"/>
              <w:sz w:val="24"/>
              <w:szCs w:val="24"/>
            </w:rPr>
            <w:fldChar w:fldCharType="separate"/>
          </w:r>
          <w:hyperlink w:anchor="_Toc202430174" w:history="1">
            <w:r w:rsidRPr="00600212">
              <w:rPr>
                <w:rStyle w:val="a3"/>
                <w:rFonts w:ascii="Times New Roman" w:hAnsi="Times New Roman" w:cs="Times New Roman"/>
                <w:noProof/>
                <w:szCs w:val="24"/>
              </w:rPr>
              <w:t>Abstract</w:t>
            </w:r>
            <w:r w:rsidRPr="00600212">
              <w:rPr>
                <w:rFonts w:ascii="Times New Roman" w:hAnsi="Times New Roman" w:cs="Times New Roman"/>
                <w:noProof/>
                <w:webHidden/>
                <w:sz w:val="24"/>
                <w:szCs w:val="24"/>
              </w:rPr>
              <w:tab/>
            </w:r>
            <w:r w:rsidRPr="00600212">
              <w:rPr>
                <w:rFonts w:ascii="Times New Roman" w:hAnsi="Times New Roman" w:cs="Times New Roman"/>
                <w:noProof/>
                <w:webHidden/>
                <w:sz w:val="24"/>
                <w:szCs w:val="24"/>
              </w:rPr>
              <w:fldChar w:fldCharType="begin"/>
            </w:r>
            <w:r w:rsidRPr="00600212">
              <w:rPr>
                <w:rFonts w:ascii="Times New Roman" w:hAnsi="Times New Roman" w:cs="Times New Roman"/>
                <w:noProof/>
                <w:webHidden/>
                <w:sz w:val="24"/>
                <w:szCs w:val="24"/>
              </w:rPr>
              <w:instrText xml:space="preserve"> PAGEREF _Toc202430174 \h </w:instrText>
            </w:r>
            <w:r w:rsidRPr="00600212">
              <w:rPr>
                <w:rFonts w:ascii="Times New Roman" w:hAnsi="Times New Roman" w:cs="Times New Roman"/>
                <w:noProof/>
                <w:webHidden/>
                <w:sz w:val="24"/>
                <w:szCs w:val="24"/>
              </w:rPr>
            </w:r>
            <w:r w:rsidRPr="0060021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w:t>
            </w:r>
            <w:r w:rsidRPr="00600212">
              <w:rPr>
                <w:rFonts w:ascii="Times New Roman" w:hAnsi="Times New Roman" w:cs="Times New Roman"/>
                <w:noProof/>
                <w:webHidden/>
                <w:sz w:val="24"/>
                <w:szCs w:val="24"/>
              </w:rPr>
              <w:fldChar w:fldCharType="end"/>
            </w:r>
          </w:hyperlink>
        </w:p>
        <w:p w14:paraId="6138C3E0"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75" w:history="1">
            <w:r w:rsidR="00E60C54" w:rsidRPr="00600212">
              <w:rPr>
                <w:rStyle w:val="a3"/>
                <w:rFonts w:ascii="Times New Roman" w:hAnsi="Times New Roman" w:cs="Times New Roman"/>
                <w:noProof/>
                <w:szCs w:val="24"/>
              </w:rPr>
              <w:t>Part 1</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_Toc202430175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w:t>
            </w:r>
            <w:r w:rsidR="00E60C54" w:rsidRPr="00600212">
              <w:rPr>
                <w:rFonts w:ascii="Times New Roman" w:hAnsi="Times New Roman" w:cs="Times New Roman"/>
                <w:noProof/>
                <w:webHidden/>
                <w:sz w:val="24"/>
                <w:szCs w:val="24"/>
              </w:rPr>
              <w:fldChar w:fldCharType="end"/>
            </w:r>
          </w:hyperlink>
        </w:p>
        <w:p w14:paraId="59BF63B5"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76" w:history="1">
            <w:r w:rsidR="00E60C54" w:rsidRPr="00600212">
              <w:rPr>
                <w:rStyle w:val="a3"/>
                <w:rFonts w:ascii="Times New Roman" w:hAnsi="Times New Roman" w:cs="Times New Roman"/>
                <w:noProof/>
                <w:szCs w:val="24"/>
              </w:rPr>
              <w:t>Descriptive Reviews</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_Toc202430176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w:t>
            </w:r>
            <w:r w:rsidR="00E60C54" w:rsidRPr="00600212">
              <w:rPr>
                <w:rFonts w:ascii="Times New Roman" w:hAnsi="Times New Roman" w:cs="Times New Roman"/>
                <w:noProof/>
                <w:webHidden/>
                <w:sz w:val="24"/>
                <w:szCs w:val="24"/>
              </w:rPr>
              <w:fldChar w:fldCharType="end"/>
            </w:r>
          </w:hyperlink>
        </w:p>
        <w:p w14:paraId="1E60EFD9"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77" w:history="1">
            <w:r w:rsidR="00E60C54" w:rsidRPr="00600212">
              <w:rPr>
                <w:rStyle w:val="a3"/>
                <w:rFonts w:ascii="Times New Roman" w:hAnsi="Times New Roman" w:cs="Times New Roman"/>
                <w:noProof/>
                <w:szCs w:val="24"/>
              </w:rPr>
              <w:t>Narrative Reviews</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_Toc202430177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4</w:t>
            </w:r>
            <w:r w:rsidR="00E60C54" w:rsidRPr="00600212">
              <w:rPr>
                <w:rFonts w:ascii="Times New Roman" w:hAnsi="Times New Roman" w:cs="Times New Roman"/>
                <w:noProof/>
                <w:webHidden/>
                <w:sz w:val="24"/>
                <w:szCs w:val="24"/>
              </w:rPr>
              <w:fldChar w:fldCharType="end"/>
            </w:r>
          </w:hyperlink>
        </w:p>
        <w:p w14:paraId="07DE0A30"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78" w:history="1">
            <w:r w:rsidR="00E60C54" w:rsidRPr="00600212">
              <w:rPr>
                <w:rStyle w:val="a3"/>
                <w:rFonts w:ascii="Times New Roman" w:hAnsi="Times New Roman" w:cs="Times New Roman"/>
                <w:noProof/>
                <w:szCs w:val="24"/>
              </w:rPr>
              <w:t>Systematic Literature Reviews</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_Toc202430178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4</w:t>
            </w:r>
            <w:r w:rsidR="00E60C54" w:rsidRPr="00600212">
              <w:rPr>
                <w:rFonts w:ascii="Times New Roman" w:hAnsi="Times New Roman" w:cs="Times New Roman"/>
                <w:noProof/>
                <w:webHidden/>
                <w:sz w:val="24"/>
                <w:szCs w:val="24"/>
              </w:rPr>
              <w:fldChar w:fldCharType="end"/>
            </w:r>
          </w:hyperlink>
        </w:p>
        <w:p w14:paraId="6C39894F"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79" w:history="1">
            <w:r w:rsidR="00E60C54" w:rsidRPr="00600212">
              <w:rPr>
                <w:rStyle w:val="a3"/>
                <w:rFonts w:ascii="Times New Roman" w:hAnsi="Times New Roman" w:cs="Times New Roman"/>
                <w:noProof/>
                <w:szCs w:val="24"/>
              </w:rPr>
              <w:t>Meta-Analysis</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_Toc202430179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5</w:t>
            </w:r>
            <w:r w:rsidR="00E60C54" w:rsidRPr="00600212">
              <w:rPr>
                <w:rFonts w:ascii="Times New Roman" w:hAnsi="Times New Roman" w:cs="Times New Roman"/>
                <w:noProof/>
                <w:webHidden/>
                <w:sz w:val="24"/>
                <w:szCs w:val="24"/>
              </w:rPr>
              <w:fldChar w:fldCharType="end"/>
            </w:r>
          </w:hyperlink>
        </w:p>
        <w:p w14:paraId="76558C8A"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80" w:history="1">
            <w:r w:rsidR="00E60C54" w:rsidRPr="00600212">
              <w:rPr>
                <w:rStyle w:val="a3"/>
                <w:rFonts w:ascii="Times New Roman" w:hAnsi="Times New Roman" w:cs="Times New Roman"/>
                <w:noProof/>
                <w:szCs w:val="24"/>
              </w:rPr>
              <w:t>Mapping and Scoping Reviews</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_Toc202430180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6</w:t>
            </w:r>
            <w:r w:rsidR="00E60C54" w:rsidRPr="00600212">
              <w:rPr>
                <w:rFonts w:ascii="Times New Roman" w:hAnsi="Times New Roman" w:cs="Times New Roman"/>
                <w:noProof/>
                <w:webHidden/>
                <w:sz w:val="24"/>
                <w:szCs w:val="24"/>
              </w:rPr>
              <w:fldChar w:fldCharType="end"/>
            </w:r>
          </w:hyperlink>
        </w:p>
        <w:p w14:paraId="4AFD7940"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81" w:history="1">
            <w:r w:rsidR="00E60C54" w:rsidRPr="00600212">
              <w:rPr>
                <w:rStyle w:val="a3"/>
                <w:rFonts w:ascii="Times New Roman" w:hAnsi="Times New Roman" w:cs="Times New Roman"/>
                <w:noProof/>
                <w:szCs w:val="24"/>
              </w:rPr>
              <w:t>References</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_Toc202430181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8</w:t>
            </w:r>
            <w:r w:rsidR="00E60C54" w:rsidRPr="00600212">
              <w:rPr>
                <w:rFonts w:ascii="Times New Roman" w:hAnsi="Times New Roman" w:cs="Times New Roman"/>
                <w:noProof/>
                <w:webHidden/>
                <w:sz w:val="24"/>
                <w:szCs w:val="24"/>
              </w:rPr>
              <w:fldChar w:fldCharType="end"/>
            </w:r>
          </w:hyperlink>
        </w:p>
        <w:p w14:paraId="79217479"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82" w:history="1">
            <w:r w:rsidR="00E60C54" w:rsidRPr="00600212">
              <w:rPr>
                <w:rStyle w:val="a3"/>
                <w:rFonts w:ascii="Times New Roman" w:hAnsi="Times New Roman" w:cs="Times New Roman"/>
                <w:noProof/>
                <w:szCs w:val="24"/>
              </w:rPr>
              <w:t>Part 2: Annotated Bibliography</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_Toc202430182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12</w:t>
            </w:r>
            <w:r w:rsidR="00E60C54" w:rsidRPr="00600212">
              <w:rPr>
                <w:rFonts w:ascii="Times New Roman" w:hAnsi="Times New Roman" w:cs="Times New Roman"/>
                <w:noProof/>
                <w:webHidden/>
                <w:sz w:val="24"/>
                <w:szCs w:val="24"/>
              </w:rPr>
              <w:fldChar w:fldCharType="end"/>
            </w:r>
          </w:hyperlink>
        </w:p>
        <w:p w14:paraId="137E3933"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83" w:history="1">
            <w:r w:rsidR="00E60C54" w:rsidRPr="00600212">
              <w:rPr>
                <w:rStyle w:val="a3"/>
                <w:rFonts w:ascii="Times New Roman" w:hAnsi="Times New Roman" w:cs="Times New Roman"/>
                <w:noProof/>
                <w:szCs w:val="24"/>
              </w:rPr>
              <w:t>Part 3: Preliminary Literature Review</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_Toc202430183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29</w:t>
            </w:r>
            <w:r w:rsidR="00E60C54" w:rsidRPr="00600212">
              <w:rPr>
                <w:rFonts w:ascii="Times New Roman" w:hAnsi="Times New Roman" w:cs="Times New Roman"/>
                <w:noProof/>
                <w:webHidden/>
                <w:sz w:val="24"/>
                <w:szCs w:val="24"/>
              </w:rPr>
              <w:fldChar w:fldCharType="end"/>
            </w:r>
          </w:hyperlink>
        </w:p>
        <w:p w14:paraId="6C651B16"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84" w:history="1">
            <w:r w:rsidR="00E60C54" w:rsidRPr="00600212">
              <w:rPr>
                <w:rStyle w:val="a3"/>
                <w:rFonts w:ascii="Times New Roman" w:eastAsia="Times New Roman" w:hAnsi="Times New Roman" w:cs="Times New Roman"/>
                <w:bCs/>
                <w:noProof/>
                <w:kern w:val="36"/>
                <w:szCs w:val="24"/>
              </w:rPr>
              <w:t>Introduction</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_Toc202430184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29</w:t>
            </w:r>
            <w:r w:rsidR="00E60C54" w:rsidRPr="00600212">
              <w:rPr>
                <w:rFonts w:ascii="Times New Roman" w:hAnsi="Times New Roman" w:cs="Times New Roman"/>
                <w:noProof/>
                <w:webHidden/>
                <w:sz w:val="24"/>
                <w:szCs w:val="24"/>
              </w:rPr>
              <w:fldChar w:fldCharType="end"/>
            </w:r>
          </w:hyperlink>
        </w:p>
        <w:p w14:paraId="7DCD18B8"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85" w:history="1">
            <w:r w:rsidR="00E60C54" w:rsidRPr="00600212">
              <w:rPr>
                <w:rStyle w:val="a3"/>
                <w:rFonts w:ascii="Times New Roman" w:hAnsi="Times New Roman" w:cs="Times New Roman"/>
                <w:noProof/>
                <w:szCs w:val="24"/>
              </w:rPr>
              <w:t>How Themes Emerged</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_Toc202430185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30</w:t>
            </w:r>
            <w:r w:rsidR="00E60C54" w:rsidRPr="00600212">
              <w:rPr>
                <w:rFonts w:ascii="Times New Roman" w:hAnsi="Times New Roman" w:cs="Times New Roman"/>
                <w:noProof/>
                <w:webHidden/>
                <w:sz w:val="24"/>
                <w:szCs w:val="24"/>
              </w:rPr>
              <w:fldChar w:fldCharType="end"/>
            </w:r>
          </w:hyperlink>
        </w:p>
        <w:p w14:paraId="403A4341"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86" w:history="1">
            <w:r w:rsidR="00E60C54" w:rsidRPr="00600212">
              <w:rPr>
                <w:rStyle w:val="a3"/>
                <w:rFonts w:ascii="Times New Roman" w:hAnsi="Times New Roman" w:cs="Times New Roman"/>
                <w:noProof/>
                <w:szCs w:val="24"/>
              </w:rPr>
              <w:t>Conceptual Framing</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_Toc202430186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31</w:t>
            </w:r>
            <w:r w:rsidR="00E60C54" w:rsidRPr="00600212">
              <w:rPr>
                <w:rFonts w:ascii="Times New Roman" w:hAnsi="Times New Roman" w:cs="Times New Roman"/>
                <w:noProof/>
                <w:webHidden/>
                <w:sz w:val="24"/>
                <w:szCs w:val="24"/>
              </w:rPr>
              <w:fldChar w:fldCharType="end"/>
            </w:r>
          </w:hyperlink>
        </w:p>
        <w:p w14:paraId="1632EA8F"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87" w:history="1">
            <w:r w:rsidR="00E60C54" w:rsidRPr="00600212">
              <w:rPr>
                <w:rStyle w:val="a3"/>
                <w:rFonts w:ascii="Times New Roman" w:hAnsi="Times New Roman" w:cs="Times New Roman"/>
                <w:noProof/>
                <w:szCs w:val="24"/>
              </w:rPr>
              <w:t>Conceptual Framework</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_Toc202430187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32</w:t>
            </w:r>
            <w:r w:rsidR="00E60C54" w:rsidRPr="00600212">
              <w:rPr>
                <w:rFonts w:ascii="Times New Roman" w:hAnsi="Times New Roman" w:cs="Times New Roman"/>
                <w:noProof/>
                <w:webHidden/>
                <w:sz w:val="24"/>
                <w:szCs w:val="24"/>
              </w:rPr>
              <w:fldChar w:fldCharType="end"/>
            </w:r>
          </w:hyperlink>
        </w:p>
        <w:p w14:paraId="3A5D308A" w14:textId="77777777" w:rsidR="00E60C54" w:rsidRPr="00600212" w:rsidRDefault="00C860E2" w:rsidP="00E60C54">
          <w:pPr>
            <w:pStyle w:val="TOC2"/>
            <w:tabs>
              <w:tab w:val="right" w:leader="dot" w:pos="9350"/>
            </w:tabs>
            <w:rPr>
              <w:rFonts w:ascii="Times New Roman" w:hAnsi="Times New Roman" w:cs="Times New Roman"/>
              <w:noProof/>
              <w:sz w:val="24"/>
              <w:szCs w:val="24"/>
            </w:rPr>
          </w:pPr>
          <w:hyperlink w:anchor="_Toc202430188" w:history="1">
            <w:r w:rsidR="00E60C54" w:rsidRPr="00600212">
              <w:rPr>
                <w:rStyle w:val="a3"/>
                <w:rFonts w:ascii="Times New Roman" w:hAnsi="Times New Roman" w:cs="Times New Roman"/>
                <w:noProof/>
                <w:szCs w:val="24"/>
              </w:rPr>
              <w:t>Resource Loop Design</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_Toc202430188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32</w:t>
            </w:r>
            <w:r w:rsidR="00E60C54" w:rsidRPr="00600212">
              <w:rPr>
                <w:rFonts w:ascii="Times New Roman" w:hAnsi="Times New Roman" w:cs="Times New Roman"/>
                <w:noProof/>
                <w:webHidden/>
                <w:sz w:val="24"/>
                <w:szCs w:val="24"/>
              </w:rPr>
              <w:fldChar w:fldCharType="end"/>
            </w:r>
          </w:hyperlink>
        </w:p>
        <w:p w14:paraId="241BE7A4" w14:textId="77777777" w:rsidR="00E60C54" w:rsidRPr="00600212" w:rsidRDefault="00C860E2" w:rsidP="00E60C54">
          <w:pPr>
            <w:pStyle w:val="TOC2"/>
            <w:tabs>
              <w:tab w:val="right" w:leader="dot" w:pos="9350"/>
            </w:tabs>
            <w:rPr>
              <w:rFonts w:ascii="Times New Roman" w:hAnsi="Times New Roman" w:cs="Times New Roman"/>
              <w:noProof/>
              <w:sz w:val="24"/>
              <w:szCs w:val="24"/>
            </w:rPr>
          </w:pPr>
          <w:hyperlink w:anchor="_Toc202430189" w:history="1">
            <w:r w:rsidR="00E60C54" w:rsidRPr="00600212">
              <w:rPr>
                <w:rStyle w:val="a3"/>
                <w:rFonts w:ascii="Times New Roman" w:hAnsi="Times New Roman" w:cs="Times New Roman"/>
                <w:noProof/>
                <w:szCs w:val="24"/>
              </w:rPr>
              <w:t>Dynamic Capabilities</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_Toc202430189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33</w:t>
            </w:r>
            <w:r w:rsidR="00E60C54" w:rsidRPr="00600212">
              <w:rPr>
                <w:rFonts w:ascii="Times New Roman" w:hAnsi="Times New Roman" w:cs="Times New Roman"/>
                <w:noProof/>
                <w:webHidden/>
                <w:sz w:val="24"/>
                <w:szCs w:val="24"/>
              </w:rPr>
              <w:fldChar w:fldCharType="end"/>
            </w:r>
          </w:hyperlink>
        </w:p>
        <w:p w14:paraId="5D923952" w14:textId="77777777" w:rsidR="00E60C54" w:rsidRPr="00600212" w:rsidRDefault="00C860E2" w:rsidP="00E60C54">
          <w:pPr>
            <w:pStyle w:val="TOC2"/>
            <w:tabs>
              <w:tab w:val="right" w:leader="dot" w:pos="9350"/>
            </w:tabs>
            <w:rPr>
              <w:rFonts w:ascii="Times New Roman" w:hAnsi="Times New Roman" w:cs="Times New Roman"/>
              <w:noProof/>
              <w:sz w:val="24"/>
              <w:szCs w:val="24"/>
            </w:rPr>
          </w:pPr>
          <w:hyperlink w:anchor="_Toc202430190" w:history="1">
            <w:r w:rsidR="00E60C54" w:rsidRPr="00600212">
              <w:rPr>
                <w:rStyle w:val="a3"/>
                <w:rFonts w:ascii="Times New Roman" w:hAnsi="Times New Roman" w:cs="Times New Roman"/>
                <w:noProof/>
                <w:szCs w:val="24"/>
              </w:rPr>
              <w:t>Governance and Culture</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_Toc202430190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33</w:t>
            </w:r>
            <w:r w:rsidR="00E60C54" w:rsidRPr="00600212">
              <w:rPr>
                <w:rFonts w:ascii="Times New Roman" w:hAnsi="Times New Roman" w:cs="Times New Roman"/>
                <w:noProof/>
                <w:webHidden/>
                <w:sz w:val="24"/>
                <w:szCs w:val="24"/>
              </w:rPr>
              <w:fldChar w:fldCharType="end"/>
            </w:r>
          </w:hyperlink>
        </w:p>
        <w:p w14:paraId="4DADE836"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91" w:history="1">
            <w:r w:rsidR="00E60C54" w:rsidRPr="00600212">
              <w:rPr>
                <w:rStyle w:val="a3"/>
                <w:rFonts w:ascii="Times New Roman" w:hAnsi="Times New Roman" w:cs="Times New Roman"/>
                <w:noProof/>
                <w:szCs w:val="24"/>
              </w:rPr>
              <w:t>Effects of Global Disruptions on Supply Chain Paradigms (Objective 1)</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_Toc202430191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33</w:t>
            </w:r>
            <w:r w:rsidR="00E60C54" w:rsidRPr="00600212">
              <w:rPr>
                <w:rFonts w:ascii="Times New Roman" w:hAnsi="Times New Roman" w:cs="Times New Roman"/>
                <w:noProof/>
                <w:webHidden/>
                <w:sz w:val="24"/>
                <w:szCs w:val="24"/>
              </w:rPr>
              <w:fldChar w:fldCharType="end"/>
            </w:r>
          </w:hyperlink>
        </w:p>
        <w:p w14:paraId="23B24F43"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92" w:history="1">
            <w:r w:rsidR="00E60C54" w:rsidRPr="00600212">
              <w:rPr>
                <w:rStyle w:val="a3"/>
                <w:rFonts w:ascii="Times New Roman" w:hAnsi="Times New Roman" w:cs="Times New Roman"/>
                <w:noProof/>
                <w:szCs w:val="24"/>
              </w:rPr>
              <w:t>Circular Economy Strategies and Supply Chain Vulnerability (Objective 2)</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_Toc202430192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35</w:t>
            </w:r>
            <w:r w:rsidR="00E60C54" w:rsidRPr="00600212">
              <w:rPr>
                <w:rFonts w:ascii="Times New Roman" w:hAnsi="Times New Roman" w:cs="Times New Roman"/>
                <w:noProof/>
                <w:webHidden/>
                <w:sz w:val="24"/>
                <w:szCs w:val="24"/>
              </w:rPr>
              <w:fldChar w:fldCharType="end"/>
            </w:r>
          </w:hyperlink>
        </w:p>
        <w:p w14:paraId="0A97898C"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93" w:history="1">
            <w:r w:rsidR="00E60C54" w:rsidRPr="00600212">
              <w:rPr>
                <w:rStyle w:val="a3"/>
                <w:rFonts w:ascii="Times New Roman" w:hAnsi="Times New Roman" w:cs="Times New Roman"/>
                <w:noProof/>
                <w:szCs w:val="24"/>
              </w:rPr>
              <w:t>Integrating Circular Economy Principles into Supply Chain Resilience (Objective 3)</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_Toc202430193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37</w:t>
            </w:r>
            <w:r w:rsidR="00E60C54" w:rsidRPr="00600212">
              <w:rPr>
                <w:rFonts w:ascii="Times New Roman" w:hAnsi="Times New Roman" w:cs="Times New Roman"/>
                <w:noProof/>
                <w:webHidden/>
                <w:sz w:val="24"/>
                <w:szCs w:val="24"/>
              </w:rPr>
              <w:fldChar w:fldCharType="end"/>
            </w:r>
          </w:hyperlink>
        </w:p>
        <w:p w14:paraId="728468EB"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94" w:history="1">
            <w:r w:rsidR="00E60C54" w:rsidRPr="00600212">
              <w:rPr>
                <w:rStyle w:val="a3"/>
                <w:rFonts w:ascii="Times New Roman" w:hAnsi="Times New Roman" w:cs="Times New Roman"/>
                <w:noProof/>
                <w:szCs w:val="24"/>
              </w:rPr>
              <w:t>Research Gaps and Future Directions</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_Toc202430194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40</w:t>
            </w:r>
            <w:r w:rsidR="00E60C54" w:rsidRPr="00600212">
              <w:rPr>
                <w:rFonts w:ascii="Times New Roman" w:hAnsi="Times New Roman" w:cs="Times New Roman"/>
                <w:noProof/>
                <w:webHidden/>
                <w:sz w:val="24"/>
                <w:szCs w:val="24"/>
              </w:rPr>
              <w:fldChar w:fldCharType="end"/>
            </w:r>
          </w:hyperlink>
        </w:p>
        <w:p w14:paraId="5CB9EDE4"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95" w:history="1">
            <w:r w:rsidR="00E60C54" w:rsidRPr="00600212">
              <w:rPr>
                <w:rStyle w:val="a3"/>
                <w:rFonts w:ascii="Times New Roman" w:hAnsi="Times New Roman" w:cs="Times New Roman"/>
                <w:noProof/>
                <w:szCs w:val="24"/>
              </w:rPr>
              <w:t>Draft Research Questions</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_Toc202430195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42</w:t>
            </w:r>
            <w:r w:rsidR="00E60C54" w:rsidRPr="00600212">
              <w:rPr>
                <w:rFonts w:ascii="Times New Roman" w:hAnsi="Times New Roman" w:cs="Times New Roman"/>
                <w:noProof/>
                <w:webHidden/>
                <w:sz w:val="24"/>
                <w:szCs w:val="24"/>
              </w:rPr>
              <w:fldChar w:fldCharType="end"/>
            </w:r>
          </w:hyperlink>
        </w:p>
        <w:p w14:paraId="63E81AAB" w14:textId="77777777" w:rsidR="00E60C54" w:rsidRPr="00600212" w:rsidRDefault="00C860E2" w:rsidP="00E60C54">
          <w:pPr>
            <w:pStyle w:val="TOC1"/>
            <w:tabs>
              <w:tab w:val="right" w:leader="dot" w:pos="9350"/>
            </w:tabs>
            <w:rPr>
              <w:rFonts w:ascii="Times New Roman" w:hAnsi="Times New Roman" w:cs="Times New Roman"/>
              <w:noProof/>
              <w:sz w:val="24"/>
              <w:szCs w:val="24"/>
            </w:rPr>
          </w:pPr>
          <w:hyperlink w:anchor="_Toc202430196" w:history="1">
            <w:r w:rsidR="00E60C54" w:rsidRPr="00600212">
              <w:rPr>
                <w:rStyle w:val="a3"/>
                <w:rFonts w:ascii="Times New Roman" w:hAnsi="Times New Roman" w:cs="Times New Roman"/>
                <w:noProof/>
                <w:szCs w:val="24"/>
              </w:rPr>
              <w:t>Conclusion</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_Toc202430196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44</w:t>
            </w:r>
            <w:r w:rsidR="00E60C54" w:rsidRPr="00600212">
              <w:rPr>
                <w:rFonts w:ascii="Times New Roman" w:hAnsi="Times New Roman" w:cs="Times New Roman"/>
                <w:noProof/>
                <w:webHidden/>
                <w:sz w:val="24"/>
                <w:szCs w:val="24"/>
              </w:rPr>
              <w:fldChar w:fldCharType="end"/>
            </w:r>
          </w:hyperlink>
        </w:p>
        <w:p w14:paraId="5A53FFF7" w14:textId="77777777" w:rsidR="00E60C54" w:rsidRDefault="00C860E2" w:rsidP="00E60C54">
          <w:pPr>
            <w:pStyle w:val="TOC1"/>
            <w:tabs>
              <w:tab w:val="right" w:leader="dot" w:pos="9350"/>
            </w:tabs>
            <w:rPr>
              <w:noProof/>
            </w:rPr>
          </w:pPr>
          <w:hyperlink w:anchor="_Toc202430197" w:history="1">
            <w:r w:rsidR="00E60C54" w:rsidRPr="00600212">
              <w:rPr>
                <w:rStyle w:val="a3"/>
                <w:rFonts w:ascii="Times New Roman" w:hAnsi="Times New Roman" w:cs="Times New Roman"/>
                <w:noProof/>
                <w:szCs w:val="24"/>
              </w:rPr>
              <w:t>References</w:t>
            </w:r>
            <w:r w:rsidR="00E60C54" w:rsidRPr="00600212">
              <w:rPr>
                <w:rFonts w:ascii="Times New Roman" w:hAnsi="Times New Roman" w:cs="Times New Roman"/>
                <w:noProof/>
                <w:webHidden/>
                <w:sz w:val="24"/>
                <w:szCs w:val="24"/>
              </w:rPr>
              <w:tab/>
            </w:r>
            <w:r w:rsidR="00E60C54" w:rsidRPr="00600212">
              <w:rPr>
                <w:rFonts w:ascii="Times New Roman" w:hAnsi="Times New Roman" w:cs="Times New Roman"/>
                <w:noProof/>
                <w:webHidden/>
                <w:sz w:val="24"/>
                <w:szCs w:val="24"/>
              </w:rPr>
              <w:fldChar w:fldCharType="begin"/>
            </w:r>
            <w:r w:rsidR="00E60C54" w:rsidRPr="00600212">
              <w:rPr>
                <w:rFonts w:ascii="Times New Roman" w:hAnsi="Times New Roman" w:cs="Times New Roman"/>
                <w:noProof/>
                <w:webHidden/>
                <w:sz w:val="24"/>
                <w:szCs w:val="24"/>
              </w:rPr>
              <w:instrText xml:space="preserve"> PAGEREF _Toc202430197 \h </w:instrText>
            </w:r>
            <w:r w:rsidR="00E60C54" w:rsidRPr="00600212">
              <w:rPr>
                <w:rFonts w:ascii="Times New Roman" w:hAnsi="Times New Roman" w:cs="Times New Roman"/>
                <w:noProof/>
                <w:webHidden/>
                <w:sz w:val="24"/>
                <w:szCs w:val="24"/>
              </w:rPr>
            </w:r>
            <w:r w:rsidR="00E60C54" w:rsidRPr="00600212">
              <w:rPr>
                <w:rFonts w:ascii="Times New Roman" w:hAnsi="Times New Roman" w:cs="Times New Roman"/>
                <w:noProof/>
                <w:webHidden/>
                <w:sz w:val="24"/>
                <w:szCs w:val="24"/>
              </w:rPr>
              <w:fldChar w:fldCharType="separate"/>
            </w:r>
            <w:r w:rsidR="00E60C54">
              <w:rPr>
                <w:rFonts w:ascii="Times New Roman" w:hAnsi="Times New Roman" w:cs="Times New Roman"/>
                <w:noProof/>
                <w:webHidden/>
                <w:sz w:val="24"/>
                <w:szCs w:val="24"/>
              </w:rPr>
              <w:t>45</w:t>
            </w:r>
            <w:r w:rsidR="00E60C54" w:rsidRPr="00600212">
              <w:rPr>
                <w:rFonts w:ascii="Times New Roman" w:hAnsi="Times New Roman" w:cs="Times New Roman"/>
                <w:noProof/>
                <w:webHidden/>
                <w:sz w:val="24"/>
                <w:szCs w:val="24"/>
              </w:rPr>
              <w:fldChar w:fldCharType="end"/>
            </w:r>
          </w:hyperlink>
        </w:p>
        <w:p w14:paraId="638F8B82" w14:textId="77777777" w:rsidR="00E60C54" w:rsidRDefault="00E60C54" w:rsidP="00E60C54">
          <w:pPr>
            <w:spacing w:line="240" w:lineRule="auto"/>
          </w:pPr>
          <w:r w:rsidRPr="00FE619D">
            <w:rPr>
              <w:rFonts w:ascii="Times New Roman" w:hAnsi="Times New Roman" w:cs="Times New Roman"/>
              <w:bCs/>
              <w:noProof/>
            </w:rPr>
            <w:fldChar w:fldCharType="end"/>
          </w:r>
        </w:p>
      </w:sdtContent>
    </w:sdt>
    <w:p w14:paraId="14E7DFD5" w14:textId="77777777" w:rsidR="00E60C54" w:rsidRDefault="00E60C54" w:rsidP="00E60C54">
      <w:pPr>
        <w:pStyle w:val="1"/>
        <w:spacing w:line="480" w:lineRule="auto"/>
        <w:rPr>
          <w:rFonts w:ascii="Times New Roman" w:hAnsi="Times New Roman" w:cs="Times New Roman"/>
          <w:b/>
          <w:color w:val="auto"/>
          <w:sz w:val="24"/>
          <w:szCs w:val="24"/>
        </w:rPr>
      </w:pPr>
    </w:p>
    <w:p w14:paraId="1E82AD8C" w14:textId="77777777" w:rsidR="00E60C54" w:rsidRDefault="00E60C54" w:rsidP="00E60C54"/>
    <w:p w14:paraId="16488C0F" w14:textId="77777777" w:rsidR="00E60C54" w:rsidRDefault="00E60C54" w:rsidP="00E60C54"/>
    <w:p w14:paraId="7831D7C3" w14:textId="77777777" w:rsidR="00E60C54" w:rsidRDefault="00E60C54" w:rsidP="00E60C54"/>
    <w:p w14:paraId="2B2F5C83" w14:textId="77777777" w:rsidR="00E60C54" w:rsidRDefault="00E60C54" w:rsidP="00E60C54"/>
    <w:p w14:paraId="52FCCD0E" w14:textId="77777777" w:rsidR="00E60C54" w:rsidRPr="00FE619D" w:rsidRDefault="00E60C54" w:rsidP="00E60C54"/>
    <w:p w14:paraId="47536628" w14:textId="77777777" w:rsidR="00E60C54" w:rsidRPr="00A43B1A" w:rsidRDefault="00E60C54" w:rsidP="00E60C54">
      <w:pPr>
        <w:pStyle w:val="1"/>
        <w:spacing w:line="480" w:lineRule="auto"/>
        <w:jc w:val="center"/>
        <w:rPr>
          <w:rFonts w:ascii="Times New Roman" w:hAnsi="Times New Roman" w:cs="Times New Roman"/>
          <w:b/>
          <w:color w:val="000000" w:themeColor="text1"/>
          <w:sz w:val="24"/>
          <w:szCs w:val="24"/>
        </w:rPr>
      </w:pPr>
      <w:bookmarkStart w:id="1" w:name="_Toc202430174"/>
      <w:r w:rsidRPr="00A43B1A">
        <w:rPr>
          <w:rFonts w:ascii="Times New Roman" w:hAnsi="Times New Roman" w:cs="Times New Roman"/>
          <w:b/>
          <w:color w:val="000000" w:themeColor="text1"/>
          <w:sz w:val="24"/>
          <w:szCs w:val="24"/>
        </w:rPr>
        <w:t>Abstract</w:t>
      </w:r>
      <w:bookmarkEnd w:id="1"/>
    </w:p>
    <w:p w14:paraId="6582DEBA" w14:textId="77777777" w:rsidR="00E60C54" w:rsidRDefault="00E60C54" w:rsidP="00E60C54">
      <w:pPr>
        <w:spacing w:line="480" w:lineRule="auto"/>
        <w:ind w:firstLine="420"/>
        <w:rPr>
          <w:rFonts w:ascii="Times New Roman" w:hAnsi="Times New Roman" w:cs="Times New Roman"/>
        </w:rPr>
      </w:pPr>
      <w:r w:rsidRPr="00600212">
        <w:rPr>
          <w:rFonts w:ascii="Times New Roman" w:hAnsi="Times New Roman" w:cs="Times New Roman"/>
        </w:rPr>
        <w:t xml:space="preserve">Global disruptions have exposed critical vulnerabilities in multinational corporations' (MNCs) lean supply chains, highlighting an urgent need for enhanced resilience. This critical literature review systematically synthesizes 100 peer-reviewed articles from 2010-2024 to explore how integrating circular economy (CE) principles can strengthen supply chain resilience in MNCs. Employing a qualitative meta-synthesis approach, the review first diagnoses inherent weaknesses in current supply chain paradigms. It then maps how CE strategies—such as resource loop design, localized loops, and waste management—directly mitigate these vulnerabilities by diversifying inputs and embedding adaptability. Finally, the review explicates the managerial and strategic levers necessary for operationalizing CE-driven resilience, including business model innovation, technology integration (e.g., Industry 4.0), organizational culture, and collaborative ecosystem actions. The findings reveal that active top-management orchestration, aligning strategy, organization, and technology with circular principles, is crucial for building robust and adaptive supply chains. Identified research gaps include the need for integrated CE-digital-resilience models, empirical validation across diverse industries, and a clearer conceptualization of CE interventions. </w:t>
      </w:r>
    </w:p>
    <w:p w14:paraId="68A7695F" w14:textId="77777777" w:rsidR="00E60C54" w:rsidRDefault="00E60C54" w:rsidP="00E60C54">
      <w:pPr>
        <w:spacing w:line="480" w:lineRule="auto"/>
        <w:rPr>
          <w:rFonts w:ascii="Times New Roman" w:hAnsi="Times New Roman" w:cs="Times New Roman"/>
        </w:rPr>
      </w:pPr>
      <w:r w:rsidRPr="008A599E">
        <w:rPr>
          <w:rFonts w:ascii="Times New Roman" w:hAnsi="Times New Roman" w:cs="Times New Roman"/>
          <w:b/>
        </w:rPr>
        <w:t>Keywords:</w:t>
      </w:r>
      <w:r>
        <w:rPr>
          <w:rFonts w:ascii="Times New Roman" w:hAnsi="Times New Roman" w:cs="Times New Roman"/>
        </w:rPr>
        <w:t xml:space="preserve"> Circular economy (CE), global disruptions, supply chain resilience, multi-national corporations (MNC’s), supply chain vulnerabilities.</w:t>
      </w:r>
    </w:p>
    <w:p w14:paraId="79825F9D" w14:textId="77777777" w:rsidR="00E60C54" w:rsidRDefault="00E60C54" w:rsidP="00E60C54">
      <w:pPr>
        <w:spacing w:line="480" w:lineRule="auto"/>
        <w:ind w:firstLine="420"/>
        <w:rPr>
          <w:rFonts w:ascii="Times New Roman" w:hAnsi="Times New Roman" w:cs="Times New Roman"/>
        </w:rPr>
      </w:pPr>
    </w:p>
    <w:p w14:paraId="199AFEC7" w14:textId="77777777" w:rsidR="00E60C54" w:rsidRDefault="00E60C54" w:rsidP="00E60C54">
      <w:pPr>
        <w:spacing w:line="480" w:lineRule="auto"/>
        <w:ind w:firstLine="420"/>
        <w:rPr>
          <w:rFonts w:ascii="Times New Roman" w:hAnsi="Times New Roman" w:cs="Times New Roman"/>
        </w:rPr>
      </w:pPr>
    </w:p>
    <w:p w14:paraId="6A2CCBC4" w14:textId="77777777" w:rsidR="00E60C54" w:rsidRPr="00600212" w:rsidRDefault="00E60C54" w:rsidP="00E60C54">
      <w:pPr>
        <w:spacing w:line="480" w:lineRule="auto"/>
        <w:ind w:firstLine="420"/>
        <w:rPr>
          <w:rFonts w:ascii="Times New Roman" w:hAnsi="Times New Roman" w:cs="Times New Roman"/>
        </w:rPr>
      </w:pPr>
    </w:p>
    <w:p w14:paraId="5392163D" w14:textId="77777777" w:rsidR="00E60C54" w:rsidRPr="00D7007E" w:rsidRDefault="00E60C54" w:rsidP="00E60C54">
      <w:pPr>
        <w:pStyle w:val="1"/>
        <w:spacing w:line="480" w:lineRule="auto"/>
        <w:jc w:val="center"/>
        <w:rPr>
          <w:rFonts w:ascii="Times New Roman" w:hAnsi="Times New Roman" w:cs="Times New Roman"/>
          <w:b/>
          <w:color w:val="auto"/>
          <w:sz w:val="24"/>
          <w:szCs w:val="24"/>
        </w:rPr>
      </w:pPr>
      <w:bookmarkStart w:id="2" w:name="_Toc202430175"/>
      <w:r w:rsidRPr="00D7007E">
        <w:rPr>
          <w:rFonts w:ascii="Times New Roman" w:hAnsi="Times New Roman" w:cs="Times New Roman"/>
          <w:b/>
          <w:color w:val="auto"/>
          <w:sz w:val="24"/>
          <w:szCs w:val="24"/>
        </w:rPr>
        <w:t>Part 1</w:t>
      </w:r>
      <w:bookmarkEnd w:id="2"/>
    </w:p>
    <w:p w14:paraId="266BFB8D" w14:textId="77777777" w:rsidR="00E60C54" w:rsidRPr="00D7007E" w:rsidRDefault="00E60C54" w:rsidP="00E60C54">
      <w:pPr>
        <w:spacing w:line="480" w:lineRule="auto"/>
        <w:ind w:firstLine="720"/>
        <w:rPr>
          <w:rFonts w:ascii="Times New Roman" w:hAnsi="Times New Roman" w:cs="Times New Roman"/>
          <w:bCs/>
        </w:rPr>
      </w:pPr>
      <w:r w:rsidRPr="00E05D0A">
        <w:rPr>
          <w:rFonts w:ascii="Times New Roman" w:hAnsi="Times New Roman" w:cs="Times New Roman"/>
          <w:bCs/>
        </w:rPr>
        <w:t>Literature reviews serve as a cornerstone of academic research, offering scholars a chance to engage critically with existing work, pinpoint knowledge gaps, and situate their own investigations within the wider academic conversation (</w:t>
      </w:r>
      <w:proofErr w:type="spellStart"/>
      <w:r w:rsidRPr="00E05D0A">
        <w:rPr>
          <w:rFonts w:ascii="Times New Roman" w:hAnsi="Times New Roman" w:cs="Times New Roman"/>
          <w:bCs/>
        </w:rPr>
        <w:t>Smela</w:t>
      </w:r>
      <w:proofErr w:type="spellEnd"/>
      <w:r w:rsidRPr="00E05D0A">
        <w:rPr>
          <w:rFonts w:ascii="Times New Roman" w:hAnsi="Times New Roman" w:cs="Times New Roman"/>
          <w:bCs/>
        </w:rPr>
        <w:t xml:space="preserve"> et al., 2023). Depending on their goals, researchers might choose from various review formats—such as descriptive, narrative, systematic, meta-analytic, mapping, or scoping—each bringing its own strengths and limitations in terms of depth, adaptability, transparency, and replicability. Grasping these differences helps clarify which type of review best fits a particular research question. </w:t>
      </w:r>
      <w:r>
        <w:rPr>
          <w:rFonts w:ascii="Times New Roman" w:hAnsi="Times New Roman" w:cs="Times New Roman"/>
          <w:bCs/>
        </w:rPr>
        <w:t>T</w:t>
      </w:r>
      <w:r w:rsidRPr="00E05D0A">
        <w:rPr>
          <w:rFonts w:ascii="Times New Roman" w:hAnsi="Times New Roman" w:cs="Times New Roman"/>
          <w:bCs/>
        </w:rPr>
        <w:t>he different review approaches have varying ideas behind them, as discussed in the upcoming paragraphs.</w:t>
      </w:r>
      <w:r>
        <w:rPr>
          <w:rFonts w:ascii="Times New Roman" w:hAnsi="Times New Roman" w:cs="Times New Roman"/>
          <w:bCs/>
        </w:rPr>
        <w:t xml:space="preserve"> </w:t>
      </w:r>
    </w:p>
    <w:p w14:paraId="179E1E73" w14:textId="77777777" w:rsidR="00E60C54" w:rsidRPr="00D7007E" w:rsidRDefault="00E60C54" w:rsidP="00E60C54">
      <w:pPr>
        <w:pStyle w:val="1"/>
        <w:spacing w:line="480" w:lineRule="auto"/>
        <w:jc w:val="center"/>
        <w:rPr>
          <w:rFonts w:ascii="Times New Roman" w:hAnsi="Times New Roman" w:cs="Times New Roman"/>
          <w:b/>
          <w:color w:val="auto"/>
          <w:sz w:val="24"/>
          <w:szCs w:val="24"/>
        </w:rPr>
      </w:pPr>
      <w:bookmarkStart w:id="3" w:name="_Toc202430176"/>
      <w:r w:rsidRPr="00D7007E">
        <w:rPr>
          <w:rFonts w:ascii="Times New Roman" w:hAnsi="Times New Roman" w:cs="Times New Roman"/>
          <w:b/>
          <w:color w:val="auto"/>
          <w:sz w:val="24"/>
          <w:szCs w:val="24"/>
        </w:rPr>
        <w:t>Descriptive Reviews</w:t>
      </w:r>
      <w:bookmarkEnd w:id="3"/>
    </w:p>
    <w:p w14:paraId="2802ED88" w14:textId="77777777" w:rsidR="00E60C54" w:rsidRPr="00D7007E" w:rsidRDefault="00E60C54" w:rsidP="00E60C54">
      <w:pPr>
        <w:spacing w:line="480" w:lineRule="auto"/>
        <w:ind w:firstLine="720"/>
        <w:rPr>
          <w:rFonts w:ascii="Times New Roman" w:hAnsi="Times New Roman" w:cs="Times New Roman"/>
          <w:bCs/>
        </w:rPr>
      </w:pPr>
      <w:r w:rsidRPr="00D7007E">
        <w:rPr>
          <w:rFonts w:ascii="Times New Roman" w:hAnsi="Times New Roman" w:cs="Times New Roman"/>
          <w:bCs/>
        </w:rPr>
        <w:t>One of the most accessible methods is the descriptive review, which provides a structured, non-numerical summary of what is known about a particular topic at a given time (</w:t>
      </w:r>
      <w:proofErr w:type="spellStart"/>
      <w:r w:rsidRPr="00D7007E">
        <w:rPr>
          <w:rFonts w:ascii="Times New Roman" w:hAnsi="Times New Roman" w:cs="Times New Roman"/>
          <w:bCs/>
        </w:rPr>
        <w:t>Nassaji</w:t>
      </w:r>
      <w:proofErr w:type="spellEnd"/>
      <w:r w:rsidRPr="00D7007E">
        <w:rPr>
          <w:rFonts w:ascii="Times New Roman" w:hAnsi="Times New Roman" w:cs="Times New Roman"/>
          <w:bCs/>
        </w:rPr>
        <w:t xml:space="preserve">, 2015). They briefly discuss important topics, tools and conclusions reached in the reviewed articles, rather than merging the findings. Clearly defined criteria for reviews allow researchers to discover the main themes, approaches and principles used in a particular field of research. Unlike detailed studies, descriptive reviews summarize papers from multiple perspectives rather than studying them in more depth. This is why they are helpful for explaining and describing </w:t>
      </w:r>
      <w:r w:rsidRPr="00D7007E">
        <w:rPr>
          <w:rFonts w:ascii="Times New Roman" w:hAnsi="Times New Roman" w:cs="Times New Roman"/>
          <w:bCs/>
        </w:rPr>
        <w:lastRenderedPageBreak/>
        <w:t>general trends, preparing for further research and clarifying definitions. Their strength lies in their ability to cover wide-ranging sources and offer flexibility in exploration (</w:t>
      </w:r>
      <w:proofErr w:type="spellStart"/>
      <w:r w:rsidRPr="00D7007E">
        <w:rPr>
          <w:rFonts w:ascii="Times New Roman" w:hAnsi="Times New Roman" w:cs="Times New Roman"/>
          <w:bCs/>
        </w:rPr>
        <w:t>Paré</w:t>
      </w:r>
      <w:proofErr w:type="spellEnd"/>
      <w:r w:rsidRPr="00D7007E">
        <w:rPr>
          <w:rFonts w:ascii="Times New Roman" w:hAnsi="Times New Roman" w:cs="Times New Roman"/>
          <w:bCs/>
        </w:rPr>
        <w:t xml:space="preserve"> et al., 2015). Nevertheless, being flexible can sometimes work against them. In such reviews, quality control and open search methods are usually absent. Consequently, they could unintentionally use studies that are easier to locate because they are more famous or published in widely spoken languages. Moreover, the findings may not reflect how well the studies are done or how valid the conclusions are.</w:t>
      </w:r>
    </w:p>
    <w:p w14:paraId="135F4663" w14:textId="77777777" w:rsidR="00E60C54" w:rsidRPr="00D7007E" w:rsidRDefault="00E60C54" w:rsidP="00E60C54">
      <w:pPr>
        <w:pStyle w:val="1"/>
        <w:spacing w:line="480" w:lineRule="auto"/>
        <w:jc w:val="center"/>
        <w:rPr>
          <w:rFonts w:ascii="Times New Roman" w:hAnsi="Times New Roman" w:cs="Times New Roman"/>
          <w:b/>
          <w:color w:val="auto"/>
          <w:sz w:val="24"/>
          <w:szCs w:val="24"/>
        </w:rPr>
      </w:pPr>
      <w:bookmarkStart w:id="4" w:name="_Toc202430177"/>
      <w:r w:rsidRPr="00D7007E">
        <w:rPr>
          <w:rFonts w:ascii="Times New Roman" w:hAnsi="Times New Roman" w:cs="Times New Roman"/>
          <w:b/>
          <w:color w:val="auto"/>
          <w:sz w:val="24"/>
          <w:szCs w:val="24"/>
        </w:rPr>
        <w:t>Narrative Reviews</w:t>
      </w:r>
      <w:bookmarkEnd w:id="4"/>
    </w:p>
    <w:p w14:paraId="491BFE7C" w14:textId="77777777" w:rsidR="00E60C54" w:rsidRPr="00D7007E" w:rsidRDefault="00E60C54" w:rsidP="00E60C54">
      <w:pPr>
        <w:spacing w:line="480" w:lineRule="auto"/>
        <w:ind w:firstLine="720"/>
        <w:rPr>
          <w:rFonts w:ascii="Times New Roman" w:hAnsi="Times New Roman" w:cs="Times New Roman"/>
          <w:bCs/>
        </w:rPr>
      </w:pPr>
      <w:r w:rsidRPr="00D7007E">
        <w:rPr>
          <w:rFonts w:ascii="Times New Roman" w:hAnsi="Times New Roman" w:cs="Times New Roman"/>
          <w:bCs/>
        </w:rPr>
        <w:t>Narrative reviews take a more interpretive and conceptual approach, building on the foundation of descriptive reviews while seeking to construct a coherent story or synthesis around a research question or theme (Xiao &amp; Watson, 2019). Typically, these reviews compose information based on subject areas, events or concepts. My goal is to join the findings of different studies in order to find common points, key ideas and new disputes. Elliott-Mainwaring (2021) explains that breaking studies into subthemes and arranging them in an order that illustrates how a field developed in thought or applied practice is known as narrative synthesis. It is most significant to follow this process when exploring or examining difficult concepts or theories. Since narrative reviews are flexible, they provide more substantial and nuanced understanding than do rigid methods (</w:t>
      </w:r>
      <w:proofErr w:type="spellStart"/>
      <w:r w:rsidRPr="00D7007E">
        <w:rPr>
          <w:rFonts w:ascii="Times New Roman" w:hAnsi="Times New Roman" w:cs="Times New Roman"/>
          <w:bCs/>
        </w:rPr>
        <w:t>Pae</w:t>
      </w:r>
      <w:proofErr w:type="spellEnd"/>
      <w:r w:rsidRPr="00D7007E">
        <w:rPr>
          <w:rFonts w:ascii="Times New Roman" w:hAnsi="Times New Roman" w:cs="Times New Roman"/>
          <w:bCs/>
        </w:rPr>
        <w:t xml:space="preserve">, 2015). Even so, narrative reviews may be seen as unfair when the author alters how information is chosen for the review. If there are no set methods for each stage of managing the research process, the findings </w:t>
      </w:r>
      <w:r w:rsidRPr="00D7007E">
        <w:rPr>
          <w:rFonts w:ascii="Times New Roman" w:hAnsi="Times New Roman" w:cs="Times New Roman"/>
          <w:bCs/>
        </w:rPr>
        <w:lastRenderedPageBreak/>
        <w:t>may not be replicable and trustworthy (Lee, 2019). As a result, report writers in this field should clearly outline the way decisions are made to hold their credibility.</w:t>
      </w:r>
    </w:p>
    <w:p w14:paraId="51FEAF91" w14:textId="77777777" w:rsidR="00E60C54" w:rsidRPr="00D7007E" w:rsidRDefault="00E60C54" w:rsidP="00E60C54">
      <w:pPr>
        <w:pStyle w:val="1"/>
        <w:spacing w:line="480" w:lineRule="auto"/>
        <w:jc w:val="center"/>
        <w:rPr>
          <w:rFonts w:ascii="Times New Roman" w:hAnsi="Times New Roman" w:cs="Times New Roman"/>
          <w:b/>
          <w:color w:val="auto"/>
          <w:sz w:val="24"/>
          <w:szCs w:val="24"/>
        </w:rPr>
      </w:pPr>
      <w:bookmarkStart w:id="5" w:name="_Toc202430178"/>
      <w:r w:rsidRPr="00D7007E">
        <w:rPr>
          <w:rFonts w:ascii="Times New Roman" w:hAnsi="Times New Roman" w:cs="Times New Roman"/>
          <w:b/>
          <w:color w:val="auto"/>
          <w:sz w:val="24"/>
          <w:szCs w:val="24"/>
        </w:rPr>
        <w:t>Systematic Literature Reviews</w:t>
      </w:r>
      <w:bookmarkEnd w:id="5"/>
    </w:p>
    <w:p w14:paraId="32A22352" w14:textId="77777777" w:rsidR="00E60C54" w:rsidRPr="00D7007E" w:rsidRDefault="00E60C54" w:rsidP="00E60C54">
      <w:pPr>
        <w:spacing w:line="480" w:lineRule="auto"/>
        <w:ind w:firstLine="720"/>
        <w:rPr>
          <w:rFonts w:ascii="Times New Roman" w:hAnsi="Times New Roman" w:cs="Times New Roman"/>
          <w:bCs/>
        </w:rPr>
      </w:pPr>
      <w:r w:rsidRPr="00D7007E">
        <w:rPr>
          <w:rFonts w:ascii="Times New Roman" w:hAnsi="Times New Roman" w:cs="Times New Roman"/>
          <w:bCs/>
        </w:rPr>
        <w:t>The systematic literature review method is more organized and requires researchers to follow set procedures to thoroughly investigate a research topic (Linares-</w:t>
      </w:r>
      <w:proofErr w:type="spellStart"/>
      <w:r w:rsidRPr="00D7007E">
        <w:rPr>
          <w:rFonts w:ascii="Times New Roman" w:hAnsi="Times New Roman" w:cs="Times New Roman"/>
          <w:bCs/>
        </w:rPr>
        <w:t>Espinós</w:t>
      </w:r>
      <w:proofErr w:type="spellEnd"/>
      <w:r w:rsidRPr="00D7007E">
        <w:rPr>
          <w:rFonts w:ascii="Times New Roman" w:hAnsi="Times New Roman" w:cs="Times New Roman"/>
          <w:bCs/>
        </w:rPr>
        <w:t xml:space="preserve"> et al., 2018). The process involves following the same steps to keep bias in check and to characterize the required papers. Most systematic reviews get started with a clearly defined question using frameworks such as PICO and involve searching many different databases (Mohamed </w:t>
      </w:r>
      <w:proofErr w:type="spellStart"/>
      <w:r w:rsidRPr="00D7007E">
        <w:rPr>
          <w:rFonts w:ascii="Times New Roman" w:hAnsi="Times New Roman" w:cs="Times New Roman"/>
          <w:bCs/>
        </w:rPr>
        <w:t>Shaffril</w:t>
      </w:r>
      <w:proofErr w:type="spellEnd"/>
      <w:r w:rsidRPr="00D7007E">
        <w:rPr>
          <w:rFonts w:ascii="Times New Roman" w:hAnsi="Times New Roman" w:cs="Times New Roman"/>
          <w:bCs/>
        </w:rPr>
        <w:t xml:space="preserve"> et al., 2021). During the process, articles are screened twice, important criteria are used, risk of bias is evaluated in most cases and protocol registration often takes place on PROSPERO. The structured approach ensures all steps in the review are the same and easy to follow. The principal strength of systematic reviews lies in their ability to provide reliable evidence that informs decision-making, policy development, and theoretical advancement (Lame, 2018). However, having that much control costs something. It can take several months or years to finish even a basic systematic review (</w:t>
      </w:r>
      <w:proofErr w:type="spellStart"/>
      <w:r w:rsidRPr="00D7007E">
        <w:rPr>
          <w:rFonts w:ascii="Times New Roman" w:hAnsi="Times New Roman" w:cs="Times New Roman"/>
          <w:bCs/>
        </w:rPr>
        <w:t>Bramer</w:t>
      </w:r>
      <w:proofErr w:type="spellEnd"/>
      <w:r w:rsidRPr="00D7007E">
        <w:rPr>
          <w:rFonts w:ascii="Times New Roman" w:hAnsi="Times New Roman" w:cs="Times New Roman"/>
          <w:bCs/>
        </w:rPr>
        <w:t xml:space="preserve"> et al., 2018). Review questions that are highly specific may not include views from other areas which can be important for understanding difficult or complex topics (Snyder, 2019).</w:t>
      </w:r>
    </w:p>
    <w:p w14:paraId="1131CBDF" w14:textId="77777777" w:rsidR="00E60C54" w:rsidRPr="00D7007E" w:rsidRDefault="00E60C54" w:rsidP="00E60C54">
      <w:pPr>
        <w:pStyle w:val="1"/>
        <w:spacing w:line="480" w:lineRule="auto"/>
        <w:jc w:val="center"/>
        <w:rPr>
          <w:rFonts w:ascii="Times New Roman" w:hAnsi="Times New Roman" w:cs="Times New Roman"/>
          <w:b/>
          <w:color w:val="auto"/>
          <w:sz w:val="24"/>
          <w:szCs w:val="24"/>
        </w:rPr>
      </w:pPr>
      <w:bookmarkStart w:id="6" w:name="_Toc202430179"/>
      <w:r w:rsidRPr="00D7007E">
        <w:rPr>
          <w:rFonts w:ascii="Times New Roman" w:hAnsi="Times New Roman" w:cs="Times New Roman"/>
          <w:b/>
          <w:color w:val="auto"/>
          <w:sz w:val="24"/>
          <w:szCs w:val="24"/>
        </w:rPr>
        <w:lastRenderedPageBreak/>
        <w:t>Meta-Analysis</w:t>
      </w:r>
      <w:bookmarkEnd w:id="6"/>
    </w:p>
    <w:p w14:paraId="3E66DDA3" w14:textId="77777777" w:rsidR="00E60C54" w:rsidRPr="00D7007E" w:rsidRDefault="00E60C54" w:rsidP="00E60C54">
      <w:pPr>
        <w:spacing w:line="480" w:lineRule="auto"/>
        <w:ind w:firstLine="720"/>
        <w:rPr>
          <w:rFonts w:ascii="Times New Roman" w:hAnsi="Times New Roman" w:cs="Times New Roman"/>
          <w:bCs/>
        </w:rPr>
      </w:pPr>
      <w:r w:rsidRPr="00D7007E">
        <w:rPr>
          <w:rFonts w:ascii="Times New Roman" w:hAnsi="Times New Roman" w:cs="Times New Roman"/>
          <w:bCs/>
        </w:rPr>
        <w:t xml:space="preserve">Using meta-analysis, information from different studies is processed by statistical means to calculate combined results (Pigott &amp; </w:t>
      </w:r>
      <w:proofErr w:type="spellStart"/>
      <w:r w:rsidRPr="00D7007E">
        <w:rPr>
          <w:rFonts w:ascii="Times New Roman" w:hAnsi="Times New Roman" w:cs="Times New Roman"/>
          <w:bCs/>
        </w:rPr>
        <w:t>Polanin</w:t>
      </w:r>
      <w:proofErr w:type="spellEnd"/>
      <w:r w:rsidRPr="00D7007E">
        <w:rPr>
          <w:rFonts w:ascii="Times New Roman" w:hAnsi="Times New Roman" w:cs="Times New Roman"/>
          <w:bCs/>
        </w:rPr>
        <w:t xml:space="preserve">, 2020). It combines the results of various studies and helps reach more certain findings which is typically done using fixed- or random-effects models (Jackson &amp; Turner, 2017). When examining intervention effectiveness, dose–response links or the role of influencing factors, intact patterns might be identified through meta-analyses but not in individual studies (Pigott, 2020). Examining sources of diversity in studies is possible thanks to subgroup analyses and meta-regressions. Meta-analysis is valued because it lets researchers draw reliable knowledge that can be used in many settings. Still, the confidence </w:t>
      </w:r>
      <w:r>
        <w:rPr>
          <w:rFonts w:ascii="Times New Roman" w:hAnsi="Times New Roman" w:cs="Times New Roman"/>
          <w:bCs/>
        </w:rPr>
        <w:t xml:space="preserve">people </w:t>
      </w:r>
      <w:r w:rsidRPr="00D7007E">
        <w:rPr>
          <w:rFonts w:ascii="Times New Roman" w:hAnsi="Times New Roman" w:cs="Times New Roman"/>
          <w:bCs/>
        </w:rPr>
        <w:t>have in using the findings depends on how reliable and consistent the studies are. Problems with study design, reporting and outcomes can make it difficult to compare studies. Occasionally, transforming data or leaving out studies can introduce a bias that lessens the ability to generalize the findings (</w:t>
      </w:r>
      <w:proofErr w:type="spellStart"/>
      <w:r w:rsidRPr="00D7007E">
        <w:rPr>
          <w:rFonts w:ascii="Times New Roman" w:hAnsi="Times New Roman" w:cs="Times New Roman"/>
          <w:bCs/>
        </w:rPr>
        <w:t>Degtiar</w:t>
      </w:r>
      <w:proofErr w:type="spellEnd"/>
      <w:r w:rsidRPr="00D7007E">
        <w:rPr>
          <w:rFonts w:ascii="Times New Roman" w:hAnsi="Times New Roman" w:cs="Times New Roman"/>
          <w:bCs/>
        </w:rPr>
        <w:t xml:space="preserve"> &amp; Rose, 2023). Also, when results are mainly measured by numbers, it becomes difficult to extract the ideas or meaning behind them, so meta-analysis may fail for studies that require theory.</w:t>
      </w:r>
    </w:p>
    <w:p w14:paraId="0B5195D4" w14:textId="77777777" w:rsidR="00E60C54" w:rsidRPr="00D7007E" w:rsidRDefault="00E60C54" w:rsidP="00E60C54">
      <w:pPr>
        <w:pStyle w:val="1"/>
        <w:spacing w:line="480" w:lineRule="auto"/>
        <w:jc w:val="center"/>
        <w:rPr>
          <w:rFonts w:ascii="Times New Roman" w:hAnsi="Times New Roman" w:cs="Times New Roman"/>
          <w:b/>
          <w:color w:val="auto"/>
          <w:sz w:val="24"/>
          <w:szCs w:val="24"/>
        </w:rPr>
      </w:pPr>
      <w:bookmarkStart w:id="7" w:name="_Toc202430180"/>
      <w:r w:rsidRPr="00D7007E">
        <w:rPr>
          <w:rFonts w:ascii="Times New Roman" w:hAnsi="Times New Roman" w:cs="Times New Roman"/>
          <w:b/>
          <w:color w:val="auto"/>
          <w:sz w:val="24"/>
          <w:szCs w:val="24"/>
        </w:rPr>
        <w:t>Mapping and Scoping Reviews</w:t>
      </w:r>
      <w:bookmarkEnd w:id="7"/>
    </w:p>
    <w:p w14:paraId="53ED90CC" w14:textId="77777777" w:rsidR="00E60C54" w:rsidRPr="00D7007E" w:rsidRDefault="00E60C54" w:rsidP="00E60C54">
      <w:pPr>
        <w:spacing w:line="480" w:lineRule="auto"/>
        <w:ind w:firstLine="720"/>
        <w:rPr>
          <w:rFonts w:ascii="Times New Roman" w:hAnsi="Times New Roman" w:cs="Times New Roman"/>
          <w:bCs/>
        </w:rPr>
      </w:pPr>
      <w:r w:rsidRPr="00D7007E">
        <w:rPr>
          <w:rFonts w:ascii="Times New Roman" w:hAnsi="Times New Roman" w:cs="Times New Roman"/>
          <w:bCs/>
        </w:rPr>
        <w:t xml:space="preserve">While mapping and scoping reviews are similar to systematic reviews when it comes to searching for studies, they focus on different issues and goals. Some call them evidence maps, but reviews, when mapped, are used to outline what research currently exists in a specific area. They arrange outcomes by classifying them into </w:t>
      </w:r>
      <w:r w:rsidRPr="00D7007E">
        <w:rPr>
          <w:rFonts w:ascii="Times New Roman" w:hAnsi="Times New Roman" w:cs="Times New Roman"/>
          <w:bCs/>
        </w:rPr>
        <w:lastRenderedPageBreak/>
        <w:t xml:space="preserve">certain groups such as types of interventions, the groups </w:t>
      </w:r>
      <w:proofErr w:type="gramStart"/>
      <w:r w:rsidRPr="00D7007E">
        <w:rPr>
          <w:rFonts w:ascii="Times New Roman" w:hAnsi="Times New Roman" w:cs="Times New Roman"/>
          <w:bCs/>
        </w:rPr>
        <w:t>included,</w:t>
      </w:r>
      <w:proofErr w:type="gramEnd"/>
      <w:r w:rsidRPr="00D7007E">
        <w:rPr>
          <w:rFonts w:ascii="Times New Roman" w:hAnsi="Times New Roman" w:cs="Times New Roman"/>
          <w:bCs/>
        </w:rPr>
        <w:t xml:space="preserve"> locations and the outcomes and frequently display the information as matrices or on interactive maps (Campbell et al., 2023). Its goal is to discover areas of research that require further attention and guide future studies. With reviews, </w:t>
      </w:r>
      <w:r>
        <w:rPr>
          <w:rFonts w:ascii="Times New Roman" w:hAnsi="Times New Roman" w:cs="Times New Roman"/>
          <w:bCs/>
        </w:rPr>
        <w:t>one</w:t>
      </w:r>
      <w:r w:rsidRPr="00D7007E">
        <w:rPr>
          <w:rFonts w:ascii="Times New Roman" w:hAnsi="Times New Roman" w:cs="Times New Roman"/>
          <w:bCs/>
        </w:rPr>
        <w:t xml:space="preserve"> can view easily how </w:t>
      </w:r>
      <w:r>
        <w:rPr>
          <w:rFonts w:ascii="Times New Roman" w:hAnsi="Times New Roman" w:cs="Times New Roman"/>
          <w:bCs/>
        </w:rPr>
        <w:t xml:space="preserve">studies are grouped within the </w:t>
      </w:r>
      <w:r w:rsidRPr="00D7007E">
        <w:rPr>
          <w:rFonts w:ascii="Times New Roman" w:hAnsi="Times New Roman" w:cs="Times New Roman"/>
          <w:bCs/>
        </w:rPr>
        <w:t>area of research. Moreover, they commonly forget to look at whether the evidence is good enough, making it harder to rely on them in choosing what to do (</w:t>
      </w:r>
      <w:proofErr w:type="spellStart"/>
      <w:r w:rsidRPr="00D7007E">
        <w:rPr>
          <w:rFonts w:ascii="Times New Roman" w:hAnsi="Times New Roman" w:cs="Times New Roman"/>
          <w:bCs/>
        </w:rPr>
        <w:t>Miake</w:t>
      </w:r>
      <w:proofErr w:type="spellEnd"/>
      <w:r w:rsidRPr="00D7007E">
        <w:rPr>
          <w:rFonts w:ascii="Times New Roman" w:hAnsi="Times New Roman" w:cs="Times New Roman"/>
          <w:bCs/>
        </w:rPr>
        <w:t>-Lye et al., 2016).</w:t>
      </w:r>
    </w:p>
    <w:p w14:paraId="5BD8D772" w14:textId="77777777" w:rsidR="00E60C54" w:rsidRPr="00D7007E" w:rsidRDefault="00E60C54" w:rsidP="00E60C54">
      <w:pPr>
        <w:spacing w:line="480" w:lineRule="auto"/>
        <w:ind w:firstLine="720"/>
        <w:rPr>
          <w:rFonts w:ascii="Times New Roman" w:hAnsi="Times New Roman" w:cs="Times New Roman"/>
          <w:bCs/>
        </w:rPr>
      </w:pPr>
      <w:r w:rsidRPr="00D7007E">
        <w:rPr>
          <w:rFonts w:ascii="Times New Roman" w:hAnsi="Times New Roman" w:cs="Times New Roman"/>
          <w:bCs/>
        </w:rPr>
        <w:t>In scoping reviews, researchers look at the main ideas surrounding the subject. They are created to gather evidence on a broad topic, state the main ideas and show how studies are setup in that area of science (</w:t>
      </w:r>
      <w:proofErr w:type="spellStart"/>
      <w:r w:rsidRPr="00D7007E">
        <w:rPr>
          <w:rFonts w:ascii="Times New Roman" w:hAnsi="Times New Roman" w:cs="Times New Roman"/>
          <w:bCs/>
        </w:rPr>
        <w:t>Tricco</w:t>
      </w:r>
      <w:proofErr w:type="spellEnd"/>
      <w:r w:rsidRPr="00D7007E">
        <w:rPr>
          <w:rFonts w:ascii="Times New Roman" w:hAnsi="Times New Roman" w:cs="Times New Roman"/>
          <w:bCs/>
        </w:rPr>
        <w:t xml:space="preserve"> et al., 2016). If many different and sometimes unrelated research studies are already published on an area, a scoping review is very useful. They have the option to consult key parties so that recently discovered challenges in policies or procedures can be discussed. Scoping reviews help determine which areas of research could use further study and also highlight new developments. However, like reviewing maps, these studies often depend on studying single studies and thus fail to provide conclusive evaluations (Peters et al., 2015).</w:t>
      </w:r>
    </w:p>
    <w:p w14:paraId="28CE1B7D" w14:textId="77777777" w:rsidR="00E60C54" w:rsidRDefault="00E60C54" w:rsidP="00E60C54">
      <w:pPr>
        <w:spacing w:line="480" w:lineRule="auto"/>
        <w:ind w:firstLine="720"/>
        <w:rPr>
          <w:rFonts w:ascii="Times New Roman" w:hAnsi="Times New Roman" w:cs="Times New Roman"/>
          <w:bCs/>
        </w:rPr>
      </w:pPr>
      <w:r w:rsidRPr="00D7007E">
        <w:rPr>
          <w:rFonts w:ascii="Times New Roman" w:hAnsi="Times New Roman" w:cs="Times New Roman"/>
          <w:bCs/>
        </w:rPr>
        <w:t xml:space="preserve">All in all, these methods of review highlight some significant compromises involved. It is important to point out that some fields push more for thorough knowledge, while others cover a wider range of topics. The explanation of different concepts is aided by descriptive, narrative, mapping, and scoping reviews; </w:t>
      </w:r>
      <w:proofErr w:type="gramStart"/>
      <w:r w:rsidRPr="00D7007E">
        <w:rPr>
          <w:rFonts w:ascii="Times New Roman" w:hAnsi="Times New Roman" w:cs="Times New Roman"/>
          <w:bCs/>
        </w:rPr>
        <w:t>but,</w:t>
      </w:r>
      <w:proofErr w:type="gramEnd"/>
      <w:r w:rsidRPr="00D7007E">
        <w:rPr>
          <w:rFonts w:ascii="Times New Roman" w:hAnsi="Times New Roman" w:cs="Times New Roman"/>
          <w:bCs/>
        </w:rPr>
        <w:t xml:space="preserve"> they do not offer the same degree of in-depth examination as other review kinds. In other words, strict steps and statistical analysis in systematic reviews make them better for </w:t>
      </w:r>
      <w:r w:rsidRPr="00D7007E">
        <w:rPr>
          <w:rFonts w:ascii="Times New Roman" w:hAnsi="Times New Roman" w:cs="Times New Roman"/>
          <w:bCs/>
        </w:rPr>
        <w:lastRenderedPageBreak/>
        <w:t>assured research and decisions (</w:t>
      </w:r>
      <w:proofErr w:type="spellStart"/>
      <w:r w:rsidRPr="00D7007E">
        <w:rPr>
          <w:rFonts w:ascii="Times New Roman" w:hAnsi="Times New Roman" w:cs="Times New Roman"/>
          <w:bCs/>
        </w:rPr>
        <w:t>Siddaway</w:t>
      </w:r>
      <w:proofErr w:type="spellEnd"/>
      <w:r w:rsidRPr="00D7007E">
        <w:rPr>
          <w:rFonts w:ascii="Times New Roman" w:hAnsi="Times New Roman" w:cs="Times New Roman"/>
          <w:bCs/>
        </w:rPr>
        <w:t xml:space="preserve"> et al., 2019). Offering flexibility is often achie</w:t>
      </w:r>
      <w:r>
        <w:rPr>
          <w:rFonts w:ascii="Times New Roman" w:hAnsi="Times New Roman" w:cs="Times New Roman"/>
          <w:bCs/>
        </w:rPr>
        <w:t xml:space="preserve">ved through giving up control. </w:t>
      </w:r>
      <w:r w:rsidRPr="00E60C54">
        <w:rPr>
          <w:rFonts w:ascii="Times New Roman" w:hAnsi="Times New Roman" w:cs="Times New Roman"/>
          <w:bCs/>
        </w:rPr>
        <w:t>Thus, after thorough consideration of available methods, a critical literature review is the most appropriate choice due to its ability to analytically evaluate and synthesize existing research</w:t>
      </w:r>
      <w:r w:rsidRPr="008455D0">
        <w:rPr>
          <w:rFonts w:ascii="Times New Roman" w:hAnsi="Times New Roman" w:cs="Times New Roman"/>
          <w:bCs/>
        </w:rPr>
        <w:t xml:space="preserve"> </w:t>
      </w:r>
      <w:r>
        <w:rPr>
          <w:rFonts w:ascii="Times New Roman" w:hAnsi="Times New Roman" w:cs="Times New Roman"/>
          <w:bCs/>
        </w:rPr>
        <w:t>(</w:t>
      </w:r>
      <w:r w:rsidRPr="00E60C54">
        <w:rPr>
          <w:rFonts w:ascii="Times New Roman" w:hAnsi="Times New Roman" w:cs="Times New Roman"/>
          <w:bCs/>
        </w:rPr>
        <w:t xml:space="preserve">Wright &amp; </w:t>
      </w:r>
      <w:proofErr w:type="spellStart"/>
      <w:r w:rsidRPr="00E60C54">
        <w:rPr>
          <w:rFonts w:ascii="Times New Roman" w:hAnsi="Times New Roman" w:cs="Times New Roman"/>
          <w:bCs/>
        </w:rPr>
        <w:t>Michailova</w:t>
      </w:r>
      <w:proofErr w:type="spellEnd"/>
      <w:r w:rsidRPr="00E60C54">
        <w:rPr>
          <w:rFonts w:ascii="Times New Roman" w:hAnsi="Times New Roman" w:cs="Times New Roman"/>
          <w:bCs/>
        </w:rPr>
        <w:t>, 2023). It supports evidence-based reasoning, fosters deeper insight, and aligns well with the study’s objectives</w:t>
      </w:r>
      <w:r>
        <w:rPr>
          <w:rFonts w:ascii="Times New Roman" w:hAnsi="Times New Roman" w:cs="Times New Roman"/>
          <w:bCs/>
        </w:rPr>
        <w:t>.</w:t>
      </w:r>
    </w:p>
    <w:p w14:paraId="0601538B" w14:textId="77777777" w:rsidR="00E60C54" w:rsidRPr="00D7007E" w:rsidRDefault="00E60C54" w:rsidP="00E60C54">
      <w:pPr>
        <w:spacing w:line="480" w:lineRule="auto"/>
        <w:ind w:firstLine="720"/>
        <w:rPr>
          <w:rFonts w:ascii="Times New Roman" w:hAnsi="Times New Roman" w:cs="Times New Roman"/>
          <w:bCs/>
        </w:rPr>
      </w:pPr>
      <w:r w:rsidRPr="00D7007E">
        <w:rPr>
          <w:rFonts w:ascii="Times New Roman" w:hAnsi="Times New Roman" w:cs="Times New Roman"/>
          <w:bCs/>
        </w:rPr>
        <w:t>At that juncture, the objective of this res</w:t>
      </w:r>
      <w:r>
        <w:rPr>
          <w:rFonts w:ascii="Times New Roman" w:hAnsi="Times New Roman" w:cs="Times New Roman"/>
          <w:bCs/>
        </w:rPr>
        <w:t>earch is to conduct a critical</w:t>
      </w:r>
      <w:r w:rsidRPr="00D7007E">
        <w:rPr>
          <w:rFonts w:ascii="Times New Roman" w:hAnsi="Times New Roman" w:cs="Times New Roman"/>
          <w:bCs/>
        </w:rPr>
        <w:t xml:space="preserve"> literature review to facilitate the understanding of how the circular economy concept can be applied to strengthen MNC supply chains in the face of disruptions. The specific goals are: </w:t>
      </w:r>
    </w:p>
    <w:p w14:paraId="7BEEB9C2" w14:textId="77777777" w:rsidR="00E60C54" w:rsidRPr="00D7007E" w:rsidRDefault="00E60C54" w:rsidP="00E60C54">
      <w:pPr>
        <w:numPr>
          <w:ilvl w:val="0"/>
          <w:numId w:val="3"/>
        </w:numPr>
        <w:spacing w:line="480" w:lineRule="auto"/>
        <w:rPr>
          <w:rFonts w:ascii="Times New Roman" w:hAnsi="Times New Roman" w:cs="Times New Roman"/>
          <w:bCs/>
        </w:rPr>
      </w:pPr>
      <w:r w:rsidRPr="00D7007E">
        <w:rPr>
          <w:rFonts w:ascii="Times New Roman" w:hAnsi="Times New Roman" w:cs="Times New Roman"/>
          <w:bCs/>
        </w:rPr>
        <w:t xml:space="preserve">Discuss the effects of global disruptions on existing supply chain management paradigms and key weaknesses </w:t>
      </w:r>
    </w:p>
    <w:p w14:paraId="10594582" w14:textId="77777777" w:rsidR="00E60C54" w:rsidRPr="00D7007E" w:rsidRDefault="00E60C54" w:rsidP="00E60C54">
      <w:pPr>
        <w:numPr>
          <w:ilvl w:val="0"/>
          <w:numId w:val="3"/>
        </w:numPr>
        <w:spacing w:line="480" w:lineRule="auto"/>
        <w:rPr>
          <w:rFonts w:ascii="Times New Roman" w:hAnsi="Times New Roman" w:cs="Times New Roman"/>
          <w:bCs/>
        </w:rPr>
      </w:pPr>
      <w:r w:rsidRPr="00D7007E">
        <w:rPr>
          <w:rFonts w:ascii="Times New Roman" w:hAnsi="Times New Roman" w:cs="Times New Roman"/>
          <w:bCs/>
        </w:rPr>
        <w:t>Assess the impacts of circular economy strategies on the vulnerability of supply chains.</w:t>
      </w:r>
    </w:p>
    <w:p w14:paraId="4BCC53C8" w14:textId="77777777" w:rsidR="00E60C54" w:rsidRPr="00D7007E" w:rsidRDefault="00E60C54" w:rsidP="00E60C54">
      <w:pPr>
        <w:numPr>
          <w:ilvl w:val="0"/>
          <w:numId w:val="3"/>
        </w:numPr>
        <w:spacing w:line="480" w:lineRule="auto"/>
        <w:rPr>
          <w:rFonts w:ascii="Times New Roman" w:hAnsi="Times New Roman" w:cs="Times New Roman"/>
          <w:bCs/>
        </w:rPr>
      </w:pPr>
      <w:r w:rsidRPr="00D7007E">
        <w:rPr>
          <w:rFonts w:ascii="Times New Roman" w:hAnsi="Times New Roman" w:cs="Times New Roman"/>
          <w:bCs/>
        </w:rPr>
        <w:t>Assess ways for integrating circular economy principles in supply chain resilience.</w:t>
      </w:r>
    </w:p>
    <w:p w14:paraId="78B70B66" w14:textId="77777777" w:rsidR="00E60C54" w:rsidRPr="00C855EB" w:rsidRDefault="00E60C54" w:rsidP="00E60C54">
      <w:pPr>
        <w:spacing w:line="480" w:lineRule="auto"/>
        <w:ind w:firstLine="720"/>
        <w:rPr>
          <w:rFonts w:ascii="Times New Roman" w:hAnsi="Times New Roman" w:cs="Times New Roman"/>
          <w:bCs/>
        </w:rPr>
      </w:pPr>
    </w:p>
    <w:p w14:paraId="213D4FE7" w14:textId="77777777" w:rsidR="00E60C54" w:rsidRPr="00C855EB" w:rsidRDefault="00E60C54" w:rsidP="00E60C54">
      <w:pPr>
        <w:spacing w:line="480" w:lineRule="auto"/>
        <w:rPr>
          <w:rFonts w:ascii="Times New Roman" w:hAnsi="Times New Roman" w:cs="Times New Roman"/>
          <w:bCs/>
        </w:rPr>
      </w:pPr>
    </w:p>
    <w:p w14:paraId="482F1088" w14:textId="77777777" w:rsidR="00E60C54" w:rsidRDefault="00E60C54" w:rsidP="00E60C54">
      <w:pPr>
        <w:spacing w:line="480" w:lineRule="auto"/>
        <w:jc w:val="center"/>
        <w:rPr>
          <w:rFonts w:ascii="Times New Roman" w:hAnsi="Times New Roman" w:cs="Times New Roman"/>
          <w:b/>
          <w:bCs/>
        </w:rPr>
      </w:pPr>
    </w:p>
    <w:p w14:paraId="509A1369" w14:textId="77777777" w:rsidR="00E60C54" w:rsidRDefault="00E60C54" w:rsidP="00E60C54">
      <w:pPr>
        <w:spacing w:line="480" w:lineRule="auto"/>
        <w:rPr>
          <w:rFonts w:ascii="Times New Roman" w:hAnsi="Times New Roman" w:cs="Times New Roman"/>
          <w:b/>
          <w:bCs/>
        </w:rPr>
      </w:pPr>
    </w:p>
    <w:p w14:paraId="41E79376" w14:textId="77777777" w:rsidR="00E60C54" w:rsidRDefault="00E60C54" w:rsidP="00E60C54">
      <w:pPr>
        <w:spacing w:line="480" w:lineRule="auto"/>
        <w:rPr>
          <w:rFonts w:ascii="Times New Roman" w:hAnsi="Times New Roman" w:cs="Times New Roman"/>
          <w:b/>
          <w:bCs/>
        </w:rPr>
      </w:pPr>
    </w:p>
    <w:p w14:paraId="6C10FA6B" w14:textId="77777777" w:rsidR="00E60C54" w:rsidRPr="00DC20F4" w:rsidRDefault="00E60C54" w:rsidP="00E60C54">
      <w:pPr>
        <w:pStyle w:val="1"/>
        <w:spacing w:line="480" w:lineRule="auto"/>
        <w:jc w:val="center"/>
        <w:rPr>
          <w:rFonts w:ascii="Times New Roman" w:hAnsi="Times New Roman" w:cs="Times New Roman"/>
          <w:b/>
          <w:color w:val="auto"/>
          <w:sz w:val="24"/>
          <w:szCs w:val="24"/>
        </w:rPr>
      </w:pPr>
      <w:bookmarkStart w:id="8" w:name="_Toc202430181"/>
      <w:r w:rsidRPr="00DC20F4">
        <w:rPr>
          <w:rFonts w:ascii="Times New Roman" w:hAnsi="Times New Roman" w:cs="Times New Roman"/>
          <w:b/>
          <w:color w:val="auto"/>
          <w:sz w:val="24"/>
          <w:szCs w:val="24"/>
        </w:rPr>
        <w:t>References</w:t>
      </w:r>
      <w:bookmarkEnd w:id="8"/>
    </w:p>
    <w:p w14:paraId="6263D1EE" w14:textId="77777777" w:rsidR="00E60C54" w:rsidRPr="004352C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 xml:space="preserve">Campbell, F., </w:t>
      </w:r>
      <w:proofErr w:type="spellStart"/>
      <w:r w:rsidRPr="004352C4">
        <w:rPr>
          <w:rFonts w:ascii="Times New Roman" w:hAnsi="Times New Roman" w:cs="Times New Roman"/>
          <w:bCs/>
        </w:rPr>
        <w:t>Tricco</w:t>
      </w:r>
      <w:proofErr w:type="spellEnd"/>
      <w:r w:rsidRPr="004352C4">
        <w:rPr>
          <w:rFonts w:ascii="Times New Roman" w:hAnsi="Times New Roman" w:cs="Times New Roman"/>
          <w:bCs/>
        </w:rPr>
        <w:t>, A.C., Munn, Z., Pollock, D., Saran, A., Sutton, A., White, H. &amp; Khalil, H. (2023). Mapping reviews, scoping reviews, and evidence and gap maps (EGMs): the same but different—the “Big Picture” review family. </w:t>
      </w:r>
      <w:r w:rsidRPr="004352C4">
        <w:rPr>
          <w:rFonts w:ascii="Times New Roman" w:hAnsi="Times New Roman" w:cs="Times New Roman"/>
          <w:bCs/>
          <w:i/>
          <w:iCs/>
        </w:rPr>
        <w:t>Systematic reviews</w:t>
      </w:r>
      <w:r w:rsidRPr="004352C4">
        <w:rPr>
          <w:rFonts w:ascii="Times New Roman" w:hAnsi="Times New Roman" w:cs="Times New Roman"/>
          <w:bCs/>
        </w:rPr>
        <w:t>, </w:t>
      </w:r>
      <w:r w:rsidRPr="004352C4">
        <w:rPr>
          <w:rFonts w:ascii="Times New Roman" w:hAnsi="Times New Roman" w:cs="Times New Roman"/>
          <w:bCs/>
          <w:i/>
          <w:iCs/>
        </w:rPr>
        <w:t>12</w:t>
      </w:r>
      <w:r w:rsidRPr="004352C4">
        <w:rPr>
          <w:rFonts w:ascii="Times New Roman" w:hAnsi="Times New Roman" w:cs="Times New Roman"/>
          <w:bCs/>
        </w:rPr>
        <w:t>(1), p.45.</w:t>
      </w:r>
    </w:p>
    <w:p w14:paraId="2A79896E" w14:textId="77777777" w:rsidR="00E60C54" w:rsidRDefault="00E60C54" w:rsidP="00E60C54">
      <w:pPr>
        <w:spacing w:line="480" w:lineRule="auto"/>
        <w:ind w:left="720" w:hanging="720"/>
        <w:rPr>
          <w:rFonts w:ascii="Times New Roman" w:hAnsi="Times New Roman" w:cs="Times New Roman"/>
          <w:bCs/>
        </w:rPr>
      </w:pPr>
      <w:r w:rsidRPr="00327E24">
        <w:rPr>
          <w:rFonts w:ascii="Times New Roman" w:hAnsi="Times New Roman" w:cs="Times New Roman"/>
          <w:bCs/>
        </w:rPr>
        <w:t xml:space="preserve">Campbell, M., </w:t>
      </w:r>
      <w:proofErr w:type="spellStart"/>
      <w:r w:rsidRPr="00327E24">
        <w:rPr>
          <w:rFonts w:ascii="Times New Roman" w:hAnsi="Times New Roman" w:cs="Times New Roman"/>
          <w:bCs/>
        </w:rPr>
        <w:t>Katikireddi</w:t>
      </w:r>
      <w:proofErr w:type="spellEnd"/>
      <w:r w:rsidRPr="00327E24">
        <w:rPr>
          <w:rFonts w:ascii="Times New Roman" w:hAnsi="Times New Roman" w:cs="Times New Roman"/>
          <w:bCs/>
        </w:rPr>
        <w:t>, S. V., Sowden, A., &amp; Thomson, H. (2019). Lack of transparency in reporting narrative synthesis of quantitative data: a methodological assessment of systematic reviews. </w:t>
      </w:r>
      <w:r w:rsidRPr="00327E24">
        <w:rPr>
          <w:rFonts w:ascii="Times New Roman" w:hAnsi="Times New Roman" w:cs="Times New Roman"/>
          <w:bCs/>
          <w:i/>
          <w:iCs/>
        </w:rPr>
        <w:t>Journal of clinical epidemiology</w:t>
      </w:r>
      <w:r w:rsidRPr="00327E24">
        <w:rPr>
          <w:rFonts w:ascii="Times New Roman" w:hAnsi="Times New Roman" w:cs="Times New Roman"/>
          <w:bCs/>
        </w:rPr>
        <w:t>, </w:t>
      </w:r>
      <w:r w:rsidRPr="00327E24">
        <w:rPr>
          <w:rFonts w:ascii="Times New Roman" w:hAnsi="Times New Roman" w:cs="Times New Roman"/>
          <w:bCs/>
          <w:i/>
          <w:iCs/>
        </w:rPr>
        <w:t>105</w:t>
      </w:r>
      <w:r w:rsidRPr="00327E24">
        <w:rPr>
          <w:rFonts w:ascii="Times New Roman" w:hAnsi="Times New Roman" w:cs="Times New Roman"/>
          <w:bCs/>
        </w:rPr>
        <w:t>, 1-9.</w:t>
      </w:r>
    </w:p>
    <w:p w14:paraId="1399FF01" w14:textId="77777777" w:rsidR="00E60C54" w:rsidRDefault="00E60C54" w:rsidP="00E60C54">
      <w:pPr>
        <w:spacing w:line="480" w:lineRule="auto"/>
        <w:ind w:left="720" w:hanging="720"/>
        <w:rPr>
          <w:rFonts w:ascii="Times New Roman" w:hAnsi="Times New Roman" w:cs="Times New Roman"/>
          <w:bCs/>
        </w:rPr>
      </w:pPr>
      <w:r w:rsidRPr="00B151DF">
        <w:rPr>
          <w:rFonts w:ascii="Times New Roman" w:hAnsi="Times New Roman" w:cs="Times New Roman"/>
          <w:bCs/>
        </w:rPr>
        <w:t>Cheung, M. W. L., &amp; Vijayakumar, R. (2016). A guide to conducting a meta-analysis. </w:t>
      </w:r>
      <w:r w:rsidRPr="00B151DF">
        <w:rPr>
          <w:rFonts w:ascii="Times New Roman" w:hAnsi="Times New Roman" w:cs="Times New Roman"/>
          <w:bCs/>
          <w:i/>
          <w:iCs/>
        </w:rPr>
        <w:t>Neuropsychology review</w:t>
      </w:r>
      <w:r w:rsidRPr="00B151DF">
        <w:rPr>
          <w:rFonts w:ascii="Times New Roman" w:hAnsi="Times New Roman" w:cs="Times New Roman"/>
          <w:bCs/>
        </w:rPr>
        <w:t>, </w:t>
      </w:r>
      <w:r w:rsidRPr="00B151DF">
        <w:rPr>
          <w:rFonts w:ascii="Times New Roman" w:hAnsi="Times New Roman" w:cs="Times New Roman"/>
          <w:bCs/>
          <w:i/>
          <w:iCs/>
        </w:rPr>
        <w:t>26</w:t>
      </w:r>
      <w:r w:rsidRPr="00B151DF">
        <w:rPr>
          <w:rFonts w:ascii="Times New Roman" w:hAnsi="Times New Roman" w:cs="Times New Roman"/>
          <w:bCs/>
        </w:rPr>
        <w:t>, 121-128.</w:t>
      </w:r>
    </w:p>
    <w:p w14:paraId="15D88C21" w14:textId="77777777" w:rsidR="00E60C54" w:rsidRPr="004352C4" w:rsidRDefault="00E60C54" w:rsidP="00E60C54">
      <w:pPr>
        <w:spacing w:line="480" w:lineRule="auto"/>
        <w:ind w:left="720" w:hanging="720"/>
        <w:rPr>
          <w:rFonts w:ascii="Times New Roman" w:hAnsi="Times New Roman" w:cs="Times New Roman"/>
          <w:bCs/>
        </w:rPr>
      </w:pPr>
      <w:proofErr w:type="spellStart"/>
      <w:r w:rsidRPr="004352C4">
        <w:rPr>
          <w:rFonts w:ascii="Times New Roman" w:hAnsi="Times New Roman" w:cs="Times New Roman"/>
          <w:bCs/>
        </w:rPr>
        <w:t>Degtiar</w:t>
      </w:r>
      <w:proofErr w:type="spellEnd"/>
      <w:r w:rsidRPr="004352C4">
        <w:rPr>
          <w:rFonts w:ascii="Times New Roman" w:hAnsi="Times New Roman" w:cs="Times New Roman"/>
          <w:bCs/>
        </w:rPr>
        <w:t>, I., &amp; Rose, S. (2023). A review of generalizability and transportability. </w:t>
      </w:r>
      <w:r w:rsidRPr="004352C4">
        <w:rPr>
          <w:rFonts w:ascii="Times New Roman" w:hAnsi="Times New Roman" w:cs="Times New Roman"/>
          <w:bCs/>
          <w:i/>
          <w:iCs/>
        </w:rPr>
        <w:t>Annual Review of Statistics and Its Application</w:t>
      </w:r>
      <w:r w:rsidRPr="004352C4">
        <w:rPr>
          <w:rFonts w:ascii="Times New Roman" w:hAnsi="Times New Roman" w:cs="Times New Roman"/>
          <w:bCs/>
        </w:rPr>
        <w:t>, </w:t>
      </w:r>
      <w:r w:rsidRPr="004352C4">
        <w:rPr>
          <w:rFonts w:ascii="Times New Roman" w:hAnsi="Times New Roman" w:cs="Times New Roman"/>
          <w:bCs/>
          <w:i/>
          <w:iCs/>
        </w:rPr>
        <w:t>10</w:t>
      </w:r>
      <w:r w:rsidRPr="004352C4">
        <w:rPr>
          <w:rFonts w:ascii="Times New Roman" w:hAnsi="Times New Roman" w:cs="Times New Roman"/>
          <w:bCs/>
        </w:rPr>
        <w:t>(1), 501-524.</w:t>
      </w:r>
    </w:p>
    <w:p w14:paraId="2F847B65" w14:textId="77777777" w:rsidR="00E60C54" w:rsidRPr="004352C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Elliott-Mainwaring, H. (2021). Exploring using NVivo software to facilitate inductive coding for thematic narrative synthesis. </w:t>
      </w:r>
      <w:r w:rsidRPr="004352C4">
        <w:rPr>
          <w:rFonts w:ascii="Times New Roman" w:hAnsi="Times New Roman" w:cs="Times New Roman"/>
          <w:bCs/>
          <w:i/>
          <w:iCs/>
        </w:rPr>
        <w:t>British Journal of Midwifery</w:t>
      </w:r>
      <w:r w:rsidRPr="004352C4">
        <w:rPr>
          <w:rFonts w:ascii="Times New Roman" w:hAnsi="Times New Roman" w:cs="Times New Roman"/>
          <w:bCs/>
        </w:rPr>
        <w:t>, </w:t>
      </w:r>
      <w:r w:rsidRPr="004352C4">
        <w:rPr>
          <w:rFonts w:ascii="Times New Roman" w:hAnsi="Times New Roman" w:cs="Times New Roman"/>
          <w:bCs/>
          <w:i/>
          <w:iCs/>
        </w:rPr>
        <w:t>29</w:t>
      </w:r>
      <w:r w:rsidRPr="004352C4">
        <w:rPr>
          <w:rFonts w:ascii="Times New Roman" w:hAnsi="Times New Roman" w:cs="Times New Roman"/>
          <w:bCs/>
        </w:rPr>
        <w:t>(11), 628-632.</w:t>
      </w:r>
    </w:p>
    <w:p w14:paraId="087EAE62" w14:textId="77777777" w:rsidR="00E60C54" w:rsidRDefault="00E60C54" w:rsidP="00E60C54">
      <w:pPr>
        <w:spacing w:line="480" w:lineRule="auto"/>
        <w:ind w:left="720" w:hanging="720"/>
        <w:rPr>
          <w:rFonts w:ascii="Times New Roman" w:hAnsi="Times New Roman" w:cs="Times New Roman"/>
          <w:bCs/>
        </w:rPr>
      </w:pPr>
      <w:proofErr w:type="spellStart"/>
      <w:r w:rsidRPr="004352C4">
        <w:rPr>
          <w:rFonts w:ascii="Times New Roman" w:hAnsi="Times New Roman" w:cs="Times New Roman"/>
          <w:bCs/>
        </w:rPr>
        <w:t>Flemming</w:t>
      </w:r>
      <w:proofErr w:type="spellEnd"/>
      <w:r w:rsidRPr="004352C4">
        <w:rPr>
          <w:rFonts w:ascii="Times New Roman" w:hAnsi="Times New Roman" w:cs="Times New Roman"/>
          <w:bCs/>
        </w:rPr>
        <w:t xml:space="preserve">, K., &amp; Noyes, J. (2021). Qualitative evidence synthesis: where are we </w:t>
      </w:r>
      <w:proofErr w:type="gramStart"/>
      <w:r w:rsidRPr="004352C4">
        <w:rPr>
          <w:rFonts w:ascii="Times New Roman" w:hAnsi="Times New Roman" w:cs="Times New Roman"/>
          <w:bCs/>
        </w:rPr>
        <w:t>at?.</w:t>
      </w:r>
      <w:proofErr w:type="gramEnd"/>
      <w:r w:rsidRPr="004352C4">
        <w:rPr>
          <w:rFonts w:ascii="Times New Roman" w:hAnsi="Times New Roman" w:cs="Times New Roman"/>
          <w:bCs/>
        </w:rPr>
        <w:t> </w:t>
      </w:r>
      <w:r w:rsidRPr="004352C4">
        <w:rPr>
          <w:rFonts w:ascii="Times New Roman" w:hAnsi="Times New Roman" w:cs="Times New Roman"/>
          <w:bCs/>
          <w:i/>
          <w:iCs/>
        </w:rPr>
        <w:t>International Journal of Qualitative Methods</w:t>
      </w:r>
      <w:r w:rsidRPr="004352C4">
        <w:rPr>
          <w:rFonts w:ascii="Times New Roman" w:hAnsi="Times New Roman" w:cs="Times New Roman"/>
          <w:bCs/>
        </w:rPr>
        <w:t>, </w:t>
      </w:r>
      <w:r w:rsidRPr="004352C4">
        <w:rPr>
          <w:rFonts w:ascii="Times New Roman" w:hAnsi="Times New Roman" w:cs="Times New Roman"/>
          <w:bCs/>
          <w:i/>
          <w:iCs/>
        </w:rPr>
        <w:t>20</w:t>
      </w:r>
      <w:r>
        <w:rPr>
          <w:rFonts w:ascii="Times New Roman" w:hAnsi="Times New Roman" w:cs="Times New Roman"/>
          <w:bCs/>
        </w:rPr>
        <w:t>, 16-35.</w:t>
      </w:r>
    </w:p>
    <w:p w14:paraId="7EF48D29" w14:textId="77777777" w:rsidR="00E60C54" w:rsidRPr="004352C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lastRenderedPageBreak/>
        <w:t>Jackson, D., &amp; Turner, R. (2017). Power analysis for random‐effects meta‐analysis. </w:t>
      </w:r>
      <w:r w:rsidRPr="004352C4">
        <w:rPr>
          <w:rFonts w:ascii="Times New Roman" w:hAnsi="Times New Roman" w:cs="Times New Roman"/>
          <w:bCs/>
          <w:i/>
          <w:iCs/>
        </w:rPr>
        <w:t>Research synthesis methods</w:t>
      </w:r>
      <w:r w:rsidRPr="004352C4">
        <w:rPr>
          <w:rFonts w:ascii="Times New Roman" w:hAnsi="Times New Roman" w:cs="Times New Roman"/>
          <w:bCs/>
        </w:rPr>
        <w:t>, </w:t>
      </w:r>
      <w:r w:rsidRPr="004352C4">
        <w:rPr>
          <w:rFonts w:ascii="Times New Roman" w:hAnsi="Times New Roman" w:cs="Times New Roman"/>
          <w:bCs/>
          <w:i/>
          <w:iCs/>
        </w:rPr>
        <w:t>8</w:t>
      </w:r>
      <w:r w:rsidRPr="004352C4">
        <w:rPr>
          <w:rFonts w:ascii="Times New Roman" w:hAnsi="Times New Roman" w:cs="Times New Roman"/>
          <w:bCs/>
        </w:rPr>
        <w:t>(3), 290-302.</w:t>
      </w:r>
    </w:p>
    <w:p w14:paraId="06D85A81" w14:textId="77777777" w:rsidR="00E60C54" w:rsidRPr="004352C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Lame, G. (2019, July). Systematic literature reviews: An introduction. In </w:t>
      </w:r>
      <w:r w:rsidRPr="004352C4">
        <w:rPr>
          <w:rFonts w:ascii="Times New Roman" w:hAnsi="Times New Roman" w:cs="Times New Roman"/>
          <w:bCs/>
          <w:i/>
          <w:iCs/>
        </w:rPr>
        <w:t>Proceedings of the design society: international conference on engineering design</w:t>
      </w:r>
      <w:r w:rsidRPr="004352C4">
        <w:rPr>
          <w:rFonts w:ascii="Times New Roman" w:hAnsi="Times New Roman" w:cs="Times New Roman"/>
          <w:bCs/>
        </w:rPr>
        <w:t> (Vol. 1, No. 1, pp. 1633-1642). Cambridge University Press.</w:t>
      </w:r>
    </w:p>
    <w:p w14:paraId="3514BD0A" w14:textId="77777777" w:rsidR="00E60C54" w:rsidRPr="004352C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Lee, Y. H. (2019). Strengths and limitations of meta-analysis. </w:t>
      </w:r>
      <w:r w:rsidRPr="004352C4">
        <w:rPr>
          <w:rFonts w:ascii="Times New Roman" w:hAnsi="Times New Roman" w:cs="Times New Roman"/>
          <w:bCs/>
          <w:i/>
          <w:iCs/>
        </w:rPr>
        <w:t>The Korean Journal of Medicine</w:t>
      </w:r>
      <w:r w:rsidRPr="004352C4">
        <w:rPr>
          <w:rFonts w:ascii="Times New Roman" w:hAnsi="Times New Roman" w:cs="Times New Roman"/>
          <w:bCs/>
        </w:rPr>
        <w:t>, </w:t>
      </w:r>
      <w:r w:rsidRPr="004352C4">
        <w:rPr>
          <w:rFonts w:ascii="Times New Roman" w:hAnsi="Times New Roman" w:cs="Times New Roman"/>
          <w:bCs/>
          <w:i/>
          <w:iCs/>
        </w:rPr>
        <w:t>94</w:t>
      </w:r>
      <w:r w:rsidRPr="004352C4">
        <w:rPr>
          <w:rFonts w:ascii="Times New Roman" w:hAnsi="Times New Roman" w:cs="Times New Roman"/>
          <w:bCs/>
        </w:rPr>
        <w:t>(5), 391-395.</w:t>
      </w:r>
    </w:p>
    <w:p w14:paraId="77A4E89E" w14:textId="77777777" w:rsidR="00E60C54" w:rsidRPr="006E74E7"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Linares-</w:t>
      </w:r>
      <w:proofErr w:type="spellStart"/>
      <w:r w:rsidRPr="004352C4">
        <w:rPr>
          <w:rFonts w:ascii="Times New Roman" w:hAnsi="Times New Roman" w:cs="Times New Roman"/>
          <w:bCs/>
        </w:rPr>
        <w:t>Espinós</w:t>
      </w:r>
      <w:proofErr w:type="spellEnd"/>
      <w:r w:rsidRPr="004352C4">
        <w:rPr>
          <w:rFonts w:ascii="Times New Roman" w:hAnsi="Times New Roman" w:cs="Times New Roman"/>
          <w:bCs/>
        </w:rPr>
        <w:t>, E., Hernández, V., Domínguez-</w:t>
      </w:r>
      <w:proofErr w:type="spellStart"/>
      <w:r w:rsidRPr="004352C4">
        <w:rPr>
          <w:rFonts w:ascii="Times New Roman" w:hAnsi="Times New Roman" w:cs="Times New Roman"/>
          <w:bCs/>
        </w:rPr>
        <w:t>Escrig</w:t>
      </w:r>
      <w:proofErr w:type="spellEnd"/>
      <w:r w:rsidRPr="004352C4">
        <w:rPr>
          <w:rFonts w:ascii="Times New Roman" w:hAnsi="Times New Roman" w:cs="Times New Roman"/>
          <w:bCs/>
        </w:rPr>
        <w:t>, J. L., Fernández-</w:t>
      </w:r>
      <w:proofErr w:type="spellStart"/>
      <w:r w:rsidRPr="004352C4">
        <w:rPr>
          <w:rFonts w:ascii="Times New Roman" w:hAnsi="Times New Roman" w:cs="Times New Roman"/>
          <w:bCs/>
        </w:rPr>
        <w:t>Pello</w:t>
      </w:r>
      <w:proofErr w:type="spellEnd"/>
      <w:r w:rsidRPr="004352C4">
        <w:rPr>
          <w:rFonts w:ascii="Times New Roman" w:hAnsi="Times New Roman" w:cs="Times New Roman"/>
          <w:bCs/>
        </w:rPr>
        <w:t xml:space="preserve">, S., </w:t>
      </w:r>
      <w:proofErr w:type="spellStart"/>
      <w:r w:rsidRPr="004352C4">
        <w:rPr>
          <w:rFonts w:ascii="Times New Roman" w:hAnsi="Times New Roman" w:cs="Times New Roman"/>
          <w:bCs/>
        </w:rPr>
        <w:t>Hevia</w:t>
      </w:r>
      <w:proofErr w:type="spellEnd"/>
      <w:r w:rsidRPr="004352C4">
        <w:rPr>
          <w:rFonts w:ascii="Times New Roman" w:hAnsi="Times New Roman" w:cs="Times New Roman"/>
          <w:bCs/>
        </w:rPr>
        <w:t xml:space="preserve">, V., Mayor, J., ... &amp; </w:t>
      </w:r>
      <w:proofErr w:type="spellStart"/>
      <w:r w:rsidRPr="004352C4">
        <w:rPr>
          <w:rFonts w:ascii="Times New Roman" w:hAnsi="Times New Roman" w:cs="Times New Roman"/>
          <w:bCs/>
        </w:rPr>
        <w:t>Ribal</w:t>
      </w:r>
      <w:proofErr w:type="spellEnd"/>
      <w:r w:rsidRPr="004352C4">
        <w:rPr>
          <w:rFonts w:ascii="Times New Roman" w:hAnsi="Times New Roman" w:cs="Times New Roman"/>
          <w:bCs/>
        </w:rPr>
        <w:t>, M. J. (2018). Methodology of a systematic review. </w:t>
      </w:r>
      <w:proofErr w:type="spellStart"/>
      <w:r w:rsidRPr="006E74E7">
        <w:rPr>
          <w:rFonts w:ascii="Times New Roman" w:hAnsi="Times New Roman" w:cs="Times New Roman"/>
          <w:bCs/>
          <w:i/>
          <w:iCs/>
        </w:rPr>
        <w:t>Actas</w:t>
      </w:r>
      <w:proofErr w:type="spellEnd"/>
      <w:r w:rsidRPr="006E74E7">
        <w:rPr>
          <w:rFonts w:ascii="Times New Roman" w:hAnsi="Times New Roman" w:cs="Times New Roman"/>
          <w:bCs/>
          <w:i/>
          <w:iCs/>
        </w:rPr>
        <w:t xml:space="preserve"> </w:t>
      </w:r>
      <w:proofErr w:type="spellStart"/>
      <w:r w:rsidRPr="006E74E7">
        <w:rPr>
          <w:rFonts w:ascii="Times New Roman" w:hAnsi="Times New Roman" w:cs="Times New Roman"/>
          <w:bCs/>
          <w:i/>
          <w:iCs/>
        </w:rPr>
        <w:t>Urológicas</w:t>
      </w:r>
      <w:proofErr w:type="spellEnd"/>
      <w:r w:rsidRPr="006E74E7">
        <w:rPr>
          <w:rFonts w:ascii="Times New Roman" w:hAnsi="Times New Roman" w:cs="Times New Roman"/>
          <w:bCs/>
          <w:i/>
          <w:iCs/>
        </w:rPr>
        <w:t xml:space="preserve"> </w:t>
      </w:r>
      <w:proofErr w:type="spellStart"/>
      <w:r w:rsidRPr="006E74E7">
        <w:rPr>
          <w:rFonts w:ascii="Times New Roman" w:hAnsi="Times New Roman" w:cs="Times New Roman"/>
          <w:bCs/>
          <w:i/>
          <w:iCs/>
        </w:rPr>
        <w:t>Españolas</w:t>
      </w:r>
      <w:proofErr w:type="spellEnd"/>
      <w:r w:rsidRPr="006E74E7">
        <w:rPr>
          <w:rFonts w:ascii="Times New Roman" w:hAnsi="Times New Roman" w:cs="Times New Roman"/>
          <w:bCs/>
          <w:i/>
          <w:iCs/>
        </w:rPr>
        <w:t xml:space="preserve"> (English Edition)</w:t>
      </w:r>
      <w:r w:rsidRPr="006E74E7">
        <w:rPr>
          <w:rFonts w:ascii="Times New Roman" w:hAnsi="Times New Roman" w:cs="Times New Roman"/>
          <w:bCs/>
        </w:rPr>
        <w:t>, </w:t>
      </w:r>
      <w:r w:rsidRPr="006E74E7">
        <w:rPr>
          <w:rFonts w:ascii="Times New Roman" w:hAnsi="Times New Roman" w:cs="Times New Roman"/>
          <w:bCs/>
          <w:i/>
          <w:iCs/>
        </w:rPr>
        <w:t>42</w:t>
      </w:r>
      <w:r w:rsidRPr="006E74E7">
        <w:rPr>
          <w:rFonts w:ascii="Times New Roman" w:hAnsi="Times New Roman" w:cs="Times New Roman"/>
          <w:bCs/>
        </w:rPr>
        <w:t>(8), 499-506.</w:t>
      </w:r>
    </w:p>
    <w:p w14:paraId="0C7CFA40" w14:textId="77777777" w:rsidR="00E60C54" w:rsidRPr="004352C4" w:rsidRDefault="00E60C54" w:rsidP="00E60C54">
      <w:pPr>
        <w:spacing w:line="480" w:lineRule="auto"/>
        <w:ind w:left="720" w:hanging="720"/>
        <w:rPr>
          <w:rFonts w:ascii="Times New Roman" w:hAnsi="Times New Roman" w:cs="Times New Roman"/>
          <w:bCs/>
        </w:rPr>
      </w:pPr>
      <w:proofErr w:type="spellStart"/>
      <w:r w:rsidRPr="004352C4">
        <w:rPr>
          <w:rFonts w:ascii="Times New Roman" w:hAnsi="Times New Roman" w:cs="Times New Roman"/>
          <w:bCs/>
        </w:rPr>
        <w:t>Miake</w:t>
      </w:r>
      <w:proofErr w:type="spellEnd"/>
      <w:r w:rsidRPr="004352C4">
        <w:rPr>
          <w:rFonts w:ascii="Times New Roman" w:hAnsi="Times New Roman" w:cs="Times New Roman"/>
          <w:bCs/>
        </w:rPr>
        <w:t xml:space="preserve">-Lye, I. M., Hempel, S., </w:t>
      </w:r>
      <w:proofErr w:type="spellStart"/>
      <w:r w:rsidRPr="004352C4">
        <w:rPr>
          <w:rFonts w:ascii="Times New Roman" w:hAnsi="Times New Roman" w:cs="Times New Roman"/>
          <w:bCs/>
        </w:rPr>
        <w:t>Shanman</w:t>
      </w:r>
      <w:proofErr w:type="spellEnd"/>
      <w:r w:rsidRPr="004352C4">
        <w:rPr>
          <w:rFonts w:ascii="Times New Roman" w:hAnsi="Times New Roman" w:cs="Times New Roman"/>
          <w:bCs/>
        </w:rPr>
        <w:t xml:space="preserve">, R., &amp; </w:t>
      </w:r>
      <w:proofErr w:type="spellStart"/>
      <w:r w:rsidRPr="004352C4">
        <w:rPr>
          <w:rFonts w:ascii="Times New Roman" w:hAnsi="Times New Roman" w:cs="Times New Roman"/>
          <w:bCs/>
        </w:rPr>
        <w:t>Shekelle</w:t>
      </w:r>
      <w:proofErr w:type="spellEnd"/>
      <w:r w:rsidRPr="004352C4">
        <w:rPr>
          <w:rFonts w:ascii="Times New Roman" w:hAnsi="Times New Roman" w:cs="Times New Roman"/>
          <w:bCs/>
        </w:rPr>
        <w:t>, P. G. (2016). What is an evidence map? A systematic review of published evidence maps and their definitions, methods, and products. </w:t>
      </w:r>
      <w:r w:rsidRPr="004352C4">
        <w:rPr>
          <w:rFonts w:ascii="Times New Roman" w:hAnsi="Times New Roman" w:cs="Times New Roman"/>
          <w:bCs/>
          <w:i/>
          <w:iCs/>
        </w:rPr>
        <w:t>Systematic reviews</w:t>
      </w:r>
      <w:r w:rsidRPr="004352C4">
        <w:rPr>
          <w:rFonts w:ascii="Times New Roman" w:hAnsi="Times New Roman" w:cs="Times New Roman"/>
          <w:bCs/>
        </w:rPr>
        <w:t>, </w:t>
      </w:r>
      <w:r w:rsidRPr="004352C4">
        <w:rPr>
          <w:rFonts w:ascii="Times New Roman" w:hAnsi="Times New Roman" w:cs="Times New Roman"/>
          <w:bCs/>
          <w:i/>
          <w:iCs/>
        </w:rPr>
        <w:t>5</w:t>
      </w:r>
      <w:r w:rsidRPr="004352C4">
        <w:rPr>
          <w:rFonts w:ascii="Times New Roman" w:hAnsi="Times New Roman" w:cs="Times New Roman"/>
          <w:bCs/>
        </w:rPr>
        <w:t>, 1-21.</w:t>
      </w:r>
    </w:p>
    <w:p w14:paraId="31991EAD" w14:textId="77777777" w:rsidR="00E60C5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 xml:space="preserve">Mohamed </w:t>
      </w:r>
      <w:proofErr w:type="spellStart"/>
      <w:r w:rsidRPr="004352C4">
        <w:rPr>
          <w:rFonts w:ascii="Times New Roman" w:hAnsi="Times New Roman" w:cs="Times New Roman"/>
          <w:bCs/>
        </w:rPr>
        <w:t>Shaffril</w:t>
      </w:r>
      <w:proofErr w:type="spellEnd"/>
      <w:r w:rsidRPr="004352C4">
        <w:rPr>
          <w:rFonts w:ascii="Times New Roman" w:hAnsi="Times New Roman" w:cs="Times New Roman"/>
          <w:bCs/>
        </w:rPr>
        <w:t xml:space="preserve">, H. A., </w:t>
      </w:r>
      <w:proofErr w:type="spellStart"/>
      <w:r w:rsidRPr="004352C4">
        <w:rPr>
          <w:rFonts w:ascii="Times New Roman" w:hAnsi="Times New Roman" w:cs="Times New Roman"/>
          <w:bCs/>
        </w:rPr>
        <w:t>Samsuddin</w:t>
      </w:r>
      <w:proofErr w:type="spellEnd"/>
      <w:r w:rsidRPr="004352C4">
        <w:rPr>
          <w:rFonts w:ascii="Times New Roman" w:hAnsi="Times New Roman" w:cs="Times New Roman"/>
          <w:bCs/>
        </w:rPr>
        <w:t xml:space="preserve">, S. F., &amp; Abu </w:t>
      </w:r>
      <w:proofErr w:type="spellStart"/>
      <w:r w:rsidRPr="004352C4">
        <w:rPr>
          <w:rFonts w:ascii="Times New Roman" w:hAnsi="Times New Roman" w:cs="Times New Roman"/>
          <w:bCs/>
        </w:rPr>
        <w:t>Samah</w:t>
      </w:r>
      <w:proofErr w:type="spellEnd"/>
      <w:r w:rsidRPr="004352C4">
        <w:rPr>
          <w:rFonts w:ascii="Times New Roman" w:hAnsi="Times New Roman" w:cs="Times New Roman"/>
          <w:bCs/>
        </w:rPr>
        <w:t>, A. (2021). The ABC of systematic literature review: the basic methodological guidance for beginners. </w:t>
      </w:r>
      <w:r w:rsidRPr="004352C4">
        <w:rPr>
          <w:rFonts w:ascii="Times New Roman" w:hAnsi="Times New Roman" w:cs="Times New Roman"/>
          <w:bCs/>
          <w:i/>
          <w:iCs/>
        </w:rPr>
        <w:t>Quality &amp; quantity</w:t>
      </w:r>
      <w:r w:rsidRPr="004352C4">
        <w:rPr>
          <w:rFonts w:ascii="Times New Roman" w:hAnsi="Times New Roman" w:cs="Times New Roman"/>
          <w:bCs/>
        </w:rPr>
        <w:t>, </w:t>
      </w:r>
      <w:r w:rsidRPr="004352C4">
        <w:rPr>
          <w:rFonts w:ascii="Times New Roman" w:hAnsi="Times New Roman" w:cs="Times New Roman"/>
          <w:bCs/>
          <w:i/>
          <w:iCs/>
        </w:rPr>
        <w:t>55</w:t>
      </w:r>
      <w:r w:rsidRPr="004352C4">
        <w:rPr>
          <w:rFonts w:ascii="Times New Roman" w:hAnsi="Times New Roman" w:cs="Times New Roman"/>
          <w:bCs/>
        </w:rPr>
        <w:t>, 1319-1346.</w:t>
      </w:r>
    </w:p>
    <w:p w14:paraId="5A3A99E1" w14:textId="77777777" w:rsidR="00E60C54" w:rsidRPr="004352C4" w:rsidRDefault="00E60C54" w:rsidP="00E60C54">
      <w:pPr>
        <w:spacing w:line="480" w:lineRule="auto"/>
        <w:ind w:left="720" w:hanging="720"/>
        <w:rPr>
          <w:rFonts w:ascii="Times New Roman" w:hAnsi="Times New Roman" w:cs="Times New Roman"/>
          <w:bCs/>
        </w:rPr>
      </w:pPr>
      <w:proofErr w:type="spellStart"/>
      <w:r w:rsidRPr="004352C4">
        <w:rPr>
          <w:rFonts w:ascii="Times New Roman" w:hAnsi="Times New Roman" w:cs="Times New Roman"/>
          <w:bCs/>
        </w:rPr>
        <w:t>Nassaji</w:t>
      </w:r>
      <w:proofErr w:type="spellEnd"/>
      <w:r w:rsidRPr="004352C4">
        <w:rPr>
          <w:rFonts w:ascii="Times New Roman" w:hAnsi="Times New Roman" w:cs="Times New Roman"/>
          <w:bCs/>
        </w:rPr>
        <w:t>, H. (2015). Qualitative and descriptive research: Data type versus data analysis. </w:t>
      </w:r>
      <w:r w:rsidRPr="004352C4">
        <w:rPr>
          <w:rFonts w:ascii="Times New Roman" w:hAnsi="Times New Roman" w:cs="Times New Roman"/>
          <w:bCs/>
          <w:i/>
          <w:iCs/>
        </w:rPr>
        <w:t>Language teaching research</w:t>
      </w:r>
      <w:r w:rsidRPr="004352C4">
        <w:rPr>
          <w:rFonts w:ascii="Times New Roman" w:hAnsi="Times New Roman" w:cs="Times New Roman"/>
          <w:bCs/>
        </w:rPr>
        <w:t>, </w:t>
      </w:r>
      <w:r w:rsidRPr="004352C4">
        <w:rPr>
          <w:rFonts w:ascii="Times New Roman" w:hAnsi="Times New Roman" w:cs="Times New Roman"/>
          <w:bCs/>
          <w:i/>
          <w:iCs/>
        </w:rPr>
        <w:t>19</w:t>
      </w:r>
      <w:r w:rsidRPr="004352C4">
        <w:rPr>
          <w:rFonts w:ascii="Times New Roman" w:hAnsi="Times New Roman" w:cs="Times New Roman"/>
          <w:bCs/>
        </w:rPr>
        <w:t>(2), pp.129-132.</w:t>
      </w:r>
    </w:p>
    <w:p w14:paraId="152E2E13" w14:textId="77777777" w:rsidR="00E60C54" w:rsidRPr="004352C4" w:rsidRDefault="00E60C54" w:rsidP="00E60C54">
      <w:pPr>
        <w:spacing w:line="480" w:lineRule="auto"/>
        <w:ind w:left="720" w:hanging="720"/>
        <w:rPr>
          <w:rFonts w:ascii="Times New Roman" w:hAnsi="Times New Roman" w:cs="Times New Roman"/>
          <w:bCs/>
        </w:rPr>
      </w:pPr>
      <w:proofErr w:type="spellStart"/>
      <w:r w:rsidRPr="004352C4">
        <w:rPr>
          <w:rFonts w:ascii="Times New Roman" w:hAnsi="Times New Roman" w:cs="Times New Roman"/>
          <w:bCs/>
        </w:rPr>
        <w:t>Pae</w:t>
      </w:r>
      <w:proofErr w:type="spellEnd"/>
      <w:r w:rsidRPr="004352C4">
        <w:rPr>
          <w:rFonts w:ascii="Times New Roman" w:hAnsi="Times New Roman" w:cs="Times New Roman"/>
          <w:bCs/>
        </w:rPr>
        <w:t xml:space="preserve">, C. U. (2015). Why systematic review rather than narrative </w:t>
      </w:r>
      <w:proofErr w:type="gramStart"/>
      <w:r w:rsidRPr="004352C4">
        <w:rPr>
          <w:rFonts w:ascii="Times New Roman" w:hAnsi="Times New Roman" w:cs="Times New Roman"/>
          <w:bCs/>
        </w:rPr>
        <w:t>review?.</w:t>
      </w:r>
      <w:proofErr w:type="gramEnd"/>
      <w:r w:rsidRPr="004352C4">
        <w:rPr>
          <w:rFonts w:ascii="Times New Roman" w:hAnsi="Times New Roman" w:cs="Times New Roman"/>
          <w:bCs/>
        </w:rPr>
        <w:t> </w:t>
      </w:r>
      <w:r w:rsidRPr="004352C4">
        <w:rPr>
          <w:rFonts w:ascii="Times New Roman" w:hAnsi="Times New Roman" w:cs="Times New Roman"/>
          <w:bCs/>
          <w:i/>
          <w:iCs/>
        </w:rPr>
        <w:t>Psychiatry investigation</w:t>
      </w:r>
      <w:r w:rsidRPr="004352C4">
        <w:rPr>
          <w:rFonts w:ascii="Times New Roman" w:hAnsi="Times New Roman" w:cs="Times New Roman"/>
          <w:bCs/>
        </w:rPr>
        <w:t>, </w:t>
      </w:r>
      <w:r w:rsidRPr="004352C4">
        <w:rPr>
          <w:rFonts w:ascii="Times New Roman" w:hAnsi="Times New Roman" w:cs="Times New Roman"/>
          <w:bCs/>
          <w:i/>
          <w:iCs/>
        </w:rPr>
        <w:t>12</w:t>
      </w:r>
      <w:r w:rsidRPr="004352C4">
        <w:rPr>
          <w:rFonts w:ascii="Times New Roman" w:hAnsi="Times New Roman" w:cs="Times New Roman"/>
          <w:bCs/>
        </w:rPr>
        <w:t>(3), 417-424.</w:t>
      </w:r>
    </w:p>
    <w:p w14:paraId="27AA4082" w14:textId="77777777" w:rsidR="00E60C54" w:rsidRPr="004352C4" w:rsidRDefault="00E60C54" w:rsidP="00E60C54">
      <w:pPr>
        <w:spacing w:line="480" w:lineRule="auto"/>
        <w:ind w:left="720" w:hanging="720"/>
        <w:rPr>
          <w:rFonts w:ascii="Times New Roman" w:hAnsi="Times New Roman" w:cs="Times New Roman"/>
          <w:bCs/>
        </w:rPr>
      </w:pPr>
      <w:proofErr w:type="spellStart"/>
      <w:r w:rsidRPr="004352C4">
        <w:rPr>
          <w:rFonts w:ascii="Times New Roman" w:hAnsi="Times New Roman" w:cs="Times New Roman"/>
          <w:bCs/>
        </w:rPr>
        <w:lastRenderedPageBreak/>
        <w:t>Paré</w:t>
      </w:r>
      <w:proofErr w:type="spellEnd"/>
      <w:r w:rsidRPr="004352C4">
        <w:rPr>
          <w:rFonts w:ascii="Times New Roman" w:hAnsi="Times New Roman" w:cs="Times New Roman"/>
          <w:bCs/>
        </w:rPr>
        <w:t xml:space="preserve">, G., </w:t>
      </w:r>
      <w:proofErr w:type="spellStart"/>
      <w:r w:rsidRPr="004352C4">
        <w:rPr>
          <w:rFonts w:ascii="Times New Roman" w:hAnsi="Times New Roman" w:cs="Times New Roman"/>
          <w:bCs/>
        </w:rPr>
        <w:t>Trudel</w:t>
      </w:r>
      <w:proofErr w:type="spellEnd"/>
      <w:r w:rsidRPr="004352C4">
        <w:rPr>
          <w:rFonts w:ascii="Times New Roman" w:hAnsi="Times New Roman" w:cs="Times New Roman"/>
          <w:bCs/>
        </w:rPr>
        <w:t xml:space="preserve">, M. C., </w:t>
      </w:r>
      <w:proofErr w:type="spellStart"/>
      <w:r w:rsidRPr="004352C4">
        <w:rPr>
          <w:rFonts w:ascii="Times New Roman" w:hAnsi="Times New Roman" w:cs="Times New Roman"/>
          <w:bCs/>
        </w:rPr>
        <w:t>Jaana</w:t>
      </w:r>
      <w:proofErr w:type="spellEnd"/>
      <w:r w:rsidRPr="004352C4">
        <w:rPr>
          <w:rFonts w:ascii="Times New Roman" w:hAnsi="Times New Roman" w:cs="Times New Roman"/>
          <w:bCs/>
        </w:rPr>
        <w:t xml:space="preserve">, M., &amp; </w:t>
      </w:r>
      <w:proofErr w:type="spellStart"/>
      <w:r w:rsidRPr="004352C4">
        <w:rPr>
          <w:rFonts w:ascii="Times New Roman" w:hAnsi="Times New Roman" w:cs="Times New Roman"/>
          <w:bCs/>
        </w:rPr>
        <w:t>Kitsiou</w:t>
      </w:r>
      <w:proofErr w:type="spellEnd"/>
      <w:r w:rsidRPr="004352C4">
        <w:rPr>
          <w:rFonts w:ascii="Times New Roman" w:hAnsi="Times New Roman" w:cs="Times New Roman"/>
          <w:bCs/>
        </w:rPr>
        <w:t xml:space="preserve">, S. (2015). Synthesizing information systems knowledge: A typology of literature reviews. </w:t>
      </w:r>
      <w:r w:rsidRPr="004352C4">
        <w:rPr>
          <w:rFonts w:ascii="Times New Roman" w:hAnsi="Times New Roman" w:cs="Times New Roman"/>
          <w:bCs/>
          <w:i/>
        </w:rPr>
        <w:t>Information &amp; management, 52</w:t>
      </w:r>
      <w:r w:rsidRPr="004352C4">
        <w:rPr>
          <w:rFonts w:ascii="Times New Roman" w:hAnsi="Times New Roman" w:cs="Times New Roman"/>
          <w:bCs/>
        </w:rPr>
        <w:t>(2), 183-199.</w:t>
      </w:r>
    </w:p>
    <w:p w14:paraId="49797825" w14:textId="77777777" w:rsidR="00E60C54" w:rsidRPr="004352C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 xml:space="preserve">Peters, M. D., Godfrey, C. M., Khalil, H., </w:t>
      </w:r>
      <w:proofErr w:type="spellStart"/>
      <w:r w:rsidRPr="004352C4">
        <w:rPr>
          <w:rFonts w:ascii="Times New Roman" w:hAnsi="Times New Roman" w:cs="Times New Roman"/>
          <w:bCs/>
        </w:rPr>
        <w:t>McInerney</w:t>
      </w:r>
      <w:proofErr w:type="spellEnd"/>
      <w:r w:rsidRPr="004352C4">
        <w:rPr>
          <w:rFonts w:ascii="Times New Roman" w:hAnsi="Times New Roman" w:cs="Times New Roman"/>
          <w:bCs/>
        </w:rPr>
        <w:t xml:space="preserve">, P., Parker, D., &amp; Soares, C. B. (2015). Guidance for conducting systematic scoping reviews. </w:t>
      </w:r>
      <w:r w:rsidRPr="004352C4">
        <w:rPr>
          <w:rFonts w:ascii="Times New Roman" w:hAnsi="Times New Roman" w:cs="Times New Roman"/>
          <w:bCs/>
          <w:i/>
        </w:rPr>
        <w:t>JBI Evidence Implementation, 13</w:t>
      </w:r>
      <w:r w:rsidRPr="004352C4">
        <w:rPr>
          <w:rFonts w:ascii="Times New Roman" w:hAnsi="Times New Roman" w:cs="Times New Roman"/>
          <w:bCs/>
        </w:rPr>
        <w:t>(3), 141-146.</w:t>
      </w:r>
    </w:p>
    <w:p w14:paraId="5402F0C4" w14:textId="77777777" w:rsidR="00E60C54" w:rsidRPr="004352C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 xml:space="preserve">Pigott, T. D. (2020). Power of statistical tests for subgroup analysis in meta-analysis. </w:t>
      </w:r>
      <w:r w:rsidRPr="004352C4">
        <w:rPr>
          <w:rFonts w:ascii="Times New Roman" w:hAnsi="Times New Roman" w:cs="Times New Roman"/>
          <w:bCs/>
          <w:i/>
        </w:rPr>
        <w:t>Design and analysis of subgroups with biopharmaceutical applications</w:t>
      </w:r>
      <w:r w:rsidRPr="004352C4">
        <w:rPr>
          <w:rFonts w:ascii="Times New Roman" w:hAnsi="Times New Roman" w:cs="Times New Roman"/>
          <w:bCs/>
        </w:rPr>
        <w:t>, 347-368.</w:t>
      </w:r>
    </w:p>
    <w:p w14:paraId="0FDB7A6E" w14:textId="77777777" w:rsidR="00E60C54" w:rsidRPr="004352C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 xml:space="preserve">Pigott, T.D. &amp; </w:t>
      </w:r>
      <w:proofErr w:type="spellStart"/>
      <w:r w:rsidRPr="004352C4">
        <w:rPr>
          <w:rFonts w:ascii="Times New Roman" w:hAnsi="Times New Roman" w:cs="Times New Roman"/>
          <w:bCs/>
        </w:rPr>
        <w:t>Polanin</w:t>
      </w:r>
      <w:proofErr w:type="spellEnd"/>
      <w:r w:rsidRPr="004352C4">
        <w:rPr>
          <w:rFonts w:ascii="Times New Roman" w:hAnsi="Times New Roman" w:cs="Times New Roman"/>
          <w:bCs/>
        </w:rPr>
        <w:t xml:space="preserve">, J.R. (2020). Methodological guidance paper: High-quality meta-analysis in a systematic review. </w:t>
      </w:r>
      <w:r w:rsidRPr="004352C4">
        <w:rPr>
          <w:rFonts w:ascii="Times New Roman" w:hAnsi="Times New Roman" w:cs="Times New Roman"/>
          <w:bCs/>
          <w:i/>
        </w:rPr>
        <w:t>Review of Educational Research, 90</w:t>
      </w:r>
      <w:r w:rsidRPr="004352C4">
        <w:rPr>
          <w:rFonts w:ascii="Times New Roman" w:hAnsi="Times New Roman" w:cs="Times New Roman"/>
          <w:bCs/>
        </w:rPr>
        <w:t>(1), pp.24-46.</w:t>
      </w:r>
    </w:p>
    <w:p w14:paraId="71F47EA9" w14:textId="77777777" w:rsidR="00E60C54" w:rsidRDefault="00E60C54" w:rsidP="00E60C54">
      <w:pPr>
        <w:spacing w:line="480" w:lineRule="auto"/>
        <w:ind w:left="720" w:hanging="720"/>
        <w:rPr>
          <w:rFonts w:ascii="Times New Roman" w:hAnsi="Times New Roman" w:cs="Times New Roman"/>
          <w:bCs/>
        </w:rPr>
      </w:pPr>
      <w:r w:rsidRPr="00B151DF">
        <w:rPr>
          <w:rFonts w:ascii="Times New Roman" w:hAnsi="Times New Roman" w:cs="Times New Roman"/>
          <w:bCs/>
        </w:rPr>
        <w:t xml:space="preserve">Pollock, D., </w:t>
      </w:r>
      <w:proofErr w:type="spellStart"/>
      <w:r w:rsidRPr="00B151DF">
        <w:rPr>
          <w:rFonts w:ascii="Times New Roman" w:hAnsi="Times New Roman" w:cs="Times New Roman"/>
          <w:bCs/>
        </w:rPr>
        <w:t>Tricco</w:t>
      </w:r>
      <w:proofErr w:type="spellEnd"/>
      <w:r w:rsidRPr="00B151DF">
        <w:rPr>
          <w:rFonts w:ascii="Times New Roman" w:hAnsi="Times New Roman" w:cs="Times New Roman"/>
          <w:bCs/>
        </w:rPr>
        <w:t xml:space="preserve">, A. C., Peters, M. D., </w:t>
      </w:r>
      <w:proofErr w:type="spellStart"/>
      <w:r w:rsidRPr="00B151DF">
        <w:rPr>
          <w:rFonts w:ascii="Times New Roman" w:hAnsi="Times New Roman" w:cs="Times New Roman"/>
          <w:bCs/>
        </w:rPr>
        <w:t>Mclnerney</w:t>
      </w:r>
      <w:proofErr w:type="spellEnd"/>
      <w:r w:rsidRPr="00B151DF">
        <w:rPr>
          <w:rFonts w:ascii="Times New Roman" w:hAnsi="Times New Roman" w:cs="Times New Roman"/>
          <w:bCs/>
        </w:rPr>
        <w:t>, P. A., Khalil, H., Godfrey, C. M., ... &amp; Munn, Z. (2022). Methodological quality, guidance, and tools in scoping reviews: a scoping review protocol. </w:t>
      </w:r>
      <w:r w:rsidRPr="00B151DF">
        <w:rPr>
          <w:rFonts w:ascii="Times New Roman" w:hAnsi="Times New Roman" w:cs="Times New Roman"/>
          <w:bCs/>
          <w:i/>
          <w:iCs/>
        </w:rPr>
        <w:t>JBI evidence synthesis</w:t>
      </w:r>
      <w:r w:rsidRPr="00B151DF">
        <w:rPr>
          <w:rFonts w:ascii="Times New Roman" w:hAnsi="Times New Roman" w:cs="Times New Roman"/>
          <w:bCs/>
        </w:rPr>
        <w:t>, </w:t>
      </w:r>
      <w:r w:rsidRPr="00B151DF">
        <w:rPr>
          <w:rFonts w:ascii="Times New Roman" w:hAnsi="Times New Roman" w:cs="Times New Roman"/>
          <w:bCs/>
          <w:i/>
          <w:iCs/>
        </w:rPr>
        <w:t>20</w:t>
      </w:r>
      <w:r w:rsidRPr="00B151DF">
        <w:rPr>
          <w:rFonts w:ascii="Times New Roman" w:hAnsi="Times New Roman" w:cs="Times New Roman"/>
          <w:bCs/>
        </w:rPr>
        <w:t>(4), 1098-1105.</w:t>
      </w:r>
    </w:p>
    <w:p w14:paraId="4BAC1C25" w14:textId="77777777" w:rsidR="00E60C54" w:rsidRDefault="00E60C54" w:rsidP="00E60C54">
      <w:pPr>
        <w:spacing w:line="480" w:lineRule="auto"/>
        <w:ind w:left="720" w:hanging="720"/>
        <w:rPr>
          <w:rFonts w:ascii="Times New Roman" w:hAnsi="Times New Roman" w:cs="Times New Roman"/>
          <w:bCs/>
        </w:rPr>
      </w:pPr>
      <w:proofErr w:type="spellStart"/>
      <w:r w:rsidRPr="0049003F">
        <w:rPr>
          <w:rFonts w:ascii="Times New Roman" w:hAnsi="Times New Roman" w:cs="Times New Roman"/>
          <w:bCs/>
        </w:rPr>
        <w:t>Siddaway</w:t>
      </w:r>
      <w:proofErr w:type="spellEnd"/>
      <w:r w:rsidRPr="0049003F">
        <w:rPr>
          <w:rFonts w:ascii="Times New Roman" w:hAnsi="Times New Roman" w:cs="Times New Roman"/>
          <w:bCs/>
        </w:rPr>
        <w:t>, A. P., Wood, A. M., &amp; Hedges, L. V. (2019). How to do a systematic review: a best practice guide for conducting and reporting narrative reviews, meta-analyses, and meta-syntheses. </w:t>
      </w:r>
      <w:r w:rsidRPr="0049003F">
        <w:rPr>
          <w:rFonts w:ascii="Times New Roman" w:hAnsi="Times New Roman" w:cs="Times New Roman"/>
          <w:bCs/>
          <w:i/>
          <w:iCs/>
        </w:rPr>
        <w:t>Annual review of psychology</w:t>
      </w:r>
      <w:r w:rsidRPr="0049003F">
        <w:rPr>
          <w:rFonts w:ascii="Times New Roman" w:hAnsi="Times New Roman" w:cs="Times New Roman"/>
          <w:bCs/>
        </w:rPr>
        <w:t>, </w:t>
      </w:r>
      <w:r w:rsidRPr="0049003F">
        <w:rPr>
          <w:rFonts w:ascii="Times New Roman" w:hAnsi="Times New Roman" w:cs="Times New Roman"/>
          <w:bCs/>
          <w:i/>
          <w:iCs/>
        </w:rPr>
        <w:t>70</w:t>
      </w:r>
      <w:r w:rsidRPr="0049003F">
        <w:rPr>
          <w:rFonts w:ascii="Times New Roman" w:hAnsi="Times New Roman" w:cs="Times New Roman"/>
          <w:bCs/>
        </w:rPr>
        <w:t>(1), 747-770.</w:t>
      </w:r>
    </w:p>
    <w:p w14:paraId="24C08FEF" w14:textId="77777777" w:rsidR="00E60C54" w:rsidRDefault="00E60C54" w:rsidP="00E60C54">
      <w:pPr>
        <w:spacing w:line="480" w:lineRule="auto"/>
        <w:ind w:left="720" w:hanging="720"/>
        <w:rPr>
          <w:rFonts w:ascii="Times New Roman" w:hAnsi="Times New Roman" w:cs="Times New Roman"/>
          <w:bCs/>
        </w:rPr>
      </w:pPr>
      <w:proofErr w:type="spellStart"/>
      <w:r w:rsidRPr="00756D1E">
        <w:rPr>
          <w:rFonts w:ascii="Times New Roman" w:hAnsi="Times New Roman" w:cs="Times New Roman"/>
          <w:bCs/>
        </w:rPr>
        <w:lastRenderedPageBreak/>
        <w:t>Smela</w:t>
      </w:r>
      <w:proofErr w:type="spellEnd"/>
      <w:r w:rsidRPr="00756D1E">
        <w:rPr>
          <w:rFonts w:ascii="Times New Roman" w:hAnsi="Times New Roman" w:cs="Times New Roman"/>
          <w:bCs/>
        </w:rPr>
        <w:t xml:space="preserve">, B., </w:t>
      </w:r>
      <w:proofErr w:type="spellStart"/>
      <w:r w:rsidRPr="00756D1E">
        <w:rPr>
          <w:rFonts w:ascii="Times New Roman" w:hAnsi="Times New Roman" w:cs="Times New Roman"/>
          <w:bCs/>
        </w:rPr>
        <w:t>Toumi</w:t>
      </w:r>
      <w:proofErr w:type="spellEnd"/>
      <w:r w:rsidRPr="00756D1E">
        <w:rPr>
          <w:rFonts w:ascii="Times New Roman" w:hAnsi="Times New Roman" w:cs="Times New Roman"/>
          <w:bCs/>
        </w:rPr>
        <w:t xml:space="preserve">, M., </w:t>
      </w:r>
      <w:proofErr w:type="spellStart"/>
      <w:r w:rsidRPr="00756D1E">
        <w:rPr>
          <w:rFonts w:ascii="Times New Roman" w:hAnsi="Times New Roman" w:cs="Times New Roman"/>
          <w:bCs/>
        </w:rPr>
        <w:t>Świerk</w:t>
      </w:r>
      <w:proofErr w:type="spellEnd"/>
      <w:r w:rsidRPr="00756D1E">
        <w:rPr>
          <w:rFonts w:ascii="Times New Roman" w:hAnsi="Times New Roman" w:cs="Times New Roman"/>
          <w:bCs/>
        </w:rPr>
        <w:t xml:space="preserve">, K., Francois, C., </w:t>
      </w:r>
      <w:proofErr w:type="spellStart"/>
      <w:r w:rsidRPr="00756D1E">
        <w:rPr>
          <w:rFonts w:ascii="Times New Roman" w:hAnsi="Times New Roman" w:cs="Times New Roman"/>
          <w:bCs/>
        </w:rPr>
        <w:t>Biernikiewicz</w:t>
      </w:r>
      <w:proofErr w:type="spellEnd"/>
      <w:r w:rsidRPr="00756D1E">
        <w:rPr>
          <w:rFonts w:ascii="Times New Roman" w:hAnsi="Times New Roman" w:cs="Times New Roman"/>
          <w:bCs/>
        </w:rPr>
        <w:t>, M., Clay, E., &amp; Boyer, L. (2023). Rapid literature review: definition and methodology. </w:t>
      </w:r>
      <w:r w:rsidRPr="00756D1E">
        <w:rPr>
          <w:rFonts w:ascii="Times New Roman" w:hAnsi="Times New Roman" w:cs="Times New Roman"/>
          <w:bCs/>
          <w:i/>
          <w:iCs/>
        </w:rPr>
        <w:t>Journal of market access &amp; health policy</w:t>
      </w:r>
      <w:r w:rsidRPr="00756D1E">
        <w:rPr>
          <w:rFonts w:ascii="Times New Roman" w:hAnsi="Times New Roman" w:cs="Times New Roman"/>
          <w:bCs/>
        </w:rPr>
        <w:t>, </w:t>
      </w:r>
      <w:r w:rsidRPr="00756D1E">
        <w:rPr>
          <w:rFonts w:ascii="Times New Roman" w:hAnsi="Times New Roman" w:cs="Times New Roman"/>
          <w:bCs/>
          <w:i/>
          <w:iCs/>
        </w:rPr>
        <w:t>11</w:t>
      </w:r>
      <w:r w:rsidRPr="00756D1E">
        <w:rPr>
          <w:rFonts w:ascii="Times New Roman" w:hAnsi="Times New Roman" w:cs="Times New Roman"/>
          <w:bCs/>
        </w:rPr>
        <w:t>(1), 2241234.</w:t>
      </w:r>
    </w:p>
    <w:p w14:paraId="0A5E8B29" w14:textId="77777777" w:rsidR="00E60C54" w:rsidRPr="004352C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Snyder, H. (2019). Literature review as a research methodology: An overview and guidelines. </w:t>
      </w:r>
      <w:r w:rsidRPr="004352C4">
        <w:rPr>
          <w:rFonts w:ascii="Times New Roman" w:hAnsi="Times New Roman" w:cs="Times New Roman"/>
          <w:bCs/>
          <w:i/>
          <w:iCs/>
        </w:rPr>
        <w:t>Journal of business research</w:t>
      </w:r>
      <w:r w:rsidRPr="004352C4">
        <w:rPr>
          <w:rFonts w:ascii="Times New Roman" w:hAnsi="Times New Roman" w:cs="Times New Roman"/>
          <w:bCs/>
        </w:rPr>
        <w:t>, </w:t>
      </w:r>
      <w:r w:rsidRPr="004352C4">
        <w:rPr>
          <w:rFonts w:ascii="Times New Roman" w:hAnsi="Times New Roman" w:cs="Times New Roman"/>
          <w:bCs/>
          <w:i/>
          <w:iCs/>
        </w:rPr>
        <w:t>104</w:t>
      </w:r>
      <w:r w:rsidRPr="004352C4">
        <w:rPr>
          <w:rFonts w:ascii="Times New Roman" w:hAnsi="Times New Roman" w:cs="Times New Roman"/>
          <w:bCs/>
        </w:rPr>
        <w:t>, 333-339.</w:t>
      </w:r>
    </w:p>
    <w:p w14:paraId="680D545F" w14:textId="77777777" w:rsidR="00E60C54" w:rsidRDefault="00E60C54" w:rsidP="00E60C54">
      <w:pPr>
        <w:spacing w:line="480" w:lineRule="auto"/>
        <w:ind w:left="720" w:hanging="720"/>
        <w:rPr>
          <w:rFonts w:ascii="Times New Roman" w:hAnsi="Times New Roman" w:cs="Times New Roman"/>
          <w:bCs/>
        </w:rPr>
      </w:pPr>
      <w:proofErr w:type="spellStart"/>
      <w:r w:rsidRPr="004352C4">
        <w:rPr>
          <w:rFonts w:ascii="Times New Roman" w:hAnsi="Times New Roman" w:cs="Times New Roman"/>
          <w:bCs/>
        </w:rPr>
        <w:t>Tricco</w:t>
      </w:r>
      <w:proofErr w:type="spellEnd"/>
      <w:r w:rsidRPr="004352C4">
        <w:rPr>
          <w:rFonts w:ascii="Times New Roman" w:hAnsi="Times New Roman" w:cs="Times New Roman"/>
          <w:bCs/>
        </w:rPr>
        <w:t xml:space="preserve">, A.C., Lillie, E., </w:t>
      </w:r>
      <w:proofErr w:type="spellStart"/>
      <w:r w:rsidRPr="004352C4">
        <w:rPr>
          <w:rFonts w:ascii="Times New Roman" w:hAnsi="Times New Roman" w:cs="Times New Roman"/>
          <w:bCs/>
        </w:rPr>
        <w:t>Zarin</w:t>
      </w:r>
      <w:proofErr w:type="spellEnd"/>
      <w:r w:rsidRPr="004352C4">
        <w:rPr>
          <w:rFonts w:ascii="Times New Roman" w:hAnsi="Times New Roman" w:cs="Times New Roman"/>
          <w:bCs/>
        </w:rPr>
        <w:t xml:space="preserve">, W., </w:t>
      </w:r>
      <w:proofErr w:type="spellStart"/>
      <w:r w:rsidRPr="004352C4">
        <w:rPr>
          <w:rFonts w:ascii="Times New Roman" w:hAnsi="Times New Roman" w:cs="Times New Roman"/>
          <w:bCs/>
        </w:rPr>
        <w:t>O’brien</w:t>
      </w:r>
      <w:proofErr w:type="spellEnd"/>
      <w:r w:rsidRPr="004352C4">
        <w:rPr>
          <w:rFonts w:ascii="Times New Roman" w:hAnsi="Times New Roman" w:cs="Times New Roman"/>
          <w:bCs/>
        </w:rPr>
        <w:t xml:space="preserve">, K., Colquhoun, H., Kastner, M., </w:t>
      </w:r>
      <w:proofErr w:type="spellStart"/>
      <w:r w:rsidRPr="004352C4">
        <w:rPr>
          <w:rFonts w:ascii="Times New Roman" w:hAnsi="Times New Roman" w:cs="Times New Roman"/>
          <w:bCs/>
        </w:rPr>
        <w:t>Levac</w:t>
      </w:r>
      <w:proofErr w:type="spellEnd"/>
      <w:r w:rsidRPr="004352C4">
        <w:rPr>
          <w:rFonts w:ascii="Times New Roman" w:hAnsi="Times New Roman" w:cs="Times New Roman"/>
          <w:bCs/>
        </w:rPr>
        <w:t xml:space="preserve">, D., Ng, C., Sharpe, J.P., Wilson, K. &amp; Kenny, M. (2016). A scoping review on the conduct and reporting of scoping reviews. </w:t>
      </w:r>
      <w:r w:rsidRPr="004352C4">
        <w:rPr>
          <w:rFonts w:ascii="Times New Roman" w:hAnsi="Times New Roman" w:cs="Times New Roman"/>
          <w:bCs/>
          <w:i/>
        </w:rPr>
        <w:t>BMC medical research methodology, 16,</w:t>
      </w:r>
      <w:r w:rsidRPr="004352C4">
        <w:rPr>
          <w:rFonts w:ascii="Times New Roman" w:hAnsi="Times New Roman" w:cs="Times New Roman"/>
          <w:bCs/>
        </w:rPr>
        <w:t xml:space="preserve"> pp.1-10.</w:t>
      </w:r>
    </w:p>
    <w:p w14:paraId="626AAE5B" w14:textId="77777777" w:rsidR="00E60C54" w:rsidRPr="004352C4" w:rsidRDefault="00E60C54" w:rsidP="00E60C54">
      <w:pPr>
        <w:spacing w:line="480" w:lineRule="auto"/>
        <w:ind w:left="720" w:hanging="720"/>
        <w:rPr>
          <w:rFonts w:ascii="Times New Roman" w:hAnsi="Times New Roman" w:cs="Times New Roman"/>
          <w:bCs/>
        </w:rPr>
      </w:pPr>
      <w:r w:rsidRPr="008455D0">
        <w:rPr>
          <w:rFonts w:ascii="Times New Roman" w:hAnsi="Times New Roman" w:cs="Times New Roman"/>
          <w:bCs/>
        </w:rPr>
        <w:t xml:space="preserve">Wright, A., &amp; </w:t>
      </w:r>
      <w:proofErr w:type="spellStart"/>
      <w:r w:rsidRPr="008455D0">
        <w:rPr>
          <w:rFonts w:ascii="Times New Roman" w:hAnsi="Times New Roman" w:cs="Times New Roman"/>
          <w:bCs/>
        </w:rPr>
        <w:t>Michailova</w:t>
      </w:r>
      <w:proofErr w:type="spellEnd"/>
      <w:r w:rsidRPr="008455D0">
        <w:rPr>
          <w:rFonts w:ascii="Times New Roman" w:hAnsi="Times New Roman" w:cs="Times New Roman"/>
          <w:bCs/>
        </w:rPr>
        <w:t>, S. (2023). Critical literature reviews: A critique and actionable advice. </w:t>
      </w:r>
      <w:r w:rsidRPr="008455D0">
        <w:rPr>
          <w:rFonts w:ascii="Times New Roman" w:hAnsi="Times New Roman" w:cs="Times New Roman"/>
          <w:bCs/>
          <w:i/>
          <w:iCs/>
        </w:rPr>
        <w:t>Management Learning</w:t>
      </w:r>
      <w:r w:rsidRPr="008455D0">
        <w:rPr>
          <w:rFonts w:ascii="Times New Roman" w:hAnsi="Times New Roman" w:cs="Times New Roman"/>
          <w:bCs/>
        </w:rPr>
        <w:t>, </w:t>
      </w:r>
      <w:r w:rsidRPr="008455D0">
        <w:rPr>
          <w:rFonts w:ascii="Times New Roman" w:hAnsi="Times New Roman" w:cs="Times New Roman"/>
          <w:bCs/>
          <w:i/>
          <w:iCs/>
        </w:rPr>
        <w:t>54</w:t>
      </w:r>
      <w:r w:rsidRPr="008455D0">
        <w:rPr>
          <w:rFonts w:ascii="Times New Roman" w:hAnsi="Times New Roman" w:cs="Times New Roman"/>
          <w:bCs/>
        </w:rPr>
        <w:t>(2), 177-197.</w:t>
      </w:r>
    </w:p>
    <w:p w14:paraId="31AFBDD7" w14:textId="77777777" w:rsidR="00E60C54" w:rsidRPr="004352C4" w:rsidRDefault="00E60C54" w:rsidP="00E60C54">
      <w:pPr>
        <w:spacing w:line="480" w:lineRule="auto"/>
        <w:ind w:left="720" w:hanging="720"/>
        <w:rPr>
          <w:rFonts w:ascii="Times New Roman" w:hAnsi="Times New Roman" w:cs="Times New Roman"/>
          <w:bCs/>
        </w:rPr>
      </w:pPr>
      <w:r w:rsidRPr="004352C4">
        <w:rPr>
          <w:rFonts w:ascii="Times New Roman" w:hAnsi="Times New Roman" w:cs="Times New Roman"/>
          <w:bCs/>
        </w:rPr>
        <w:t>Xiao, Y. &amp; Watson, M. (2019). Guidance on conducting a systematic literature review. </w:t>
      </w:r>
      <w:r w:rsidRPr="004352C4">
        <w:rPr>
          <w:rFonts w:ascii="Times New Roman" w:hAnsi="Times New Roman" w:cs="Times New Roman"/>
          <w:bCs/>
          <w:i/>
          <w:iCs/>
        </w:rPr>
        <w:t>Journal of planning education and research</w:t>
      </w:r>
      <w:r w:rsidRPr="004352C4">
        <w:rPr>
          <w:rFonts w:ascii="Times New Roman" w:hAnsi="Times New Roman" w:cs="Times New Roman"/>
          <w:bCs/>
        </w:rPr>
        <w:t>, </w:t>
      </w:r>
      <w:r w:rsidRPr="004352C4">
        <w:rPr>
          <w:rFonts w:ascii="Times New Roman" w:hAnsi="Times New Roman" w:cs="Times New Roman"/>
          <w:bCs/>
          <w:i/>
          <w:iCs/>
        </w:rPr>
        <w:t>39</w:t>
      </w:r>
      <w:r w:rsidRPr="004352C4">
        <w:rPr>
          <w:rFonts w:ascii="Times New Roman" w:hAnsi="Times New Roman" w:cs="Times New Roman"/>
          <w:bCs/>
        </w:rPr>
        <w:t>(1), pp.93-112.</w:t>
      </w:r>
    </w:p>
    <w:p w14:paraId="3E12A058" w14:textId="77777777" w:rsidR="00E60C54" w:rsidRPr="0049003F" w:rsidRDefault="00E60C54" w:rsidP="00E60C54">
      <w:pPr>
        <w:spacing w:line="480" w:lineRule="auto"/>
        <w:rPr>
          <w:rFonts w:ascii="Times New Roman" w:hAnsi="Times New Roman" w:cs="Times New Roman"/>
          <w:bCs/>
        </w:rPr>
      </w:pPr>
    </w:p>
    <w:p w14:paraId="6B9E357F" w14:textId="77777777" w:rsidR="00E60C54" w:rsidRDefault="00E60C54" w:rsidP="00E60C54">
      <w:pPr>
        <w:spacing w:line="480" w:lineRule="auto"/>
        <w:jc w:val="center"/>
        <w:rPr>
          <w:rFonts w:ascii="Times New Roman" w:hAnsi="Times New Roman" w:cs="Times New Roman"/>
          <w:b/>
          <w:bCs/>
        </w:rPr>
      </w:pPr>
    </w:p>
    <w:p w14:paraId="2F7727B3" w14:textId="77777777" w:rsidR="00E60C54" w:rsidRDefault="00E60C54" w:rsidP="00E60C54">
      <w:pPr>
        <w:spacing w:line="480" w:lineRule="auto"/>
        <w:rPr>
          <w:rFonts w:ascii="Times New Roman" w:hAnsi="Times New Roman" w:cs="Times New Roman"/>
          <w:b/>
          <w:bCs/>
        </w:rPr>
      </w:pPr>
    </w:p>
    <w:p w14:paraId="093ABA80" w14:textId="77777777" w:rsidR="00E60C54" w:rsidRDefault="00E60C54" w:rsidP="00E60C54">
      <w:pPr>
        <w:spacing w:line="480" w:lineRule="auto"/>
        <w:rPr>
          <w:rFonts w:ascii="Times New Roman" w:hAnsi="Times New Roman" w:cs="Times New Roman"/>
          <w:b/>
          <w:bCs/>
        </w:rPr>
      </w:pPr>
    </w:p>
    <w:p w14:paraId="2D116404" w14:textId="77777777" w:rsidR="00E60C54" w:rsidRDefault="00E60C54" w:rsidP="00E60C54">
      <w:pPr>
        <w:spacing w:line="480" w:lineRule="auto"/>
        <w:rPr>
          <w:rFonts w:ascii="Times New Roman" w:hAnsi="Times New Roman" w:cs="Times New Roman"/>
          <w:b/>
          <w:bCs/>
        </w:rPr>
      </w:pPr>
    </w:p>
    <w:p w14:paraId="0F36CB0B" w14:textId="77777777" w:rsidR="00E60C54" w:rsidRDefault="00E60C54" w:rsidP="00E60C54">
      <w:pPr>
        <w:spacing w:line="480" w:lineRule="auto"/>
        <w:rPr>
          <w:rFonts w:ascii="Times New Roman" w:hAnsi="Times New Roman" w:cs="Times New Roman"/>
          <w:b/>
          <w:bCs/>
        </w:rPr>
      </w:pPr>
    </w:p>
    <w:p w14:paraId="44181374" w14:textId="77777777" w:rsidR="00E60C54" w:rsidRDefault="00E60C54" w:rsidP="00E60C54">
      <w:pPr>
        <w:spacing w:line="480" w:lineRule="auto"/>
        <w:rPr>
          <w:rFonts w:ascii="Times New Roman" w:hAnsi="Times New Roman" w:cs="Times New Roman"/>
          <w:b/>
          <w:bCs/>
        </w:rPr>
      </w:pPr>
    </w:p>
    <w:p w14:paraId="6AAF144B" w14:textId="77777777" w:rsidR="00E60C54" w:rsidRDefault="00E60C54" w:rsidP="00E60C54">
      <w:pPr>
        <w:spacing w:line="480" w:lineRule="auto"/>
        <w:rPr>
          <w:rFonts w:ascii="Times New Roman" w:hAnsi="Times New Roman" w:cs="Times New Roman"/>
          <w:b/>
          <w:bCs/>
        </w:rPr>
      </w:pPr>
    </w:p>
    <w:p w14:paraId="59AA6234" w14:textId="77777777" w:rsidR="00E60C54" w:rsidRDefault="00E60C54" w:rsidP="00E60C54">
      <w:pPr>
        <w:spacing w:line="480" w:lineRule="auto"/>
        <w:rPr>
          <w:rFonts w:ascii="Times New Roman" w:hAnsi="Times New Roman" w:cs="Times New Roman"/>
          <w:b/>
          <w:bCs/>
        </w:rPr>
      </w:pPr>
    </w:p>
    <w:p w14:paraId="78864060" w14:textId="77777777" w:rsidR="00E60C54" w:rsidRDefault="00E60C54" w:rsidP="00E60C54">
      <w:pPr>
        <w:spacing w:line="480" w:lineRule="auto"/>
        <w:rPr>
          <w:rFonts w:ascii="Times New Roman" w:hAnsi="Times New Roman" w:cs="Times New Roman"/>
          <w:b/>
          <w:bCs/>
        </w:rPr>
      </w:pPr>
    </w:p>
    <w:p w14:paraId="51609AC2" w14:textId="77777777" w:rsidR="00E60C54" w:rsidRDefault="00E60C54" w:rsidP="00E60C54">
      <w:pPr>
        <w:pStyle w:val="1"/>
        <w:spacing w:line="480" w:lineRule="auto"/>
        <w:jc w:val="center"/>
        <w:rPr>
          <w:rFonts w:ascii="Times New Roman" w:hAnsi="Times New Roman" w:cs="Times New Roman"/>
          <w:b/>
          <w:color w:val="auto"/>
          <w:sz w:val="24"/>
          <w:szCs w:val="24"/>
        </w:rPr>
      </w:pPr>
      <w:bookmarkStart w:id="9" w:name="_Toc202430182"/>
      <w:commentRangeStart w:id="10"/>
      <w:r w:rsidRPr="00DC20F4">
        <w:rPr>
          <w:rFonts w:ascii="Times New Roman" w:hAnsi="Times New Roman" w:cs="Times New Roman"/>
          <w:b/>
          <w:color w:val="auto"/>
          <w:sz w:val="24"/>
          <w:szCs w:val="24"/>
        </w:rPr>
        <w:t>Part 2: Annotated Bibliography</w:t>
      </w:r>
      <w:commentRangeEnd w:id="10"/>
      <w:r>
        <w:rPr>
          <w:rStyle w:val="a7"/>
          <w:rFonts w:asciiTheme="minorHAnsi" w:eastAsiaTheme="minorEastAsia" w:hAnsiTheme="minorHAnsi" w:cstheme="minorBidi"/>
          <w:color w:val="auto"/>
        </w:rPr>
        <w:commentReference w:id="10"/>
      </w:r>
      <w:bookmarkEnd w:id="9"/>
    </w:p>
    <w:p w14:paraId="021DF64C" w14:textId="77777777" w:rsidR="00E60C54" w:rsidRPr="006A38AE" w:rsidRDefault="00E60C54" w:rsidP="00E60C54">
      <w:r>
        <w:rPr>
          <w:noProof/>
        </w:rPr>
        <w:drawing>
          <wp:inline distT="0" distB="0" distL="0" distR="0" wp14:anchorId="370B24E6" wp14:editId="41936E29">
            <wp:extent cx="5943600" cy="2721802"/>
            <wp:effectExtent l="0" t="0" r="0" b="2540"/>
            <wp:docPr id="3" name="Picture 2" descr="报纸上的表格&#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报纸上的表格&#10;&#10;低可信度描述已自动生成"/>
                    <pic:cNvPicPr/>
                  </pic:nvPicPr>
                  <pic:blipFill>
                    <a:blip r:embed="rId12"/>
                    <a:stretch>
                      <a:fillRect/>
                    </a:stretch>
                  </pic:blipFill>
                  <pic:spPr>
                    <a:xfrm>
                      <a:off x="0" y="0"/>
                      <a:ext cx="5943600" cy="2721802"/>
                    </a:xfrm>
                    <a:prstGeom prst="rect">
                      <a:avLst/>
                    </a:prstGeom>
                  </pic:spPr>
                </pic:pic>
              </a:graphicData>
            </a:graphic>
          </wp:inline>
        </w:drawing>
      </w:r>
    </w:p>
    <w:p w14:paraId="527E71B6" w14:textId="77777777" w:rsidR="00E60C54" w:rsidRDefault="00E60C54" w:rsidP="00E60C54">
      <w:pPr>
        <w:spacing w:line="480" w:lineRule="auto"/>
        <w:rPr>
          <w:rFonts w:ascii="Times New Roman" w:hAnsi="Times New Roman" w:cs="Times New Roman"/>
        </w:rPr>
      </w:pPr>
      <w:r>
        <w:rPr>
          <w:noProof/>
        </w:rPr>
        <w:drawing>
          <wp:inline distT="0" distB="0" distL="0" distR="0" wp14:anchorId="4FF5F63B" wp14:editId="29F41F62">
            <wp:extent cx="6340206" cy="2933700"/>
            <wp:effectExtent l="0" t="0" r="3810" b="0"/>
            <wp:docPr id="1" name="Picture 1"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报纸上的表格&#10;&#10;中度可信度描述已自动生成"/>
                    <pic:cNvPicPr/>
                  </pic:nvPicPr>
                  <pic:blipFill>
                    <a:blip r:embed="rId13"/>
                    <a:stretch>
                      <a:fillRect/>
                    </a:stretch>
                  </pic:blipFill>
                  <pic:spPr>
                    <a:xfrm>
                      <a:off x="0" y="0"/>
                      <a:ext cx="6343827" cy="2935376"/>
                    </a:xfrm>
                    <a:prstGeom prst="rect">
                      <a:avLst/>
                    </a:prstGeom>
                  </pic:spPr>
                </pic:pic>
              </a:graphicData>
            </a:graphic>
          </wp:inline>
        </w:drawing>
      </w:r>
    </w:p>
    <w:p w14:paraId="57DD447C"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1564C64D" wp14:editId="56182754">
            <wp:extent cx="6738805" cy="3244850"/>
            <wp:effectExtent l="0" t="0" r="5080" b="0"/>
            <wp:docPr id="9" name="Picture 9"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报纸上的表格&#10;&#10;中度可信度描述已自动生成"/>
                    <pic:cNvPicPr/>
                  </pic:nvPicPr>
                  <pic:blipFill>
                    <a:blip r:embed="rId14"/>
                    <a:stretch>
                      <a:fillRect/>
                    </a:stretch>
                  </pic:blipFill>
                  <pic:spPr>
                    <a:xfrm>
                      <a:off x="0" y="0"/>
                      <a:ext cx="6750859" cy="3250654"/>
                    </a:xfrm>
                    <a:prstGeom prst="rect">
                      <a:avLst/>
                    </a:prstGeom>
                  </pic:spPr>
                </pic:pic>
              </a:graphicData>
            </a:graphic>
          </wp:inline>
        </w:drawing>
      </w:r>
    </w:p>
    <w:p w14:paraId="5E993312" w14:textId="77777777" w:rsidR="00E60C54" w:rsidRDefault="00E60C54" w:rsidP="00E60C54">
      <w:pPr>
        <w:spacing w:line="480" w:lineRule="auto"/>
        <w:rPr>
          <w:rFonts w:ascii="Times New Roman" w:hAnsi="Times New Roman" w:cs="Times New Roman"/>
        </w:rPr>
      </w:pPr>
      <w:r>
        <w:rPr>
          <w:noProof/>
        </w:rPr>
        <w:drawing>
          <wp:inline distT="0" distB="0" distL="0" distR="0" wp14:anchorId="77A9938F" wp14:editId="3F8ED12E">
            <wp:extent cx="6750725" cy="3473450"/>
            <wp:effectExtent l="0" t="0" r="0" b="0"/>
            <wp:docPr id="28" name="Picture 28"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报纸上的表格&#10;&#10;中度可信度描述已自动生成"/>
                    <pic:cNvPicPr/>
                  </pic:nvPicPr>
                  <pic:blipFill>
                    <a:blip r:embed="rId15"/>
                    <a:stretch>
                      <a:fillRect/>
                    </a:stretch>
                  </pic:blipFill>
                  <pic:spPr>
                    <a:xfrm>
                      <a:off x="0" y="0"/>
                      <a:ext cx="6776009" cy="3486459"/>
                    </a:xfrm>
                    <a:prstGeom prst="rect">
                      <a:avLst/>
                    </a:prstGeom>
                  </pic:spPr>
                </pic:pic>
              </a:graphicData>
            </a:graphic>
          </wp:inline>
        </w:drawing>
      </w:r>
    </w:p>
    <w:p w14:paraId="36491434"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64FBB1D8" wp14:editId="26E28708">
            <wp:extent cx="6641637" cy="3486150"/>
            <wp:effectExtent l="0" t="0" r="6985" b="0"/>
            <wp:docPr id="29" name="Picture 29"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报纸上的表格&#10;&#10;中度可信度描述已自动生成"/>
                    <pic:cNvPicPr/>
                  </pic:nvPicPr>
                  <pic:blipFill>
                    <a:blip r:embed="rId16"/>
                    <a:stretch>
                      <a:fillRect/>
                    </a:stretch>
                  </pic:blipFill>
                  <pic:spPr>
                    <a:xfrm>
                      <a:off x="0" y="0"/>
                      <a:ext cx="6653228" cy="3492234"/>
                    </a:xfrm>
                    <a:prstGeom prst="rect">
                      <a:avLst/>
                    </a:prstGeom>
                  </pic:spPr>
                </pic:pic>
              </a:graphicData>
            </a:graphic>
          </wp:inline>
        </w:drawing>
      </w:r>
    </w:p>
    <w:p w14:paraId="2C98E07D" w14:textId="77777777" w:rsidR="00E60C54" w:rsidRDefault="00E60C54" w:rsidP="00E60C54">
      <w:pPr>
        <w:spacing w:line="480" w:lineRule="auto"/>
        <w:rPr>
          <w:rFonts w:ascii="Times New Roman" w:hAnsi="Times New Roman" w:cs="Times New Roman"/>
        </w:rPr>
      </w:pPr>
      <w:r>
        <w:rPr>
          <w:noProof/>
        </w:rPr>
        <w:drawing>
          <wp:inline distT="0" distB="0" distL="0" distR="0" wp14:anchorId="5B631665" wp14:editId="035F0E64">
            <wp:extent cx="6641465" cy="3401622"/>
            <wp:effectExtent l="0" t="0" r="6985" b="8890"/>
            <wp:docPr id="30" name="Picture 30" descr="报纸上的表格&#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报纸上的表格&#10;&#10;低可信度描述已自动生成"/>
                    <pic:cNvPicPr/>
                  </pic:nvPicPr>
                  <pic:blipFill>
                    <a:blip r:embed="rId17"/>
                    <a:stretch>
                      <a:fillRect/>
                    </a:stretch>
                  </pic:blipFill>
                  <pic:spPr>
                    <a:xfrm>
                      <a:off x="0" y="0"/>
                      <a:ext cx="6651094" cy="3406554"/>
                    </a:xfrm>
                    <a:prstGeom prst="rect">
                      <a:avLst/>
                    </a:prstGeom>
                  </pic:spPr>
                </pic:pic>
              </a:graphicData>
            </a:graphic>
          </wp:inline>
        </w:drawing>
      </w:r>
    </w:p>
    <w:p w14:paraId="7FE8EDD4"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70B7C2CE" wp14:editId="54B946AE">
            <wp:extent cx="6711138" cy="3314700"/>
            <wp:effectExtent l="0" t="0" r="0" b="0"/>
            <wp:docPr id="31" name="Picture 31"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报纸上的表格&#10;&#10;中度可信度描述已自动生成"/>
                    <pic:cNvPicPr/>
                  </pic:nvPicPr>
                  <pic:blipFill>
                    <a:blip r:embed="rId18"/>
                    <a:stretch>
                      <a:fillRect/>
                    </a:stretch>
                  </pic:blipFill>
                  <pic:spPr>
                    <a:xfrm>
                      <a:off x="0" y="0"/>
                      <a:ext cx="6731845" cy="3324928"/>
                    </a:xfrm>
                    <a:prstGeom prst="rect">
                      <a:avLst/>
                    </a:prstGeom>
                  </pic:spPr>
                </pic:pic>
              </a:graphicData>
            </a:graphic>
          </wp:inline>
        </w:drawing>
      </w:r>
    </w:p>
    <w:p w14:paraId="25F8D6BA" w14:textId="77777777" w:rsidR="00E60C54" w:rsidRDefault="00E60C54" w:rsidP="00E60C54">
      <w:pPr>
        <w:spacing w:line="480" w:lineRule="auto"/>
        <w:rPr>
          <w:rFonts w:ascii="Times New Roman" w:hAnsi="Times New Roman" w:cs="Times New Roman"/>
        </w:rPr>
      </w:pPr>
      <w:r>
        <w:rPr>
          <w:noProof/>
        </w:rPr>
        <w:drawing>
          <wp:inline distT="0" distB="0" distL="0" distR="0" wp14:anchorId="62D96623" wp14:editId="49304041">
            <wp:extent cx="6693906" cy="3467100"/>
            <wp:effectExtent l="0" t="0" r="0" b="0"/>
            <wp:docPr id="33" name="Picture 33"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报纸上的表格&#10;&#10;中度可信度描述已自动生成"/>
                    <pic:cNvPicPr/>
                  </pic:nvPicPr>
                  <pic:blipFill>
                    <a:blip r:embed="rId19"/>
                    <a:stretch>
                      <a:fillRect/>
                    </a:stretch>
                  </pic:blipFill>
                  <pic:spPr>
                    <a:xfrm>
                      <a:off x="0" y="0"/>
                      <a:ext cx="6707617" cy="3474201"/>
                    </a:xfrm>
                    <a:prstGeom prst="rect">
                      <a:avLst/>
                    </a:prstGeom>
                  </pic:spPr>
                </pic:pic>
              </a:graphicData>
            </a:graphic>
          </wp:inline>
        </w:drawing>
      </w:r>
    </w:p>
    <w:p w14:paraId="56526906"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5B1DDAE6" wp14:editId="236388DE">
            <wp:extent cx="6591300" cy="3355507"/>
            <wp:effectExtent l="0" t="0" r="0" b="0"/>
            <wp:docPr id="34" name="Picture 34"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文本&#10;&#10;描述已自动生成"/>
                    <pic:cNvPicPr/>
                  </pic:nvPicPr>
                  <pic:blipFill>
                    <a:blip r:embed="rId20"/>
                    <a:stretch>
                      <a:fillRect/>
                    </a:stretch>
                  </pic:blipFill>
                  <pic:spPr>
                    <a:xfrm>
                      <a:off x="0" y="0"/>
                      <a:ext cx="6603790" cy="3361865"/>
                    </a:xfrm>
                    <a:prstGeom prst="rect">
                      <a:avLst/>
                    </a:prstGeom>
                  </pic:spPr>
                </pic:pic>
              </a:graphicData>
            </a:graphic>
          </wp:inline>
        </w:drawing>
      </w:r>
    </w:p>
    <w:p w14:paraId="3293E1A6" w14:textId="77777777" w:rsidR="00E60C54" w:rsidRDefault="00E60C54" w:rsidP="00E60C54">
      <w:pPr>
        <w:spacing w:line="480" w:lineRule="auto"/>
        <w:rPr>
          <w:rFonts w:ascii="Times New Roman" w:hAnsi="Times New Roman" w:cs="Times New Roman"/>
        </w:rPr>
      </w:pPr>
      <w:r>
        <w:rPr>
          <w:noProof/>
        </w:rPr>
        <w:drawing>
          <wp:inline distT="0" distB="0" distL="0" distR="0" wp14:anchorId="3C8661EC" wp14:editId="0A677A32">
            <wp:extent cx="6591300" cy="3271707"/>
            <wp:effectExtent l="0" t="0" r="0" b="5080"/>
            <wp:docPr id="35" name="Picture 35"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报纸上的表格&#10;&#10;中度可信度描述已自动生成"/>
                    <pic:cNvPicPr/>
                  </pic:nvPicPr>
                  <pic:blipFill>
                    <a:blip r:embed="rId21"/>
                    <a:stretch>
                      <a:fillRect/>
                    </a:stretch>
                  </pic:blipFill>
                  <pic:spPr>
                    <a:xfrm>
                      <a:off x="0" y="0"/>
                      <a:ext cx="6599965" cy="3276008"/>
                    </a:xfrm>
                    <a:prstGeom prst="rect">
                      <a:avLst/>
                    </a:prstGeom>
                  </pic:spPr>
                </pic:pic>
              </a:graphicData>
            </a:graphic>
          </wp:inline>
        </w:drawing>
      </w:r>
    </w:p>
    <w:p w14:paraId="6E44684E"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3EC79360" wp14:editId="096DA118">
            <wp:extent cx="6578600" cy="3474850"/>
            <wp:effectExtent l="0" t="0" r="0" b="0"/>
            <wp:docPr id="36" name="Picture 36" descr="报纸上的文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报纸上的文字&#10;&#10;描述已自动生成"/>
                    <pic:cNvPicPr/>
                  </pic:nvPicPr>
                  <pic:blipFill>
                    <a:blip r:embed="rId22"/>
                    <a:stretch>
                      <a:fillRect/>
                    </a:stretch>
                  </pic:blipFill>
                  <pic:spPr>
                    <a:xfrm>
                      <a:off x="0" y="0"/>
                      <a:ext cx="6586408" cy="3478974"/>
                    </a:xfrm>
                    <a:prstGeom prst="rect">
                      <a:avLst/>
                    </a:prstGeom>
                  </pic:spPr>
                </pic:pic>
              </a:graphicData>
            </a:graphic>
          </wp:inline>
        </w:drawing>
      </w:r>
    </w:p>
    <w:p w14:paraId="516271B8" w14:textId="77777777" w:rsidR="00E60C54" w:rsidRDefault="00E60C54" w:rsidP="00E60C54">
      <w:pPr>
        <w:spacing w:line="480" w:lineRule="auto"/>
        <w:rPr>
          <w:rFonts w:ascii="Times New Roman" w:hAnsi="Times New Roman" w:cs="Times New Roman"/>
        </w:rPr>
      </w:pPr>
      <w:r>
        <w:rPr>
          <w:noProof/>
        </w:rPr>
        <w:drawing>
          <wp:inline distT="0" distB="0" distL="0" distR="0" wp14:anchorId="4DC9D9AE" wp14:editId="53B0B862">
            <wp:extent cx="6610350" cy="3286813"/>
            <wp:effectExtent l="0" t="0" r="0" b="8890"/>
            <wp:docPr id="37" name="Picture 37"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报纸上的表格&#10;&#10;中度可信度描述已自动生成"/>
                    <pic:cNvPicPr/>
                  </pic:nvPicPr>
                  <pic:blipFill>
                    <a:blip r:embed="rId23"/>
                    <a:stretch>
                      <a:fillRect/>
                    </a:stretch>
                  </pic:blipFill>
                  <pic:spPr>
                    <a:xfrm>
                      <a:off x="0" y="0"/>
                      <a:ext cx="6617333" cy="3290285"/>
                    </a:xfrm>
                    <a:prstGeom prst="rect">
                      <a:avLst/>
                    </a:prstGeom>
                  </pic:spPr>
                </pic:pic>
              </a:graphicData>
            </a:graphic>
          </wp:inline>
        </w:drawing>
      </w:r>
    </w:p>
    <w:p w14:paraId="48B18393"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3D9E6F14" wp14:editId="02182630">
            <wp:extent cx="6633645" cy="3473450"/>
            <wp:effectExtent l="0" t="0" r="0" b="0"/>
            <wp:docPr id="38" name="Picture 38"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报纸上的表格&#10;&#10;中度可信度描述已自动生成"/>
                    <pic:cNvPicPr/>
                  </pic:nvPicPr>
                  <pic:blipFill>
                    <a:blip r:embed="rId24"/>
                    <a:stretch>
                      <a:fillRect/>
                    </a:stretch>
                  </pic:blipFill>
                  <pic:spPr>
                    <a:xfrm>
                      <a:off x="0" y="0"/>
                      <a:ext cx="6646110" cy="3479977"/>
                    </a:xfrm>
                    <a:prstGeom prst="rect">
                      <a:avLst/>
                    </a:prstGeom>
                  </pic:spPr>
                </pic:pic>
              </a:graphicData>
            </a:graphic>
          </wp:inline>
        </w:drawing>
      </w:r>
    </w:p>
    <w:p w14:paraId="5D116F2C" w14:textId="77777777" w:rsidR="00E60C54" w:rsidRDefault="00E60C54" w:rsidP="00E60C54">
      <w:pPr>
        <w:spacing w:line="480" w:lineRule="auto"/>
        <w:rPr>
          <w:rFonts w:ascii="Times New Roman" w:hAnsi="Times New Roman" w:cs="Times New Roman"/>
        </w:rPr>
      </w:pPr>
      <w:r>
        <w:rPr>
          <w:noProof/>
        </w:rPr>
        <w:drawing>
          <wp:inline distT="0" distB="0" distL="0" distR="0" wp14:anchorId="737DC3B2" wp14:editId="3AC96FB7">
            <wp:extent cx="6692900" cy="3470154"/>
            <wp:effectExtent l="0" t="0" r="0" b="0"/>
            <wp:docPr id="39" name="Picture 39" descr="报纸的截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报纸的截图&#10;&#10;中度可信度描述已自动生成"/>
                    <pic:cNvPicPr/>
                  </pic:nvPicPr>
                  <pic:blipFill>
                    <a:blip r:embed="rId25"/>
                    <a:stretch>
                      <a:fillRect/>
                    </a:stretch>
                  </pic:blipFill>
                  <pic:spPr>
                    <a:xfrm>
                      <a:off x="0" y="0"/>
                      <a:ext cx="6700510" cy="3474100"/>
                    </a:xfrm>
                    <a:prstGeom prst="rect">
                      <a:avLst/>
                    </a:prstGeom>
                  </pic:spPr>
                </pic:pic>
              </a:graphicData>
            </a:graphic>
          </wp:inline>
        </w:drawing>
      </w:r>
    </w:p>
    <w:p w14:paraId="00E2E3D9"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5CCF872F" wp14:editId="20820FC3">
            <wp:extent cx="6620562" cy="3384550"/>
            <wp:effectExtent l="0" t="0" r="8890" b="6350"/>
            <wp:docPr id="41" name="Picture 41" descr="报纸上的文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报纸上的文字&#10;&#10;描述已自动生成"/>
                    <pic:cNvPicPr/>
                  </pic:nvPicPr>
                  <pic:blipFill>
                    <a:blip r:embed="rId26"/>
                    <a:stretch>
                      <a:fillRect/>
                    </a:stretch>
                  </pic:blipFill>
                  <pic:spPr>
                    <a:xfrm>
                      <a:off x="0" y="0"/>
                      <a:ext cx="6636530" cy="3392713"/>
                    </a:xfrm>
                    <a:prstGeom prst="rect">
                      <a:avLst/>
                    </a:prstGeom>
                  </pic:spPr>
                </pic:pic>
              </a:graphicData>
            </a:graphic>
          </wp:inline>
        </w:drawing>
      </w:r>
    </w:p>
    <w:p w14:paraId="1B4BAEC9" w14:textId="77777777" w:rsidR="00E60C54" w:rsidRDefault="00E60C54" w:rsidP="00E60C54">
      <w:pPr>
        <w:spacing w:line="480" w:lineRule="auto"/>
        <w:rPr>
          <w:rFonts w:ascii="Times New Roman" w:hAnsi="Times New Roman" w:cs="Times New Roman"/>
        </w:rPr>
      </w:pPr>
      <w:r>
        <w:rPr>
          <w:noProof/>
        </w:rPr>
        <w:drawing>
          <wp:inline distT="0" distB="0" distL="0" distR="0" wp14:anchorId="38A35EB8" wp14:editId="6E757921">
            <wp:extent cx="6678752" cy="3467100"/>
            <wp:effectExtent l="0" t="0" r="8255" b="0"/>
            <wp:docPr id="42" name="Picture 42"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报纸上的表格&#10;&#10;中度可信度描述已自动生成"/>
                    <pic:cNvPicPr/>
                  </pic:nvPicPr>
                  <pic:blipFill>
                    <a:blip r:embed="rId27"/>
                    <a:stretch>
                      <a:fillRect/>
                    </a:stretch>
                  </pic:blipFill>
                  <pic:spPr>
                    <a:xfrm>
                      <a:off x="0" y="0"/>
                      <a:ext cx="6688263" cy="3472037"/>
                    </a:xfrm>
                    <a:prstGeom prst="rect">
                      <a:avLst/>
                    </a:prstGeom>
                  </pic:spPr>
                </pic:pic>
              </a:graphicData>
            </a:graphic>
          </wp:inline>
        </w:drawing>
      </w:r>
    </w:p>
    <w:p w14:paraId="417D1C47"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2BB4E159" wp14:editId="5535DEA2">
            <wp:extent cx="6671256" cy="3289300"/>
            <wp:effectExtent l="0" t="0" r="0" b="6350"/>
            <wp:docPr id="43" name="Picture 43" descr="报纸上的文字&#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报纸上的文字&#10;&#10;描述已自动生成"/>
                    <pic:cNvPicPr/>
                  </pic:nvPicPr>
                  <pic:blipFill>
                    <a:blip r:embed="rId28"/>
                    <a:stretch>
                      <a:fillRect/>
                    </a:stretch>
                  </pic:blipFill>
                  <pic:spPr>
                    <a:xfrm>
                      <a:off x="0" y="0"/>
                      <a:ext cx="6680000" cy="3293611"/>
                    </a:xfrm>
                    <a:prstGeom prst="rect">
                      <a:avLst/>
                    </a:prstGeom>
                  </pic:spPr>
                </pic:pic>
              </a:graphicData>
            </a:graphic>
          </wp:inline>
        </w:drawing>
      </w:r>
    </w:p>
    <w:p w14:paraId="77B2AB2A" w14:textId="77777777" w:rsidR="00E60C54" w:rsidRDefault="00E60C54" w:rsidP="00E60C54">
      <w:pPr>
        <w:spacing w:line="480" w:lineRule="auto"/>
        <w:rPr>
          <w:rFonts w:ascii="Times New Roman" w:hAnsi="Times New Roman" w:cs="Times New Roman"/>
        </w:rPr>
      </w:pPr>
      <w:r>
        <w:rPr>
          <w:noProof/>
        </w:rPr>
        <w:drawing>
          <wp:inline distT="0" distB="0" distL="0" distR="0" wp14:anchorId="0EAADBC0" wp14:editId="4BBD01A2">
            <wp:extent cx="6670675" cy="3472885"/>
            <wp:effectExtent l="0" t="0" r="0" b="0"/>
            <wp:docPr id="44" name="Picture 44"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报纸上的表格&#10;&#10;中度可信度描述已自动生成"/>
                    <pic:cNvPicPr/>
                  </pic:nvPicPr>
                  <pic:blipFill>
                    <a:blip r:embed="rId29"/>
                    <a:stretch>
                      <a:fillRect/>
                    </a:stretch>
                  </pic:blipFill>
                  <pic:spPr>
                    <a:xfrm>
                      <a:off x="0" y="0"/>
                      <a:ext cx="6677246" cy="3476306"/>
                    </a:xfrm>
                    <a:prstGeom prst="rect">
                      <a:avLst/>
                    </a:prstGeom>
                  </pic:spPr>
                </pic:pic>
              </a:graphicData>
            </a:graphic>
          </wp:inline>
        </w:drawing>
      </w:r>
    </w:p>
    <w:p w14:paraId="1C5D6AD6"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2CF47620" wp14:editId="39646E09">
            <wp:extent cx="6707317" cy="3435350"/>
            <wp:effectExtent l="0" t="0" r="0" b="0"/>
            <wp:docPr id="45" name="Picture 45"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报纸上的表格&#10;&#10;中度可信度描述已自动生成"/>
                    <pic:cNvPicPr/>
                  </pic:nvPicPr>
                  <pic:blipFill>
                    <a:blip r:embed="rId30"/>
                    <a:stretch>
                      <a:fillRect/>
                    </a:stretch>
                  </pic:blipFill>
                  <pic:spPr>
                    <a:xfrm>
                      <a:off x="0" y="0"/>
                      <a:ext cx="6715412" cy="3439496"/>
                    </a:xfrm>
                    <a:prstGeom prst="rect">
                      <a:avLst/>
                    </a:prstGeom>
                  </pic:spPr>
                </pic:pic>
              </a:graphicData>
            </a:graphic>
          </wp:inline>
        </w:drawing>
      </w:r>
    </w:p>
    <w:p w14:paraId="46D861E4" w14:textId="77777777" w:rsidR="00E60C54" w:rsidRDefault="00E60C54" w:rsidP="00E60C54">
      <w:pPr>
        <w:spacing w:line="480" w:lineRule="auto"/>
        <w:rPr>
          <w:rFonts w:ascii="Times New Roman" w:hAnsi="Times New Roman" w:cs="Times New Roman"/>
        </w:rPr>
      </w:pPr>
      <w:r>
        <w:rPr>
          <w:noProof/>
        </w:rPr>
        <w:drawing>
          <wp:inline distT="0" distB="0" distL="0" distR="0" wp14:anchorId="5CDE22E3" wp14:editId="50ED5394">
            <wp:extent cx="6691058" cy="3416300"/>
            <wp:effectExtent l="0" t="0" r="0" b="0"/>
            <wp:docPr id="46" name="Picture 46" descr="图片包含 游戏机, 文字, 报纸, 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图片包含 游戏机, 文字, 报纸, 截图&#10;&#10;描述已自动生成"/>
                    <pic:cNvPicPr/>
                  </pic:nvPicPr>
                  <pic:blipFill>
                    <a:blip r:embed="rId31"/>
                    <a:stretch>
                      <a:fillRect/>
                    </a:stretch>
                  </pic:blipFill>
                  <pic:spPr>
                    <a:xfrm>
                      <a:off x="0" y="0"/>
                      <a:ext cx="6702302" cy="3422041"/>
                    </a:xfrm>
                    <a:prstGeom prst="rect">
                      <a:avLst/>
                    </a:prstGeom>
                  </pic:spPr>
                </pic:pic>
              </a:graphicData>
            </a:graphic>
          </wp:inline>
        </w:drawing>
      </w:r>
    </w:p>
    <w:p w14:paraId="763052F9"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3BAC2AEF" wp14:editId="56F7E851">
            <wp:extent cx="6502400" cy="3209518"/>
            <wp:effectExtent l="0" t="0" r="0" b="0"/>
            <wp:docPr id="48" name="Picture 48"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报纸上的表格&#10;&#10;中度可信度描述已自动生成"/>
                    <pic:cNvPicPr/>
                  </pic:nvPicPr>
                  <pic:blipFill>
                    <a:blip r:embed="rId32"/>
                    <a:stretch>
                      <a:fillRect/>
                    </a:stretch>
                  </pic:blipFill>
                  <pic:spPr>
                    <a:xfrm>
                      <a:off x="0" y="0"/>
                      <a:ext cx="6517185" cy="3216816"/>
                    </a:xfrm>
                    <a:prstGeom prst="rect">
                      <a:avLst/>
                    </a:prstGeom>
                  </pic:spPr>
                </pic:pic>
              </a:graphicData>
            </a:graphic>
          </wp:inline>
        </w:drawing>
      </w:r>
    </w:p>
    <w:p w14:paraId="36EC10EB" w14:textId="77777777" w:rsidR="00E60C54" w:rsidRDefault="00E60C54" w:rsidP="00E60C54">
      <w:pPr>
        <w:spacing w:line="480" w:lineRule="auto"/>
        <w:rPr>
          <w:rFonts w:ascii="Times New Roman" w:hAnsi="Times New Roman" w:cs="Times New Roman"/>
        </w:rPr>
      </w:pPr>
      <w:r>
        <w:rPr>
          <w:noProof/>
        </w:rPr>
        <w:drawing>
          <wp:inline distT="0" distB="0" distL="0" distR="0" wp14:anchorId="7F984EED" wp14:editId="1118E2B2">
            <wp:extent cx="6596884" cy="3270250"/>
            <wp:effectExtent l="0" t="0" r="0" b="6350"/>
            <wp:docPr id="49" name="Picture 49" descr="报纸的截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报纸的截图&#10;&#10;中度可信度描述已自动生成"/>
                    <pic:cNvPicPr/>
                  </pic:nvPicPr>
                  <pic:blipFill>
                    <a:blip r:embed="rId33"/>
                    <a:stretch>
                      <a:fillRect/>
                    </a:stretch>
                  </pic:blipFill>
                  <pic:spPr>
                    <a:xfrm>
                      <a:off x="0" y="0"/>
                      <a:ext cx="6605255" cy="3274400"/>
                    </a:xfrm>
                    <a:prstGeom prst="rect">
                      <a:avLst/>
                    </a:prstGeom>
                  </pic:spPr>
                </pic:pic>
              </a:graphicData>
            </a:graphic>
          </wp:inline>
        </w:drawing>
      </w:r>
    </w:p>
    <w:p w14:paraId="1951E7F5"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02BD7F3D" wp14:editId="3AC6FFF5">
            <wp:extent cx="6678752" cy="3467100"/>
            <wp:effectExtent l="0" t="0" r="8255" b="0"/>
            <wp:docPr id="50" name="Picture 50"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报纸上的表格&#10;&#10;中度可信度描述已自动生成"/>
                    <pic:cNvPicPr/>
                  </pic:nvPicPr>
                  <pic:blipFill>
                    <a:blip r:embed="rId34"/>
                    <a:stretch>
                      <a:fillRect/>
                    </a:stretch>
                  </pic:blipFill>
                  <pic:spPr>
                    <a:xfrm>
                      <a:off x="0" y="0"/>
                      <a:ext cx="6685726" cy="3470721"/>
                    </a:xfrm>
                    <a:prstGeom prst="rect">
                      <a:avLst/>
                    </a:prstGeom>
                  </pic:spPr>
                </pic:pic>
              </a:graphicData>
            </a:graphic>
          </wp:inline>
        </w:drawing>
      </w:r>
    </w:p>
    <w:p w14:paraId="763C5AA6" w14:textId="77777777" w:rsidR="00E60C54" w:rsidRDefault="00E60C54" w:rsidP="00E60C54">
      <w:pPr>
        <w:spacing w:line="480" w:lineRule="auto"/>
        <w:rPr>
          <w:rFonts w:ascii="Times New Roman" w:hAnsi="Times New Roman" w:cs="Times New Roman"/>
        </w:rPr>
      </w:pPr>
      <w:r>
        <w:rPr>
          <w:noProof/>
        </w:rPr>
        <w:drawing>
          <wp:inline distT="0" distB="0" distL="0" distR="0" wp14:anchorId="7F5627B4" wp14:editId="273E2319">
            <wp:extent cx="6699470" cy="3416300"/>
            <wp:effectExtent l="0" t="0" r="6350" b="0"/>
            <wp:docPr id="51" name="Picture 51" descr="报纸上的表格&#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报纸上的表格&#10;&#10;低可信度描述已自动生成"/>
                    <pic:cNvPicPr/>
                  </pic:nvPicPr>
                  <pic:blipFill>
                    <a:blip r:embed="rId35"/>
                    <a:stretch>
                      <a:fillRect/>
                    </a:stretch>
                  </pic:blipFill>
                  <pic:spPr>
                    <a:xfrm>
                      <a:off x="0" y="0"/>
                      <a:ext cx="6714179" cy="3423801"/>
                    </a:xfrm>
                    <a:prstGeom prst="rect">
                      <a:avLst/>
                    </a:prstGeom>
                  </pic:spPr>
                </pic:pic>
              </a:graphicData>
            </a:graphic>
          </wp:inline>
        </w:drawing>
      </w:r>
    </w:p>
    <w:p w14:paraId="046E7870"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15D52F8E" wp14:editId="2E8E1A47">
            <wp:extent cx="6508131" cy="3352800"/>
            <wp:effectExtent l="0" t="0" r="6985" b="0"/>
            <wp:docPr id="52" name="Picture 52"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文本&#10;&#10;描述已自动生成"/>
                    <pic:cNvPicPr/>
                  </pic:nvPicPr>
                  <pic:blipFill>
                    <a:blip r:embed="rId36"/>
                    <a:stretch>
                      <a:fillRect/>
                    </a:stretch>
                  </pic:blipFill>
                  <pic:spPr>
                    <a:xfrm>
                      <a:off x="0" y="0"/>
                      <a:ext cx="6510016" cy="3353771"/>
                    </a:xfrm>
                    <a:prstGeom prst="rect">
                      <a:avLst/>
                    </a:prstGeom>
                  </pic:spPr>
                </pic:pic>
              </a:graphicData>
            </a:graphic>
          </wp:inline>
        </w:drawing>
      </w:r>
    </w:p>
    <w:p w14:paraId="1D0F03FB" w14:textId="77777777" w:rsidR="00E60C54" w:rsidRDefault="00E60C54" w:rsidP="00E60C54">
      <w:pPr>
        <w:spacing w:line="480" w:lineRule="auto"/>
        <w:rPr>
          <w:rFonts w:ascii="Times New Roman" w:hAnsi="Times New Roman" w:cs="Times New Roman"/>
        </w:rPr>
      </w:pPr>
      <w:r>
        <w:rPr>
          <w:noProof/>
        </w:rPr>
        <w:drawing>
          <wp:inline distT="0" distB="0" distL="0" distR="0" wp14:anchorId="1C92D868" wp14:editId="4884D39D">
            <wp:extent cx="6688483" cy="3295650"/>
            <wp:effectExtent l="0" t="0" r="0" b="0"/>
            <wp:docPr id="53" name="Picture 53" descr="报纸的截图&#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报纸的截图&#10;&#10;中度可信度描述已自动生成"/>
                    <pic:cNvPicPr/>
                  </pic:nvPicPr>
                  <pic:blipFill>
                    <a:blip r:embed="rId37"/>
                    <a:stretch>
                      <a:fillRect/>
                    </a:stretch>
                  </pic:blipFill>
                  <pic:spPr>
                    <a:xfrm>
                      <a:off x="0" y="0"/>
                      <a:ext cx="6698079" cy="3300378"/>
                    </a:xfrm>
                    <a:prstGeom prst="rect">
                      <a:avLst/>
                    </a:prstGeom>
                  </pic:spPr>
                </pic:pic>
              </a:graphicData>
            </a:graphic>
          </wp:inline>
        </w:drawing>
      </w:r>
    </w:p>
    <w:p w14:paraId="64187CDD"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2AB712F7" wp14:editId="4C5F5AE8">
            <wp:extent cx="6451600" cy="3010057"/>
            <wp:effectExtent l="0" t="0" r="6350" b="0"/>
            <wp:docPr id="54" name="Picture 54"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图形用户界面, 文本, 应用程序&#10;&#10;描述已自动生成"/>
                    <pic:cNvPicPr/>
                  </pic:nvPicPr>
                  <pic:blipFill>
                    <a:blip r:embed="rId38"/>
                    <a:stretch>
                      <a:fillRect/>
                    </a:stretch>
                  </pic:blipFill>
                  <pic:spPr>
                    <a:xfrm>
                      <a:off x="0" y="0"/>
                      <a:ext cx="6463758" cy="3015729"/>
                    </a:xfrm>
                    <a:prstGeom prst="rect">
                      <a:avLst/>
                    </a:prstGeom>
                  </pic:spPr>
                </pic:pic>
              </a:graphicData>
            </a:graphic>
          </wp:inline>
        </w:drawing>
      </w:r>
    </w:p>
    <w:p w14:paraId="1A7B0B78" w14:textId="77777777" w:rsidR="00E60C54" w:rsidRDefault="00E60C54" w:rsidP="00E60C54">
      <w:pPr>
        <w:spacing w:line="480" w:lineRule="auto"/>
        <w:rPr>
          <w:rFonts w:ascii="Times New Roman" w:hAnsi="Times New Roman" w:cs="Times New Roman"/>
        </w:rPr>
      </w:pPr>
      <w:r>
        <w:rPr>
          <w:noProof/>
        </w:rPr>
        <w:drawing>
          <wp:inline distT="0" distB="0" distL="0" distR="0" wp14:anchorId="012F5392" wp14:editId="0FA5C0FD">
            <wp:extent cx="6577090" cy="3276600"/>
            <wp:effectExtent l="0" t="0" r="0" b="0"/>
            <wp:docPr id="55" name="Picture 55"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文本&#10;&#10;描述已自动生成"/>
                    <pic:cNvPicPr/>
                  </pic:nvPicPr>
                  <pic:blipFill>
                    <a:blip r:embed="rId39"/>
                    <a:stretch>
                      <a:fillRect/>
                    </a:stretch>
                  </pic:blipFill>
                  <pic:spPr>
                    <a:xfrm>
                      <a:off x="0" y="0"/>
                      <a:ext cx="6581532" cy="3278813"/>
                    </a:xfrm>
                    <a:prstGeom prst="rect">
                      <a:avLst/>
                    </a:prstGeom>
                  </pic:spPr>
                </pic:pic>
              </a:graphicData>
            </a:graphic>
          </wp:inline>
        </w:drawing>
      </w:r>
    </w:p>
    <w:p w14:paraId="7D73C49F"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64E95F2F" wp14:editId="67F57908">
            <wp:extent cx="6616848" cy="3270250"/>
            <wp:effectExtent l="0" t="0" r="0" b="6350"/>
            <wp:docPr id="56" name="Picture 56"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文本&#10;&#10;描述已自动生成"/>
                    <pic:cNvPicPr/>
                  </pic:nvPicPr>
                  <pic:blipFill>
                    <a:blip r:embed="rId40"/>
                    <a:stretch>
                      <a:fillRect/>
                    </a:stretch>
                  </pic:blipFill>
                  <pic:spPr>
                    <a:xfrm>
                      <a:off x="0" y="0"/>
                      <a:ext cx="6630292" cy="3276895"/>
                    </a:xfrm>
                    <a:prstGeom prst="rect">
                      <a:avLst/>
                    </a:prstGeom>
                  </pic:spPr>
                </pic:pic>
              </a:graphicData>
            </a:graphic>
          </wp:inline>
        </w:drawing>
      </w:r>
    </w:p>
    <w:p w14:paraId="5D4AF348" w14:textId="77777777" w:rsidR="00E60C54" w:rsidRDefault="00E60C54" w:rsidP="00E60C54">
      <w:pPr>
        <w:spacing w:line="480" w:lineRule="auto"/>
        <w:rPr>
          <w:rFonts w:ascii="Times New Roman" w:hAnsi="Times New Roman" w:cs="Times New Roman"/>
        </w:rPr>
      </w:pPr>
      <w:r>
        <w:rPr>
          <w:noProof/>
        </w:rPr>
        <w:drawing>
          <wp:inline distT="0" distB="0" distL="0" distR="0" wp14:anchorId="4F312017" wp14:editId="2AA8F9AF">
            <wp:extent cx="6745295" cy="3098800"/>
            <wp:effectExtent l="0" t="0" r="0" b="6350"/>
            <wp:docPr id="57" name="Picture 57" descr="报纸上的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报纸上的表格&#10;&#10;中度可信度描述已自动生成"/>
                    <pic:cNvPicPr/>
                  </pic:nvPicPr>
                  <pic:blipFill>
                    <a:blip r:embed="rId41"/>
                    <a:stretch>
                      <a:fillRect/>
                    </a:stretch>
                  </pic:blipFill>
                  <pic:spPr>
                    <a:xfrm>
                      <a:off x="0" y="0"/>
                      <a:ext cx="6753676" cy="3102650"/>
                    </a:xfrm>
                    <a:prstGeom prst="rect">
                      <a:avLst/>
                    </a:prstGeom>
                  </pic:spPr>
                </pic:pic>
              </a:graphicData>
            </a:graphic>
          </wp:inline>
        </w:drawing>
      </w:r>
    </w:p>
    <w:p w14:paraId="1F64042C"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2F7F748F" wp14:editId="47A75E73">
            <wp:extent cx="6684500" cy="3105150"/>
            <wp:effectExtent l="0" t="0" r="2540" b="0"/>
            <wp:docPr id="58" name="Picture 58"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文本&#10;&#10;描述已自动生成"/>
                    <pic:cNvPicPr/>
                  </pic:nvPicPr>
                  <pic:blipFill>
                    <a:blip r:embed="rId42"/>
                    <a:stretch>
                      <a:fillRect/>
                    </a:stretch>
                  </pic:blipFill>
                  <pic:spPr>
                    <a:xfrm>
                      <a:off x="0" y="0"/>
                      <a:ext cx="6696976" cy="3110945"/>
                    </a:xfrm>
                    <a:prstGeom prst="rect">
                      <a:avLst/>
                    </a:prstGeom>
                  </pic:spPr>
                </pic:pic>
              </a:graphicData>
            </a:graphic>
          </wp:inline>
        </w:drawing>
      </w:r>
    </w:p>
    <w:p w14:paraId="5B00DEDB" w14:textId="77777777" w:rsidR="00E60C54" w:rsidRDefault="00E60C54" w:rsidP="00E60C54">
      <w:pPr>
        <w:spacing w:line="480" w:lineRule="auto"/>
        <w:rPr>
          <w:rFonts w:ascii="Times New Roman" w:hAnsi="Times New Roman" w:cs="Times New Roman"/>
        </w:rPr>
      </w:pPr>
      <w:r>
        <w:rPr>
          <w:noProof/>
        </w:rPr>
        <w:drawing>
          <wp:inline distT="0" distB="0" distL="0" distR="0" wp14:anchorId="7ADF4D12" wp14:editId="639CAFEF">
            <wp:extent cx="6718580" cy="2730500"/>
            <wp:effectExtent l="0" t="0" r="6350" b="0"/>
            <wp:docPr id="59" name="Picture 59" descr="图形用户界面, 文本, 应用程序, Word&#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图形用户界面, 文本, 应用程序, Word&#10;&#10;描述已自动生成"/>
                    <pic:cNvPicPr/>
                  </pic:nvPicPr>
                  <pic:blipFill>
                    <a:blip r:embed="rId43"/>
                    <a:stretch>
                      <a:fillRect/>
                    </a:stretch>
                  </pic:blipFill>
                  <pic:spPr>
                    <a:xfrm>
                      <a:off x="0" y="0"/>
                      <a:ext cx="6735674" cy="2737447"/>
                    </a:xfrm>
                    <a:prstGeom prst="rect">
                      <a:avLst/>
                    </a:prstGeom>
                  </pic:spPr>
                </pic:pic>
              </a:graphicData>
            </a:graphic>
          </wp:inline>
        </w:drawing>
      </w:r>
    </w:p>
    <w:p w14:paraId="4B724D5A" w14:textId="77777777" w:rsidR="00E60C54" w:rsidRDefault="00E60C54" w:rsidP="00E60C54">
      <w:pPr>
        <w:spacing w:line="480" w:lineRule="auto"/>
        <w:rPr>
          <w:rFonts w:ascii="Times New Roman" w:hAnsi="Times New Roman" w:cs="Times New Roman"/>
        </w:rPr>
      </w:pPr>
      <w:r>
        <w:rPr>
          <w:noProof/>
        </w:rPr>
        <w:lastRenderedPageBreak/>
        <w:drawing>
          <wp:inline distT="0" distB="0" distL="0" distR="0" wp14:anchorId="0D166288" wp14:editId="2ECEB4CD">
            <wp:extent cx="6662924" cy="3111500"/>
            <wp:effectExtent l="0" t="0" r="5080" b="0"/>
            <wp:docPr id="60" name="Picture 60"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表格&#10;&#10;描述已自动生成"/>
                    <pic:cNvPicPr/>
                  </pic:nvPicPr>
                  <pic:blipFill>
                    <a:blip r:embed="rId44"/>
                    <a:stretch>
                      <a:fillRect/>
                    </a:stretch>
                  </pic:blipFill>
                  <pic:spPr>
                    <a:xfrm>
                      <a:off x="0" y="0"/>
                      <a:ext cx="6669120" cy="3114394"/>
                    </a:xfrm>
                    <a:prstGeom prst="rect">
                      <a:avLst/>
                    </a:prstGeom>
                  </pic:spPr>
                </pic:pic>
              </a:graphicData>
            </a:graphic>
          </wp:inline>
        </w:drawing>
      </w:r>
    </w:p>
    <w:p w14:paraId="7B0E4EB5" w14:textId="77777777" w:rsidR="00E60C54" w:rsidRDefault="00E60C54" w:rsidP="00E60C54">
      <w:pPr>
        <w:spacing w:line="480" w:lineRule="auto"/>
        <w:rPr>
          <w:rFonts w:ascii="Times New Roman" w:hAnsi="Times New Roman" w:cs="Times New Roman"/>
        </w:rPr>
      </w:pPr>
    </w:p>
    <w:p w14:paraId="6EEE6DDD" w14:textId="77777777" w:rsidR="00E60C54" w:rsidRDefault="00E60C54" w:rsidP="00E60C54">
      <w:pPr>
        <w:spacing w:line="480" w:lineRule="auto"/>
        <w:rPr>
          <w:rFonts w:ascii="Times New Roman" w:hAnsi="Times New Roman" w:cs="Times New Roman"/>
        </w:rPr>
      </w:pPr>
    </w:p>
    <w:p w14:paraId="4BF997B8" w14:textId="77777777" w:rsidR="00E60C54" w:rsidRDefault="00E60C54" w:rsidP="00E60C54">
      <w:pPr>
        <w:spacing w:line="480" w:lineRule="auto"/>
        <w:rPr>
          <w:rFonts w:ascii="Times New Roman" w:hAnsi="Times New Roman" w:cs="Times New Roman"/>
        </w:rPr>
      </w:pPr>
    </w:p>
    <w:p w14:paraId="413E3EFE" w14:textId="77777777" w:rsidR="00E60C54" w:rsidRDefault="00E60C54" w:rsidP="00E60C54">
      <w:pPr>
        <w:spacing w:line="480" w:lineRule="auto"/>
        <w:rPr>
          <w:rFonts w:ascii="Times New Roman" w:hAnsi="Times New Roman" w:cs="Times New Roman"/>
        </w:rPr>
      </w:pPr>
    </w:p>
    <w:p w14:paraId="0C036540" w14:textId="77777777" w:rsidR="00E60C54" w:rsidRDefault="00E60C54" w:rsidP="00E60C54">
      <w:pPr>
        <w:spacing w:line="480" w:lineRule="auto"/>
        <w:rPr>
          <w:rFonts w:ascii="Times New Roman" w:hAnsi="Times New Roman" w:cs="Times New Roman"/>
        </w:rPr>
      </w:pPr>
    </w:p>
    <w:p w14:paraId="79500CF5" w14:textId="77777777" w:rsidR="00E60C54" w:rsidRDefault="00E60C54" w:rsidP="00E60C54">
      <w:pPr>
        <w:spacing w:line="480" w:lineRule="auto"/>
        <w:rPr>
          <w:rFonts w:ascii="Times New Roman" w:hAnsi="Times New Roman" w:cs="Times New Roman"/>
        </w:rPr>
      </w:pPr>
    </w:p>
    <w:p w14:paraId="0F0E0280" w14:textId="77777777" w:rsidR="00E60C54" w:rsidRDefault="00E60C54" w:rsidP="00E60C54">
      <w:pPr>
        <w:spacing w:line="480" w:lineRule="auto"/>
        <w:rPr>
          <w:rFonts w:ascii="Times New Roman" w:hAnsi="Times New Roman" w:cs="Times New Roman"/>
        </w:rPr>
      </w:pPr>
    </w:p>
    <w:p w14:paraId="2782A6C4" w14:textId="77777777" w:rsidR="00E60C54" w:rsidRDefault="00E60C54" w:rsidP="00E60C54">
      <w:pPr>
        <w:spacing w:line="480" w:lineRule="auto"/>
        <w:rPr>
          <w:rFonts w:ascii="Times New Roman" w:hAnsi="Times New Roman" w:cs="Times New Roman"/>
        </w:rPr>
      </w:pPr>
    </w:p>
    <w:p w14:paraId="5A4484DE" w14:textId="77777777" w:rsidR="00E60C54" w:rsidRDefault="00E60C54" w:rsidP="00E60C54">
      <w:pPr>
        <w:spacing w:line="480" w:lineRule="auto"/>
        <w:rPr>
          <w:rFonts w:ascii="Times New Roman" w:hAnsi="Times New Roman" w:cs="Times New Roman"/>
        </w:rPr>
      </w:pPr>
    </w:p>
    <w:p w14:paraId="11AA266C" w14:textId="77777777" w:rsidR="00E60C54" w:rsidRDefault="00E60C54" w:rsidP="00E60C54">
      <w:pPr>
        <w:spacing w:line="480" w:lineRule="auto"/>
        <w:rPr>
          <w:rFonts w:ascii="Times New Roman" w:hAnsi="Times New Roman" w:cs="Times New Roman"/>
        </w:rPr>
      </w:pPr>
    </w:p>
    <w:p w14:paraId="4790B4AE" w14:textId="77777777" w:rsidR="00E60C54" w:rsidRPr="003656BF" w:rsidRDefault="00E60C54" w:rsidP="00E60C54"/>
    <w:p w14:paraId="157060F0" w14:textId="77777777" w:rsidR="00E60C54" w:rsidRPr="00DC20F4" w:rsidRDefault="00E60C54" w:rsidP="00E60C54">
      <w:pPr>
        <w:pStyle w:val="1"/>
        <w:spacing w:line="480" w:lineRule="auto"/>
        <w:jc w:val="center"/>
        <w:rPr>
          <w:rFonts w:ascii="Times New Roman" w:hAnsi="Times New Roman" w:cs="Times New Roman"/>
          <w:b/>
          <w:color w:val="auto"/>
          <w:sz w:val="24"/>
          <w:szCs w:val="24"/>
        </w:rPr>
      </w:pPr>
      <w:bookmarkStart w:id="11" w:name="_Toc202430183"/>
      <w:r w:rsidRPr="00DC20F4">
        <w:rPr>
          <w:rFonts w:ascii="Times New Roman" w:hAnsi="Times New Roman" w:cs="Times New Roman"/>
          <w:b/>
          <w:color w:val="auto"/>
          <w:sz w:val="24"/>
          <w:szCs w:val="24"/>
        </w:rPr>
        <w:lastRenderedPageBreak/>
        <w:t>Part 3: Preliminary Literature Review</w:t>
      </w:r>
      <w:bookmarkEnd w:id="11"/>
    </w:p>
    <w:p w14:paraId="134395FB" w14:textId="77777777" w:rsidR="00E60C54" w:rsidRPr="00E64516" w:rsidRDefault="00E60C54" w:rsidP="00E60C54">
      <w:pPr>
        <w:spacing w:before="100" w:beforeAutospacing="1" w:after="100" w:afterAutospacing="1" w:line="360" w:lineRule="auto"/>
        <w:jc w:val="center"/>
        <w:outlineLvl w:val="0"/>
        <w:rPr>
          <w:rFonts w:ascii="Times New Roman" w:eastAsia="Times New Roman" w:hAnsi="Times New Roman" w:cs="Times New Roman"/>
          <w:b/>
          <w:bCs/>
          <w:kern w:val="36"/>
        </w:rPr>
      </w:pPr>
      <w:bookmarkStart w:id="12" w:name="_Toc202430184"/>
      <w:r>
        <w:rPr>
          <w:rFonts w:ascii="Times New Roman" w:eastAsia="Times New Roman" w:hAnsi="Times New Roman" w:cs="Times New Roman"/>
          <w:b/>
          <w:bCs/>
          <w:kern w:val="36"/>
        </w:rPr>
        <w:t>Introduction</w:t>
      </w:r>
      <w:bookmarkEnd w:id="12"/>
    </w:p>
    <w:p w14:paraId="22DD79E7" w14:textId="77777777" w:rsidR="00E60C54"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Multinational firms once prioritized lean, globally dispersed networks to maximize cost savings, yet crises such as COVID-19, protectionist trade policies, and severe weather disruptions have exposed critical structural flaws (Chopra &amp; Sodhi, 2014; Ivanov &amp; </w:t>
      </w:r>
      <w:proofErr w:type="spellStart"/>
      <w:r w:rsidRPr="00362C2E">
        <w:rPr>
          <w:rFonts w:ascii="Times New Roman" w:eastAsia="Times New Roman" w:hAnsi="Times New Roman" w:cs="Times New Roman"/>
        </w:rPr>
        <w:t>Dolgui</w:t>
      </w:r>
      <w:proofErr w:type="spellEnd"/>
      <w:r w:rsidRPr="00362C2E">
        <w:rPr>
          <w:rFonts w:ascii="Times New Roman" w:eastAsia="Times New Roman" w:hAnsi="Times New Roman" w:cs="Times New Roman"/>
        </w:rPr>
        <w:t xml:space="preserve">, 2020). These disruptions often ripple through economies, triggering wider instability (Bai et al., 2024; Diaz et al., 2024). Efficiency, it turns out, offers little resilience when conditions shift. During the pandemic, for instance, shortages and border restrictions drove up prices and stalled international trade (Diaz et al., 2024; Pinsky &amp; Jia, 2025). Such cases illustrate the limits of supply models overly dependent on just-in-time logistics and single-source suppliers. As Chopra and Sodhi (2014) argue, most firms were ill-prepared for low-probability, high-impact events, lacking the redundancy and flexibility needed for resilience. Institutional complexity has compounded these vulnerabilities: conflicting regulations and stakeholder pressures mean that top managers must juggle social and regulatory demands even as crises strike (Herold &amp; </w:t>
      </w:r>
      <w:proofErr w:type="spellStart"/>
      <w:r w:rsidRPr="00362C2E">
        <w:rPr>
          <w:rFonts w:ascii="Times New Roman" w:eastAsia="Times New Roman" w:hAnsi="Times New Roman" w:cs="Times New Roman"/>
        </w:rPr>
        <w:t>Marzantowicz</w:t>
      </w:r>
      <w:proofErr w:type="spellEnd"/>
      <w:r w:rsidRPr="00362C2E">
        <w:rPr>
          <w:rFonts w:ascii="Times New Roman" w:eastAsia="Times New Roman" w:hAnsi="Times New Roman" w:cs="Times New Roman"/>
        </w:rPr>
        <w:t xml:space="preserve">, 2023). In an MNC context this is especially challenging, as global-local coordination becomes critical. Empirical studies show that MNEs must balance centralized strategy with local agility; in crises, subsidiaries often need autonomy to adapt quickly (Meyer &amp; Li, 2022; </w:t>
      </w:r>
      <w:proofErr w:type="spellStart"/>
      <w:r w:rsidRPr="00362C2E">
        <w:rPr>
          <w:rFonts w:ascii="Times New Roman" w:eastAsia="Times New Roman" w:hAnsi="Times New Roman" w:cs="Times New Roman"/>
        </w:rPr>
        <w:t>Gurkov</w:t>
      </w:r>
      <w:proofErr w:type="spellEnd"/>
      <w:r w:rsidRPr="00362C2E">
        <w:rPr>
          <w:rFonts w:ascii="Times New Roman" w:eastAsia="Times New Roman" w:hAnsi="Times New Roman" w:cs="Times New Roman"/>
        </w:rPr>
        <w:t xml:space="preserve"> et al., 2023). Overall, the literature paints a picture of supply chains that are simultaneously globally intertwined and locally brittle, raising the central question of how firms can architect robustness moving forward.</w:t>
      </w:r>
    </w:p>
    <w:p w14:paraId="259A63D8" w14:textId="77777777" w:rsidR="00E60C54" w:rsidRPr="005B1868" w:rsidRDefault="00E60C54" w:rsidP="00E60C54">
      <w:pPr>
        <w:pStyle w:val="1"/>
        <w:spacing w:line="480" w:lineRule="auto"/>
        <w:jc w:val="center"/>
        <w:rPr>
          <w:rFonts w:ascii="Times New Roman" w:hAnsi="Times New Roman" w:cs="Times New Roman"/>
          <w:b/>
          <w:color w:val="auto"/>
          <w:sz w:val="24"/>
          <w:szCs w:val="24"/>
        </w:rPr>
      </w:pPr>
      <w:bookmarkStart w:id="13" w:name="_Toc202430185"/>
      <w:r w:rsidRPr="005B1868">
        <w:rPr>
          <w:rFonts w:ascii="Times New Roman" w:hAnsi="Times New Roman" w:cs="Times New Roman"/>
          <w:b/>
          <w:color w:val="auto"/>
          <w:sz w:val="24"/>
          <w:szCs w:val="24"/>
        </w:rPr>
        <w:lastRenderedPageBreak/>
        <w:t>How Themes Emerged</w:t>
      </w:r>
      <w:bookmarkEnd w:id="13"/>
    </w:p>
    <w:p w14:paraId="2EF50F8A" w14:textId="77777777" w:rsidR="00E60C54" w:rsidRPr="000905EE" w:rsidRDefault="00E60C54" w:rsidP="00E60C54">
      <w:pPr>
        <w:spacing w:before="100" w:beforeAutospacing="1" w:after="100" w:afterAutospacing="1" w:line="480" w:lineRule="auto"/>
        <w:ind w:firstLine="720"/>
        <w:rPr>
          <w:rFonts w:ascii="Times New Roman" w:eastAsia="Times New Roman" w:hAnsi="Times New Roman" w:cs="Times New Roman"/>
        </w:rPr>
      </w:pPr>
      <w:r w:rsidRPr="000905EE">
        <w:rPr>
          <w:rFonts w:ascii="Times New Roman" w:eastAsia="Times New Roman" w:hAnsi="Times New Roman" w:cs="Times New Roman"/>
        </w:rPr>
        <w:t>Part 3, which entails the thematic synthesis, is a direct synthesis of the typified annotated bibliography presented in Part 2 with an array of 100 peer-reviewed journal articles. The critical literature review process was performed in detail with multiple stages to ensure that the review was repeatable in order to have transparency.</w:t>
      </w:r>
    </w:p>
    <w:p w14:paraId="0A61F235" w14:textId="77777777" w:rsidR="00E60C54" w:rsidRPr="000905EE" w:rsidRDefault="00E60C54" w:rsidP="00E60C54">
      <w:pPr>
        <w:spacing w:before="100" w:beforeAutospacing="1" w:after="100" w:afterAutospacing="1" w:line="480" w:lineRule="auto"/>
        <w:ind w:firstLine="720"/>
        <w:rPr>
          <w:rFonts w:ascii="Times New Roman" w:eastAsia="Times New Roman" w:hAnsi="Times New Roman" w:cs="Times New Roman"/>
        </w:rPr>
      </w:pPr>
      <w:r w:rsidRPr="000905EE">
        <w:rPr>
          <w:rFonts w:ascii="Times New Roman" w:eastAsia="Times New Roman" w:hAnsi="Times New Roman" w:cs="Times New Roman"/>
        </w:rPr>
        <w:t>Because of the very large scope, scouring academic databases (Scopus, Web of Science and Google Scholar) was the initial step based on a set of well-designed Boolean search queries. These searches merged such words as a “circular economy” or a “closed-loop supply chain” with other terms such as resilience, vulnerability, multinational, MNC, or Industry 4.0 or digital. The study made use of only articles published in English in the period between 2010 and 2024, but they had to be peer-reviewed and have a defined empirical or conceptual focus on circular economy (CE) and supply chain resiliency.</w:t>
      </w:r>
    </w:p>
    <w:p w14:paraId="6A95A342" w14:textId="77777777" w:rsidR="00E60C54" w:rsidRPr="000905EE" w:rsidRDefault="00E60C54" w:rsidP="00E60C54">
      <w:pPr>
        <w:spacing w:before="100" w:beforeAutospacing="1" w:after="100" w:afterAutospacing="1" w:line="480" w:lineRule="auto"/>
        <w:ind w:firstLine="720"/>
        <w:rPr>
          <w:rFonts w:ascii="Times New Roman" w:eastAsia="Times New Roman" w:hAnsi="Times New Roman" w:cs="Times New Roman"/>
        </w:rPr>
      </w:pPr>
      <w:r w:rsidRPr="000905EE">
        <w:rPr>
          <w:rFonts w:ascii="Times New Roman" w:eastAsia="Times New Roman" w:hAnsi="Times New Roman" w:cs="Times New Roman"/>
        </w:rPr>
        <w:t xml:space="preserve">The next was the screening and tagging. At this stage, it started with an initial scan of titles and abstracts to eliminate irrelevant work pieces. The full texts were then assessed according to three criteria that included the article must report on results of </w:t>
      </w:r>
      <w:r w:rsidRPr="00E60C54">
        <w:rPr>
          <w:rFonts w:ascii="Times New Roman" w:eastAsia="Times New Roman" w:hAnsi="Times New Roman" w:cs="Times New Roman"/>
        </w:rPr>
        <w:t xml:space="preserve">resilience </w:t>
      </w:r>
      <w:r w:rsidRPr="000905EE">
        <w:rPr>
          <w:rFonts w:ascii="Times New Roman" w:eastAsia="Times New Roman" w:hAnsi="Times New Roman" w:cs="Times New Roman"/>
        </w:rPr>
        <w:t xml:space="preserve">or describe CE strategy, it must provide results on resilience, the article must be in a context of a multinational corporation (MNC). </w:t>
      </w:r>
      <w:r w:rsidRPr="00E60C54">
        <w:rPr>
          <w:rFonts w:ascii="Times New Roman" w:eastAsia="Times New Roman" w:hAnsi="Times New Roman" w:cs="Times New Roman"/>
        </w:rPr>
        <w:t>After vetting, the articles were catalogued according to the goals of the study which encompass investigating the issues of vulnerability of supply chains</w:t>
      </w:r>
      <w:r w:rsidRPr="000905EE">
        <w:rPr>
          <w:rFonts w:ascii="Times New Roman" w:eastAsia="Times New Roman" w:hAnsi="Times New Roman" w:cs="Times New Roman"/>
        </w:rPr>
        <w:t xml:space="preserve">, the CE strategies that reduce the risk, and the study of how the management teams implement the thought of CE to strengthen </w:t>
      </w:r>
      <w:r w:rsidRPr="000905EE">
        <w:rPr>
          <w:rFonts w:ascii="Times New Roman" w:eastAsia="Times New Roman" w:hAnsi="Times New Roman" w:cs="Times New Roman"/>
        </w:rPr>
        <w:lastRenderedPageBreak/>
        <w:t xml:space="preserve">resilience, which are the objectives outlined in Part 1. </w:t>
      </w:r>
      <w:commentRangeStart w:id="14"/>
      <w:r w:rsidRPr="000905EE">
        <w:rPr>
          <w:rFonts w:ascii="Times New Roman" w:eastAsia="Times New Roman" w:hAnsi="Times New Roman" w:cs="Times New Roman"/>
        </w:rPr>
        <w:t>These grants were recorded systematically under the column labelled as relevance to objectives in part 2 making it easy to trace a particular article back to the main objectives of the study.</w:t>
      </w:r>
      <w:commentRangeEnd w:id="14"/>
      <w:r w:rsidRPr="000905EE">
        <w:rPr>
          <w:rStyle w:val="a7"/>
        </w:rPr>
        <w:commentReference w:id="14"/>
      </w:r>
    </w:p>
    <w:p w14:paraId="09A50A2C" w14:textId="77777777" w:rsidR="00E60C54" w:rsidRDefault="00E60C54" w:rsidP="00E60C54">
      <w:pPr>
        <w:spacing w:before="100" w:beforeAutospacing="1" w:after="100" w:afterAutospacing="1" w:line="480" w:lineRule="auto"/>
        <w:ind w:firstLine="720"/>
        <w:rPr>
          <w:rFonts w:ascii="Times New Roman" w:eastAsia="Times New Roman" w:hAnsi="Times New Roman" w:cs="Times New Roman"/>
        </w:rPr>
      </w:pPr>
      <w:r w:rsidRPr="000905EE">
        <w:rPr>
          <w:rFonts w:ascii="Times New Roman" w:eastAsia="Times New Roman" w:hAnsi="Times New Roman" w:cs="Times New Roman"/>
        </w:rPr>
        <w:t xml:space="preserve">The last stage, therefore, was the process of structuring and integrating those impressions into three principal themes on which each of these pillars within the conceptual framework of Part 3 is based. These thematic pillars are closely interconnected with research objectives, and this fact contributes to the development of a more consistent and impressive narrative. All in all, this procedure exemplifies how systematic but flexible review of literature may go beyond the data collection to provide legitimate analytical understanding. Regarding methodology, the practices described comply with the best practices in the field of </w:t>
      </w:r>
      <w:commentRangeStart w:id="15"/>
      <w:r w:rsidRPr="000905EE">
        <w:rPr>
          <w:rFonts w:ascii="Times New Roman" w:eastAsia="Times New Roman" w:hAnsi="Times New Roman" w:cs="Times New Roman"/>
        </w:rPr>
        <w:t xml:space="preserve">qualitative meta-synthesis </w:t>
      </w:r>
      <w:commentRangeEnd w:id="15"/>
      <w:r w:rsidRPr="000905EE">
        <w:rPr>
          <w:rStyle w:val="a7"/>
        </w:rPr>
        <w:commentReference w:id="15"/>
      </w:r>
      <w:r w:rsidRPr="000905EE">
        <w:rPr>
          <w:rFonts w:ascii="Times New Roman" w:eastAsia="Times New Roman" w:hAnsi="Times New Roman" w:cs="Times New Roman"/>
        </w:rPr>
        <w:t xml:space="preserve">(see the recommendations by </w:t>
      </w:r>
      <w:proofErr w:type="spellStart"/>
      <w:r w:rsidRPr="000905EE">
        <w:rPr>
          <w:rFonts w:ascii="Times New Roman" w:eastAsia="Times New Roman" w:hAnsi="Times New Roman" w:cs="Times New Roman"/>
        </w:rPr>
        <w:t>Siddaway</w:t>
      </w:r>
      <w:proofErr w:type="spellEnd"/>
      <w:r w:rsidRPr="000905EE">
        <w:rPr>
          <w:rFonts w:ascii="Times New Roman" w:eastAsia="Times New Roman" w:hAnsi="Times New Roman" w:cs="Times New Roman"/>
        </w:rPr>
        <w:t xml:space="preserve"> et al., 2019; Elliott Mainwaring, 2021) and attempt to achieve the balance between transparency and the integrity of interpretation.</w:t>
      </w:r>
      <w:r>
        <w:rPr>
          <w:rFonts w:ascii="Times New Roman" w:eastAsia="Times New Roman" w:hAnsi="Times New Roman" w:cs="Times New Roman"/>
        </w:rPr>
        <w:t xml:space="preserve"> Despite the majority of included papers being qualitative, there was also an inclusion of quantitative papers since the researcher used them interpretively rather than statistically. According to </w:t>
      </w:r>
      <w:proofErr w:type="spellStart"/>
      <w:r>
        <w:rPr>
          <w:rFonts w:ascii="Times New Roman" w:eastAsia="Times New Roman" w:hAnsi="Times New Roman" w:cs="Times New Roman"/>
        </w:rPr>
        <w:t>Coatsworth-Puspoky</w:t>
      </w:r>
      <w:proofErr w:type="spellEnd"/>
      <w:r>
        <w:rPr>
          <w:rFonts w:ascii="Times New Roman" w:eastAsia="Times New Roman" w:hAnsi="Times New Roman" w:cs="Times New Roman"/>
        </w:rPr>
        <w:t xml:space="preserve"> et al., (2025), quantitative papers are valid in qualitative meta-synthesis provided that they offer conceptual </w:t>
      </w:r>
      <w:proofErr w:type="gramStart"/>
      <w:r>
        <w:rPr>
          <w:rFonts w:ascii="Times New Roman" w:eastAsia="Times New Roman" w:hAnsi="Times New Roman" w:cs="Times New Roman"/>
        </w:rPr>
        <w:t>insights</w:t>
      </w:r>
      <w:proofErr w:type="gramEnd"/>
      <w:r>
        <w:rPr>
          <w:rFonts w:ascii="Times New Roman" w:eastAsia="Times New Roman" w:hAnsi="Times New Roman" w:cs="Times New Roman"/>
        </w:rPr>
        <w:t xml:space="preserve"> and the researcher is extracting meaning from findings as opposed to statistically aggregating data. </w:t>
      </w:r>
    </w:p>
    <w:p w14:paraId="1B8402BE" w14:textId="77777777" w:rsidR="00E60C54" w:rsidRPr="00362C2E" w:rsidRDefault="00E60C54" w:rsidP="00E60C54">
      <w:pPr>
        <w:pStyle w:val="1"/>
        <w:spacing w:line="480" w:lineRule="auto"/>
        <w:jc w:val="center"/>
        <w:rPr>
          <w:rFonts w:ascii="Times New Roman" w:hAnsi="Times New Roman" w:cs="Times New Roman"/>
          <w:b/>
          <w:color w:val="auto"/>
          <w:sz w:val="24"/>
          <w:szCs w:val="24"/>
        </w:rPr>
      </w:pPr>
      <w:bookmarkStart w:id="16" w:name="_Toc202430186"/>
      <w:r w:rsidRPr="00362C2E">
        <w:rPr>
          <w:rFonts w:ascii="Times New Roman" w:hAnsi="Times New Roman" w:cs="Times New Roman"/>
          <w:b/>
          <w:color w:val="auto"/>
          <w:sz w:val="24"/>
          <w:szCs w:val="24"/>
        </w:rPr>
        <w:lastRenderedPageBreak/>
        <w:t>Conceptual Framing</w:t>
      </w:r>
      <w:bookmarkEnd w:id="16"/>
    </w:p>
    <w:p w14:paraId="3269F4D0"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5126B">
        <w:rPr>
          <w:rFonts w:ascii="Times New Roman" w:eastAsia="Times New Roman" w:hAnsi="Times New Roman" w:cs="Times New Roman"/>
        </w:rPr>
        <w:t>This review needs to be anchored first by definition of the two key constructs, that is, circular economy and supply chain resilience</w:t>
      </w:r>
      <w:r w:rsidRPr="00362C2E">
        <w:rPr>
          <w:rFonts w:ascii="Times New Roman" w:eastAsia="Times New Roman" w:hAnsi="Times New Roman" w:cs="Times New Roman"/>
        </w:rPr>
        <w:t xml:space="preserve"> </w:t>
      </w:r>
      <w:proofErr w:type="gramStart"/>
      <w:r w:rsidRPr="00362C2E">
        <w:rPr>
          <w:rFonts w:ascii="Times New Roman" w:eastAsia="Times New Roman" w:hAnsi="Times New Roman" w:cs="Times New Roman"/>
        </w:rPr>
        <w:t>The</w:t>
      </w:r>
      <w:proofErr w:type="gramEnd"/>
      <w:r w:rsidRPr="00362C2E">
        <w:rPr>
          <w:rFonts w:ascii="Times New Roman" w:eastAsia="Times New Roman" w:hAnsi="Times New Roman" w:cs="Times New Roman"/>
        </w:rPr>
        <w:t xml:space="preserve"> circular economy (CE) is “an economic system aimed at eliminating waste and the continual use of resources by closing, slowing, and narrowing material and energy loops” (</w:t>
      </w:r>
      <w:proofErr w:type="spellStart"/>
      <w:r w:rsidRPr="00362C2E">
        <w:rPr>
          <w:rFonts w:ascii="Times New Roman" w:eastAsia="Times New Roman" w:hAnsi="Times New Roman" w:cs="Times New Roman"/>
        </w:rPr>
        <w:t>Kirchherr</w:t>
      </w:r>
      <w:proofErr w:type="spellEnd"/>
      <w:r w:rsidRPr="00362C2E">
        <w:rPr>
          <w:rFonts w:ascii="Times New Roman" w:eastAsia="Times New Roman" w:hAnsi="Times New Roman" w:cs="Times New Roman"/>
        </w:rPr>
        <w:t xml:space="preserve"> et al., 2023, p. 320). In practice, CE contrasts sharply with the traditional linear “take-make-dispose” model by emphasizing product longevity, resource recovery, and systemic design for reuse. Key principles include designing out waste, maintaining products and materials in use, and regenerating natural systems.</w:t>
      </w:r>
    </w:p>
    <w:p w14:paraId="25E19579"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bCs/>
        </w:rPr>
        <w:t>Supply chain resilience</w:t>
      </w:r>
      <w:r w:rsidRPr="00362C2E">
        <w:rPr>
          <w:rFonts w:ascii="Times New Roman" w:eastAsia="Times New Roman" w:hAnsi="Times New Roman" w:cs="Times New Roman"/>
        </w:rPr>
        <w:t xml:space="preserve"> refers to the capacity of a supply network to anticipate, absorb, recover from, and adapt to disruptions (</w:t>
      </w:r>
      <w:proofErr w:type="spellStart"/>
      <w:r w:rsidRPr="00362C2E">
        <w:rPr>
          <w:rFonts w:ascii="Times New Roman" w:eastAsia="Times New Roman" w:hAnsi="Times New Roman" w:cs="Times New Roman"/>
        </w:rPr>
        <w:t>Kamalahmadi</w:t>
      </w:r>
      <w:proofErr w:type="spellEnd"/>
      <w:r w:rsidRPr="00362C2E">
        <w:rPr>
          <w:rFonts w:ascii="Times New Roman" w:eastAsia="Times New Roman" w:hAnsi="Times New Roman" w:cs="Times New Roman"/>
        </w:rPr>
        <w:t xml:space="preserve">, </w:t>
      </w:r>
      <w:proofErr w:type="spellStart"/>
      <w:r w:rsidRPr="00362C2E">
        <w:rPr>
          <w:rFonts w:ascii="Times New Roman" w:eastAsia="Times New Roman" w:hAnsi="Times New Roman" w:cs="Times New Roman"/>
        </w:rPr>
        <w:t>Shekarian</w:t>
      </w:r>
      <w:proofErr w:type="spellEnd"/>
      <w:r w:rsidRPr="00362C2E">
        <w:rPr>
          <w:rFonts w:ascii="Times New Roman" w:eastAsia="Times New Roman" w:hAnsi="Times New Roman" w:cs="Times New Roman"/>
        </w:rPr>
        <w:t xml:space="preserve">, &amp; </w:t>
      </w:r>
      <w:proofErr w:type="spellStart"/>
      <w:r w:rsidRPr="00362C2E">
        <w:rPr>
          <w:rFonts w:ascii="Times New Roman" w:eastAsia="Times New Roman" w:hAnsi="Times New Roman" w:cs="Times New Roman"/>
        </w:rPr>
        <w:t>Mellat</w:t>
      </w:r>
      <w:proofErr w:type="spellEnd"/>
      <w:r w:rsidRPr="00362C2E">
        <w:rPr>
          <w:rFonts w:ascii="Times New Roman" w:eastAsia="Times New Roman" w:hAnsi="Times New Roman" w:cs="Times New Roman"/>
        </w:rPr>
        <w:t xml:space="preserve"> </w:t>
      </w:r>
      <w:proofErr w:type="spellStart"/>
      <w:r w:rsidRPr="00362C2E">
        <w:rPr>
          <w:rFonts w:ascii="Times New Roman" w:eastAsia="Times New Roman" w:hAnsi="Times New Roman" w:cs="Times New Roman"/>
        </w:rPr>
        <w:t>Parast</w:t>
      </w:r>
      <w:proofErr w:type="spellEnd"/>
      <w:r w:rsidRPr="00362C2E">
        <w:rPr>
          <w:rFonts w:ascii="Times New Roman" w:eastAsia="Times New Roman" w:hAnsi="Times New Roman" w:cs="Times New Roman"/>
        </w:rPr>
        <w:t>, 2022). Resilient chains combine proactive strategies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risk assessment, redundant sourcing) with reactive capabilities (e.g. rapid recovery, adaptive reconfiguration). Ivanov and </w:t>
      </w:r>
      <w:proofErr w:type="spellStart"/>
      <w:r w:rsidRPr="00362C2E">
        <w:rPr>
          <w:rFonts w:ascii="Times New Roman" w:eastAsia="Times New Roman" w:hAnsi="Times New Roman" w:cs="Times New Roman"/>
        </w:rPr>
        <w:t>Dolgui’s</w:t>
      </w:r>
      <w:proofErr w:type="spellEnd"/>
      <w:r w:rsidRPr="00362C2E">
        <w:rPr>
          <w:rFonts w:ascii="Times New Roman" w:eastAsia="Times New Roman" w:hAnsi="Times New Roman" w:cs="Times New Roman"/>
        </w:rPr>
        <w:t xml:space="preserve"> (2020) notion of </w:t>
      </w:r>
      <w:r w:rsidRPr="00362C2E">
        <w:rPr>
          <w:rFonts w:ascii="Times New Roman" w:eastAsia="Times New Roman" w:hAnsi="Times New Roman" w:cs="Times New Roman"/>
          <w:bCs/>
        </w:rPr>
        <w:t>intertwined supply networks</w:t>
      </w:r>
      <w:r w:rsidRPr="00362C2E">
        <w:rPr>
          <w:rFonts w:ascii="Times New Roman" w:eastAsia="Times New Roman" w:hAnsi="Times New Roman" w:cs="Times New Roman"/>
        </w:rPr>
        <w:t xml:space="preserve"> further elaborates resilience as a system-wide property, where cascading interdependencies can both magnify shocks and, if well-designed, enable cross-network buffering.</w:t>
      </w:r>
    </w:p>
    <w:p w14:paraId="5A30087D"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By situ</w:t>
      </w:r>
      <w:r>
        <w:rPr>
          <w:rFonts w:ascii="Times New Roman" w:eastAsia="Times New Roman" w:hAnsi="Times New Roman" w:cs="Times New Roman"/>
        </w:rPr>
        <w:t xml:space="preserve">ating the </w:t>
      </w:r>
      <w:r w:rsidRPr="00362C2E">
        <w:rPr>
          <w:rFonts w:ascii="Times New Roman" w:eastAsia="Times New Roman" w:hAnsi="Times New Roman" w:cs="Times New Roman"/>
        </w:rPr>
        <w:t xml:space="preserve">review at the intersection of these two fields, </w:t>
      </w:r>
      <w:r>
        <w:rPr>
          <w:rFonts w:ascii="Times New Roman" w:eastAsia="Times New Roman" w:hAnsi="Times New Roman" w:cs="Times New Roman"/>
        </w:rPr>
        <w:t>the primary question is</w:t>
      </w:r>
      <w:r w:rsidRPr="00362C2E">
        <w:rPr>
          <w:rFonts w:ascii="Times New Roman" w:eastAsia="Times New Roman" w:hAnsi="Times New Roman" w:cs="Times New Roman"/>
        </w:rPr>
        <w:t xml:space="preserve">: </w:t>
      </w:r>
      <w:r w:rsidRPr="00362C2E">
        <w:rPr>
          <w:rFonts w:ascii="Times New Roman" w:eastAsia="Times New Roman" w:hAnsi="Times New Roman" w:cs="Times New Roman"/>
          <w:bCs/>
        </w:rPr>
        <w:t>How does top-managerial incorporation of CE principles strengthen supply chain resilience in MNCs?</w:t>
      </w:r>
      <w:r w:rsidRPr="00362C2E">
        <w:rPr>
          <w:rFonts w:ascii="Times New Roman" w:eastAsia="Times New Roman" w:hAnsi="Times New Roman" w:cs="Times New Roman"/>
        </w:rPr>
        <w:t xml:space="preserve"> Understanding this linkage requires (1) diagnosing the vulnerabilities inherent in lean, global supply networks, (2) mapping how CE’s </w:t>
      </w:r>
      <w:r w:rsidRPr="00362C2E">
        <w:rPr>
          <w:rFonts w:ascii="Times New Roman" w:eastAsia="Times New Roman" w:hAnsi="Times New Roman" w:cs="Times New Roman"/>
        </w:rPr>
        <w:lastRenderedPageBreak/>
        <w:t>resource loops counteract those vulnerabilities, and (3) explicating the managerial levers that operationalize CE-driven resilience.</w:t>
      </w:r>
    </w:p>
    <w:p w14:paraId="7FC292D3" w14:textId="77777777" w:rsidR="00E60C54" w:rsidRPr="00362C2E" w:rsidRDefault="00E60C54" w:rsidP="00E60C54">
      <w:pPr>
        <w:pStyle w:val="1"/>
        <w:spacing w:line="480" w:lineRule="auto"/>
        <w:jc w:val="center"/>
        <w:rPr>
          <w:rFonts w:ascii="Times New Roman" w:hAnsi="Times New Roman" w:cs="Times New Roman"/>
          <w:b/>
          <w:color w:val="auto"/>
          <w:sz w:val="24"/>
          <w:szCs w:val="24"/>
        </w:rPr>
      </w:pPr>
      <w:bookmarkStart w:id="17" w:name="_Toc202430187"/>
      <w:r w:rsidRPr="00362C2E">
        <w:rPr>
          <w:rFonts w:ascii="Times New Roman" w:hAnsi="Times New Roman" w:cs="Times New Roman"/>
          <w:b/>
          <w:color w:val="auto"/>
          <w:sz w:val="24"/>
          <w:szCs w:val="24"/>
        </w:rPr>
        <w:t>Conceptual Framework</w:t>
      </w:r>
      <w:bookmarkEnd w:id="17"/>
    </w:p>
    <w:p w14:paraId="6687ACAD"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To structure the synthesis, the adoption of a three-pillar framework tying CE to resilience remains necessary via (a) </w:t>
      </w:r>
      <w:r w:rsidRPr="00362C2E">
        <w:rPr>
          <w:rFonts w:ascii="Times New Roman" w:eastAsia="Times New Roman" w:hAnsi="Times New Roman" w:cs="Times New Roman"/>
          <w:bCs/>
        </w:rPr>
        <w:t>resource loop design</w:t>
      </w:r>
      <w:r w:rsidRPr="00362C2E">
        <w:rPr>
          <w:rFonts w:ascii="Times New Roman" w:eastAsia="Times New Roman" w:hAnsi="Times New Roman" w:cs="Times New Roman"/>
        </w:rPr>
        <w:t xml:space="preserve">, (b) </w:t>
      </w:r>
      <w:r w:rsidRPr="00362C2E">
        <w:rPr>
          <w:rFonts w:ascii="Times New Roman" w:eastAsia="Times New Roman" w:hAnsi="Times New Roman" w:cs="Times New Roman"/>
          <w:bCs/>
        </w:rPr>
        <w:t>dynamic capabilities</w:t>
      </w:r>
      <w:r w:rsidRPr="00362C2E">
        <w:rPr>
          <w:rFonts w:ascii="Times New Roman" w:eastAsia="Times New Roman" w:hAnsi="Times New Roman" w:cs="Times New Roman"/>
        </w:rPr>
        <w:t xml:space="preserve">, and (c) </w:t>
      </w:r>
      <w:r w:rsidRPr="00362C2E">
        <w:rPr>
          <w:rFonts w:ascii="Times New Roman" w:eastAsia="Times New Roman" w:hAnsi="Times New Roman" w:cs="Times New Roman"/>
          <w:bCs/>
        </w:rPr>
        <w:t>governance and culture</w:t>
      </w:r>
      <w:r w:rsidRPr="00362C2E">
        <w:rPr>
          <w:rFonts w:ascii="Times New Roman" w:eastAsia="Times New Roman" w:hAnsi="Times New Roman" w:cs="Times New Roman"/>
        </w:rPr>
        <w:t>.</w:t>
      </w:r>
    </w:p>
    <w:p w14:paraId="7DF844C8" w14:textId="77777777" w:rsidR="00E60C54" w:rsidRDefault="00E60C54" w:rsidP="00E60C54">
      <w:pPr>
        <w:pStyle w:val="2"/>
        <w:rPr>
          <w:rFonts w:eastAsia="Times New Roman"/>
        </w:rPr>
      </w:pPr>
      <w:bookmarkStart w:id="18" w:name="_Toc202430188"/>
      <w:r w:rsidRPr="00362C2E">
        <w:rPr>
          <w:rStyle w:val="20"/>
          <w:rFonts w:ascii="Times New Roman" w:hAnsi="Times New Roman" w:cs="Times New Roman"/>
          <w:b/>
          <w:color w:val="auto"/>
          <w:sz w:val="24"/>
          <w:szCs w:val="24"/>
        </w:rPr>
        <w:t>Resource Loop Design</w:t>
      </w:r>
      <w:bookmarkEnd w:id="18"/>
    </w:p>
    <w:p w14:paraId="3873A7FD" w14:textId="77777777" w:rsidR="00E60C54" w:rsidRPr="003806D9" w:rsidRDefault="00E60C54" w:rsidP="00E60C54">
      <w:pPr>
        <w:spacing w:before="100" w:beforeAutospacing="1" w:after="100" w:afterAutospacing="1" w:line="480" w:lineRule="auto"/>
        <w:ind w:firstLine="720"/>
        <w:rPr>
          <w:rFonts w:ascii="Times New Roman" w:eastAsiaTheme="majorEastAsia" w:hAnsi="Times New Roman" w:cs="Times New Roman"/>
          <w:b/>
        </w:rPr>
      </w:pPr>
      <w:r w:rsidRPr="00362C2E">
        <w:rPr>
          <w:rFonts w:ascii="Times New Roman" w:eastAsia="Times New Roman" w:hAnsi="Times New Roman" w:cs="Times New Roman"/>
        </w:rPr>
        <w:t>At the heart of CE lies material loop closure—recycling, remanufacturing, and product-as-a-service models—that diversify supply sources and create built-in redundancies (</w:t>
      </w:r>
      <w:proofErr w:type="spellStart"/>
      <w:r w:rsidRPr="00362C2E">
        <w:rPr>
          <w:rFonts w:ascii="Times New Roman" w:eastAsia="Times New Roman" w:hAnsi="Times New Roman" w:cs="Times New Roman"/>
        </w:rPr>
        <w:t>Gaustad</w:t>
      </w:r>
      <w:proofErr w:type="spellEnd"/>
      <w:r w:rsidRPr="00362C2E">
        <w:rPr>
          <w:rFonts w:ascii="Times New Roman" w:eastAsia="Times New Roman" w:hAnsi="Times New Roman" w:cs="Times New Roman"/>
        </w:rPr>
        <w:t xml:space="preserve"> et al., 2018; Yu et al., 2021). By converting waste streams into secondary inputs, firms reduce dependency on single suppliers or raw materials and establish parallel flows that can be activated under strain.</w:t>
      </w:r>
    </w:p>
    <w:p w14:paraId="48006E26" w14:textId="77777777" w:rsidR="00E60C54" w:rsidRDefault="00E60C54" w:rsidP="00E60C54">
      <w:pPr>
        <w:pStyle w:val="2"/>
        <w:rPr>
          <w:rFonts w:eastAsia="Times New Roman"/>
        </w:rPr>
      </w:pPr>
      <w:bookmarkStart w:id="19" w:name="_Toc202430189"/>
      <w:r w:rsidRPr="00362C2E">
        <w:rPr>
          <w:rStyle w:val="20"/>
          <w:rFonts w:ascii="Times New Roman" w:hAnsi="Times New Roman" w:cs="Times New Roman"/>
          <w:b/>
          <w:color w:val="auto"/>
          <w:sz w:val="24"/>
          <w:szCs w:val="24"/>
        </w:rPr>
        <w:t>Dynamic Capabilities</w:t>
      </w:r>
      <w:bookmarkEnd w:id="19"/>
    </w:p>
    <w:p w14:paraId="538E8E75"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Dynamic capabilities theory explains how </w:t>
      </w:r>
      <w:proofErr w:type="gramStart"/>
      <w:r w:rsidRPr="00362C2E">
        <w:rPr>
          <w:rFonts w:ascii="Times New Roman" w:eastAsia="Times New Roman" w:hAnsi="Times New Roman" w:cs="Times New Roman"/>
        </w:rPr>
        <w:t>firms</w:t>
      </w:r>
      <w:proofErr w:type="gramEnd"/>
      <w:r w:rsidRPr="00362C2E">
        <w:rPr>
          <w:rFonts w:ascii="Times New Roman" w:eastAsia="Times New Roman" w:hAnsi="Times New Roman" w:cs="Times New Roman"/>
        </w:rPr>
        <w:t xml:space="preserve"> sense, seize, and reconfigur</w:t>
      </w:r>
      <w:r>
        <w:rPr>
          <w:rFonts w:ascii="Times New Roman" w:eastAsia="Times New Roman" w:hAnsi="Times New Roman" w:cs="Times New Roman"/>
        </w:rPr>
        <w:t>e resources to adapt to change</w:t>
      </w:r>
      <w:r w:rsidRPr="00362C2E">
        <w:rPr>
          <w:rFonts w:ascii="Times New Roman" w:eastAsia="Times New Roman" w:hAnsi="Times New Roman" w:cs="Times New Roman"/>
        </w:rPr>
        <w:t>. Within a CE context, dynamic capabilities manifest as rapid redeployment of circular assets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reclaimed materials, shared platforms) and continuous learning loops that refine circular processes (Chari et al., 2022; Bag et al., 2019). IoT and AI bolster these capabilities by enabling real-time monitoring and predictive re-routing of circular flows.</w:t>
      </w:r>
    </w:p>
    <w:p w14:paraId="1EFBF280" w14:textId="77777777" w:rsidR="00E60C54" w:rsidRDefault="00E60C54" w:rsidP="00E60C54">
      <w:pPr>
        <w:pStyle w:val="2"/>
        <w:rPr>
          <w:rFonts w:eastAsia="Times New Roman"/>
        </w:rPr>
      </w:pPr>
      <w:bookmarkStart w:id="20" w:name="_Toc202430190"/>
      <w:r w:rsidRPr="00362C2E">
        <w:rPr>
          <w:rStyle w:val="20"/>
          <w:rFonts w:ascii="Times New Roman" w:hAnsi="Times New Roman" w:cs="Times New Roman"/>
          <w:b/>
          <w:color w:val="auto"/>
          <w:sz w:val="24"/>
          <w:szCs w:val="24"/>
        </w:rPr>
        <w:lastRenderedPageBreak/>
        <w:t>Governance and Culture</w:t>
      </w:r>
      <w:bookmarkEnd w:id="20"/>
    </w:p>
    <w:p w14:paraId="4292E3BA"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C47710">
        <w:rPr>
          <w:rFonts w:ascii="Times New Roman" w:eastAsia="Times New Roman" w:hAnsi="Times New Roman" w:cs="Times New Roman"/>
        </w:rPr>
        <w:t>The integration of CE rests on top-management</w:t>
      </w:r>
      <w:r w:rsidRPr="00C47710">
        <w:rPr>
          <w:rFonts w:ascii="Times New Roman" w:eastAsia="Times New Roman" w:hAnsi="Times New Roman" w:cs="Times New Roman"/>
        </w:rPr>
        <w:t> </w:t>
      </w:r>
      <w:r w:rsidRPr="00C47710">
        <w:rPr>
          <w:rFonts w:ascii="Times New Roman" w:eastAsia="Times New Roman" w:hAnsi="Times New Roman" w:cs="Times New Roman"/>
        </w:rPr>
        <w:t>vision, strategic fit, and cultural preparedness. Governance includes circular performance measurements (Larrinaga and</w:t>
      </w:r>
      <w:r w:rsidRPr="00C47710">
        <w:rPr>
          <w:rFonts w:ascii="Times New Roman" w:eastAsia="Times New Roman" w:hAnsi="Times New Roman" w:cs="Times New Roman"/>
        </w:rPr>
        <w:t> </w:t>
      </w:r>
      <w:r w:rsidRPr="00C47710">
        <w:rPr>
          <w:rFonts w:ascii="Times New Roman" w:eastAsia="Times New Roman" w:hAnsi="Times New Roman" w:cs="Times New Roman"/>
        </w:rPr>
        <w:t>Garcia-</w:t>
      </w:r>
      <w:proofErr w:type="spellStart"/>
      <w:r w:rsidRPr="00C47710">
        <w:rPr>
          <w:rFonts w:ascii="Times New Roman" w:eastAsia="Times New Roman" w:hAnsi="Times New Roman" w:cs="Times New Roman"/>
        </w:rPr>
        <w:t>Torea</w:t>
      </w:r>
      <w:proofErr w:type="spellEnd"/>
      <w:r w:rsidRPr="00C47710">
        <w:rPr>
          <w:rFonts w:ascii="Times New Roman" w:eastAsia="Times New Roman" w:hAnsi="Times New Roman" w:cs="Times New Roman"/>
        </w:rPr>
        <w:t>, 2022; Singh et al., 2024), incentives for reuse, and cross-functional teams responsible for circular innovation. Green HRM and stakeholder engagement contribute to a corporate philosophy that endorses sustainability and resilience as concurrent goals (</w:t>
      </w:r>
      <w:proofErr w:type="spellStart"/>
      <w:r w:rsidRPr="00C47710">
        <w:rPr>
          <w:rFonts w:ascii="Times New Roman" w:eastAsia="Times New Roman" w:hAnsi="Times New Roman" w:cs="Times New Roman"/>
        </w:rPr>
        <w:t>Elshaer</w:t>
      </w:r>
      <w:proofErr w:type="spellEnd"/>
      <w:r w:rsidRPr="00C47710">
        <w:rPr>
          <w:rFonts w:ascii="Times New Roman" w:eastAsia="Times New Roman" w:hAnsi="Times New Roman" w:cs="Times New Roman"/>
        </w:rPr>
        <w:t xml:space="preserve"> et al.,</w:t>
      </w:r>
      <w:r w:rsidRPr="00C47710">
        <w:rPr>
          <w:rFonts w:ascii="Times New Roman" w:eastAsia="Times New Roman" w:hAnsi="Times New Roman" w:cs="Times New Roman"/>
        </w:rPr>
        <w:t> </w:t>
      </w:r>
      <w:r w:rsidRPr="00C47710">
        <w:rPr>
          <w:rFonts w:ascii="Times New Roman" w:eastAsia="Times New Roman" w:hAnsi="Times New Roman" w:cs="Times New Roman"/>
        </w:rPr>
        <w:t xml:space="preserve">2024; </w:t>
      </w:r>
      <w:proofErr w:type="spellStart"/>
      <w:r w:rsidRPr="00C47710">
        <w:rPr>
          <w:rFonts w:ascii="Times New Roman" w:eastAsia="Times New Roman" w:hAnsi="Times New Roman" w:cs="Times New Roman"/>
        </w:rPr>
        <w:t>Carraresi</w:t>
      </w:r>
      <w:proofErr w:type="spellEnd"/>
      <w:r w:rsidRPr="00C47710">
        <w:rPr>
          <w:rFonts w:ascii="Times New Roman" w:eastAsia="Times New Roman" w:hAnsi="Times New Roman" w:cs="Times New Roman"/>
        </w:rPr>
        <w:t xml:space="preserve"> &amp; </w:t>
      </w:r>
      <w:proofErr w:type="spellStart"/>
      <w:r w:rsidRPr="00C47710">
        <w:rPr>
          <w:rFonts w:ascii="Times New Roman" w:eastAsia="Times New Roman" w:hAnsi="Times New Roman" w:cs="Times New Roman"/>
        </w:rPr>
        <w:t>Bröring</w:t>
      </w:r>
      <w:proofErr w:type="spellEnd"/>
      <w:r w:rsidRPr="00C47710">
        <w:rPr>
          <w:rFonts w:ascii="Times New Roman" w:eastAsia="Times New Roman" w:hAnsi="Times New Roman" w:cs="Times New Roman"/>
        </w:rPr>
        <w:t>, 2021).</w:t>
      </w:r>
    </w:p>
    <w:p w14:paraId="18373E80" w14:textId="77777777" w:rsidR="00E60C54" w:rsidRPr="00362C2E" w:rsidRDefault="00E60C54" w:rsidP="00E60C54">
      <w:pPr>
        <w:pStyle w:val="1"/>
        <w:spacing w:line="480" w:lineRule="auto"/>
        <w:jc w:val="center"/>
        <w:rPr>
          <w:rFonts w:ascii="Times New Roman" w:hAnsi="Times New Roman" w:cs="Times New Roman"/>
          <w:b/>
          <w:color w:val="auto"/>
          <w:sz w:val="24"/>
          <w:szCs w:val="24"/>
        </w:rPr>
      </w:pPr>
      <w:bookmarkStart w:id="21" w:name="_Toc202430191"/>
      <w:r w:rsidRPr="00362C2E">
        <w:rPr>
          <w:rFonts w:ascii="Times New Roman" w:hAnsi="Times New Roman" w:cs="Times New Roman"/>
          <w:b/>
          <w:color w:val="auto"/>
          <w:sz w:val="24"/>
          <w:szCs w:val="24"/>
        </w:rPr>
        <w:t>Effects of Global Disruptions on Supply Chain Paradigms (Objective 1)</w:t>
      </w:r>
      <w:bookmarkEnd w:id="21"/>
    </w:p>
    <w:p w14:paraId="1A656581" w14:textId="77777777" w:rsidR="00E60C54" w:rsidRPr="00C47710" w:rsidRDefault="00E60C54" w:rsidP="00E60C54">
      <w:pPr>
        <w:spacing w:line="480" w:lineRule="auto"/>
        <w:ind w:firstLine="720"/>
        <w:rPr>
          <w:rFonts w:ascii="Times New Roman" w:hAnsi="Times New Roman" w:cs="Times New Roman"/>
        </w:rPr>
      </w:pPr>
      <w:r w:rsidRPr="00C47710">
        <w:rPr>
          <w:rFonts w:ascii="Times New Roman" w:hAnsi="Times New Roman" w:cs="Times New Roman"/>
          <w:bCs/>
        </w:rPr>
        <w:t>Research has also addressed how specific shocks have challenged</w:t>
      </w:r>
      <w:r w:rsidRPr="00C47710">
        <w:rPr>
          <w:rFonts w:ascii="Times New Roman" w:hAnsi="Times New Roman" w:cs="Times New Roman"/>
          <w:bCs/>
        </w:rPr>
        <w:t> </w:t>
      </w:r>
      <w:r w:rsidRPr="00C47710">
        <w:rPr>
          <w:rFonts w:ascii="Times New Roman" w:hAnsi="Times New Roman" w:cs="Times New Roman"/>
          <w:bCs/>
        </w:rPr>
        <w:t>the conventional supply chain paradigms. On</w:t>
      </w:r>
      <w:r w:rsidRPr="00C47710">
        <w:rPr>
          <w:rFonts w:ascii="Times New Roman" w:hAnsi="Times New Roman" w:cs="Times New Roman"/>
          <w:bCs/>
        </w:rPr>
        <w:t> </w:t>
      </w:r>
      <w:r w:rsidRPr="00C47710">
        <w:rPr>
          <w:rFonts w:ascii="Times New Roman" w:hAnsi="Times New Roman" w:cs="Times New Roman"/>
          <w:bCs/>
        </w:rPr>
        <w:t>the most basic level, pandemic-related lockdowns, for example, revealed “ripple effects” that extended beyond initial manufacturing delays. Bai et al. (2024) simulate the macroeconomic impact</w:t>
      </w:r>
      <w:r w:rsidRPr="00C47710">
        <w:rPr>
          <w:rFonts w:ascii="Times New Roman" w:hAnsi="Times New Roman" w:cs="Times New Roman"/>
          <w:bCs/>
        </w:rPr>
        <w:t> </w:t>
      </w:r>
      <w:r w:rsidRPr="00C47710">
        <w:rPr>
          <w:rFonts w:ascii="Times New Roman" w:hAnsi="Times New Roman" w:cs="Times New Roman"/>
          <w:bCs/>
        </w:rPr>
        <w:t>of supply chain disturbance and find large second-round effects on growth and stability. Likewise, world prices</w:t>
      </w:r>
      <w:r w:rsidRPr="00C47710">
        <w:rPr>
          <w:rFonts w:ascii="Times New Roman" w:hAnsi="Times New Roman" w:cs="Times New Roman"/>
          <w:bCs/>
        </w:rPr>
        <w:t> </w:t>
      </w:r>
      <w:r w:rsidRPr="00C47710">
        <w:rPr>
          <w:rFonts w:ascii="Times New Roman" w:hAnsi="Times New Roman" w:cs="Times New Roman"/>
          <w:bCs/>
        </w:rPr>
        <w:t>for commodities have fluctuated due to supply disruptions and these have led to increases in inflation (Diaz et al., 2024) and riots.</w:t>
      </w:r>
      <w:r>
        <w:rPr>
          <w:rFonts w:ascii="Times New Roman" w:hAnsi="Times New Roman" w:cs="Times New Roman"/>
        </w:rPr>
        <w:t xml:space="preserve"> </w:t>
      </w:r>
      <w:r w:rsidRPr="00C47710">
        <w:rPr>
          <w:rFonts w:ascii="Times New Roman" w:eastAsia="Times New Roman" w:hAnsi="Times New Roman" w:cs="Times New Roman"/>
          <w:bCs/>
        </w:rPr>
        <w:t>Much like micro-level data, these macro-level findings</w:t>
      </w:r>
      <w:r w:rsidRPr="00C47710">
        <w:rPr>
          <w:rFonts w:ascii="Times New Roman" w:eastAsia="Times New Roman" w:hAnsi="Times New Roman" w:cs="Times New Roman"/>
          <w:bCs/>
        </w:rPr>
        <w:t> </w:t>
      </w:r>
      <w:r w:rsidRPr="00C47710">
        <w:rPr>
          <w:rFonts w:ascii="Times New Roman" w:eastAsia="Times New Roman" w:hAnsi="Times New Roman" w:cs="Times New Roman"/>
          <w:bCs/>
        </w:rPr>
        <w:t>support firm-level analyses: For a lot of companies, inventory depletion and logistical logjams resulted in lost sales and even going-out-of-business threats. This evidence further demonstrates that lean, “just-in-time” systems — systems that</w:t>
      </w:r>
      <w:r w:rsidRPr="00C47710">
        <w:rPr>
          <w:rFonts w:ascii="Times New Roman" w:eastAsia="Times New Roman" w:hAnsi="Times New Roman" w:cs="Times New Roman"/>
          <w:bCs/>
        </w:rPr>
        <w:t> </w:t>
      </w:r>
      <w:r w:rsidRPr="00C47710">
        <w:rPr>
          <w:rFonts w:ascii="Times New Roman" w:eastAsia="Times New Roman" w:hAnsi="Times New Roman" w:cs="Times New Roman"/>
          <w:bCs/>
        </w:rPr>
        <w:t>minimize buffers — are intrinsically exposed.</w:t>
      </w:r>
      <w:r>
        <w:rPr>
          <w:rFonts w:ascii="Times New Roman" w:hAnsi="Times New Roman" w:cs="Times New Roman"/>
        </w:rPr>
        <w:t xml:space="preserve"> </w:t>
      </w:r>
      <w:r w:rsidRPr="00362C2E">
        <w:rPr>
          <w:rFonts w:ascii="Times New Roman" w:eastAsia="Times New Roman" w:hAnsi="Times New Roman" w:cs="Times New Roman"/>
        </w:rPr>
        <w:t xml:space="preserve">Chopra and Sodhi (2014) highlight this trade-off, noting that despite frequent disasters </w:t>
      </w:r>
      <w:r w:rsidRPr="00362C2E">
        <w:rPr>
          <w:rFonts w:ascii="Times New Roman" w:eastAsia="Times New Roman" w:hAnsi="Times New Roman" w:cs="Times New Roman"/>
        </w:rPr>
        <w:lastRenderedPageBreak/>
        <w:t>(tsunamis, floods, etc.) few firms had effective risk mitigation; many were over-optimized for efficiency and underprepared for disruption.</w:t>
      </w:r>
    </w:p>
    <w:p w14:paraId="3EF3D7C3"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Geopolitical events compound these problems. </w:t>
      </w:r>
      <w:proofErr w:type="spellStart"/>
      <w:r w:rsidRPr="00362C2E">
        <w:rPr>
          <w:rFonts w:ascii="Times New Roman" w:eastAsia="Times New Roman" w:hAnsi="Times New Roman" w:cs="Times New Roman"/>
        </w:rPr>
        <w:t>Bednarski</w:t>
      </w:r>
      <w:proofErr w:type="spellEnd"/>
      <w:r w:rsidRPr="00362C2E">
        <w:rPr>
          <w:rFonts w:ascii="Times New Roman" w:eastAsia="Times New Roman" w:hAnsi="Times New Roman" w:cs="Times New Roman"/>
        </w:rPr>
        <w:t xml:space="preserve"> et al. (2025) review how state conflicts and trade wars fracture global supplier networks and advocate for strategies like regionalization and modularization to reduce exposure. The disruption of China’s trade during COVID-19 (Pinsky &amp; Jia, 2025) is one example showing the inflexibility of hyper-globalized supply chains. In the transportation domain, even urban logistics and road networks have proven fragile under stress; new metrics of robustness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for multi-modal transport) are being developed to guide future planning (Shang et al., 2022). Beyond logistics, resource flows have become strategic weak points: for instance, soil security has been linked to national stability (Basset, 2024) and rare earths shortages illustrate how dependence on critical materials can disrupt entire industries (Sprecher et al., 2015). In sum, global shocks have spotlighted </w:t>
      </w:r>
      <w:r w:rsidRPr="00362C2E">
        <w:rPr>
          <w:rFonts w:ascii="Times New Roman" w:eastAsia="Times New Roman" w:hAnsi="Times New Roman" w:cs="Times New Roman"/>
          <w:bCs/>
        </w:rPr>
        <w:t>structural vulnerabilities</w:t>
      </w:r>
      <w:r w:rsidRPr="00362C2E">
        <w:rPr>
          <w:rFonts w:ascii="Times New Roman" w:eastAsia="Times New Roman" w:hAnsi="Times New Roman" w:cs="Times New Roman"/>
        </w:rPr>
        <w:t xml:space="preserve"> – long value chains with limited visibility, centralized sourcing, lack of slack inventory, and rigid planning – which modern supply chain paradigms inadequately address.</w:t>
      </w:r>
    </w:p>
    <w:p w14:paraId="2BA91BC6"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These vulnerabilities are not merely technical but organizational. Supply chain resilience literature has begun emphasizing dynamic capabilities: agility, flexibility, redundancy, etc. (</w:t>
      </w:r>
      <w:proofErr w:type="spellStart"/>
      <w:r w:rsidRPr="00362C2E">
        <w:rPr>
          <w:rFonts w:ascii="Times New Roman" w:eastAsia="Times New Roman" w:hAnsi="Times New Roman" w:cs="Times New Roman"/>
        </w:rPr>
        <w:t>Kamalahmadi</w:t>
      </w:r>
      <w:proofErr w:type="spellEnd"/>
      <w:r w:rsidRPr="00362C2E">
        <w:rPr>
          <w:rFonts w:ascii="Times New Roman" w:eastAsia="Times New Roman" w:hAnsi="Times New Roman" w:cs="Times New Roman"/>
        </w:rPr>
        <w:t xml:space="preserve"> et al., 2022; Mishra et al., 2024). Yet building these capabilities often requires conscious strategy shifts. Many authors argue that pre-COVID resilience models – largely risk forecasting and contingency plans – must </w:t>
      </w:r>
      <w:r w:rsidRPr="00362C2E">
        <w:rPr>
          <w:rFonts w:ascii="Times New Roman" w:eastAsia="Times New Roman" w:hAnsi="Times New Roman" w:cs="Times New Roman"/>
        </w:rPr>
        <w:lastRenderedPageBreak/>
        <w:t xml:space="preserve">now shift toward adaptive, endogenous resilience (Ivanov, 2024). In other words, firms need built-in resilience (flexibility, alternate paths, and absorptive capacity) rather than episodic fixes. This framing provides a backdrop for exploring </w:t>
      </w:r>
      <w:r w:rsidRPr="00362C2E">
        <w:rPr>
          <w:rFonts w:ascii="Times New Roman" w:eastAsia="Times New Roman" w:hAnsi="Times New Roman" w:cs="Times New Roman"/>
          <w:bCs/>
        </w:rPr>
        <w:t>circular economy (CE)</w:t>
      </w:r>
      <w:r w:rsidRPr="00362C2E">
        <w:rPr>
          <w:rFonts w:ascii="Times New Roman" w:eastAsia="Times New Roman" w:hAnsi="Times New Roman" w:cs="Times New Roman"/>
        </w:rPr>
        <w:t xml:space="preserve"> strategies: could circularity be a means by which firms build that endogeneity and flexibility into their supply chains? Indeed, the research begins to suggest that CE may offer precisely those buffers by rethinking material flows and network structures (Ibn-Mohammed et al., 2021; </w:t>
      </w:r>
      <w:proofErr w:type="spellStart"/>
      <w:r w:rsidRPr="00362C2E">
        <w:rPr>
          <w:rFonts w:ascii="Times New Roman" w:eastAsia="Times New Roman" w:hAnsi="Times New Roman" w:cs="Times New Roman"/>
        </w:rPr>
        <w:t>Kirchherr</w:t>
      </w:r>
      <w:proofErr w:type="spellEnd"/>
      <w:r w:rsidRPr="00362C2E">
        <w:rPr>
          <w:rFonts w:ascii="Times New Roman" w:eastAsia="Times New Roman" w:hAnsi="Times New Roman" w:cs="Times New Roman"/>
        </w:rPr>
        <w:t xml:space="preserve"> et al., 2023).</w:t>
      </w:r>
    </w:p>
    <w:p w14:paraId="119B3CCB" w14:textId="77777777" w:rsidR="00E60C54" w:rsidRPr="00362C2E" w:rsidRDefault="00E60C54" w:rsidP="00E60C54">
      <w:pPr>
        <w:pStyle w:val="1"/>
        <w:spacing w:line="480" w:lineRule="auto"/>
        <w:jc w:val="center"/>
        <w:rPr>
          <w:rFonts w:ascii="Times New Roman" w:hAnsi="Times New Roman" w:cs="Times New Roman"/>
          <w:b/>
          <w:color w:val="auto"/>
          <w:sz w:val="24"/>
          <w:szCs w:val="24"/>
        </w:rPr>
      </w:pPr>
      <w:bookmarkStart w:id="22" w:name="_Toc202430192"/>
      <w:r w:rsidRPr="00362C2E">
        <w:rPr>
          <w:rFonts w:ascii="Times New Roman" w:hAnsi="Times New Roman" w:cs="Times New Roman"/>
          <w:b/>
          <w:color w:val="auto"/>
          <w:sz w:val="24"/>
          <w:szCs w:val="24"/>
        </w:rPr>
        <w:t>Circular Economy Strategies and Supply Chain Vulnerability (Objective 2)</w:t>
      </w:r>
      <w:bookmarkEnd w:id="22"/>
    </w:p>
    <w:p w14:paraId="0B7804A0"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Circular economy principles – notably waste reduction, reuse, recycling, and closed-loop design – fundamentally alter how materials and products flow. The literature consistently finds that </w:t>
      </w:r>
      <w:r w:rsidRPr="00362C2E">
        <w:rPr>
          <w:rFonts w:ascii="Times New Roman" w:eastAsia="Times New Roman" w:hAnsi="Times New Roman" w:cs="Times New Roman"/>
          <w:bCs/>
        </w:rPr>
        <w:t>applying CE strategies can mitigate specific supply chain risks</w:t>
      </w:r>
      <w:r w:rsidRPr="00362C2E">
        <w:rPr>
          <w:rFonts w:ascii="Times New Roman" w:eastAsia="Times New Roman" w:hAnsi="Times New Roman" w:cs="Times New Roman"/>
        </w:rPr>
        <w:t xml:space="preserve">. One clear theme is material scarcity. By design, circular practices reduce dependence on virgin inputs. </w:t>
      </w:r>
      <w:proofErr w:type="spellStart"/>
      <w:r w:rsidRPr="00362C2E">
        <w:rPr>
          <w:rFonts w:ascii="Times New Roman" w:eastAsia="Times New Roman" w:hAnsi="Times New Roman" w:cs="Times New Roman"/>
        </w:rPr>
        <w:t>Gaustad</w:t>
      </w:r>
      <w:proofErr w:type="spellEnd"/>
      <w:r w:rsidRPr="00362C2E">
        <w:rPr>
          <w:rFonts w:ascii="Times New Roman" w:eastAsia="Times New Roman" w:hAnsi="Times New Roman" w:cs="Times New Roman"/>
        </w:rPr>
        <w:t xml:space="preserve"> et al. (2018) show that remanufacturing and recycling pathways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for high-tech materials) can buffer firms against critical material shortages. In electronics, </w:t>
      </w:r>
      <w:proofErr w:type="spellStart"/>
      <w:r w:rsidRPr="00362C2E">
        <w:rPr>
          <w:rFonts w:ascii="Times New Roman" w:eastAsia="Times New Roman" w:hAnsi="Times New Roman" w:cs="Times New Roman"/>
        </w:rPr>
        <w:t>Althaf</w:t>
      </w:r>
      <w:proofErr w:type="spellEnd"/>
      <w:r w:rsidRPr="00362C2E">
        <w:rPr>
          <w:rFonts w:ascii="Times New Roman" w:eastAsia="Times New Roman" w:hAnsi="Times New Roman" w:cs="Times New Roman"/>
        </w:rPr>
        <w:t xml:space="preserve"> and Babbitt (2021) demonstrate that recycling circuits insulate supply chains from geopolitical shocks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rare earth embargoes). Similarly, environmental shocks to commodity markets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fossil fuels or minerals) can be dampened by replacing them with secondary resources or biobased alternatives (Vidal et al., 2024; Mujtaba et al., 2023). These examples underscore how CE reduces vulnerability by diversifying material sources through loops rather than linear channels.</w:t>
      </w:r>
    </w:p>
    <w:p w14:paraId="16562F8A"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lastRenderedPageBreak/>
        <w:t xml:space="preserve">Risk reduction also comes through </w:t>
      </w:r>
      <w:r w:rsidRPr="00362C2E">
        <w:rPr>
          <w:rFonts w:ascii="Times New Roman" w:eastAsia="Times New Roman" w:hAnsi="Times New Roman" w:cs="Times New Roman"/>
          <w:bCs/>
        </w:rPr>
        <w:t>localized circular loops and reverse logistics</w:t>
      </w:r>
      <w:r w:rsidRPr="00362C2E">
        <w:rPr>
          <w:rFonts w:ascii="Times New Roman" w:eastAsia="Times New Roman" w:hAnsi="Times New Roman" w:cs="Times New Roman"/>
        </w:rPr>
        <w:t xml:space="preserve">. Several case studies show that closing the loop in situ cuts transport dependencies. For example, </w:t>
      </w:r>
      <w:proofErr w:type="spellStart"/>
      <w:r w:rsidRPr="00362C2E">
        <w:rPr>
          <w:rFonts w:ascii="Times New Roman" w:eastAsia="Times New Roman" w:hAnsi="Times New Roman" w:cs="Times New Roman"/>
        </w:rPr>
        <w:t>Krstić</w:t>
      </w:r>
      <w:proofErr w:type="spellEnd"/>
      <w:r w:rsidRPr="00362C2E">
        <w:rPr>
          <w:rFonts w:ascii="Times New Roman" w:eastAsia="Times New Roman" w:hAnsi="Times New Roman" w:cs="Times New Roman"/>
        </w:rPr>
        <w:t xml:space="preserve"> et al. (2024) find that in agri-food supply chains, local recycling (composting, bioenergy from waste) and reverse logistics reduce exposure to distant disruption. </w:t>
      </w:r>
      <w:proofErr w:type="spellStart"/>
      <w:r w:rsidRPr="00362C2E">
        <w:rPr>
          <w:rFonts w:ascii="Times New Roman" w:eastAsia="Times New Roman" w:hAnsi="Times New Roman" w:cs="Times New Roman"/>
        </w:rPr>
        <w:t>Wikurendra</w:t>
      </w:r>
      <w:proofErr w:type="spellEnd"/>
      <w:r w:rsidRPr="00362C2E">
        <w:rPr>
          <w:rFonts w:ascii="Times New Roman" w:eastAsia="Times New Roman" w:hAnsi="Times New Roman" w:cs="Times New Roman"/>
        </w:rPr>
        <w:t xml:space="preserve"> et al. (2024) similarly emphasize that urban waste-CE integration in Indonesia decreases systemic vulnerability by addressing multiple sectors at once (food, industrial waste, etc.). By shortening cycles, companies gain agility – if one region’s supply falters, circular sourcing from a local network can partially compensate. In practice, food and agriculture firms exploiting waste streams improved resilience during COVID-19 by keeping resources in the local economy (Giudice et al., 2020).</w:t>
      </w:r>
    </w:p>
    <w:p w14:paraId="036A8A91" w14:textId="77777777" w:rsidR="00E60C54" w:rsidRPr="00362C2E" w:rsidRDefault="00E60C54" w:rsidP="00E60C54">
      <w:pPr>
        <w:spacing w:line="480" w:lineRule="auto"/>
        <w:ind w:firstLine="720"/>
        <w:rPr>
          <w:rFonts w:ascii="Times New Roman" w:hAnsi="Times New Roman" w:cs="Times New Roman"/>
        </w:rPr>
      </w:pPr>
      <w:r w:rsidRPr="00362C2E">
        <w:rPr>
          <w:rFonts w:ascii="Times New Roman" w:eastAsia="Times New Roman" w:hAnsi="Times New Roman" w:cs="Times New Roman"/>
        </w:rPr>
        <w:t xml:space="preserve">Waste management is another dimension: CE </w:t>
      </w:r>
      <w:r w:rsidRPr="00362C2E">
        <w:rPr>
          <w:rFonts w:ascii="Times New Roman" w:eastAsia="Times New Roman" w:hAnsi="Times New Roman" w:cs="Times New Roman"/>
          <w:iCs/>
        </w:rPr>
        <w:t>manages</w:t>
      </w:r>
      <w:r w:rsidRPr="00362C2E">
        <w:rPr>
          <w:rFonts w:ascii="Times New Roman" w:eastAsia="Times New Roman" w:hAnsi="Times New Roman" w:cs="Times New Roman"/>
        </w:rPr>
        <w:t xml:space="preserve"> excess even in crisis. Hou et al. (2022) note that circular strategies for the tsunami of PPE waste during COVID-19 not only reduce environmental harm but also create secondary supply chains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repurposing plastics) that can be drawn upon when primary supply is cut. In broader terms, if a firm can loop its </w:t>
      </w:r>
      <w:proofErr w:type="spellStart"/>
      <w:r w:rsidRPr="00362C2E">
        <w:rPr>
          <w:rFonts w:ascii="Times New Roman" w:eastAsia="Times New Roman" w:hAnsi="Times New Roman" w:cs="Times New Roman"/>
        </w:rPr>
        <w:t>byproducts</w:t>
      </w:r>
      <w:proofErr w:type="spellEnd"/>
      <w:r w:rsidRPr="00362C2E">
        <w:rPr>
          <w:rFonts w:ascii="Times New Roman" w:eastAsia="Times New Roman" w:hAnsi="Times New Roman" w:cs="Times New Roman"/>
        </w:rPr>
        <w:t xml:space="preserve"> back into production, it lessens reliance on external supplies. Awan et al. (2022) review literature showing that such circular waste reuse, coupled with Industry 4.0 tools, makes value chains adaptive. </w:t>
      </w:r>
      <w:r w:rsidRPr="00362C2E">
        <w:rPr>
          <w:rFonts w:ascii="Times New Roman" w:hAnsi="Times New Roman" w:cs="Times New Roman"/>
        </w:rPr>
        <w:t xml:space="preserve">This synergy—digitally tracking material use followed by resource sharing or reuse—emerges as a common tactic for reducing vulnerability. </w:t>
      </w:r>
    </w:p>
    <w:p w14:paraId="29529074" w14:textId="77777777" w:rsidR="00E60C54" w:rsidRPr="00362C2E" w:rsidRDefault="00E60C54" w:rsidP="00E60C54">
      <w:pPr>
        <w:spacing w:line="480" w:lineRule="auto"/>
        <w:ind w:firstLine="720"/>
        <w:rPr>
          <w:rFonts w:ascii="Times New Roman" w:hAnsi="Times New Roman" w:cs="Times New Roman"/>
        </w:rPr>
      </w:pPr>
      <w:r w:rsidRPr="00362C2E">
        <w:rPr>
          <w:rFonts w:ascii="Times New Roman" w:hAnsi="Times New Roman" w:cs="Times New Roman"/>
        </w:rPr>
        <w:lastRenderedPageBreak/>
        <w:t xml:space="preserve">The circular economy also embeds redundancy and slack into systems by design. Unlike the linear model, which often aims for minimal inventory, circular systems rely on reserves of reusable parts or partnerships for recycling. Kennedy and </w:t>
      </w:r>
      <w:proofErr w:type="spellStart"/>
      <w:r w:rsidRPr="00362C2E">
        <w:rPr>
          <w:rFonts w:ascii="Times New Roman" w:hAnsi="Times New Roman" w:cs="Times New Roman"/>
        </w:rPr>
        <w:t>Linnenluecke</w:t>
      </w:r>
      <w:proofErr w:type="spellEnd"/>
      <w:r w:rsidRPr="00362C2E">
        <w:rPr>
          <w:rFonts w:ascii="Times New Roman" w:hAnsi="Times New Roman" w:cs="Times New Roman"/>
        </w:rPr>
        <w:t xml:space="preserve"> (2022) say that planned redundancies and slack, like stored inputs, can make a company much more able to handle systemic disruptions. Dwivedi et al. (2023) found that companies used CE strategies, like adopting clean technology and working with stakeholders, to stay in business during crises because they gave them backup options that linear chains didn't. In short, CE helps companies change the way they do things by using recycled materials when they can't find any other resources.</w:t>
      </w:r>
    </w:p>
    <w:p w14:paraId="5F7C7952" w14:textId="77777777" w:rsidR="00E60C54" w:rsidRPr="00362C2E" w:rsidRDefault="00E60C54" w:rsidP="00E60C54">
      <w:pPr>
        <w:spacing w:line="480" w:lineRule="auto"/>
        <w:ind w:firstLine="720"/>
        <w:rPr>
          <w:rFonts w:ascii="Times New Roman" w:hAnsi="Times New Roman" w:cs="Times New Roman"/>
        </w:rPr>
      </w:pPr>
      <w:r w:rsidRPr="00362C2E">
        <w:rPr>
          <w:rFonts w:ascii="Times New Roman" w:hAnsi="Times New Roman" w:cs="Times New Roman"/>
        </w:rPr>
        <w:t xml:space="preserve">Overall, the data shows that CE strategies focus on certain areas of weakness that were found in Objective 1. CE lessens a company's reliance on any one component by rethinking material flows into loops, diversifying sources, and incorporating adaptability. </w:t>
      </w:r>
      <w:r w:rsidRPr="00362C2E">
        <w:rPr>
          <w:rFonts w:ascii="Times New Roman" w:eastAsia="Times New Roman" w:hAnsi="Times New Roman" w:cs="Times New Roman"/>
        </w:rPr>
        <w:t xml:space="preserve">This </w:t>
      </w:r>
      <w:r w:rsidRPr="00362C2E">
        <w:rPr>
          <w:rFonts w:ascii="Times New Roman" w:eastAsia="Times New Roman" w:hAnsi="Times New Roman" w:cs="Times New Roman"/>
          <w:bCs/>
        </w:rPr>
        <w:t>mitigates supply chain vulnerability</w:t>
      </w:r>
      <w:r w:rsidRPr="00362C2E">
        <w:rPr>
          <w:rFonts w:ascii="Times New Roman" w:eastAsia="Times New Roman" w:hAnsi="Times New Roman" w:cs="Times New Roman"/>
        </w:rPr>
        <w:t xml:space="preserve"> by construction. The literature under Objective 2 thus establishes the </w:t>
      </w:r>
      <w:r w:rsidRPr="00362C2E">
        <w:rPr>
          <w:rFonts w:ascii="Times New Roman" w:eastAsia="Times New Roman" w:hAnsi="Times New Roman" w:cs="Times New Roman"/>
          <w:iCs/>
        </w:rPr>
        <w:t>direction</w:t>
      </w:r>
      <w:r w:rsidRPr="00362C2E">
        <w:rPr>
          <w:rFonts w:ascii="Times New Roman" w:eastAsia="Times New Roman" w:hAnsi="Times New Roman" w:cs="Times New Roman"/>
        </w:rPr>
        <w:t xml:space="preserve"> of impact: circular solutions – from upcycled waste products to localized recycling networks – systematically shrink risk exposures (Yu et al., 2021; </w:t>
      </w:r>
      <w:proofErr w:type="spellStart"/>
      <w:r w:rsidRPr="00362C2E">
        <w:rPr>
          <w:rFonts w:ascii="Times New Roman" w:eastAsia="Times New Roman" w:hAnsi="Times New Roman" w:cs="Times New Roman"/>
        </w:rPr>
        <w:t>Althaf</w:t>
      </w:r>
      <w:proofErr w:type="spellEnd"/>
      <w:r w:rsidRPr="00362C2E">
        <w:rPr>
          <w:rFonts w:ascii="Times New Roman" w:eastAsia="Times New Roman" w:hAnsi="Times New Roman" w:cs="Times New Roman"/>
        </w:rPr>
        <w:t xml:space="preserve"> &amp; Babbitt, 2021; </w:t>
      </w:r>
      <w:proofErr w:type="spellStart"/>
      <w:r w:rsidRPr="00362C2E">
        <w:rPr>
          <w:rFonts w:ascii="Times New Roman" w:eastAsia="Times New Roman" w:hAnsi="Times New Roman" w:cs="Times New Roman"/>
        </w:rPr>
        <w:t>Krstić</w:t>
      </w:r>
      <w:proofErr w:type="spellEnd"/>
      <w:r w:rsidRPr="00362C2E">
        <w:rPr>
          <w:rFonts w:ascii="Times New Roman" w:eastAsia="Times New Roman" w:hAnsi="Times New Roman" w:cs="Times New Roman"/>
        </w:rPr>
        <w:t xml:space="preserve"> et al., 2024). This sets the stage for the final question: how do firms </w:t>
      </w:r>
      <w:r w:rsidRPr="00362C2E">
        <w:rPr>
          <w:rFonts w:ascii="Times New Roman" w:eastAsia="Times New Roman" w:hAnsi="Times New Roman" w:cs="Times New Roman"/>
          <w:iCs/>
        </w:rPr>
        <w:t>operationalize</w:t>
      </w:r>
      <w:r w:rsidRPr="00362C2E">
        <w:rPr>
          <w:rFonts w:ascii="Times New Roman" w:eastAsia="Times New Roman" w:hAnsi="Times New Roman" w:cs="Times New Roman"/>
        </w:rPr>
        <w:t xml:space="preserve"> these CE ideas in resilient supply chains?</w:t>
      </w:r>
    </w:p>
    <w:p w14:paraId="45472E0F" w14:textId="77777777" w:rsidR="00E60C54" w:rsidRPr="00362C2E" w:rsidRDefault="00E60C54" w:rsidP="00E60C54">
      <w:pPr>
        <w:pStyle w:val="1"/>
        <w:spacing w:line="480" w:lineRule="auto"/>
        <w:jc w:val="center"/>
        <w:rPr>
          <w:rFonts w:ascii="Times New Roman" w:hAnsi="Times New Roman" w:cs="Times New Roman"/>
          <w:b/>
          <w:color w:val="auto"/>
          <w:sz w:val="24"/>
          <w:szCs w:val="24"/>
        </w:rPr>
      </w:pPr>
      <w:bookmarkStart w:id="23" w:name="_Toc202430193"/>
      <w:r w:rsidRPr="00362C2E">
        <w:rPr>
          <w:rFonts w:ascii="Times New Roman" w:hAnsi="Times New Roman" w:cs="Times New Roman"/>
          <w:b/>
          <w:color w:val="auto"/>
          <w:sz w:val="24"/>
          <w:szCs w:val="24"/>
        </w:rPr>
        <w:lastRenderedPageBreak/>
        <w:t>Integrating Circular Economy Principles into Supply Chain Resilience (Objective 3)</w:t>
      </w:r>
      <w:bookmarkEnd w:id="23"/>
    </w:p>
    <w:p w14:paraId="56BEC52C"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Embedding circular economy practices into resilient supply chains is fundamentally a managerial and strategic </w:t>
      </w:r>
      <w:proofErr w:type="spellStart"/>
      <w:r w:rsidRPr="00362C2E">
        <w:rPr>
          <w:rFonts w:ascii="Times New Roman" w:eastAsia="Times New Roman" w:hAnsi="Times New Roman" w:cs="Times New Roman"/>
        </w:rPr>
        <w:t>endeavor</w:t>
      </w:r>
      <w:proofErr w:type="spellEnd"/>
      <w:r w:rsidRPr="00362C2E">
        <w:rPr>
          <w:rFonts w:ascii="Times New Roman" w:eastAsia="Times New Roman" w:hAnsi="Times New Roman" w:cs="Times New Roman"/>
        </w:rPr>
        <w:t xml:space="preserve">. The literature explores </w:t>
      </w:r>
      <w:r w:rsidRPr="00362C2E">
        <w:rPr>
          <w:rFonts w:ascii="Times New Roman" w:eastAsia="Times New Roman" w:hAnsi="Times New Roman" w:cs="Times New Roman"/>
          <w:bCs/>
        </w:rPr>
        <w:t>how</w:t>
      </w:r>
      <w:r w:rsidRPr="00362C2E">
        <w:rPr>
          <w:rFonts w:ascii="Times New Roman" w:eastAsia="Times New Roman" w:hAnsi="Times New Roman" w:cs="Times New Roman"/>
        </w:rPr>
        <w:t xml:space="preserve"> leaders can adopt CE principles and the governance needed to do so. One stream emphasizes </w:t>
      </w:r>
      <w:r w:rsidRPr="00362C2E">
        <w:rPr>
          <w:rFonts w:ascii="Times New Roman" w:eastAsia="Times New Roman" w:hAnsi="Times New Roman" w:cs="Times New Roman"/>
          <w:bCs/>
        </w:rPr>
        <w:t>business model and capability innovation</w:t>
      </w:r>
      <w:r w:rsidRPr="00362C2E">
        <w:rPr>
          <w:rFonts w:ascii="Times New Roman" w:eastAsia="Times New Roman" w:hAnsi="Times New Roman" w:cs="Times New Roman"/>
        </w:rPr>
        <w:t xml:space="preserve">. </w:t>
      </w:r>
      <w:proofErr w:type="spellStart"/>
      <w:r w:rsidRPr="00362C2E">
        <w:rPr>
          <w:rFonts w:ascii="Times New Roman" w:eastAsia="Times New Roman" w:hAnsi="Times New Roman" w:cs="Times New Roman"/>
        </w:rPr>
        <w:t>Carraresi</w:t>
      </w:r>
      <w:proofErr w:type="spellEnd"/>
      <w:r w:rsidRPr="00362C2E">
        <w:rPr>
          <w:rFonts w:ascii="Times New Roman" w:eastAsia="Times New Roman" w:hAnsi="Times New Roman" w:cs="Times New Roman"/>
        </w:rPr>
        <w:t xml:space="preserve"> and </w:t>
      </w:r>
      <w:proofErr w:type="spellStart"/>
      <w:r w:rsidRPr="00362C2E">
        <w:rPr>
          <w:rFonts w:ascii="Times New Roman" w:eastAsia="Times New Roman" w:hAnsi="Times New Roman" w:cs="Times New Roman"/>
        </w:rPr>
        <w:t>Bröring</w:t>
      </w:r>
      <w:proofErr w:type="spellEnd"/>
      <w:r w:rsidRPr="00362C2E">
        <w:rPr>
          <w:rFonts w:ascii="Times New Roman" w:eastAsia="Times New Roman" w:hAnsi="Times New Roman" w:cs="Times New Roman"/>
        </w:rPr>
        <w:t xml:space="preserve"> (2021) find that redesigning firms’ value propositions around circularity fosters resilience by encouraging cross-industry collaboration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sharing waste streams). Chari et al. (2022) similarly highlight that building dynamic capabilities (flexible processes, learning mechanisms) in tandem with Industry 4.0 tech is key to making manufacturing supply chains both circular and robust. These studies suggest top managers must champion new capabilities – such as modular design or joint ventures for recycling – to translate CE concepts into operational strength.</w:t>
      </w:r>
    </w:p>
    <w:p w14:paraId="6F9F0D03"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Concrete </w:t>
      </w:r>
      <w:r w:rsidRPr="00362C2E">
        <w:rPr>
          <w:rFonts w:ascii="Times New Roman" w:eastAsia="Times New Roman" w:hAnsi="Times New Roman" w:cs="Times New Roman"/>
          <w:bCs/>
        </w:rPr>
        <w:t>frameworks and tools</w:t>
      </w:r>
      <w:r w:rsidRPr="00362C2E">
        <w:rPr>
          <w:rFonts w:ascii="Times New Roman" w:eastAsia="Times New Roman" w:hAnsi="Times New Roman" w:cs="Times New Roman"/>
        </w:rPr>
        <w:t xml:space="preserve"> for implementation also emerge from the literature. Singh et al. (2024) propose performance indicators (collaboration indices, resource efficiency metrics, flexibility scores) specifically tailored to measure circular-resilient chains. Chosen frameworks recommend managerial roadmaps – for example, Singh’s fuzzy-DEMATEL indicator set guides executives on where to invest in CE practices to maximize resilience. </w:t>
      </w:r>
      <w:proofErr w:type="spellStart"/>
      <w:r w:rsidRPr="00362C2E">
        <w:rPr>
          <w:rFonts w:ascii="Times New Roman" w:eastAsia="Times New Roman" w:hAnsi="Times New Roman" w:cs="Times New Roman"/>
        </w:rPr>
        <w:t>Elghaish</w:t>
      </w:r>
      <w:proofErr w:type="spellEnd"/>
      <w:r w:rsidRPr="00362C2E">
        <w:rPr>
          <w:rFonts w:ascii="Times New Roman" w:eastAsia="Times New Roman" w:hAnsi="Times New Roman" w:cs="Times New Roman"/>
        </w:rPr>
        <w:t xml:space="preserve"> et al. (2023) present a BIM-Blockchain model for construction supply chains, illustrating how traceability and component reuse can be engineered for resilience. Likewise, </w:t>
      </w:r>
      <w:proofErr w:type="spellStart"/>
      <w:r w:rsidRPr="00362C2E">
        <w:rPr>
          <w:rFonts w:ascii="Times New Roman" w:eastAsia="Times New Roman" w:hAnsi="Times New Roman" w:cs="Times New Roman"/>
        </w:rPr>
        <w:t>Jum’a</w:t>
      </w:r>
      <w:proofErr w:type="spellEnd"/>
      <w:r w:rsidRPr="00362C2E">
        <w:rPr>
          <w:rFonts w:ascii="Times New Roman" w:eastAsia="Times New Roman" w:hAnsi="Times New Roman" w:cs="Times New Roman"/>
        </w:rPr>
        <w:t xml:space="preserve"> et al. (2024) </w:t>
      </w:r>
      <w:r w:rsidRPr="00362C2E">
        <w:rPr>
          <w:rFonts w:ascii="Times New Roman" w:eastAsia="Times New Roman" w:hAnsi="Times New Roman" w:cs="Times New Roman"/>
        </w:rPr>
        <w:lastRenderedPageBreak/>
        <w:t xml:space="preserve">devise an IoT framework for circular supply chain integration, giving managers a blueprint for real-time tracking of circular assets. These contributions collectively underscore that </w:t>
      </w:r>
      <w:r w:rsidRPr="00362C2E">
        <w:rPr>
          <w:rFonts w:ascii="Times New Roman" w:eastAsia="Times New Roman" w:hAnsi="Times New Roman" w:cs="Times New Roman"/>
          <w:bCs/>
        </w:rPr>
        <w:t>technology and process integration</w:t>
      </w:r>
      <w:r w:rsidRPr="00362C2E">
        <w:rPr>
          <w:rFonts w:ascii="Times New Roman" w:eastAsia="Times New Roman" w:hAnsi="Times New Roman" w:cs="Times New Roman"/>
        </w:rPr>
        <w:t xml:space="preserve"> are essential: it is not enough to espouse circularity in principle; firms must weave it into systems (digital, managerial, infrastructural) to see resilience gains.</w:t>
      </w:r>
    </w:p>
    <w:p w14:paraId="43C318BC"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A related theme is </w:t>
      </w:r>
      <w:r w:rsidRPr="00362C2E">
        <w:rPr>
          <w:rFonts w:ascii="Times New Roman" w:eastAsia="Times New Roman" w:hAnsi="Times New Roman" w:cs="Times New Roman"/>
          <w:bCs/>
        </w:rPr>
        <w:t>organizational culture and leadership</w:t>
      </w:r>
      <w:r w:rsidRPr="00362C2E">
        <w:rPr>
          <w:rFonts w:ascii="Times New Roman" w:eastAsia="Times New Roman" w:hAnsi="Times New Roman" w:cs="Times New Roman"/>
        </w:rPr>
        <w:t xml:space="preserve">. Several works note that senior commitment is critical to sustain circular initiatives under pressure. Dwivedi et al. (2023) explicitly emphasize “the role of top-management in embedding CE values for long-term supply chain resilience”. </w:t>
      </w:r>
      <w:proofErr w:type="spellStart"/>
      <w:r w:rsidRPr="00362C2E">
        <w:rPr>
          <w:rFonts w:ascii="Times New Roman" w:eastAsia="Times New Roman" w:hAnsi="Times New Roman" w:cs="Times New Roman"/>
        </w:rPr>
        <w:t>Saidani</w:t>
      </w:r>
      <w:proofErr w:type="spellEnd"/>
      <w:r w:rsidRPr="00362C2E">
        <w:rPr>
          <w:rFonts w:ascii="Times New Roman" w:eastAsia="Times New Roman" w:hAnsi="Times New Roman" w:cs="Times New Roman"/>
        </w:rPr>
        <w:t xml:space="preserve"> et al. (2021) argue that educating future managers and engineers in circular thinking is a prerequisite for value-chain resilience in the post-COVID world. In practice, this means leaders must allocate resources (time, capital, training) to circular programs even when crises draw attention elsewhere. </w:t>
      </w:r>
      <w:proofErr w:type="spellStart"/>
      <w:r w:rsidRPr="00362C2E">
        <w:rPr>
          <w:rFonts w:ascii="Times New Roman" w:eastAsia="Times New Roman" w:hAnsi="Times New Roman" w:cs="Times New Roman"/>
        </w:rPr>
        <w:t>Alkaraan</w:t>
      </w:r>
      <w:proofErr w:type="spellEnd"/>
      <w:r w:rsidRPr="00362C2E">
        <w:rPr>
          <w:rFonts w:ascii="Times New Roman" w:eastAsia="Times New Roman" w:hAnsi="Times New Roman" w:cs="Times New Roman"/>
        </w:rPr>
        <w:t xml:space="preserve"> et al. (2023) give a direct example: they link strategic investment decision-making with CE and sustainable supply chain goals in UK firms, showing that conscious capital allocation by executives can tilt the balance toward robustness. Moreover, </w:t>
      </w:r>
      <w:proofErr w:type="spellStart"/>
      <w:r w:rsidRPr="00362C2E">
        <w:rPr>
          <w:rFonts w:ascii="Times New Roman" w:eastAsia="Times New Roman" w:hAnsi="Times New Roman" w:cs="Times New Roman"/>
        </w:rPr>
        <w:t>Elshaer</w:t>
      </w:r>
      <w:proofErr w:type="spellEnd"/>
      <w:r w:rsidRPr="00362C2E">
        <w:rPr>
          <w:rFonts w:ascii="Times New Roman" w:eastAsia="Times New Roman" w:hAnsi="Times New Roman" w:cs="Times New Roman"/>
        </w:rPr>
        <w:t xml:space="preserve"> et al. (2024) highlight how building a “green organizational culture” (through HR practices and values) creates readiness for circular and sustainable operations, effectively making resilience part of the company’s fabric.</w:t>
      </w:r>
    </w:p>
    <w:p w14:paraId="2E98CCD3"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Top managers also steer </w:t>
      </w:r>
      <w:r w:rsidRPr="00362C2E">
        <w:rPr>
          <w:rFonts w:ascii="Times New Roman" w:eastAsia="Times New Roman" w:hAnsi="Times New Roman" w:cs="Times New Roman"/>
          <w:bCs/>
        </w:rPr>
        <w:t>supply network design and collaborations</w:t>
      </w:r>
      <w:r w:rsidRPr="00362C2E">
        <w:rPr>
          <w:rFonts w:ascii="Times New Roman" w:eastAsia="Times New Roman" w:hAnsi="Times New Roman" w:cs="Times New Roman"/>
        </w:rPr>
        <w:t xml:space="preserve">. For global MNCs, decentralized strategies are often advised. Meyer and Li (2022) and </w:t>
      </w:r>
      <w:proofErr w:type="spellStart"/>
      <w:r w:rsidRPr="00362C2E">
        <w:rPr>
          <w:rFonts w:ascii="Times New Roman" w:eastAsia="Times New Roman" w:hAnsi="Times New Roman" w:cs="Times New Roman"/>
        </w:rPr>
        <w:t>Gurkov</w:t>
      </w:r>
      <w:proofErr w:type="spellEnd"/>
      <w:r w:rsidRPr="00362C2E">
        <w:rPr>
          <w:rFonts w:ascii="Times New Roman" w:eastAsia="Times New Roman" w:hAnsi="Times New Roman" w:cs="Times New Roman"/>
        </w:rPr>
        <w:t xml:space="preserve"> et </w:t>
      </w:r>
      <w:r w:rsidRPr="00362C2E">
        <w:rPr>
          <w:rFonts w:ascii="Times New Roman" w:eastAsia="Times New Roman" w:hAnsi="Times New Roman" w:cs="Times New Roman"/>
        </w:rPr>
        <w:lastRenderedPageBreak/>
        <w:t xml:space="preserve">al. (2023) find that allowing regional subsidiaries some autonomy to adapt CE strategies locally can improve overall robustness. Practically, this might look like granting a foreign plant the mandate to recycle water in-situ or source secondary materials domestically, rather than waiting for corporate HQ directives. Similarly, </w:t>
      </w:r>
      <w:proofErr w:type="spellStart"/>
      <w:r w:rsidRPr="00362C2E">
        <w:rPr>
          <w:rFonts w:ascii="Times New Roman" w:eastAsia="Times New Roman" w:hAnsi="Times New Roman" w:cs="Times New Roman"/>
        </w:rPr>
        <w:t>Belhadi</w:t>
      </w:r>
      <w:proofErr w:type="spellEnd"/>
      <w:r w:rsidRPr="00362C2E">
        <w:rPr>
          <w:rFonts w:ascii="Times New Roman" w:eastAsia="Times New Roman" w:hAnsi="Times New Roman" w:cs="Times New Roman"/>
        </w:rPr>
        <w:t xml:space="preserve"> et al. (2024) present case studies of </w:t>
      </w:r>
      <w:proofErr w:type="spellStart"/>
      <w:r w:rsidRPr="00362C2E">
        <w:rPr>
          <w:rFonts w:ascii="Times New Roman" w:eastAsia="Times New Roman" w:hAnsi="Times New Roman" w:cs="Times New Roman"/>
        </w:rPr>
        <w:t>agri</w:t>
      </w:r>
      <w:proofErr w:type="spellEnd"/>
      <w:r w:rsidRPr="00362C2E">
        <w:rPr>
          <w:rFonts w:ascii="Times New Roman" w:eastAsia="Times New Roman" w:hAnsi="Times New Roman" w:cs="Times New Roman"/>
        </w:rPr>
        <w:t>-firms that leveraged blockchain and IoT at the local level to make circular recalls and traceability more effective in face of disruptions. Such approaches suggest a hybrid governance: a cohesive global CE strategy (sharing best practices, technology investments) combined with empowered local managers who can tailor circular solutions to regional needs.</w:t>
      </w:r>
    </w:p>
    <w:p w14:paraId="36F67D0A"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Finally, the literature covers </w:t>
      </w:r>
      <w:r w:rsidRPr="00362C2E">
        <w:rPr>
          <w:rFonts w:ascii="Times New Roman" w:eastAsia="Times New Roman" w:hAnsi="Times New Roman" w:cs="Times New Roman"/>
          <w:bCs/>
        </w:rPr>
        <w:t>policy and ecosystem actions</w:t>
      </w:r>
      <w:r w:rsidRPr="00362C2E">
        <w:rPr>
          <w:rFonts w:ascii="Times New Roman" w:eastAsia="Times New Roman" w:hAnsi="Times New Roman" w:cs="Times New Roman"/>
        </w:rPr>
        <w:t xml:space="preserve"> that firms should engage in. Several authors point out that circular resilience cannot be achieved by one firm alone. Collaboration with suppliers, customers, regulators, and even competitors is often necessary. For example, </w:t>
      </w:r>
      <w:proofErr w:type="spellStart"/>
      <w:r w:rsidRPr="00362C2E">
        <w:rPr>
          <w:rFonts w:ascii="Times New Roman" w:eastAsia="Times New Roman" w:hAnsi="Times New Roman" w:cs="Times New Roman"/>
        </w:rPr>
        <w:t>Bressanelli</w:t>
      </w:r>
      <w:proofErr w:type="spellEnd"/>
      <w:r w:rsidRPr="00362C2E">
        <w:rPr>
          <w:rFonts w:ascii="Times New Roman" w:eastAsia="Times New Roman" w:hAnsi="Times New Roman" w:cs="Times New Roman"/>
        </w:rPr>
        <w:t xml:space="preserve"> et al. (2022) describe how revitalizing industrial districts through CE requires industry-wide collaboration on joint recycling infrastructures. At the policy level, </w:t>
      </w:r>
      <w:proofErr w:type="spellStart"/>
      <w:r w:rsidRPr="00362C2E">
        <w:rPr>
          <w:rFonts w:ascii="Times New Roman" w:eastAsia="Times New Roman" w:hAnsi="Times New Roman" w:cs="Times New Roman"/>
        </w:rPr>
        <w:t>Piila</w:t>
      </w:r>
      <w:proofErr w:type="spellEnd"/>
      <w:r w:rsidRPr="00362C2E">
        <w:rPr>
          <w:rFonts w:ascii="Times New Roman" w:eastAsia="Times New Roman" w:hAnsi="Times New Roman" w:cs="Times New Roman"/>
        </w:rPr>
        <w:t xml:space="preserve"> and </w:t>
      </w:r>
      <w:proofErr w:type="spellStart"/>
      <w:r w:rsidRPr="00362C2E">
        <w:rPr>
          <w:rFonts w:ascii="Times New Roman" w:eastAsia="Times New Roman" w:hAnsi="Times New Roman" w:cs="Times New Roman"/>
        </w:rPr>
        <w:t>Sarja</w:t>
      </w:r>
      <w:proofErr w:type="spellEnd"/>
      <w:r w:rsidRPr="00362C2E">
        <w:rPr>
          <w:rFonts w:ascii="Times New Roman" w:eastAsia="Times New Roman" w:hAnsi="Times New Roman" w:cs="Times New Roman"/>
        </w:rPr>
        <w:t xml:space="preserve"> (2024) suggest that crises can be “opportunities” to push for broader circular transitions, but only if firms work with governments and NGOs to secure supportive regulations and incentives. Top managers must thus take a systemic view, influencing standards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design-for-reuse mandates), investing in shared platforms (e.g. material banks), and participating in industry consortia focused on circular innovations.</w:t>
      </w:r>
    </w:p>
    <w:p w14:paraId="2927BFED"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lastRenderedPageBreak/>
        <w:t xml:space="preserve">Taken together, these strands illustrate the </w:t>
      </w:r>
      <w:r w:rsidRPr="00362C2E">
        <w:rPr>
          <w:rFonts w:ascii="Times New Roman" w:eastAsia="Times New Roman" w:hAnsi="Times New Roman" w:cs="Times New Roman"/>
          <w:bCs/>
        </w:rPr>
        <w:t>“how”</w:t>
      </w:r>
      <w:r w:rsidRPr="00362C2E">
        <w:rPr>
          <w:rFonts w:ascii="Times New Roman" w:eastAsia="Times New Roman" w:hAnsi="Times New Roman" w:cs="Times New Roman"/>
        </w:rPr>
        <w:t xml:space="preserve"> of integration: leadership must align strategy, organization, and technology around circular principles to enhance resilience. Managers can reconfigure supply chains by redesigning products (as Burke et al., 2023 argue) so they are easier to reclaim and repair. They can also redefine supplier relationships through “smart and resilient” procurement practices (Bag &amp; </w:t>
      </w:r>
      <w:proofErr w:type="spellStart"/>
      <w:r w:rsidRPr="00362C2E">
        <w:rPr>
          <w:rFonts w:ascii="Times New Roman" w:eastAsia="Times New Roman" w:hAnsi="Times New Roman" w:cs="Times New Roman"/>
        </w:rPr>
        <w:t>Mangla</w:t>
      </w:r>
      <w:proofErr w:type="spellEnd"/>
      <w:r w:rsidRPr="00362C2E">
        <w:rPr>
          <w:rFonts w:ascii="Times New Roman" w:eastAsia="Times New Roman" w:hAnsi="Times New Roman" w:cs="Times New Roman"/>
        </w:rPr>
        <w:t>, 2025) that emphasize durability and recyclability over lowest-cost raw inputs. Across studies, a recurring insight is that CE elements – from closed-loop sourcing to remanufacturing capabilities – become assets of resilience only with active managerial orchestration (Bag et al., 2019; Negri et al., 2021). In essence, CE is not just a technical fix but a strategic lens; top management must integrate circular metrics and incentives into governance, effectively making every disruption test a circularity check.</w:t>
      </w:r>
    </w:p>
    <w:p w14:paraId="74FAB206" w14:textId="77777777" w:rsidR="00E60C54" w:rsidRPr="00362C2E" w:rsidRDefault="00E60C54" w:rsidP="00E60C54">
      <w:pPr>
        <w:pStyle w:val="1"/>
        <w:spacing w:line="480" w:lineRule="auto"/>
        <w:jc w:val="center"/>
        <w:rPr>
          <w:rFonts w:ascii="Times New Roman" w:hAnsi="Times New Roman" w:cs="Times New Roman"/>
          <w:b/>
          <w:color w:val="auto"/>
          <w:sz w:val="24"/>
          <w:szCs w:val="24"/>
        </w:rPr>
      </w:pPr>
      <w:bookmarkStart w:id="24" w:name="_Toc202430194"/>
      <w:r w:rsidRPr="00362C2E">
        <w:rPr>
          <w:rFonts w:ascii="Times New Roman" w:hAnsi="Times New Roman" w:cs="Times New Roman"/>
          <w:b/>
          <w:color w:val="auto"/>
          <w:sz w:val="24"/>
          <w:szCs w:val="24"/>
        </w:rPr>
        <w:t>Research Gaps and Future Directions</w:t>
      </w:r>
      <w:bookmarkEnd w:id="24"/>
    </w:p>
    <w:p w14:paraId="508C8298"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t xml:space="preserve">Despite broad interest, the literature reveals </w:t>
      </w:r>
      <w:r w:rsidRPr="00362C2E">
        <w:rPr>
          <w:rFonts w:ascii="Times New Roman" w:eastAsia="Times New Roman" w:hAnsi="Times New Roman" w:cs="Times New Roman"/>
          <w:bCs/>
        </w:rPr>
        <w:t>persistent gaps</w:t>
      </w:r>
      <w:r w:rsidRPr="00362C2E">
        <w:rPr>
          <w:rFonts w:ascii="Times New Roman" w:eastAsia="Times New Roman" w:hAnsi="Times New Roman" w:cs="Times New Roman"/>
        </w:rPr>
        <w:t xml:space="preserve"> in understanding CE-based resilience. One major gap is </w:t>
      </w:r>
      <w:r w:rsidRPr="00362C2E">
        <w:rPr>
          <w:rFonts w:ascii="Times New Roman" w:eastAsia="Times New Roman" w:hAnsi="Times New Roman" w:cs="Times New Roman"/>
          <w:bCs/>
        </w:rPr>
        <w:t>integration</w:t>
      </w:r>
      <w:r w:rsidRPr="00362C2E">
        <w:rPr>
          <w:rFonts w:ascii="Times New Roman" w:eastAsia="Times New Roman" w:hAnsi="Times New Roman" w:cs="Times New Roman"/>
        </w:rPr>
        <w:t xml:space="preserve">: many authors note that strategic planning and digital adoption are not yet well-aligned with circular objectives (Awan </w:t>
      </w:r>
      <w:r w:rsidRPr="00362C2E">
        <w:rPr>
          <w:rFonts w:ascii="Times New Roman" w:eastAsia="Times New Roman" w:hAnsi="Times New Roman" w:cs="Times New Roman"/>
          <w:iCs/>
        </w:rPr>
        <w:t>et al.</w:t>
      </w:r>
      <w:r w:rsidRPr="00362C2E">
        <w:rPr>
          <w:rFonts w:ascii="Times New Roman" w:eastAsia="Times New Roman" w:hAnsi="Times New Roman" w:cs="Times New Roman"/>
        </w:rPr>
        <w:t xml:space="preserve">, 2022; Bhawna </w:t>
      </w:r>
      <w:r w:rsidRPr="00362C2E">
        <w:rPr>
          <w:rFonts w:ascii="Times New Roman" w:eastAsia="Times New Roman" w:hAnsi="Times New Roman" w:cs="Times New Roman"/>
          <w:iCs/>
        </w:rPr>
        <w:t>et al.</w:t>
      </w:r>
      <w:r w:rsidRPr="00362C2E">
        <w:rPr>
          <w:rFonts w:ascii="Times New Roman" w:eastAsia="Times New Roman" w:hAnsi="Times New Roman" w:cs="Times New Roman"/>
        </w:rPr>
        <w:t xml:space="preserve">, 2024). For example, </w:t>
      </w:r>
      <w:proofErr w:type="spellStart"/>
      <w:r w:rsidRPr="00362C2E">
        <w:rPr>
          <w:rFonts w:ascii="Times New Roman" w:eastAsia="Times New Roman" w:hAnsi="Times New Roman" w:cs="Times New Roman"/>
        </w:rPr>
        <w:t>Rejeb</w:t>
      </w:r>
      <w:proofErr w:type="spellEnd"/>
      <w:r w:rsidRPr="00362C2E">
        <w:rPr>
          <w:rFonts w:ascii="Times New Roman" w:eastAsia="Times New Roman" w:hAnsi="Times New Roman" w:cs="Times New Roman"/>
        </w:rPr>
        <w:t xml:space="preserve"> </w:t>
      </w:r>
      <w:r w:rsidRPr="00362C2E">
        <w:rPr>
          <w:rFonts w:ascii="Times New Roman" w:eastAsia="Times New Roman" w:hAnsi="Times New Roman" w:cs="Times New Roman"/>
          <w:iCs/>
        </w:rPr>
        <w:t>et al.</w:t>
      </w:r>
      <w:r w:rsidRPr="00362C2E">
        <w:rPr>
          <w:rFonts w:ascii="Times New Roman" w:eastAsia="Times New Roman" w:hAnsi="Times New Roman" w:cs="Times New Roman"/>
        </w:rPr>
        <w:t xml:space="preserve"> (2023) reviewed CE research during COVID-19 and found that while digitization and sustainability are both popular, their intersection lacks coherence and unified frameworks. Future work should therefore develop </w:t>
      </w:r>
      <w:r w:rsidRPr="00362C2E">
        <w:rPr>
          <w:rFonts w:ascii="Times New Roman" w:eastAsia="Times New Roman" w:hAnsi="Times New Roman" w:cs="Times New Roman"/>
          <w:iCs/>
        </w:rPr>
        <w:t>holistic models</w:t>
      </w:r>
      <w:r w:rsidRPr="00362C2E">
        <w:rPr>
          <w:rFonts w:ascii="Times New Roman" w:eastAsia="Times New Roman" w:hAnsi="Times New Roman" w:cs="Times New Roman"/>
        </w:rPr>
        <w:t xml:space="preserve"> linking CE, industry 4.0, and resilience outcomes.</w:t>
      </w:r>
    </w:p>
    <w:p w14:paraId="397AE925"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lastRenderedPageBreak/>
        <w:t xml:space="preserve">Another gap is </w:t>
      </w:r>
      <w:r w:rsidRPr="00362C2E">
        <w:rPr>
          <w:rFonts w:ascii="Times New Roman" w:eastAsia="Times New Roman" w:hAnsi="Times New Roman" w:cs="Times New Roman"/>
          <w:bCs/>
        </w:rPr>
        <w:t>empirical validation</w:t>
      </w:r>
      <w:r w:rsidRPr="00362C2E">
        <w:rPr>
          <w:rFonts w:ascii="Times New Roman" w:eastAsia="Times New Roman" w:hAnsi="Times New Roman" w:cs="Times New Roman"/>
        </w:rPr>
        <w:t xml:space="preserve">. Much of the literature is conceptual or based on case-specific observations. Scholars call for more field studies to test whether CE initiatives truly reduce supply disruptions in practice. For example, Sprecher </w:t>
      </w:r>
      <w:r w:rsidRPr="00362C2E">
        <w:rPr>
          <w:rFonts w:ascii="Times New Roman" w:eastAsia="Times New Roman" w:hAnsi="Times New Roman" w:cs="Times New Roman"/>
          <w:iCs/>
        </w:rPr>
        <w:t>et al.</w:t>
      </w:r>
      <w:r w:rsidRPr="00362C2E">
        <w:rPr>
          <w:rFonts w:ascii="Times New Roman" w:eastAsia="Times New Roman" w:hAnsi="Times New Roman" w:cs="Times New Roman"/>
        </w:rPr>
        <w:t xml:space="preserve"> (2015) provide a retrospective case of rare earths to illustrate CE’s buffering, but systematic empirical analysis across industries is scarce. Similarly, Dwivedi </w:t>
      </w:r>
      <w:r w:rsidRPr="00362C2E">
        <w:rPr>
          <w:rFonts w:ascii="Times New Roman" w:eastAsia="Times New Roman" w:hAnsi="Times New Roman" w:cs="Times New Roman"/>
          <w:iCs/>
        </w:rPr>
        <w:t>et al.</w:t>
      </w:r>
      <w:r w:rsidRPr="00362C2E">
        <w:rPr>
          <w:rFonts w:ascii="Times New Roman" w:eastAsia="Times New Roman" w:hAnsi="Times New Roman" w:cs="Times New Roman"/>
        </w:rPr>
        <w:t xml:space="preserve"> (2023) identify enablers of sustained CE practice during disruptions but primarily from interview data. Rigorous quantitative studies or longitudinal case series would strengthen claims about resilience.</w:t>
      </w:r>
    </w:p>
    <w:p w14:paraId="3B4F07CF"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bCs/>
        </w:rPr>
        <w:t>Sectoral and geographical scope</w:t>
      </w:r>
      <w:r w:rsidRPr="00362C2E">
        <w:rPr>
          <w:rFonts w:ascii="Times New Roman" w:eastAsia="Times New Roman" w:hAnsi="Times New Roman" w:cs="Times New Roman"/>
        </w:rPr>
        <w:t xml:space="preserve"> is also limited. The dataset has many studies on manufacturing, construction, and agri-food (reflecting COVID contexts), but fewer on services or fragile economies. E.g., the electric grid or healthcare supply chains under CE are underexplored. Likewise, most studies examine CE in developed-country contexts or global MNEs. Future research should probe how CE intersects with resilience in low-resource settings and informal economies.</w:t>
      </w:r>
    </w:p>
    <w:p w14:paraId="61EB6218"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bCs/>
        </w:rPr>
        <w:t>Ambiguity in definitions and scope</w:t>
      </w:r>
      <w:r w:rsidRPr="00362C2E">
        <w:rPr>
          <w:rFonts w:ascii="Times New Roman" w:eastAsia="Times New Roman" w:hAnsi="Times New Roman" w:cs="Times New Roman"/>
        </w:rPr>
        <w:t xml:space="preserve"> is noted as a barrier. </w:t>
      </w:r>
      <w:proofErr w:type="spellStart"/>
      <w:r w:rsidRPr="00362C2E">
        <w:rPr>
          <w:rFonts w:ascii="Times New Roman" w:eastAsia="Times New Roman" w:hAnsi="Times New Roman" w:cs="Times New Roman"/>
        </w:rPr>
        <w:t>Kirchherr</w:t>
      </w:r>
      <w:proofErr w:type="spellEnd"/>
      <w:r w:rsidRPr="00362C2E">
        <w:rPr>
          <w:rFonts w:ascii="Times New Roman" w:eastAsia="Times New Roman" w:hAnsi="Times New Roman" w:cs="Times New Roman"/>
        </w:rPr>
        <w:t xml:space="preserve"> </w:t>
      </w:r>
      <w:r w:rsidRPr="00362C2E">
        <w:rPr>
          <w:rFonts w:ascii="Times New Roman" w:eastAsia="Times New Roman" w:hAnsi="Times New Roman" w:cs="Times New Roman"/>
          <w:iCs/>
        </w:rPr>
        <w:t>et al.</w:t>
      </w:r>
      <w:r w:rsidRPr="00362C2E">
        <w:rPr>
          <w:rFonts w:ascii="Times New Roman" w:eastAsia="Times New Roman" w:hAnsi="Times New Roman" w:cs="Times New Roman"/>
        </w:rPr>
        <w:t xml:space="preserve"> (2023) </w:t>
      </w:r>
      <w:proofErr w:type="spellStart"/>
      <w:r w:rsidRPr="00362C2E">
        <w:rPr>
          <w:rFonts w:ascii="Times New Roman" w:eastAsia="Times New Roman" w:hAnsi="Times New Roman" w:cs="Times New Roman"/>
        </w:rPr>
        <w:t>analyzed</w:t>
      </w:r>
      <w:proofErr w:type="spellEnd"/>
      <w:r w:rsidRPr="00362C2E">
        <w:rPr>
          <w:rFonts w:ascii="Times New Roman" w:eastAsia="Times New Roman" w:hAnsi="Times New Roman" w:cs="Times New Roman"/>
        </w:rPr>
        <w:t xml:space="preserve"> over 200 CE definitions, highlighting inconsistencies. Such lack of consensus may hinder cumulative research. Clarifying what precisely constitutes a CE intervention, and how it differs from general sustainability or lean practices, would help. Moreover, the link between CE and resilience is often asserted but not explicitly theorized; Kennedy and </w:t>
      </w:r>
      <w:proofErr w:type="spellStart"/>
      <w:r w:rsidRPr="00362C2E">
        <w:rPr>
          <w:rFonts w:ascii="Times New Roman" w:eastAsia="Times New Roman" w:hAnsi="Times New Roman" w:cs="Times New Roman"/>
        </w:rPr>
        <w:t>Linnenluecke</w:t>
      </w:r>
      <w:proofErr w:type="spellEnd"/>
      <w:r w:rsidRPr="00362C2E">
        <w:rPr>
          <w:rFonts w:ascii="Times New Roman" w:eastAsia="Times New Roman" w:hAnsi="Times New Roman" w:cs="Times New Roman"/>
        </w:rPr>
        <w:t xml:space="preserve"> (2022) call for a </w:t>
      </w:r>
      <w:r w:rsidRPr="00362C2E">
        <w:rPr>
          <w:rFonts w:ascii="Times New Roman" w:eastAsia="Times New Roman" w:hAnsi="Times New Roman" w:cs="Times New Roman"/>
          <w:iCs/>
        </w:rPr>
        <w:t>research agenda</w:t>
      </w:r>
      <w:r w:rsidRPr="00362C2E">
        <w:rPr>
          <w:rFonts w:ascii="Times New Roman" w:eastAsia="Times New Roman" w:hAnsi="Times New Roman" w:cs="Times New Roman"/>
        </w:rPr>
        <w:t xml:space="preserve"> to elaborate how slack, redundancy, and other resilience factors operate within CE frameworks.</w:t>
      </w:r>
    </w:p>
    <w:p w14:paraId="1E1F2104" w14:textId="77777777" w:rsidR="00E60C54" w:rsidRPr="00362C2E" w:rsidRDefault="00E60C54" w:rsidP="00E60C54">
      <w:pPr>
        <w:spacing w:before="100" w:beforeAutospacing="1" w:after="100" w:afterAutospacing="1" w:line="480" w:lineRule="auto"/>
        <w:ind w:firstLine="720"/>
        <w:rPr>
          <w:rFonts w:ascii="Times New Roman" w:eastAsia="Times New Roman" w:hAnsi="Times New Roman" w:cs="Times New Roman"/>
        </w:rPr>
      </w:pPr>
      <w:r w:rsidRPr="00362C2E">
        <w:rPr>
          <w:rFonts w:ascii="Times New Roman" w:eastAsia="Times New Roman" w:hAnsi="Times New Roman" w:cs="Times New Roman"/>
        </w:rPr>
        <w:lastRenderedPageBreak/>
        <w:t xml:space="preserve">Digital aspects present their own gaps. Many works illustrate the potential of IoT or blockchain, but questions remain about </w:t>
      </w:r>
      <w:r w:rsidRPr="00362C2E">
        <w:rPr>
          <w:rFonts w:ascii="Times New Roman" w:eastAsia="Times New Roman" w:hAnsi="Times New Roman" w:cs="Times New Roman"/>
          <w:bCs/>
        </w:rPr>
        <w:t>maturity and scalability</w:t>
      </w:r>
      <w:r w:rsidRPr="00362C2E">
        <w:rPr>
          <w:rFonts w:ascii="Times New Roman" w:eastAsia="Times New Roman" w:hAnsi="Times New Roman" w:cs="Times New Roman"/>
        </w:rPr>
        <w:t xml:space="preserve"> of these technologies in supporting CE. Standards for data sharing, interoperability, and security in circular networks need exploration. </w:t>
      </w:r>
      <w:proofErr w:type="spellStart"/>
      <w:r w:rsidRPr="00362C2E">
        <w:rPr>
          <w:rFonts w:ascii="Times New Roman" w:eastAsia="Times New Roman" w:hAnsi="Times New Roman" w:cs="Times New Roman"/>
        </w:rPr>
        <w:t>Behavioral</w:t>
      </w:r>
      <w:proofErr w:type="spellEnd"/>
      <w:r w:rsidRPr="00362C2E">
        <w:rPr>
          <w:rFonts w:ascii="Times New Roman" w:eastAsia="Times New Roman" w:hAnsi="Times New Roman" w:cs="Times New Roman"/>
        </w:rPr>
        <w:t xml:space="preserve"> and organizational research is also needed: for instance, how do managers make decisions under conflicting efficiency–resilience pressures, and how do they prioritize CE investments when resources are tight?</w:t>
      </w:r>
    </w:p>
    <w:p w14:paraId="2B425851" w14:textId="77777777" w:rsidR="00E60C54" w:rsidRPr="00362C2E" w:rsidRDefault="00E60C54" w:rsidP="00E60C54">
      <w:pPr>
        <w:spacing w:before="100" w:beforeAutospacing="1" w:after="100" w:afterAutospacing="1" w:line="480" w:lineRule="auto"/>
        <w:ind w:firstLine="360"/>
        <w:rPr>
          <w:rFonts w:ascii="Times New Roman" w:eastAsia="Times New Roman" w:hAnsi="Times New Roman" w:cs="Times New Roman"/>
        </w:rPr>
      </w:pPr>
      <w:r w:rsidRPr="00362C2E">
        <w:rPr>
          <w:rFonts w:ascii="Times New Roman" w:eastAsia="Times New Roman" w:hAnsi="Times New Roman" w:cs="Times New Roman"/>
        </w:rPr>
        <w:t xml:space="preserve">In sum, </w:t>
      </w:r>
      <w:r w:rsidRPr="00362C2E">
        <w:rPr>
          <w:rFonts w:ascii="Times New Roman" w:eastAsia="Times New Roman" w:hAnsi="Times New Roman" w:cs="Times New Roman"/>
          <w:bCs/>
        </w:rPr>
        <w:t>future research should</w:t>
      </w:r>
      <w:r w:rsidRPr="00362C2E">
        <w:rPr>
          <w:rFonts w:ascii="Times New Roman" w:eastAsia="Times New Roman" w:hAnsi="Times New Roman" w:cs="Times New Roman"/>
        </w:rPr>
        <w:t>:</w:t>
      </w:r>
    </w:p>
    <w:p w14:paraId="2B42E84E" w14:textId="77777777" w:rsidR="00E60C54" w:rsidRPr="00362C2E" w:rsidRDefault="00E60C54" w:rsidP="00E60C54">
      <w:pPr>
        <w:numPr>
          <w:ilvl w:val="0"/>
          <w:numId w:val="4"/>
        </w:numPr>
        <w:spacing w:before="100" w:beforeAutospacing="1" w:after="100" w:afterAutospacing="1" w:line="480" w:lineRule="auto"/>
        <w:rPr>
          <w:rFonts w:ascii="Times New Roman" w:eastAsia="Times New Roman" w:hAnsi="Times New Roman" w:cs="Times New Roman"/>
        </w:rPr>
      </w:pPr>
      <w:r w:rsidRPr="00362C2E">
        <w:rPr>
          <w:rFonts w:ascii="Times New Roman" w:eastAsia="Times New Roman" w:hAnsi="Times New Roman" w:cs="Times New Roman"/>
        </w:rPr>
        <w:t>Develop integrated models of CE, digital technology, and supply chain resilience, potentially via interdisciplinary collaborations.</w:t>
      </w:r>
    </w:p>
    <w:p w14:paraId="40D6B9C0" w14:textId="77777777" w:rsidR="00E60C54" w:rsidRPr="00362C2E" w:rsidRDefault="00E60C54" w:rsidP="00E60C54">
      <w:pPr>
        <w:numPr>
          <w:ilvl w:val="0"/>
          <w:numId w:val="4"/>
        </w:numPr>
        <w:spacing w:before="100" w:beforeAutospacing="1" w:after="100" w:afterAutospacing="1" w:line="480" w:lineRule="auto"/>
        <w:rPr>
          <w:rFonts w:ascii="Times New Roman" w:eastAsia="Times New Roman" w:hAnsi="Times New Roman" w:cs="Times New Roman"/>
        </w:rPr>
      </w:pPr>
      <w:r w:rsidRPr="00362C2E">
        <w:rPr>
          <w:rFonts w:ascii="Times New Roman" w:eastAsia="Times New Roman" w:hAnsi="Times New Roman" w:cs="Times New Roman"/>
        </w:rPr>
        <w:t>Test CE-resilience linkages empirically in diverse industries and regions, using metrics and longitudinal designs.</w:t>
      </w:r>
    </w:p>
    <w:p w14:paraId="08A0C42F" w14:textId="77777777" w:rsidR="00E60C54" w:rsidRPr="00362C2E" w:rsidRDefault="00E60C54" w:rsidP="00E60C54">
      <w:pPr>
        <w:numPr>
          <w:ilvl w:val="0"/>
          <w:numId w:val="4"/>
        </w:numPr>
        <w:spacing w:before="100" w:beforeAutospacing="1" w:after="100" w:afterAutospacing="1" w:line="480" w:lineRule="auto"/>
        <w:rPr>
          <w:rFonts w:ascii="Times New Roman" w:eastAsia="Times New Roman" w:hAnsi="Times New Roman" w:cs="Times New Roman"/>
        </w:rPr>
      </w:pPr>
      <w:r w:rsidRPr="00362C2E">
        <w:rPr>
          <w:rFonts w:ascii="Times New Roman" w:eastAsia="Times New Roman" w:hAnsi="Times New Roman" w:cs="Times New Roman"/>
        </w:rPr>
        <w:t>Clarify conceptual boundaries of CE strategies versus other risk management practices.</w:t>
      </w:r>
    </w:p>
    <w:p w14:paraId="1A92F2DA" w14:textId="77777777" w:rsidR="00E60C54" w:rsidRPr="00362C2E" w:rsidRDefault="00E60C54" w:rsidP="00E60C54">
      <w:pPr>
        <w:numPr>
          <w:ilvl w:val="0"/>
          <w:numId w:val="4"/>
        </w:numPr>
        <w:spacing w:before="100" w:beforeAutospacing="1" w:after="100" w:afterAutospacing="1" w:line="480" w:lineRule="auto"/>
        <w:rPr>
          <w:rFonts w:ascii="Times New Roman" w:eastAsia="Times New Roman" w:hAnsi="Times New Roman" w:cs="Times New Roman"/>
        </w:rPr>
      </w:pPr>
      <w:r w:rsidRPr="00362C2E">
        <w:rPr>
          <w:rFonts w:ascii="Times New Roman" w:eastAsia="Times New Roman" w:hAnsi="Times New Roman" w:cs="Times New Roman"/>
        </w:rPr>
        <w:t xml:space="preserve">Investigate policy, cultural, and human factors that enable firms to sustain CE practices (e.g., green HRM as studied by </w:t>
      </w:r>
      <w:proofErr w:type="spellStart"/>
      <w:r w:rsidRPr="00362C2E">
        <w:rPr>
          <w:rFonts w:ascii="Times New Roman" w:eastAsia="Times New Roman" w:hAnsi="Times New Roman" w:cs="Times New Roman"/>
        </w:rPr>
        <w:t>Elshaer</w:t>
      </w:r>
      <w:proofErr w:type="spellEnd"/>
      <w:r w:rsidRPr="00362C2E">
        <w:rPr>
          <w:rFonts w:ascii="Times New Roman" w:eastAsia="Times New Roman" w:hAnsi="Times New Roman" w:cs="Times New Roman"/>
        </w:rPr>
        <w:t xml:space="preserve"> </w:t>
      </w:r>
      <w:r w:rsidRPr="00362C2E">
        <w:rPr>
          <w:rFonts w:ascii="Times New Roman" w:eastAsia="Times New Roman" w:hAnsi="Times New Roman" w:cs="Times New Roman"/>
          <w:iCs/>
        </w:rPr>
        <w:t>et al.</w:t>
      </w:r>
      <w:r w:rsidRPr="00362C2E">
        <w:rPr>
          <w:rFonts w:ascii="Times New Roman" w:eastAsia="Times New Roman" w:hAnsi="Times New Roman" w:cs="Times New Roman"/>
        </w:rPr>
        <w:t>, 2024).</w:t>
      </w:r>
    </w:p>
    <w:p w14:paraId="127B5C61" w14:textId="77777777" w:rsidR="00E60C54" w:rsidRPr="00362C2E" w:rsidRDefault="00E60C54" w:rsidP="00E60C54">
      <w:pPr>
        <w:numPr>
          <w:ilvl w:val="0"/>
          <w:numId w:val="4"/>
        </w:numPr>
        <w:spacing w:before="100" w:beforeAutospacing="1" w:after="100" w:afterAutospacing="1" w:line="480" w:lineRule="auto"/>
        <w:rPr>
          <w:rFonts w:ascii="Times New Roman" w:eastAsia="Times New Roman" w:hAnsi="Times New Roman" w:cs="Times New Roman"/>
        </w:rPr>
      </w:pPr>
      <w:r w:rsidRPr="00362C2E">
        <w:rPr>
          <w:rFonts w:ascii="Times New Roman" w:eastAsia="Times New Roman" w:hAnsi="Times New Roman" w:cs="Times New Roman"/>
        </w:rPr>
        <w:t xml:space="preserve">Address emerging challenges like climate resilience and resource security in the CE context (as Dura </w:t>
      </w:r>
      <w:r w:rsidRPr="00362C2E">
        <w:rPr>
          <w:rFonts w:ascii="Times New Roman" w:eastAsia="Times New Roman" w:hAnsi="Times New Roman" w:cs="Times New Roman"/>
          <w:iCs/>
        </w:rPr>
        <w:t>et al.</w:t>
      </w:r>
      <w:r w:rsidRPr="00362C2E">
        <w:rPr>
          <w:rFonts w:ascii="Times New Roman" w:eastAsia="Times New Roman" w:hAnsi="Times New Roman" w:cs="Times New Roman"/>
        </w:rPr>
        <w:t>, 2025, suggests for sanctions).</w:t>
      </w:r>
    </w:p>
    <w:p w14:paraId="2193BE25" w14:textId="77777777" w:rsidR="00E60C54" w:rsidRPr="00362C2E" w:rsidRDefault="00E60C54" w:rsidP="00E60C54">
      <w:pPr>
        <w:spacing w:before="100" w:beforeAutospacing="1" w:after="100" w:afterAutospacing="1" w:line="480" w:lineRule="auto"/>
        <w:ind w:firstLine="360"/>
        <w:rPr>
          <w:rFonts w:ascii="Times New Roman" w:eastAsia="Times New Roman" w:hAnsi="Times New Roman" w:cs="Times New Roman"/>
        </w:rPr>
      </w:pPr>
      <w:r w:rsidRPr="00362C2E">
        <w:rPr>
          <w:rFonts w:ascii="Times New Roman" w:eastAsia="Times New Roman" w:hAnsi="Times New Roman" w:cs="Times New Roman"/>
        </w:rPr>
        <w:t xml:space="preserve">By filling these gaps, the field can move from </w:t>
      </w:r>
      <w:r w:rsidRPr="00362C2E">
        <w:rPr>
          <w:rFonts w:ascii="Times New Roman" w:eastAsia="Times New Roman" w:hAnsi="Times New Roman" w:cs="Times New Roman"/>
          <w:iCs/>
        </w:rPr>
        <w:t>promising anecdotes</w:t>
      </w:r>
      <w:r w:rsidRPr="00362C2E">
        <w:rPr>
          <w:rFonts w:ascii="Times New Roman" w:eastAsia="Times New Roman" w:hAnsi="Times New Roman" w:cs="Times New Roman"/>
        </w:rPr>
        <w:t xml:space="preserve"> to </w:t>
      </w:r>
      <w:r w:rsidRPr="00362C2E">
        <w:rPr>
          <w:rFonts w:ascii="Times New Roman" w:eastAsia="Times New Roman" w:hAnsi="Times New Roman" w:cs="Times New Roman"/>
          <w:iCs/>
        </w:rPr>
        <w:t>actionable guidelines</w:t>
      </w:r>
      <w:r w:rsidRPr="00362C2E">
        <w:rPr>
          <w:rFonts w:ascii="Times New Roman" w:eastAsia="Times New Roman" w:hAnsi="Times New Roman" w:cs="Times New Roman"/>
        </w:rPr>
        <w:t xml:space="preserve"> for making supply chains both circular and resilient.</w:t>
      </w:r>
    </w:p>
    <w:p w14:paraId="3BF2612A" w14:textId="77777777" w:rsidR="00E60C54" w:rsidRPr="00362C2E" w:rsidRDefault="00E60C54" w:rsidP="00E60C54">
      <w:pPr>
        <w:pStyle w:val="1"/>
        <w:spacing w:line="480" w:lineRule="auto"/>
        <w:jc w:val="center"/>
        <w:rPr>
          <w:rFonts w:ascii="Times New Roman" w:hAnsi="Times New Roman" w:cs="Times New Roman"/>
          <w:b/>
          <w:color w:val="auto"/>
          <w:sz w:val="24"/>
          <w:szCs w:val="24"/>
        </w:rPr>
      </w:pPr>
      <w:bookmarkStart w:id="25" w:name="_Toc202430195"/>
      <w:r w:rsidRPr="00362C2E">
        <w:rPr>
          <w:rFonts w:ascii="Times New Roman" w:hAnsi="Times New Roman" w:cs="Times New Roman"/>
          <w:b/>
          <w:color w:val="auto"/>
          <w:sz w:val="24"/>
          <w:szCs w:val="24"/>
        </w:rPr>
        <w:lastRenderedPageBreak/>
        <w:t>Draft Research Questions</w:t>
      </w:r>
      <w:bookmarkEnd w:id="25"/>
    </w:p>
    <w:p w14:paraId="5C866C49" w14:textId="77777777" w:rsidR="00E60C54" w:rsidRPr="00362C2E" w:rsidRDefault="00E60C54" w:rsidP="00E60C54">
      <w:pPr>
        <w:spacing w:before="100" w:beforeAutospacing="1" w:after="100" w:afterAutospacing="1" w:line="480" w:lineRule="auto"/>
        <w:ind w:firstLine="360"/>
        <w:rPr>
          <w:rFonts w:ascii="Times New Roman" w:eastAsia="Times New Roman" w:hAnsi="Times New Roman" w:cs="Times New Roman"/>
        </w:rPr>
      </w:pPr>
      <w:r w:rsidRPr="00362C2E">
        <w:rPr>
          <w:rFonts w:ascii="Times New Roman" w:eastAsia="Times New Roman" w:hAnsi="Times New Roman" w:cs="Times New Roman"/>
        </w:rPr>
        <w:t>Building on identified gaps, we propose the following preliminary research questions to shape future empirical inquiry:</w:t>
      </w:r>
    </w:p>
    <w:p w14:paraId="2BF5192B" w14:textId="77777777" w:rsidR="00E60C54" w:rsidRPr="00362C2E" w:rsidRDefault="00E60C54" w:rsidP="00E60C54">
      <w:pPr>
        <w:numPr>
          <w:ilvl w:val="0"/>
          <w:numId w:val="5"/>
        </w:numPr>
        <w:spacing w:before="100" w:beforeAutospacing="1" w:after="100" w:afterAutospacing="1" w:line="480" w:lineRule="auto"/>
        <w:rPr>
          <w:rFonts w:ascii="Times New Roman" w:eastAsia="Times New Roman" w:hAnsi="Times New Roman" w:cs="Times New Roman"/>
          <w:b/>
          <w:i/>
        </w:rPr>
      </w:pPr>
      <w:r w:rsidRPr="00362C2E">
        <w:rPr>
          <w:rFonts w:ascii="Times New Roman" w:eastAsia="Times New Roman" w:hAnsi="Times New Roman" w:cs="Times New Roman"/>
          <w:b/>
          <w:bCs/>
          <w:i/>
        </w:rPr>
        <w:t>RQ1:</w:t>
      </w:r>
      <w:r w:rsidRPr="00362C2E">
        <w:rPr>
          <w:rFonts w:ascii="Times New Roman" w:eastAsia="Times New Roman" w:hAnsi="Times New Roman" w:cs="Times New Roman"/>
          <w:b/>
          <w:i/>
        </w:rPr>
        <w:t xml:space="preserve"> </w:t>
      </w:r>
      <w:r w:rsidRPr="00362C2E">
        <w:rPr>
          <w:rFonts w:ascii="Times New Roman" w:eastAsia="Times New Roman" w:hAnsi="Times New Roman" w:cs="Times New Roman"/>
          <w:b/>
          <w:i/>
          <w:iCs/>
        </w:rPr>
        <w:t>How do circular-economy-enabled dynamic capabilities quantitatively influence recovery time and service continuity under different global disruption scenarios?</w:t>
      </w:r>
    </w:p>
    <w:p w14:paraId="74D348A1" w14:textId="77777777" w:rsidR="00E60C54" w:rsidRPr="00362C2E" w:rsidRDefault="00E60C54" w:rsidP="00E60C54">
      <w:pPr>
        <w:numPr>
          <w:ilvl w:val="1"/>
          <w:numId w:val="5"/>
        </w:numPr>
        <w:spacing w:before="100" w:beforeAutospacing="1" w:after="100" w:afterAutospacing="1" w:line="480" w:lineRule="auto"/>
        <w:rPr>
          <w:rFonts w:ascii="Times New Roman" w:eastAsia="Times New Roman" w:hAnsi="Times New Roman" w:cs="Times New Roman"/>
        </w:rPr>
      </w:pPr>
      <w:r w:rsidRPr="00362C2E">
        <w:rPr>
          <w:rFonts w:ascii="Times New Roman" w:eastAsia="Times New Roman" w:hAnsi="Times New Roman" w:cs="Times New Roman"/>
          <w:bCs/>
        </w:rPr>
        <w:t>Motivation:</w:t>
      </w:r>
      <w:r w:rsidRPr="00362C2E">
        <w:rPr>
          <w:rFonts w:ascii="Times New Roman" w:eastAsia="Times New Roman" w:hAnsi="Times New Roman" w:cs="Times New Roman"/>
        </w:rPr>
        <w:t xml:space="preserve"> Empirical studies on CE’s buffering effects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Sprecher et al., 2015) remain mostly qualitative or case-based. Quantitative models linking CE capabilities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remanufacturing slack) to resilience metrics (e.g. time-to-recovery) are needed.</w:t>
      </w:r>
    </w:p>
    <w:p w14:paraId="689649AA" w14:textId="77777777" w:rsidR="00E60C54" w:rsidRPr="00362C2E" w:rsidRDefault="00E60C54" w:rsidP="00E60C54">
      <w:pPr>
        <w:numPr>
          <w:ilvl w:val="0"/>
          <w:numId w:val="5"/>
        </w:numPr>
        <w:spacing w:before="100" w:beforeAutospacing="1" w:after="100" w:afterAutospacing="1" w:line="480" w:lineRule="auto"/>
        <w:rPr>
          <w:rFonts w:ascii="Times New Roman" w:eastAsia="Times New Roman" w:hAnsi="Times New Roman" w:cs="Times New Roman"/>
          <w:b/>
          <w:i/>
        </w:rPr>
      </w:pPr>
      <w:r w:rsidRPr="00362C2E">
        <w:rPr>
          <w:rFonts w:ascii="Times New Roman" w:eastAsia="Times New Roman" w:hAnsi="Times New Roman" w:cs="Times New Roman"/>
          <w:b/>
          <w:bCs/>
          <w:i/>
        </w:rPr>
        <w:t>RQ2:</w:t>
      </w:r>
      <w:r w:rsidRPr="00362C2E">
        <w:rPr>
          <w:rFonts w:ascii="Times New Roman" w:eastAsia="Times New Roman" w:hAnsi="Times New Roman" w:cs="Times New Roman"/>
          <w:b/>
          <w:i/>
        </w:rPr>
        <w:t xml:space="preserve"> </w:t>
      </w:r>
      <w:r w:rsidRPr="00362C2E">
        <w:rPr>
          <w:rFonts w:ascii="Times New Roman" w:eastAsia="Times New Roman" w:hAnsi="Times New Roman" w:cs="Times New Roman"/>
          <w:b/>
          <w:i/>
          <w:iCs/>
        </w:rPr>
        <w:t>What organizational and cultural factors most strongly predict successful top-management adoption of circular economy performance metrics in multinational supply chains?</w:t>
      </w:r>
    </w:p>
    <w:p w14:paraId="6894DE4A" w14:textId="77777777" w:rsidR="00E60C54" w:rsidRPr="00362C2E" w:rsidRDefault="00E60C54" w:rsidP="00E60C54">
      <w:pPr>
        <w:numPr>
          <w:ilvl w:val="1"/>
          <w:numId w:val="5"/>
        </w:numPr>
        <w:spacing w:before="100" w:beforeAutospacing="1" w:after="100" w:afterAutospacing="1" w:line="480" w:lineRule="auto"/>
        <w:rPr>
          <w:rFonts w:ascii="Times New Roman" w:eastAsia="Times New Roman" w:hAnsi="Times New Roman" w:cs="Times New Roman"/>
        </w:rPr>
      </w:pPr>
      <w:r w:rsidRPr="00362C2E">
        <w:rPr>
          <w:rFonts w:ascii="Times New Roman" w:eastAsia="Times New Roman" w:hAnsi="Times New Roman" w:cs="Times New Roman"/>
          <w:bCs/>
        </w:rPr>
        <w:t>Motivation:</w:t>
      </w:r>
      <w:r w:rsidRPr="00362C2E">
        <w:rPr>
          <w:rFonts w:ascii="Times New Roman" w:eastAsia="Times New Roman" w:hAnsi="Times New Roman" w:cs="Times New Roman"/>
        </w:rPr>
        <w:t xml:space="preserve"> While Larrinaga and Garcia-</w:t>
      </w:r>
      <w:proofErr w:type="spellStart"/>
      <w:r w:rsidRPr="00362C2E">
        <w:rPr>
          <w:rFonts w:ascii="Times New Roman" w:eastAsia="Times New Roman" w:hAnsi="Times New Roman" w:cs="Times New Roman"/>
        </w:rPr>
        <w:t>Torea</w:t>
      </w:r>
      <w:proofErr w:type="spellEnd"/>
      <w:r w:rsidRPr="00362C2E">
        <w:rPr>
          <w:rFonts w:ascii="Times New Roman" w:eastAsia="Times New Roman" w:hAnsi="Times New Roman" w:cs="Times New Roman"/>
        </w:rPr>
        <w:t xml:space="preserve"> (2022) and </w:t>
      </w:r>
      <w:proofErr w:type="spellStart"/>
      <w:r w:rsidRPr="00362C2E">
        <w:rPr>
          <w:rFonts w:ascii="Times New Roman" w:eastAsia="Times New Roman" w:hAnsi="Times New Roman" w:cs="Times New Roman"/>
        </w:rPr>
        <w:t>Elshaer</w:t>
      </w:r>
      <w:proofErr w:type="spellEnd"/>
      <w:r w:rsidRPr="00362C2E">
        <w:rPr>
          <w:rFonts w:ascii="Times New Roman" w:eastAsia="Times New Roman" w:hAnsi="Times New Roman" w:cs="Times New Roman"/>
        </w:rPr>
        <w:t xml:space="preserve"> et al. (2024) highlight the importance of circular metrics and green HRM, the specific antecedents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leadership style, incentive systems) remain underexplored.</w:t>
      </w:r>
    </w:p>
    <w:p w14:paraId="3220AD6D" w14:textId="77777777" w:rsidR="00E60C54" w:rsidRPr="00362C2E" w:rsidRDefault="00E60C54" w:rsidP="00E60C54">
      <w:pPr>
        <w:numPr>
          <w:ilvl w:val="0"/>
          <w:numId w:val="5"/>
        </w:numPr>
        <w:spacing w:before="100" w:beforeAutospacing="1" w:after="100" w:afterAutospacing="1" w:line="480" w:lineRule="auto"/>
        <w:rPr>
          <w:rFonts w:ascii="Times New Roman" w:eastAsia="Times New Roman" w:hAnsi="Times New Roman" w:cs="Times New Roman"/>
          <w:b/>
          <w:i/>
        </w:rPr>
      </w:pPr>
      <w:r w:rsidRPr="00362C2E">
        <w:rPr>
          <w:rFonts w:ascii="Times New Roman" w:eastAsia="Times New Roman" w:hAnsi="Times New Roman" w:cs="Times New Roman"/>
          <w:b/>
          <w:bCs/>
          <w:i/>
        </w:rPr>
        <w:t>RQ3:</w:t>
      </w:r>
      <w:r w:rsidRPr="00362C2E">
        <w:rPr>
          <w:rFonts w:ascii="Times New Roman" w:eastAsia="Times New Roman" w:hAnsi="Times New Roman" w:cs="Times New Roman"/>
          <w:b/>
          <w:i/>
        </w:rPr>
        <w:t xml:space="preserve"> </w:t>
      </w:r>
      <w:r w:rsidRPr="00362C2E">
        <w:rPr>
          <w:rFonts w:ascii="Times New Roman" w:eastAsia="Times New Roman" w:hAnsi="Times New Roman" w:cs="Times New Roman"/>
          <w:b/>
          <w:i/>
          <w:iCs/>
        </w:rPr>
        <w:t>Which configurations of Industry 4.0 technologies (IoT, blockchain, AI) most effectively operationalize circular resource loops in small and medium-sized enterprises versus large multinational corporations?</w:t>
      </w:r>
    </w:p>
    <w:p w14:paraId="2AAA01B2" w14:textId="77777777" w:rsidR="00E60C54" w:rsidRPr="00362C2E" w:rsidRDefault="00E60C54" w:rsidP="00E60C54">
      <w:pPr>
        <w:numPr>
          <w:ilvl w:val="1"/>
          <w:numId w:val="5"/>
        </w:numPr>
        <w:spacing w:before="100" w:beforeAutospacing="1" w:after="100" w:afterAutospacing="1" w:line="480" w:lineRule="auto"/>
        <w:rPr>
          <w:rFonts w:ascii="Times New Roman" w:eastAsia="Times New Roman" w:hAnsi="Times New Roman" w:cs="Times New Roman"/>
        </w:rPr>
      </w:pPr>
      <w:r w:rsidRPr="00362C2E">
        <w:rPr>
          <w:rFonts w:ascii="Times New Roman" w:eastAsia="Times New Roman" w:hAnsi="Times New Roman" w:cs="Times New Roman"/>
          <w:bCs/>
        </w:rPr>
        <w:lastRenderedPageBreak/>
        <w:t>Motivation:</w:t>
      </w:r>
      <w:r w:rsidRPr="00362C2E">
        <w:rPr>
          <w:rFonts w:ascii="Times New Roman" w:eastAsia="Times New Roman" w:hAnsi="Times New Roman" w:cs="Times New Roman"/>
        </w:rPr>
        <w:t xml:space="preserve"> Technology-CE synergies have been studied in MNCs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Kumar et al., 2024), but comparative analysis across firm sizes and regions is lacking. Understanding contextual enablers can guide top managers in technology investment decisions.</w:t>
      </w:r>
    </w:p>
    <w:p w14:paraId="570FCDFF" w14:textId="77777777" w:rsidR="00E60C54" w:rsidRPr="00362C2E" w:rsidRDefault="00E60C54" w:rsidP="00E60C54">
      <w:pPr>
        <w:numPr>
          <w:ilvl w:val="0"/>
          <w:numId w:val="5"/>
        </w:numPr>
        <w:spacing w:before="100" w:beforeAutospacing="1" w:after="100" w:afterAutospacing="1" w:line="480" w:lineRule="auto"/>
        <w:rPr>
          <w:rFonts w:ascii="Times New Roman" w:eastAsia="Times New Roman" w:hAnsi="Times New Roman" w:cs="Times New Roman"/>
          <w:b/>
          <w:i/>
        </w:rPr>
      </w:pPr>
      <w:r w:rsidRPr="00362C2E">
        <w:rPr>
          <w:rFonts w:ascii="Times New Roman" w:eastAsia="Times New Roman" w:hAnsi="Times New Roman" w:cs="Times New Roman"/>
          <w:b/>
          <w:bCs/>
          <w:i/>
        </w:rPr>
        <w:t>RQ4:</w:t>
      </w:r>
      <w:r w:rsidRPr="00362C2E">
        <w:rPr>
          <w:rFonts w:ascii="Times New Roman" w:eastAsia="Times New Roman" w:hAnsi="Times New Roman" w:cs="Times New Roman"/>
          <w:b/>
          <w:i/>
        </w:rPr>
        <w:t xml:space="preserve"> </w:t>
      </w:r>
      <w:r w:rsidRPr="00362C2E">
        <w:rPr>
          <w:rFonts w:ascii="Times New Roman" w:eastAsia="Times New Roman" w:hAnsi="Times New Roman" w:cs="Times New Roman"/>
          <w:b/>
          <w:i/>
          <w:iCs/>
        </w:rPr>
        <w:t xml:space="preserve">How do policy incentives and inter-firm collaborations </w:t>
      </w:r>
      <w:proofErr w:type="spellStart"/>
      <w:r w:rsidRPr="00362C2E">
        <w:rPr>
          <w:rFonts w:ascii="Times New Roman" w:eastAsia="Times New Roman" w:hAnsi="Times New Roman" w:cs="Times New Roman"/>
          <w:b/>
          <w:i/>
          <w:iCs/>
        </w:rPr>
        <w:t>catalyze</w:t>
      </w:r>
      <w:proofErr w:type="spellEnd"/>
      <w:r w:rsidRPr="00362C2E">
        <w:rPr>
          <w:rFonts w:ascii="Times New Roman" w:eastAsia="Times New Roman" w:hAnsi="Times New Roman" w:cs="Times New Roman"/>
          <w:b/>
          <w:i/>
          <w:iCs/>
        </w:rPr>
        <w:t xml:space="preserve"> circular economy transitions that reinforce supply chain robustness in emerging and developed economies?</w:t>
      </w:r>
    </w:p>
    <w:p w14:paraId="145EA2A8" w14:textId="77777777" w:rsidR="00E60C54" w:rsidRPr="00362C2E" w:rsidRDefault="00E60C54" w:rsidP="00E60C54">
      <w:pPr>
        <w:numPr>
          <w:ilvl w:val="1"/>
          <w:numId w:val="5"/>
        </w:numPr>
        <w:spacing w:before="100" w:beforeAutospacing="1" w:after="100" w:afterAutospacing="1" w:line="480" w:lineRule="auto"/>
        <w:rPr>
          <w:rFonts w:ascii="Times New Roman" w:eastAsia="Times New Roman" w:hAnsi="Times New Roman" w:cs="Times New Roman"/>
        </w:rPr>
      </w:pPr>
      <w:proofErr w:type="spellStart"/>
      <w:r w:rsidRPr="006E74E7">
        <w:rPr>
          <w:rFonts w:ascii="Times New Roman" w:eastAsia="Times New Roman" w:hAnsi="Times New Roman" w:cs="Times New Roman"/>
          <w:bCs/>
          <w:lang w:val="fi-FI"/>
        </w:rPr>
        <w:t>Motivation</w:t>
      </w:r>
      <w:proofErr w:type="spellEnd"/>
      <w:r w:rsidRPr="006E74E7">
        <w:rPr>
          <w:rFonts w:ascii="Times New Roman" w:eastAsia="Times New Roman" w:hAnsi="Times New Roman" w:cs="Times New Roman"/>
          <w:bCs/>
          <w:lang w:val="fi-FI"/>
        </w:rPr>
        <w:t>:</w:t>
      </w:r>
      <w:r w:rsidRPr="006E74E7">
        <w:rPr>
          <w:rFonts w:ascii="Times New Roman" w:eastAsia="Times New Roman" w:hAnsi="Times New Roman" w:cs="Times New Roman"/>
          <w:lang w:val="fi-FI"/>
        </w:rPr>
        <w:t xml:space="preserve"> </w:t>
      </w:r>
      <w:proofErr w:type="spellStart"/>
      <w:r w:rsidRPr="006E74E7">
        <w:rPr>
          <w:rFonts w:ascii="Times New Roman" w:eastAsia="Times New Roman" w:hAnsi="Times New Roman" w:cs="Times New Roman"/>
          <w:lang w:val="fi-FI"/>
        </w:rPr>
        <w:t>PIila</w:t>
      </w:r>
      <w:proofErr w:type="spellEnd"/>
      <w:r w:rsidRPr="006E74E7">
        <w:rPr>
          <w:rFonts w:ascii="Times New Roman" w:eastAsia="Times New Roman" w:hAnsi="Times New Roman" w:cs="Times New Roman"/>
          <w:lang w:val="fi-FI"/>
        </w:rPr>
        <w:t xml:space="preserve"> and Sarja (2024) and </w:t>
      </w:r>
      <w:proofErr w:type="spellStart"/>
      <w:r w:rsidRPr="006E74E7">
        <w:rPr>
          <w:rFonts w:ascii="Times New Roman" w:eastAsia="Times New Roman" w:hAnsi="Times New Roman" w:cs="Times New Roman"/>
          <w:lang w:val="fi-FI"/>
        </w:rPr>
        <w:t>Bressanelli</w:t>
      </w:r>
      <w:proofErr w:type="spellEnd"/>
      <w:r w:rsidRPr="006E74E7">
        <w:rPr>
          <w:rFonts w:ascii="Times New Roman" w:eastAsia="Times New Roman" w:hAnsi="Times New Roman" w:cs="Times New Roman"/>
          <w:lang w:val="fi-FI"/>
        </w:rPr>
        <w:t xml:space="preserve"> et al. </w:t>
      </w:r>
      <w:r w:rsidRPr="00362C2E">
        <w:rPr>
          <w:rFonts w:ascii="Times New Roman" w:eastAsia="Times New Roman" w:hAnsi="Times New Roman" w:cs="Times New Roman"/>
        </w:rPr>
        <w:t>(2022) emphasize ecosystems and policy, but systematic examination of which incentives (e.g. tax credits, shared infrastructure) drive effective CE integration across borders is needed.</w:t>
      </w:r>
    </w:p>
    <w:p w14:paraId="0D92B38B" w14:textId="77777777" w:rsidR="00E60C54" w:rsidRPr="00362C2E" w:rsidRDefault="00E60C54" w:rsidP="00E60C54">
      <w:pPr>
        <w:pStyle w:val="1"/>
        <w:spacing w:line="480" w:lineRule="auto"/>
        <w:jc w:val="center"/>
        <w:rPr>
          <w:rFonts w:ascii="Times New Roman" w:hAnsi="Times New Roman" w:cs="Times New Roman"/>
          <w:b/>
          <w:color w:val="auto"/>
          <w:sz w:val="24"/>
          <w:szCs w:val="24"/>
        </w:rPr>
      </w:pPr>
      <w:bookmarkStart w:id="26" w:name="_Toc202430196"/>
      <w:r w:rsidRPr="00362C2E">
        <w:rPr>
          <w:rFonts w:ascii="Times New Roman" w:hAnsi="Times New Roman" w:cs="Times New Roman"/>
          <w:b/>
          <w:color w:val="auto"/>
          <w:sz w:val="24"/>
          <w:szCs w:val="24"/>
        </w:rPr>
        <w:t>Conclusion</w:t>
      </w:r>
      <w:bookmarkEnd w:id="26"/>
    </w:p>
    <w:p w14:paraId="4FFE8AED" w14:textId="77777777" w:rsidR="00E60C54" w:rsidRPr="00632D2D" w:rsidRDefault="00E60C54" w:rsidP="00E60C54">
      <w:pPr>
        <w:spacing w:before="100" w:beforeAutospacing="1" w:after="100" w:afterAutospacing="1" w:line="480" w:lineRule="auto"/>
        <w:ind w:firstLine="720"/>
        <w:rPr>
          <w:rFonts w:ascii="Times New Roman" w:eastAsia="Times New Roman" w:hAnsi="Times New Roman" w:cs="Times New Roman"/>
          <w:bCs/>
        </w:rPr>
      </w:pPr>
      <w:r w:rsidRPr="00362C2E">
        <w:rPr>
          <w:rFonts w:ascii="Times New Roman" w:eastAsia="Times New Roman" w:hAnsi="Times New Roman" w:cs="Times New Roman"/>
        </w:rPr>
        <w:t xml:space="preserve">The reviewed literature, taken together, indicates that </w:t>
      </w:r>
      <w:r w:rsidRPr="00362C2E">
        <w:rPr>
          <w:rFonts w:ascii="Times New Roman" w:eastAsia="Times New Roman" w:hAnsi="Times New Roman" w:cs="Times New Roman"/>
          <w:bCs/>
        </w:rPr>
        <w:t>top-managerial incorporation of circular economy principles significantly bolsters supply chain robustness amid global disruptions</w:t>
      </w:r>
      <w:r w:rsidRPr="00362C2E">
        <w:rPr>
          <w:rFonts w:ascii="Times New Roman" w:eastAsia="Times New Roman" w:hAnsi="Times New Roman" w:cs="Times New Roman"/>
        </w:rPr>
        <w:t>. Under Objective 1, researchers have shown that modern supply chains suffer when singular sourcing and efficiency goals dominate; under Objective 2, they have mapped how CE strategies (recycling, reuse, local loops, digital tracking) address those very vulnerabilities by diversifying inputs and building flexibility. Finally, Objective 3 contributions clarify the pathways: leadership must enact circular designs in products, processes, and policies – from investing in Industry 4.0 enablers (</w:t>
      </w:r>
      <w:proofErr w:type="gramStart"/>
      <w:r w:rsidRPr="00362C2E">
        <w:rPr>
          <w:rFonts w:ascii="Times New Roman" w:eastAsia="Times New Roman" w:hAnsi="Times New Roman" w:cs="Times New Roman"/>
        </w:rPr>
        <w:t>e.g.</w:t>
      </w:r>
      <w:proofErr w:type="gramEnd"/>
      <w:r w:rsidRPr="00362C2E">
        <w:rPr>
          <w:rFonts w:ascii="Times New Roman" w:eastAsia="Times New Roman" w:hAnsi="Times New Roman" w:cs="Times New Roman"/>
        </w:rPr>
        <w:t xml:space="preserve"> IoT, AI, blockchain) to fostering a culture of sustainability. When </w:t>
      </w:r>
      <w:r w:rsidRPr="00362C2E">
        <w:rPr>
          <w:rFonts w:ascii="Times New Roman" w:eastAsia="Times New Roman" w:hAnsi="Times New Roman" w:cs="Times New Roman"/>
        </w:rPr>
        <w:lastRenderedPageBreak/>
        <w:t xml:space="preserve">executives align strategy with circularity – for example by setting circular performance metrics or funding circular pilot projects – supply chains gain redundant paths and adaptive capacity. This dual emphasis on prevention (through less waste and resource dependency) and preparedness (through learning systems and collaboration) means that firms with </w:t>
      </w:r>
      <w:proofErr w:type="gramStart"/>
      <w:r w:rsidRPr="00362C2E">
        <w:rPr>
          <w:rFonts w:ascii="Times New Roman" w:eastAsia="Times New Roman" w:hAnsi="Times New Roman" w:cs="Times New Roman"/>
        </w:rPr>
        <w:t>circularly-aligned</w:t>
      </w:r>
      <w:proofErr w:type="gramEnd"/>
      <w:r w:rsidRPr="00362C2E">
        <w:rPr>
          <w:rFonts w:ascii="Times New Roman" w:eastAsia="Times New Roman" w:hAnsi="Times New Roman" w:cs="Times New Roman"/>
        </w:rPr>
        <w:t xml:space="preserve"> leadership can better absorb shocks and maintain continuity.</w:t>
      </w:r>
      <w:r w:rsidRPr="00362C2E">
        <w:rPr>
          <w:rFonts w:ascii="Times New Roman" w:eastAsia="Times New Roman" w:hAnsi="Times New Roman" w:cs="Times New Roman"/>
          <w:bCs/>
        </w:rPr>
        <w:t xml:space="preserve"> </w:t>
      </w:r>
      <w:r w:rsidRPr="00FC1ED0">
        <w:rPr>
          <w:rFonts w:ascii="Times New Roman" w:eastAsia="Times New Roman" w:hAnsi="Times New Roman" w:cs="Times New Roman"/>
          <w:bCs/>
        </w:rPr>
        <w:t>On the whole, multinational firms strengthen their global supply chains when the top executive supports the ideas of a circular economy, something that the literature continues supporting on a regular basis</w:t>
      </w:r>
      <w:r>
        <w:rPr>
          <w:rFonts w:ascii="Times New Roman" w:eastAsia="Times New Roman" w:hAnsi="Times New Roman" w:cs="Times New Roman"/>
          <w:bCs/>
        </w:rPr>
        <w:t xml:space="preserve">. Nevertheless, this paper faces various limitations stemming from the methodology used due to the reliance of secondary sources to capture data thereby lacking empirical evidence to validate findings. Additionally, the tendency of the author to include articles that have been written in English potentially led to the exclusion of relevant sources in other languages. </w:t>
      </w:r>
    </w:p>
    <w:p w14:paraId="73247F1C" w14:textId="77777777" w:rsidR="00E60C54" w:rsidRDefault="00E60C54" w:rsidP="00E60C54">
      <w:pPr>
        <w:spacing w:line="480" w:lineRule="auto"/>
        <w:rPr>
          <w:rFonts w:ascii="Times New Roman" w:hAnsi="Times New Roman" w:cs="Times New Roman"/>
          <w:b/>
        </w:rPr>
      </w:pPr>
    </w:p>
    <w:p w14:paraId="5A2D4D48" w14:textId="77777777" w:rsidR="00E60C54" w:rsidRDefault="00E60C54" w:rsidP="00E60C54">
      <w:pPr>
        <w:spacing w:line="480" w:lineRule="auto"/>
        <w:rPr>
          <w:rFonts w:ascii="Times New Roman" w:hAnsi="Times New Roman" w:cs="Times New Roman"/>
          <w:b/>
        </w:rPr>
      </w:pPr>
    </w:p>
    <w:p w14:paraId="16FAA397" w14:textId="77777777" w:rsidR="00E60C54" w:rsidRPr="003B0EBD" w:rsidRDefault="00E60C54" w:rsidP="00E60C54">
      <w:pPr>
        <w:pStyle w:val="1"/>
        <w:spacing w:line="360" w:lineRule="auto"/>
        <w:jc w:val="center"/>
        <w:rPr>
          <w:rFonts w:ascii="Times New Roman" w:hAnsi="Times New Roman" w:cs="Times New Roman"/>
          <w:b/>
          <w:color w:val="auto"/>
          <w:sz w:val="24"/>
          <w:szCs w:val="24"/>
        </w:rPr>
      </w:pPr>
      <w:bookmarkStart w:id="27" w:name="_Toc202430197"/>
      <w:r w:rsidRPr="003B0EBD">
        <w:rPr>
          <w:rFonts w:ascii="Times New Roman" w:hAnsi="Times New Roman" w:cs="Times New Roman"/>
          <w:b/>
          <w:color w:val="auto"/>
          <w:sz w:val="24"/>
          <w:szCs w:val="24"/>
        </w:rPr>
        <w:t>References</w:t>
      </w:r>
      <w:bookmarkEnd w:id="27"/>
    </w:p>
    <w:p w14:paraId="2862A8EE"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Adewusi</w:t>
      </w:r>
      <w:proofErr w:type="spellEnd"/>
      <w:r w:rsidRPr="00E64516">
        <w:rPr>
          <w:rFonts w:ascii="Times New Roman" w:eastAsia="Times New Roman" w:hAnsi="Times New Roman" w:cs="Times New Roman"/>
        </w:rPr>
        <w:t xml:space="preserve">, A. O., </w:t>
      </w:r>
      <w:proofErr w:type="spellStart"/>
      <w:r w:rsidRPr="00E64516">
        <w:rPr>
          <w:rFonts w:ascii="Times New Roman" w:eastAsia="Times New Roman" w:hAnsi="Times New Roman" w:cs="Times New Roman"/>
        </w:rPr>
        <w:t>Komolafe</w:t>
      </w:r>
      <w:proofErr w:type="spellEnd"/>
      <w:r w:rsidRPr="00E64516">
        <w:rPr>
          <w:rFonts w:ascii="Times New Roman" w:eastAsia="Times New Roman" w:hAnsi="Times New Roman" w:cs="Times New Roman"/>
        </w:rPr>
        <w:t xml:space="preserve">, A. M., </w:t>
      </w:r>
      <w:proofErr w:type="spellStart"/>
      <w:r w:rsidRPr="00E64516">
        <w:rPr>
          <w:rFonts w:ascii="Times New Roman" w:eastAsia="Times New Roman" w:hAnsi="Times New Roman" w:cs="Times New Roman"/>
        </w:rPr>
        <w:t>Ejairu</w:t>
      </w:r>
      <w:proofErr w:type="spellEnd"/>
      <w:r w:rsidRPr="00E64516">
        <w:rPr>
          <w:rFonts w:ascii="Times New Roman" w:eastAsia="Times New Roman" w:hAnsi="Times New Roman" w:cs="Times New Roman"/>
        </w:rPr>
        <w:t xml:space="preserve">, E., </w:t>
      </w:r>
      <w:proofErr w:type="spellStart"/>
      <w:r w:rsidRPr="00E64516">
        <w:rPr>
          <w:rFonts w:ascii="Times New Roman" w:eastAsia="Times New Roman" w:hAnsi="Times New Roman" w:cs="Times New Roman"/>
        </w:rPr>
        <w:t>Aderotoye</w:t>
      </w:r>
      <w:proofErr w:type="spellEnd"/>
      <w:r w:rsidRPr="00E64516">
        <w:rPr>
          <w:rFonts w:ascii="Times New Roman" w:eastAsia="Times New Roman" w:hAnsi="Times New Roman" w:cs="Times New Roman"/>
        </w:rPr>
        <w:t xml:space="preserve">, I. A., </w:t>
      </w:r>
      <w:proofErr w:type="spellStart"/>
      <w:r w:rsidRPr="00E64516">
        <w:rPr>
          <w:rFonts w:ascii="Times New Roman" w:eastAsia="Times New Roman" w:hAnsi="Times New Roman" w:cs="Times New Roman"/>
        </w:rPr>
        <w:t>Abiona</w:t>
      </w:r>
      <w:proofErr w:type="spellEnd"/>
      <w:r w:rsidRPr="00E64516">
        <w:rPr>
          <w:rFonts w:ascii="Times New Roman" w:eastAsia="Times New Roman" w:hAnsi="Times New Roman" w:cs="Times New Roman"/>
        </w:rPr>
        <w:t xml:space="preserve">, O. O., &amp; </w:t>
      </w:r>
      <w:proofErr w:type="spellStart"/>
      <w:r w:rsidRPr="00E64516">
        <w:rPr>
          <w:rFonts w:ascii="Times New Roman" w:eastAsia="Times New Roman" w:hAnsi="Times New Roman" w:cs="Times New Roman"/>
        </w:rPr>
        <w:t>Oyeniran</w:t>
      </w:r>
      <w:proofErr w:type="spellEnd"/>
      <w:r w:rsidRPr="00E64516">
        <w:rPr>
          <w:rFonts w:ascii="Times New Roman" w:eastAsia="Times New Roman" w:hAnsi="Times New Roman" w:cs="Times New Roman"/>
        </w:rPr>
        <w:t>, O. C. (2024). The role of predictive analytics in optimizing supply chain resilience: a review of techniques and case studies. </w:t>
      </w:r>
      <w:r w:rsidRPr="00E64516">
        <w:rPr>
          <w:rFonts w:ascii="Times New Roman" w:eastAsia="Times New Roman" w:hAnsi="Times New Roman" w:cs="Times New Roman"/>
          <w:i/>
          <w:iCs/>
        </w:rPr>
        <w:t>International Journal of Management &amp; Entrepreneurship Research</w:t>
      </w:r>
      <w:r w:rsidRPr="00E64516">
        <w:rPr>
          <w:rFonts w:ascii="Times New Roman" w:eastAsia="Times New Roman" w:hAnsi="Times New Roman" w:cs="Times New Roman"/>
        </w:rPr>
        <w:t>, </w:t>
      </w:r>
      <w:r w:rsidRPr="00E64516">
        <w:rPr>
          <w:rFonts w:ascii="Times New Roman" w:eastAsia="Times New Roman" w:hAnsi="Times New Roman" w:cs="Times New Roman"/>
          <w:i/>
          <w:iCs/>
        </w:rPr>
        <w:t>6</w:t>
      </w:r>
      <w:r w:rsidRPr="00E64516">
        <w:rPr>
          <w:rFonts w:ascii="Times New Roman" w:eastAsia="Times New Roman" w:hAnsi="Times New Roman" w:cs="Times New Roman"/>
        </w:rPr>
        <w:t>(3), 815-837.</w:t>
      </w:r>
    </w:p>
    <w:p w14:paraId="6BF77A77"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E64516">
        <w:rPr>
          <w:rFonts w:ascii="Times New Roman" w:eastAsia="Times New Roman" w:hAnsi="Times New Roman" w:cs="Times New Roman"/>
          <w:bCs/>
        </w:rPr>
        <w:lastRenderedPageBreak/>
        <w:t>Agarwal, S., Tyagi, M., &amp; Garg, R. K. (2022). Restorative measures to diminish the covid-19 pandemic effects through circular economy enablers for sustainable and resilient supply chain. </w:t>
      </w:r>
      <w:r w:rsidRPr="00E64516">
        <w:rPr>
          <w:rFonts w:ascii="Times New Roman" w:eastAsia="Times New Roman" w:hAnsi="Times New Roman" w:cs="Times New Roman"/>
          <w:bCs/>
          <w:i/>
          <w:iCs/>
        </w:rPr>
        <w:t>Journal of Asia Business Studies</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16</w:t>
      </w:r>
      <w:r w:rsidRPr="00E64516">
        <w:rPr>
          <w:rFonts w:ascii="Times New Roman" w:eastAsia="Times New Roman" w:hAnsi="Times New Roman" w:cs="Times New Roman"/>
          <w:bCs/>
        </w:rPr>
        <w:t>(3), 538-567.</w:t>
      </w:r>
    </w:p>
    <w:p w14:paraId="1022166D"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Akhtar, P., </w:t>
      </w:r>
      <w:proofErr w:type="spellStart"/>
      <w:r w:rsidRPr="00E64516">
        <w:rPr>
          <w:rFonts w:ascii="Times New Roman" w:eastAsia="Times New Roman" w:hAnsi="Times New Roman" w:cs="Times New Roman"/>
        </w:rPr>
        <w:t>Ghouri</w:t>
      </w:r>
      <w:proofErr w:type="spellEnd"/>
      <w:r w:rsidRPr="00E64516">
        <w:rPr>
          <w:rFonts w:ascii="Times New Roman" w:eastAsia="Times New Roman" w:hAnsi="Times New Roman" w:cs="Times New Roman"/>
        </w:rPr>
        <w:t xml:space="preserve">, A. M., </w:t>
      </w:r>
      <w:proofErr w:type="spellStart"/>
      <w:r w:rsidRPr="00E64516">
        <w:rPr>
          <w:rFonts w:ascii="Times New Roman" w:eastAsia="Times New Roman" w:hAnsi="Times New Roman" w:cs="Times New Roman"/>
        </w:rPr>
        <w:t>Saha</w:t>
      </w:r>
      <w:proofErr w:type="spellEnd"/>
      <w:r w:rsidRPr="00E64516">
        <w:rPr>
          <w:rFonts w:ascii="Times New Roman" w:eastAsia="Times New Roman" w:hAnsi="Times New Roman" w:cs="Times New Roman"/>
        </w:rPr>
        <w:t xml:space="preserve">, M., Khan, M. R., Shamim, S., &amp; </w:t>
      </w:r>
      <w:proofErr w:type="spellStart"/>
      <w:r w:rsidRPr="00E64516">
        <w:rPr>
          <w:rFonts w:ascii="Times New Roman" w:eastAsia="Times New Roman" w:hAnsi="Times New Roman" w:cs="Times New Roman"/>
        </w:rPr>
        <w:t>Nallaluthan</w:t>
      </w:r>
      <w:proofErr w:type="spellEnd"/>
      <w:r w:rsidRPr="00E64516">
        <w:rPr>
          <w:rFonts w:ascii="Times New Roman" w:eastAsia="Times New Roman" w:hAnsi="Times New Roman" w:cs="Times New Roman"/>
        </w:rPr>
        <w:t>, K. (2022). Industrial digitization, the use of real-time information, and operational agility: Digital and information perspectives for supply chain resilience. </w:t>
      </w:r>
      <w:r w:rsidRPr="00E64516">
        <w:rPr>
          <w:rFonts w:ascii="Times New Roman" w:eastAsia="Times New Roman" w:hAnsi="Times New Roman" w:cs="Times New Roman"/>
          <w:i/>
          <w:iCs/>
        </w:rPr>
        <w:t>IEEE Transactions on Engineering Management, 1</w:t>
      </w:r>
      <w:r w:rsidRPr="00E64516">
        <w:rPr>
          <w:rFonts w:ascii="Times New Roman" w:eastAsia="Times New Roman" w:hAnsi="Times New Roman" w:cs="Times New Roman"/>
        </w:rPr>
        <w:t>(1), 1-19.</w:t>
      </w:r>
    </w:p>
    <w:p w14:paraId="06C31C5B" w14:textId="77777777" w:rsidR="00E60C54" w:rsidRPr="00E60C54" w:rsidRDefault="00E60C54" w:rsidP="00E60C54">
      <w:pPr>
        <w:spacing w:before="100" w:beforeAutospacing="1" w:after="100" w:afterAutospacing="1" w:line="480" w:lineRule="auto"/>
        <w:ind w:left="720" w:hanging="720"/>
        <w:rPr>
          <w:rFonts w:ascii="Times New Roman" w:eastAsia="Times New Roman" w:hAnsi="Times New Roman" w:cs="Times New Roman"/>
          <w:color w:val="000000" w:themeColor="text1"/>
        </w:rPr>
      </w:pPr>
      <w:proofErr w:type="spellStart"/>
      <w:r w:rsidRPr="00E60C54">
        <w:rPr>
          <w:rFonts w:ascii="Times New Roman" w:eastAsia="Times New Roman" w:hAnsi="Times New Roman" w:cs="Times New Roman"/>
          <w:color w:val="000000" w:themeColor="text1"/>
        </w:rPr>
        <w:t>Alkaraan</w:t>
      </w:r>
      <w:proofErr w:type="spellEnd"/>
      <w:r w:rsidRPr="00E60C54">
        <w:rPr>
          <w:rFonts w:ascii="Times New Roman" w:eastAsia="Times New Roman" w:hAnsi="Times New Roman" w:cs="Times New Roman"/>
          <w:color w:val="000000" w:themeColor="text1"/>
        </w:rPr>
        <w:t xml:space="preserve">, F., Floyd, D., Rahman, M., &amp; </w:t>
      </w:r>
      <w:proofErr w:type="spellStart"/>
      <w:r w:rsidRPr="00E60C54">
        <w:rPr>
          <w:rFonts w:ascii="Times New Roman" w:eastAsia="Times New Roman" w:hAnsi="Times New Roman" w:cs="Times New Roman"/>
          <w:color w:val="000000" w:themeColor="text1"/>
        </w:rPr>
        <w:t>Nuery</w:t>
      </w:r>
      <w:proofErr w:type="spellEnd"/>
      <w:r w:rsidRPr="00E60C54">
        <w:rPr>
          <w:rFonts w:ascii="Times New Roman" w:eastAsia="Times New Roman" w:hAnsi="Times New Roman" w:cs="Times New Roman"/>
          <w:color w:val="000000" w:themeColor="text1"/>
        </w:rPr>
        <w:t>, N. (2023). A new era of strategic investment decision-making practices in UK companies: Towards sustainable supply chains and circular economy. </w:t>
      </w:r>
      <w:r w:rsidRPr="00E60C54">
        <w:rPr>
          <w:rFonts w:ascii="Times New Roman" w:eastAsia="Times New Roman" w:hAnsi="Times New Roman" w:cs="Times New Roman"/>
          <w:i/>
          <w:iCs/>
          <w:color w:val="000000" w:themeColor="text1"/>
        </w:rPr>
        <w:t>Theoretical Economics Letters</w:t>
      </w:r>
      <w:r w:rsidRPr="00E60C54">
        <w:rPr>
          <w:rFonts w:ascii="Times New Roman" w:eastAsia="Times New Roman" w:hAnsi="Times New Roman" w:cs="Times New Roman"/>
          <w:color w:val="000000" w:themeColor="text1"/>
        </w:rPr>
        <w:t>, </w:t>
      </w:r>
      <w:r w:rsidRPr="00E60C54">
        <w:rPr>
          <w:rFonts w:ascii="Times New Roman" w:eastAsia="Times New Roman" w:hAnsi="Times New Roman" w:cs="Times New Roman"/>
          <w:i/>
          <w:iCs/>
          <w:color w:val="000000" w:themeColor="text1"/>
        </w:rPr>
        <w:t>13</w:t>
      </w:r>
      <w:r w:rsidRPr="00E60C54">
        <w:rPr>
          <w:rFonts w:ascii="Times New Roman" w:eastAsia="Times New Roman" w:hAnsi="Times New Roman" w:cs="Times New Roman"/>
          <w:color w:val="000000" w:themeColor="text1"/>
        </w:rPr>
        <w:t>(3), 666-682.</w:t>
      </w:r>
    </w:p>
    <w:p w14:paraId="062390D9"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proofErr w:type="spellStart"/>
      <w:r w:rsidRPr="00E64516">
        <w:rPr>
          <w:rFonts w:ascii="Times New Roman" w:eastAsia="Times New Roman" w:hAnsi="Times New Roman" w:cs="Times New Roman"/>
          <w:bCs/>
        </w:rPr>
        <w:t>Althaf</w:t>
      </w:r>
      <w:proofErr w:type="spellEnd"/>
      <w:r w:rsidRPr="00E64516">
        <w:rPr>
          <w:rFonts w:ascii="Times New Roman" w:eastAsia="Times New Roman" w:hAnsi="Times New Roman" w:cs="Times New Roman"/>
          <w:bCs/>
        </w:rPr>
        <w:t>, S., &amp; Babbitt, C. W. (2021). Disruption risks to material supply chains in the electronics sector. Resources, Conservation and Recycling, 167, 105248.</w:t>
      </w:r>
    </w:p>
    <w:p w14:paraId="1D789ABE"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Atadoga</w:t>
      </w:r>
      <w:proofErr w:type="spellEnd"/>
      <w:r w:rsidRPr="00E64516">
        <w:rPr>
          <w:rFonts w:ascii="Times New Roman" w:eastAsia="Times New Roman" w:hAnsi="Times New Roman" w:cs="Times New Roman"/>
        </w:rPr>
        <w:t xml:space="preserve">, A., </w:t>
      </w:r>
      <w:proofErr w:type="spellStart"/>
      <w:r w:rsidRPr="00E64516">
        <w:rPr>
          <w:rFonts w:ascii="Times New Roman" w:eastAsia="Times New Roman" w:hAnsi="Times New Roman" w:cs="Times New Roman"/>
        </w:rPr>
        <w:t>Osasona</w:t>
      </w:r>
      <w:proofErr w:type="spellEnd"/>
      <w:r w:rsidRPr="00E64516">
        <w:rPr>
          <w:rFonts w:ascii="Times New Roman" w:eastAsia="Times New Roman" w:hAnsi="Times New Roman" w:cs="Times New Roman"/>
        </w:rPr>
        <w:t xml:space="preserve">, F., </w:t>
      </w:r>
      <w:proofErr w:type="spellStart"/>
      <w:r w:rsidRPr="00E64516">
        <w:rPr>
          <w:rFonts w:ascii="Times New Roman" w:eastAsia="Times New Roman" w:hAnsi="Times New Roman" w:cs="Times New Roman"/>
        </w:rPr>
        <w:t>Amoo</w:t>
      </w:r>
      <w:proofErr w:type="spellEnd"/>
      <w:r w:rsidRPr="00E64516">
        <w:rPr>
          <w:rFonts w:ascii="Times New Roman" w:eastAsia="Times New Roman" w:hAnsi="Times New Roman" w:cs="Times New Roman"/>
        </w:rPr>
        <w:t xml:space="preserve">, O. O., </w:t>
      </w:r>
      <w:proofErr w:type="spellStart"/>
      <w:r w:rsidRPr="00E64516">
        <w:rPr>
          <w:rFonts w:ascii="Times New Roman" w:eastAsia="Times New Roman" w:hAnsi="Times New Roman" w:cs="Times New Roman"/>
        </w:rPr>
        <w:t>Farayola</w:t>
      </w:r>
      <w:proofErr w:type="spellEnd"/>
      <w:r w:rsidRPr="00E64516">
        <w:rPr>
          <w:rFonts w:ascii="Times New Roman" w:eastAsia="Times New Roman" w:hAnsi="Times New Roman" w:cs="Times New Roman"/>
        </w:rPr>
        <w:t xml:space="preserve">, O. A., </w:t>
      </w:r>
      <w:proofErr w:type="spellStart"/>
      <w:r w:rsidRPr="00E64516">
        <w:rPr>
          <w:rFonts w:ascii="Times New Roman" w:eastAsia="Times New Roman" w:hAnsi="Times New Roman" w:cs="Times New Roman"/>
        </w:rPr>
        <w:t>Ayinla</w:t>
      </w:r>
      <w:proofErr w:type="spellEnd"/>
      <w:r w:rsidRPr="00E64516">
        <w:rPr>
          <w:rFonts w:ascii="Times New Roman" w:eastAsia="Times New Roman" w:hAnsi="Times New Roman" w:cs="Times New Roman"/>
        </w:rPr>
        <w:t>, B. S., &amp; Abrahams, T. O. (2024). The role of IT in enhancing supply chain resilience: a global review. </w:t>
      </w:r>
      <w:r w:rsidRPr="00E64516">
        <w:rPr>
          <w:rFonts w:ascii="Times New Roman" w:eastAsia="Times New Roman" w:hAnsi="Times New Roman" w:cs="Times New Roman"/>
          <w:i/>
          <w:iCs/>
        </w:rPr>
        <w:t>International Journal of Management &amp; Entrepreneurship Research</w:t>
      </w:r>
      <w:r w:rsidRPr="00E64516">
        <w:rPr>
          <w:rFonts w:ascii="Times New Roman" w:eastAsia="Times New Roman" w:hAnsi="Times New Roman" w:cs="Times New Roman"/>
        </w:rPr>
        <w:t>, </w:t>
      </w:r>
      <w:r w:rsidRPr="00E64516">
        <w:rPr>
          <w:rFonts w:ascii="Times New Roman" w:eastAsia="Times New Roman" w:hAnsi="Times New Roman" w:cs="Times New Roman"/>
          <w:i/>
          <w:iCs/>
        </w:rPr>
        <w:t>6</w:t>
      </w:r>
      <w:r w:rsidRPr="00E64516">
        <w:rPr>
          <w:rFonts w:ascii="Times New Roman" w:eastAsia="Times New Roman" w:hAnsi="Times New Roman" w:cs="Times New Roman"/>
        </w:rPr>
        <w:t>(2), 336-351.</w:t>
      </w:r>
    </w:p>
    <w:p w14:paraId="36D5308F"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Atieh</w:t>
      </w:r>
      <w:proofErr w:type="spellEnd"/>
      <w:r w:rsidRPr="00E64516">
        <w:rPr>
          <w:rFonts w:ascii="Times New Roman" w:eastAsia="Times New Roman" w:hAnsi="Times New Roman" w:cs="Times New Roman"/>
        </w:rPr>
        <w:t xml:space="preserve"> Ali, A. A., </w:t>
      </w:r>
      <w:proofErr w:type="spellStart"/>
      <w:r w:rsidRPr="00E64516">
        <w:rPr>
          <w:rFonts w:ascii="Times New Roman" w:eastAsia="Times New Roman" w:hAnsi="Times New Roman" w:cs="Times New Roman"/>
        </w:rPr>
        <w:t>Sharabati</w:t>
      </w:r>
      <w:proofErr w:type="spellEnd"/>
      <w:r w:rsidRPr="00E64516">
        <w:rPr>
          <w:rFonts w:ascii="Times New Roman" w:eastAsia="Times New Roman" w:hAnsi="Times New Roman" w:cs="Times New Roman"/>
        </w:rPr>
        <w:t xml:space="preserve">, A. A. A., </w:t>
      </w:r>
      <w:proofErr w:type="spellStart"/>
      <w:r w:rsidRPr="00E64516">
        <w:rPr>
          <w:rFonts w:ascii="Times New Roman" w:eastAsia="Times New Roman" w:hAnsi="Times New Roman" w:cs="Times New Roman"/>
        </w:rPr>
        <w:t>Allahham</w:t>
      </w:r>
      <w:proofErr w:type="spellEnd"/>
      <w:r w:rsidRPr="00E64516">
        <w:rPr>
          <w:rFonts w:ascii="Times New Roman" w:eastAsia="Times New Roman" w:hAnsi="Times New Roman" w:cs="Times New Roman"/>
        </w:rPr>
        <w:t xml:space="preserve">, M., &amp; </w:t>
      </w:r>
      <w:proofErr w:type="spellStart"/>
      <w:r w:rsidRPr="00E64516">
        <w:rPr>
          <w:rFonts w:ascii="Times New Roman" w:eastAsia="Times New Roman" w:hAnsi="Times New Roman" w:cs="Times New Roman"/>
        </w:rPr>
        <w:t>Nasereddin</w:t>
      </w:r>
      <w:proofErr w:type="spellEnd"/>
      <w:r w:rsidRPr="00E64516">
        <w:rPr>
          <w:rFonts w:ascii="Times New Roman" w:eastAsia="Times New Roman" w:hAnsi="Times New Roman" w:cs="Times New Roman"/>
        </w:rPr>
        <w:t xml:space="preserve">, A. Y. (2024). The relationship between supply chain resilience and digital supply chain and the </w:t>
      </w:r>
      <w:r w:rsidRPr="00E64516">
        <w:rPr>
          <w:rFonts w:ascii="Times New Roman" w:eastAsia="Times New Roman" w:hAnsi="Times New Roman" w:cs="Times New Roman"/>
        </w:rPr>
        <w:lastRenderedPageBreak/>
        <w:t>impact on sustainability: supply chain dynamism as a moderator. </w:t>
      </w:r>
      <w:r w:rsidRPr="00E64516">
        <w:rPr>
          <w:rFonts w:ascii="Times New Roman" w:eastAsia="Times New Roman" w:hAnsi="Times New Roman" w:cs="Times New Roman"/>
          <w:i/>
          <w:iCs/>
        </w:rPr>
        <w:t>Sustainability</w:t>
      </w:r>
      <w:r w:rsidRPr="00E64516">
        <w:rPr>
          <w:rFonts w:ascii="Times New Roman" w:eastAsia="Times New Roman" w:hAnsi="Times New Roman" w:cs="Times New Roman"/>
        </w:rPr>
        <w:t>, </w:t>
      </w:r>
      <w:r w:rsidRPr="00E64516">
        <w:rPr>
          <w:rFonts w:ascii="Times New Roman" w:eastAsia="Times New Roman" w:hAnsi="Times New Roman" w:cs="Times New Roman"/>
          <w:i/>
          <w:iCs/>
        </w:rPr>
        <w:t>16</w:t>
      </w:r>
      <w:r w:rsidRPr="00E64516">
        <w:rPr>
          <w:rFonts w:ascii="Times New Roman" w:eastAsia="Times New Roman" w:hAnsi="Times New Roman" w:cs="Times New Roman"/>
        </w:rPr>
        <w:t>(7), 3082.</w:t>
      </w:r>
    </w:p>
    <w:p w14:paraId="2BB4A702"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Attinasi</w:t>
      </w:r>
      <w:proofErr w:type="spellEnd"/>
      <w:r w:rsidRPr="00E64516">
        <w:rPr>
          <w:rFonts w:ascii="Times New Roman" w:eastAsia="Times New Roman" w:hAnsi="Times New Roman" w:cs="Times New Roman"/>
        </w:rPr>
        <w:t xml:space="preserve">, M. G., </w:t>
      </w:r>
      <w:proofErr w:type="spellStart"/>
      <w:r w:rsidRPr="00E64516">
        <w:rPr>
          <w:rFonts w:ascii="Times New Roman" w:eastAsia="Times New Roman" w:hAnsi="Times New Roman" w:cs="Times New Roman"/>
        </w:rPr>
        <w:t>Balatti</w:t>
      </w:r>
      <w:proofErr w:type="spellEnd"/>
      <w:r w:rsidRPr="00E64516">
        <w:rPr>
          <w:rFonts w:ascii="Times New Roman" w:eastAsia="Times New Roman" w:hAnsi="Times New Roman" w:cs="Times New Roman"/>
        </w:rPr>
        <w:t xml:space="preserve">, M., Mancini, M., &amp; </w:t>
      </w:r>
      <w:proofErr w:type="spellStart"/>
      <w:r w:rsidRPr="00E64516">
        <w:rPr>
          <w:rFonts w:ascii="Times New Roman" w:eastAsia="Times New Roman" w:hAnsi="Times New Roman" w:cs="Times New Roman"/>
        </w:rPr>
        <w:t>Metelli</w:t>
      </w:r>
      <w:proofErr w:type="spellEnd"/>
      <w:r w:rsidRPr="00E64516">
        <w:rPr>
          <w:rFonts w:ascii="Times New Roman" w:eastAsia="Times New Roman" w:hAnsi="Times New Roman" w:cs="Times New Roman"/>
        </w:rPr>
        <w:t>, L. (2022). Supply chain disruptions and the effects on the global economy. </w:t>
      </w:r>
      <w:r w:rsidRPr="00E64516">
        <w:rPr>
          <w:rFonts w:ascii="Times New Roman" w:eastAsia="Times New Roman" w:hAnsi="Times New Roman" w:cs="Times New Roman"/>
          <w:i/>
          <w:iCs/>
        </w:rPr>
        <w:t>Economic Bulletin Boxes</w:t>
      </w:r>
      <w:r w:rsidRPr="00E64516">
        <w:rPr>
          <w:rFonts w:ascii="Times New Roman" w:eastAsia="Times New Roman" w:hAnsi="Times New Roman" w:cs="Times New Roman"/>
        </w:rPr>
        <w:t>, </w:t>
      </w:r>
      <w:r w:rsidRPr="00E64516">
        <w:rPr>
          <w:rFonts w:ascii="Times New Roman" w:eastAsia="Times New Roman" w:hAnsi="Times New Roman" w:cs="Times New Roman"/>
          <w:i/>
          <w:iCs/>
        </w:rPr>
        <w:t>8</w:t>
      </w:r>
      <w:r w:rsidRPr="00E64516">
        <w:rPr>
          <w:rFonts w:ascii="Times New Roman" w:eastAsia="Times New Roman" w:hAnsi="Times New Roman" w:cs="Times New Roman"/>
        </w:rPr>
        <w:t>, 1-9.</w:t>
      </w:r>
    </w:p>
    <w:p w14:paraId="4C77AF06"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Awan, U., </w:t>
      </w:r>
      <w:proofErr w:type="spellStart"/>
      <w:r w:rsidRPr="00E64516">
        <w:rPr>
          <w:rFonts w:ascii="Times New Roman" w:eastAsia="Times New Roman" w:hAnsi="Times New Roman" w:cs="Times New Roman"/>
        </w:rPr>
        <w:t>Sroufe</w:t>
      </w:r>
      <w:proofErr w:type="spellEnd"/>
      <w:r w:rsidRPr="00E64516">
        <w:rPr>
          <w:rFonts w:ascii="Times New Roman" w:eastAsia="Times New Roman" w:hAnsi="Times New Roman" w:cs="Times New Roman"/>
        </w:rPr>
        <w:t xml:space="preserve">, R., &amp; </w:t>
      </w:r>
      <w:proofErr w:type="spellStart"/>
      <w:r w:rsidRPr="00E64516">
        <w:rPr>
          <w:rFonts w:ascii="Times New Roman" w:eastAsia="Times New Roman" w:hAnsi="Times New Roman" w:cs="Times New Roman"/>
        </w:rPr>
        <w:t>Bozan</w:t>
      </w:r>
      <w:proofErr w:type="spellEnd"/>
      <w:r w:rsidRPr="00E64516">
        <w:rPr>
          <w:rFonts w:ascii="Times New Roman" w:eastAsia="Times New Roman" w:hAnsi="Times New Roman" w:cs="Times New Roman"/>
        </w:rPr>
        <w:t>, K. (2022). Designing value chains for industry 4.0 and a circular economy: A review of the literature. </w:t>
      </w:r>
      <w:r w:rsidRPr="00E64516">
        <w:rPr>
          <w:rFonts w:ascii="Times New Roman" w:eastAsia="Times New Roman" w:hAnsi="Times New Roman" w:cs="Times New Roman"/>
          <w:i/>
          <w:iCs/>
        </w:rPr>
        <w:t>Sustainability</w:t>
      </w:r>
      <w:r w:rsidRPr="00E64516">
        <w:rPr>
          <w:rFonts w:ascii="Times New Roman" w:eastAsia="Times New Roman" w:hAnsi="Times New Roman" w:cs="Times New Roman"/>
        </w:rPr>
        <w:t>, </w:t>
      </w:r>
      <w:r w:rsidRPr="00E64516">
        <w:rPr>
          <w:rFonts w:ascii="Times New Roman" w:eastAsia="Times New Roman" w:hAnsi="Times New Roman" w:cs="Times New Roman"/>
          <w:i/>
          <w:iCs/>
        </w:rPr>
        <w:t>14</w:t>
      </w:r>
      <w:r w:rsidRPr="00E64516">
        <w:rPr>
          <w:rFonts w:ascii="Times New Roman" w:eastAsia="Times New Roman" w:hAnsi="Times New Roman" w:cs="Times New Roman"/>
        </w:rPr>
        <w:t>(12), 7084.</w:t>
      </w:r>
    </w:p>
    <w:p w14:paraId="268254F8"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E64516">
        <w:rPr>
          <w:rFonts w:ascii="Times New Roman" w:eastAsia="Times New Roman" w:hAnsi="Times New Roman" w:cs="Times New Roman"/>
          <w:bCs/>
        </w:rPr>
        <w:t xml:space="preserve">Bag, S., &amp; Kumar </w:t>
      </w:r>
      <w:proofErr w:type="spellStart"/>
      <w:r w:rsidRPr="00E64516">
        <w:rPr>
          <w:rFonts w:ascii="Times New Roman" w:eastAsia="Times New Roman" w:hAnsi="Times New Roman" w:cs="Times New Roman"/>
          <w:bCs/>
        </w:rPr>
        <w:t>Mangla</w:t>
      </w:r>
      <w:proofErr w:type="spellEnd"/>
      <w:r w:rsidRPr="00E64516">
        <w:rPr>
          <w:rFonts w:ascii="Times New Roman" w:eastAsia="Times New Roman" w:hAnsi="Times New Roman" w:cs="Times New Roman"/>
          <w:bCs/>
        </w:rPr>
        <w:t>, S. (2025). Investigating the Role of Smart and Resilient Supplier Management Practices in Circular Economy: A Supply Chain Practice View Perspective. </w:t>
      </w:r>
      <w:r w:rsidRPr="00E64516">
        <w:rPr>
          <w:rFonts w:ascii="Times New Roman" w:eastAsia="Times New Roman" w:hAnsi="Times New Roman" w:cs="Times New Roman"/>
          <w:bCs/>
          <w:i/>
          <w:iCs/>
        </w:rPr>
        <w:t>Business Strategy and the Environment, 1</w:t>
      </w:r>
      <w:r w:rsidRPr="00E64516">
        <w:rPr>
          <w:rFonts w:ascii="Times New Roman" w:eastAsia="Times New Roman" w:hAnsi="Times New Roman" w:cs="Times New Roman"/>
          <w:bCs/>
        </w:rPr>
        <w:t>(1), 1-9.</w:t>
      </w:r>
    </w:p>
    <w:p w14:paraId="71027520"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E64516">
        <w:rPr>
          <w:rFonts w:ascii="Times New Roman" w:eastAsia="Times New Roman" w:hAnsi="Times New Roman" w:cs="Times New Roman"/>
          <w:bCs/>
        </w:rPr>
        <w:t xml:space="preserve">Bag, S., Gupta, S., &amp; </w:t>
      </w:r>
      <w:proofErr w:type="spellStart"/>
      <w:r w:rsidRPr="00E64516">
        <w:rPr>
          <w:rFonts w:ascii="Times New Roman" w:eastAsia="Times New Roman" w:hAnsi="Times New Roman" w:cs="Times New Roman"/>
          <w:bCs/>
        </w:rPr>
        <w:t>Foropon</w:t>
      </w:r>
      <w:proofErr w:type="spellEnd"/>
      <w:r w:rsidRPr="00E64516">
        <w:rPr>
          <w:rFonts w:ascii="Times New Roman" w:eastAsia="Times New Roman" w:hAnsi="Times New Roman" w:cs="Times New Roman"/>
          <w:bCs/>
        </w:rPr>
        <w:t>, C. (2019). Examining the role of dynamic remanufacturing capability on supply chain resilience in circular economy. </w:t>
      </w:r>
      <w:r w:rsidRPr="00E64516">
        <w:rPr>
          <w:rFonts w:ascii="Times New Roman" w:eastAsia="Times New Roman" w:hAnsi="Times New Roman" w:cs="Times New Roman"/>
          <w:bCs/>
          <w:i/>
          <w:iCs/>
        </w:rPr>
        <w:t>Management Decision</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57</w:t>
      </w:r>
      <w:r w:rsidRPr="00E64516">
        <w:rPr>
          <w:rFonts w:ascii="Times New Roman" w:eastAsia="Times New Roman" w:hAnsi="Times New Roman" w:cs="Times New Roman"/>
          <w:bCs/>
        </w:rPr>
        <w:t>(4), 863-885.</w:t>
      </w:r>
    </w:p>
    <w:p w14:paraId="06542DF6" w14:textId="77777777" w:rsidR="00E60C54" w:rsidRPr="00E60C54" w:rsidRDefault="00E60C54" w:rsidP="00E60C54">
      <w:pPr>
        <w:spacing w:before="100" w:beforeAutospacing="1" w:after="100" w:afterAutospacing="1" w:line="480" w:lineRule="auto"/>
        <w:ind w:left="720" w:hanging="720"/>
        <w:rPr>
          <w:rFonts w:ascii="Times New Roman" w:eastAsia="Times New Roman" w:hAnsi="Times New Roman" w:cs="Times New Roman"/>
          <w:color w:val="000000" w:themeColor="text1"/>
        </w:rPr>
      </w:pPr>
      <w:proofErr w:type="spellStart"/>
      <w:r w:rsidRPr="00E60C54">
        <w:rPr>
          <w:rFonts w:ascii="Times New Roman" w:eastAsia="Times New Roman" w:hAnsi="Times New Roman" w:cs="Times New Roman"/>
          <w:color w:val="000000" w:themeColor="text1"/>
        </w:rPr>
        <w:t>Baghersad</w:t>
      </w:r>
      <w:proofErr w:type="spellEnd"/>
      <w:r w:rsidRPr="00E60C54">
        <w:rPr>
          <w:rFonts w:ascii="Times New Roman" w:eastAsia="Times New Roman" w:hAnsi="Times New Roman" w:cs="Times New Roman"/>
          <w:color w:val="000000" w:themeColor="text1"/>
        </w:rPr>
        <w:t>, M., &amp; Zobel, C. W. (2021). Assessing the extended impacts of supply chain disruptions on firms: An empirical study. </w:t>
      </w:r>
      <w:r w:rsidRPr="00E60C54">
        <w:rPr>
          <w:rFonts w:ascii="Times New Roman" w:eastAsia="Times New Roman" w:hAnsi="Times New Roman" w:cs="Times New Roman"/>
          <w:i/>
          <w:iCs/>
          <w:color w:val="000000" w:themeColor="text1"/>
        </w:rPr>
        <w:t>International Journal of Production Economics</w:t>
      </w:r>
      <w:r w:rsidRPr="00E60C54">
        <w:rPr>
          <w:rFonts w:ascii="Times New Roman" w:eastAsia="Times New Roman" w:hAnsi="Times New Roman" w:cs="Times New Roman"/>
          <w:color w:val="000000" w:themeColor="text1"/>
        </w:rPr>
        <w:t>, </w:t>
      </w:r>
      <w:r w:rsidRPr="00E60C54">
        <w:rPr>
          <w:rFonts w:ascii="Times New Roman" w:eastAsia="Times New Roman" w:hAnsi="Times New Roman" w:cs="Times New Roman"/>
          <w:i/>
          <w:iCs/>
          <w:color w:val="000000" w:themeColor="text1"/>
        </w:rPr>
        <w:t>231</w:t>
      </w:r>
      <w:r w:rsidRPr="00E60C54">
        <w:rPr>
          <w:rFonts w:ascii="Times New Roman" w:eastAsia="Times New Roman" w:hAnsi="Times New Roman" w:cs="Times New Roman"/>
          <w:color w:val="000000" w:themeColor="text1"/>
        </w:rPr>
        <w:t>, 10-22.</w:t>
      </w:r>
    </w:p>
    <w:p w14:paraId="6673E80B"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lastRenderedPageBreak/>
        <w:t>Bednarski</w:t>
      </w:r>
      <w:proofErr w:type="spellEnd"/>
      <w:r w:rsidRPr="00E64516">
        <w:rPr>
          <w:rFonts w:ascii="Times New Roman" w:eastAsia="Times New Roman" w:hAnsi="Times New Roman" w:cs="Times New Roman"/>
        </w:rPr>
        <w:t xml:space="preserve">, L., Roscoe, S., </w:t>
      </w:r>
      <w:proofErr w:type="spellStart"/>
      <w:r w:rsidRPr="00E64516">
        <w:rPr>
          <w:rFonts w:ascii="Times New Roman" w:eastAsia="Times New Roman" w:hAnsi="Times New Roman" w:cs="Times New Roman"/>
        </w:rPr>
        <w:t>Blome</w:t>
      </w:r>
      <w:proofErr w:type="spellEnd"/>
      <w:r w:rsidRPr="00E64516">
        <w:rPr>
          <w:rFonts w:ascii="Times New Roman" w:eastAsia="Times New Roman" w:hAnsi="Times New Roman" w:cs="Times New Roman"/>
        </w:rPr>
        <w:t>, C. &amp; Schleper, M.C. (2025). Geopolitical disruptions in global supply chains: a state-of-the-art literature review. </w:t>
      </w:r>
      <w:r w:rsidRPr="00E64516">
        <w:rPr>
          <w:rFonts w:ascii="Times New Roman" w:eastAsia="Times New Roman" w:hAnsi="Times New Roman" w:cs="Times New Roman"/>
          <w:i/>
          <w:iCs/>
        </w:rPr>
        <w:t>Production planning &amp; control</w:t>
      </w:r>
      <w:r w:rsidRPr="00E64516">
        <w:rPr>
          <w:rFonts w:ascii="Times New Roman" w:eastAsia="Times New Roman" w:hAnsi="Times New Roman" w:cs="Times New Roman"/>
        </w:rPr>
        <w:t>, </w:t>
      </w:r>
      <w:r w:rsidRPr="00E64516">
        <w:rPr>
          <w:rFonts w:ascii="Times New Roman" w:eastAsia="Times New Roman" w:hAnsi="Times New Roman" w:cs="Times New Roman"/>
          <w:i/>
          <w:iCs/>
        </w:rPr>
        <w:t>36</w:t>
      </w:r>
      <w:r w:rsidRPr="00E64516">
        <w:rPr>
          <w:rFonts w:ascii="Times New Roman" w:eastAsia="Times New Roman" w:hAnsi="Times New Roman" w:cs="Times New Roman"/>
        </w:rPr>
        <w:t>(4), pp.536-562.</w:t>
      </w:r>
    </w:p>
    <w:p w14:paraId="0799D840" w14:textId="77777777" w:rsidR="00E60C54"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Bednarski</w:t>
      </w:r>
      <w:proofErr w:type="spellEnd"/>
      <w:r w:rsidRPr="00E64516">
        <w:rPr>
          <w:rFonts w:ascii="Times New Roman" w:eastAsia="Times New Roman" w:hAnsi="Times New Roman" w:cs="Times New Roman"/>
        </w:rPr>
        <w:t xml:space="preserve">, L., Roscoe, S., </w:t>
      </w:r>
      <w:proofErr w:type="spellStart"/>
      <w:r w:rsidRPr="00E64516">
        <w:rPr>
          <w:rFonts w:ascii="Times New Roman" w:eastAsia="Times New Roman" w:hAnsi="Times New Roman" w:cs="Times New Roman"/>
        </w:rPr>
        <w:t>Blome</w:t>
      </w:r>
      <w:proofErr w:type="spellEnd"/>
      <w:r w:rsidRPr="00E64516">
        <w:rPr>
          <w:rFonts w:ascii="Times New Roman" w:eastAsia="Times New Roman" w:hAnsi="Times New Roman" w:cs="Times New Roman"/>
        </w:rPr>
        <w:t>, C., &amp; Schleper, M. C. (2025). Geopolitical disruptions in global supply chains: a state-of-the-art literature review. </w:t>
      </w:r>
      <w:r w:rsidRPr="00E64516">
        <w:rPr>
          <w:rFonts w:ascii="Times New Roman" w:eastAsia="Times New Roman" w:hAnsi="Times New Roman" w:cs="Times New Roman"/>
          <w:i/>
          <w:iCs/>
        </w:rPr>
        <w:t>Production planning &amp; control</w:t>
      </w:r>
      <w:r w:rsidRPr="00E64516">
        <w:rPr>
          <w:rFonts w:ascii="Times New Roman" w:eastAsia="Times New Roman" w:hAnsi="Times New Roman" w:cs="Times New Roman"/>
        </w:rPr>
        <w:t>, </w:t>
      </w:r>
      <w:r w:rsidRPr="00E64516">
        <w:rPr>
          <w:rFonts w:ascii="Times New Roman" w:eastAsia="Times New Roman" w:hAnsi="Times New Roman" w:cs="Times New Roman"/>
          <w:i/>
          <w:iCs/>
        </w:rPr>
        <w:t>36</w:t>
      </w:r>
      <w:r>
        <w:rPr>
          <w:rFonts w:ascii="Times New Roman" w:eastAsia="Times New Roman" w:hAnsi="Times New Roman" w:cs="Times New Roman"/>
        </w:rPr>
        <w:t>(4), 536-562.</w:t>
      </w:r>
    </w:p>
    <w:p w14:paraId="3409B218"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Chowdhury, M. M. H., Chowdhury, P., Quaddus, M., Rahman, K. W., &amp; Shahriar, S. (2024). Flexibility in enhancing supply chain resilience: developing a resilience capability portfolio in the event of severe disruption. </w:t>
      </w:r>
      <w:r w:rsidRPr="00E64516">
        <w:rPr>
          <w:rFonts w:ascii="Times New Roman" w:eastAsia="Times New Roman" w:hAnsi="Times New Roman" w:cs="Times New Roman"/>
          <w:i/>
          <w:iCs/>
        </w:rPr>
        <w:t>Global Journal of Flexible Systems Management</w:t>
      </w:r>
      <w:r w:rsidRPr="00E64516">
        <w:rPr>
          <w:rFonts w:ascii="Times New Roman" w:eastAsia="Times New Roman" w:hAnsi="Times New Roman" w:cs="Times New Roman"/>
        </w:rPr>
        <w:t>, </w:t>
      </w:r>
      <w:r w:rsidRPr="00E64516">
        <w:rPr>
          <w:rFonts w:ascii="Times New Roman" w:eastAsia="Times New Roman" w:hAnsi="Times New Roman" w:cs="Times New Roman"/>
          <w:i/>
          <w:iCs/>
        </w:rPr>
        <w:t>25</w:t>
      </w:r>
      <w:r w:rsidRPr="00E64516">
        <w:rPr>
          <w:rFonts w:ascii="Times New Roman" w:eastAsia="Times New Roman" w:hAnsi="Times New Roman" w:cs="Times New Roman"/>
        </w:rPr>
        <w:t>(2), 395-417.</w:t>
      </w:r>
    </w:p>
    <w:p w14:paraId="730207F3"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Belhadi</w:t>
      </w:r>
      <w:proofErr w:type="spellEnd"/>
      <w:r w:rsidRPr="00E64516">
        <w:rPr>
          <w:rFonts w:ascii="Times New Roman" w:eastAsia="Times New Roman" w:hAnsi="Times New Roman" w:cs="Times New Roman"/>
        </w:rPr>
        <w:t xml:space="preserve">, A., </w:t>
      </w:r>
      <w:proofErr w:type="spellStart"/>
      <w:r w:rsidRPr="00E64516">
        <w:rPr>
          <w:rFonts w:ascii="Times New Roman" w:eastAsia="Times New Roman" w:hAnsi="Times New Roman" w:cs="Times New Roman"/>
        </w:rPr>
        <w:t>Kamble</w:t>
      </w:r>
      <w:proofErr w:type="spellEnd"/>
      <w:r w:rsidRPr="00E64516">
        <w:rPr>
          <w:rFonts w:ascii="Times New Roman" w:eastAsia="Times New Roman" w:hAnsi="Times New Roman" w:cs="Times New Roman"/>
        </w:rPr>
        <w:t>, S., Subramanian, N., Singh, R. K., &amp; Venkatesh, M. (2024). Digital capabilities to manage agri-food supply chain uncertainties and build supply chain resilience during compounding geopolitical disruptions. </w:t>
      </w:r>
      <w:r w:rsidRPr="00E64516">
        <w:rPr>
          <w:rFonts w:ascii="Times New Roman" w:eastAsia="Times New Roman" w:hAnsi="Times New Roman" w:cs="Times New Roman"/>
          <w:i/>
          <w:iCs/>
        </w:rPr>
        <w:t>International Journal of Operations &amp; Production Management</w:t>
      </w:r>
      <w:r w:rsidRPr="00E64516">
        <w:rPr>
          <w:rFonts w:ascii="Times New Roman" w:eastAsia="Times New Roman" w:hAnsi="Times New Roman" w:cs="Times New Roman"/>
        </w:rPr>
        <w:t>, </w:t>
      </w:r>
      <w:r w:rsidRPr="00E64516">
        <w:rPr>
          <w:rFonts w:ascii="Times New Roman" w:eastAsia="Times New Roman" w:hAnsi="Times New Roman" w:cs="Times New Roman"/>
          <w:i/>
          <w:iCs/>
        </w:rPr>
        <w:t>44</w:t>
      </w:r>
      <w:r>
        <w:rPr>
          <w:rFonts w:ascii="Times New Roman" w:eastAsia="Times New Roman" w:hAnsi="Times New Roman" w:cs="Times New Roman"/>
        </w:rPr>
        <w:t>(11), 1914-1950.</w:t>
      </w:r>
    </w:p>
    <w:p w14:paraId="2FF7EF30"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E64516">
        <w:rPr>
          <w:rFonts w:ascii="Times New Roman" w:eastAsia="Times New Roman" w:hAnsi="Times New Roman" w:cs="Times New Roman"/>
          <w:bCs/>
        </w:rPr>
        <w:t>Bhawna, Kang, P. S., &amp; Sharma, S. K. (2024). Bridging the gap: a systematic analysis of circular economy, supply chain management, and digitization for sustainability and resilience. </w:t>
      </w:r>
      <w:r w:rsidRPr="00E64516">
        <w:rPr>
          <w:rFonts w:ascii="Times New Roman" w:eastAsia="Times New Roman" w:hAnsi="Times New Roman" w:cs="Times New Roman"/>
          <w:bCs/>
          <w:i/>
          <w:iCs/>
        </w:rPr>
        <w:t>Operations Management Research</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17</w:t>
      </w:r>
      <w:r w:rsidRPr="00E64516">
        <w:rPr>
          <w:rFonts w:ascii="Times New Roman" w:eastAsia="Times New Roman" w:hAnsi="Times New Roman" w:cs="Times New Roman"/>
          <w:bCs/>
        </w:rPr>
        <w:t>(3), 1039-1057.</w:t>
      </w:r>
    </w:p>
    <w:p w14:paraId="559FCC4B"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lastRenderedPageBreak/>
        <w:t>Bressanelli</w:t>
      </w:r>
      <w:proofErr w:type="spellEnd"/>
      <w:r w:rsidRPr="00E64516">
        <w:rPr>
          <w:rFonts w:ascii="Times New Roman" w:eastAsia="Times New Roman" w:hAnsi="Times New Roman" w:cs="Times New Roman"/>
        </w:rPr>
        <w:t xml:space="preserve">, G., </w:t>
      </w:r>
      <w:proofErr w:type="spellStart"/>
      <w:r w:rsidRPr="00E64516">
        <w:rPr>
          <w:rFonts w:ascii="Times New Roman" w:eastAsia="Times New Roman" w:hAnsi="Times New Roman" w:cs="Times New Roman"/>
        </w:rPr>
        <w:t>Visintin</w:t>
      </w:r>
      <w:proofErr w:type="spellEnd"/>
      <w:r w:rsidRPr="00E64516">
        <w:rPr>
          <w:rFonts w:ascii="Times New Roman" w:eastAsia="Times New Roman" w:hAnsi="Times New Roman" w:cs="Times New Roman"/>
        </w:rPr>
        <w:t xml:space="preserve">, F., &amp; </w:t>
      </w:r>
      <w:proofErr w:type="spellStart"/>
      <w:r w:rsidRPr="00E64516">
        <w:rPr>
          <w:rFonts w:ascii="Times New Roman" w:eastAsia="Times New Roman" w:hAnsi="Times New Roman" w:cs="Times New Roman"/>
        </w:rPr>
        <w:t>Saccani</w:t>
      </w:r>
      <w:proofErr w:type="spellEnd"/>
      <w:r w:rsidRPr="00E64516">
        <w:rPr>
          <w:rFonts w:ascii="Times New Roman" w:eastAsia="Times New Roman" w:hAnsi="Times New Roman" w:cs="Times New Roman"/>
        </w:rPr>
        <w:t>, N. (2022). Circular Economy and the evolution of industrial districts: A supply chain perspective. </w:t>
      </w:r>
      <w:r w:rsidRPr="00E64516">
        <w:rPr>
          <w:rFonts w:ascii="Times New Roman" w:eastAsia="Times New Roman" w:hAnsi="Times New Roman" w:cs="Times New Roman"/>
          <w:i/>
          <w:iCs/>
        </w:rPr>
        <w:t>International Journal of Production Economics</w:t>
      </w:r>
      <w:r w:rsidRPr="00E64516">
        <w:rPr>
          <w:rFonts w:ascii="Times New Roman" w:eastAsia="Times New Roman" w:hAnsi="Times New Roman" w:cs="Times New Roman"/>
        </w:rPr>
        <w:t>, </w:t>
      </w:r>
      <w:r w:rsidRPr="00E64516">
        <w:rPr>
          <w:rFonts w:ascii="Times New Roman" w:eastAsia="Times New Roman" w:hAnsi="Times New Roman" w:cs="Times New Roman"/>
          <w:i/>
          <w:iCs/>
        </w:rPr>
        <w:t>243</w:t>
      </w:r>
      <w:r w:rsidRPr="00E64516">
        <w:rPr>
          <w:rFonts w:ascii="Times New Roman" w:eastAsia="Times New Roman" w:hAnsi="Times New Roman" w:cs="Times New Roman"/>
        </w:rPr>
        <w:t>, 108348.</w:t>
      </w:r>
    </w:p>
    <w:p w14:paraId="6E6D3A80"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E64516">
        <w:rPr>
          <w:rFonts w:ascii="Times New Roman" w:eastAsia="Times New Roman" w:hAnsi="Times New Roman" w:cs="Times New Roman"/>
          <w:bCs/>
        </w:rPr>
        <w:t>Burke, H., Zhang, A., &amp; Wang, J. X. (2023). Integrating product design and supply chain management for a circular economy. </w:t>
      </w:r>
      <w:r w:rsidRPr="00E64516">
        <w:rPr>
          <w:rFonts w:ascii="Times New Roman" w:eastAsia="Times New Roman" w:hAnsi="Times New Roman" w:cs="Times New Roman"/>
          <w:bCs/>
          <w:i/>
          <w:iCs/>
        </w:rPr>
        <w:t>Production Planning &amp; Control</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34</w:t>
      </w:r>
      <w:r w:rsidRPr="00E64516">
        <w:rPr>
          <w:rFonts w:ascii="Times New Roman" w:eastAsia="Times New Roman" w:hAnsi="Times New Roman" w:cs="Times New Roman"/>
          <w:bCs/>
        </w:rPr>
        <w:t>(11), 1097-1113.</w:t>
      </w:r>
    </w:p>
    <w:p w14:paraId="6F6A37DC"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Carraresi</w:t>
      </w:r>
      <w:proofErr w:type="spellEnd"/>
      <w:r w:rsidRPr="00E64516">
        <w:rPr>
          <w:rFonts w:ascii="Times New Roman" w:eastAsia="Times New Roman" w:hAnsi="Times New Roman" w:cs="Times New Roman"/>
        </w:rPr>
        <w:t xml:space="preserve">, L., &amp; </w:t>
      </w:r>
      <w:proofErr w:type="spellStart"/>
      <w:r w:rsidRPr="00E64516">
        <w:rPr>
          <w:rFonts w:ascii="Times New Roman" w:eastAsia="Times New Roman" w:hAnsi="Times New Roman" w:cs="Times New Roman"/>
        </w:rPr>
        <w:t>Bröring</w:t>
      </w:r>
      <w:proofErr w:type="spellEnd"/>
      <w:r w:rsidRPr="00E64516">
        <w:rPr>
          <w:rFonts w:ascii="Times New Roman" w:eastAsia="Times New Roman" w:hAnsi="Times New Roman" w:cs="Times New Roman"/>
        </w:rPr>
        <w:t xml:space="preserve">, S. (2021). How does business model redesign foster resilience in emerging circular value </w:t>
      </w:r>
      <w:proofErr w:type="gramStart"/>
      <w:r w:rsidRPr="00E64516">
        <w:rPr>
          <w:rFonts w:ascii="Times New Roman" w:eastAsia="Times New Roman" w:hAnsi="Times New Roman" w:cs="Times New Roman"/>
        </w:rPr>
        <w:t>chains?.</w:t>
      </w:r>
      <w:proofErr w:type="gramEnd"/>
      <w:r w:rsidRPr="00E64516">
        <w:rPr>
          <w:rFonts w:ascii="Times New Roman" w:eastAsia="Times New Roman" w:hAnsi="Times New Roman" w:cs="Times New Roman"/>
        </w:rPr>
        <w:t> </w:t>
      </w:r>
      <w:r w:rsidRPr="00E64516">
        <w:rPr>
          <w:rFonts w:ascii="Times New Roman" w:eastAsia="Times New Roman" w:hAnsi="Times New Roman" w:cs="Times New Roman"/>
          <w:i/>
          <w:iCs/>
        </w:rPr>
        <w:t>Journal of Cleaner Production</w:t>
      </w:r>
      <w:r w:rsidRPr="00E64516">
        <w:rPr>
          <w:rFonts w:ascii="Times New Roman" w:eastAsia="Times New Roman" w:hAnsi="Times New Roman" w:cs="Times New Roman"/>
        </w:rPr>
        <w:t>, </w:t>
      </w:r>
      <w:r w:rsidRPr="00E64516">
        <w:rPr>
          <w:rFonts w:ascii="Times New Roman" w:eastAsia="Times New Roman" w:hAnsi="Times New Roman" w:cs="Times New Roman"/>
          <w:i/>
          <w:iCs/>
        </w:rPr>
        <w:t>289</w:t>
      </w:r>
      <w:r w:rsidRPr="00E64516">
        <w:rPr>
          <w:rFonts w:ascii="Times New Roman" w:eastAsia="Times New Roman" w:hAnsi="Times New Roman" w:cs="Times New Roman"/>
        </w:rPr>
        <w:t>, 125823.</w:t>
      </w:r>
    </w:p>
    <w:p w14:paraId="58EDDA66"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Chakraborty, A., De, D., &amp; Dey, P. K. (2025). Circular Economy in Small and Medium-Sized Enterprises—Current Trends, Practical Challenges and Future Research Agenda. </w:t>
      </w:r>
      <w:r w:rsidRPr="00E64516">
        <w:rPr>
          <w:rFonts w:ascii="Times New Roman" w:eastAsia="Times New Roman" w:hAnsi="Times New Roman" w:cs="Times New Roman"/>
          <w:i/>
          <w:iCs/>
        </w:rPr>
        <w:t>Systems</w:t>
      </w:r>
      <w:r w:rsidRPr="00E64516">
        <w:rPr>
          <w:rFonts w:ascii="Times New Roman" w:eastAsia="Times New Roman" w:hAnsi="Times New Roman" w:cs="Times New Roman"/>
        </w:rPr>
        <w:t>, </w:t>
      </w:r>
      <w:r w:rsidRPr="00E64516">
        <w:rPr>
          <w:rFonts w:ascii="Times New Roman" w:eastAsia="Times New Roman" w:hAnsi="Times New Roman" w:cs="Times New Roman"/>
          <w:i/>
          <w:iCs/>
        </w:rPr>
        <w:t>13</w:t>
      </w:r>
      <w:r w:rsidRPr="00E64516">
        <w:rPr>
          <w:rFonts w:ascii="Times New Roman" w:eastAsia="Times New Roman" w:hAnsi="Times New Roman" w:cs="Times New Roman"/>
        </w:rPr>
        <w:t>(3), 200-220.</w:t>
      </w:r>
    </w:p>
    <w:p w14:paraId="37E04F0D" w14:textId="77777777" w:rsidR="00E60C54" w:rsidRPr="006E74E7" w:rsidRDefault="00E60C54" w:rsidP="00E60C54">
      <w:pPr>
        <w:spacing w:before="100" w:beforeAutospacing="1" w:after="100" w:afterAutospacing="1" w:line="480" w:lineRule="auto"/>
        <w:ind w:left="720" w:hanging="720"/>
        <w:rPr>
          <w:rFonts w:ascii="Times New Roman" w:eastAsia="Times New Roman" w:hAnsi="Times New Roman" w:cs="Times New Roman"/>
          <w:lang w:val="pt-PT"/>
        </w:rPr>
      </w:pPr>
      <w:proofErr w:type="spellStart"/>
      <w:r w:rsidRPr="00E64516">
        <w:rPr>
          <w:rFonts w:ascii="Times New Roman" w:eastAsia="Times New Roman" w:hAnsi="Times New Roman" w:cs="Times New Roman"/>
        </w:rPr>
        <w:t>Charef</w:t>
      </w:r>
      <w:proofErr w:type="spellEnd"/>
      <w:r w:rsidRPr="00E64516">
        <w:rPr>
          <w:rFonts w:ascii="Times New Roman" w:eastAsia="Times New Roman" w:hAnsi="Times New Roman" w:cs="Times New Roman"/>
        </w:rPr>
        <w:t>, R. (Ed.). (2024). </w:t>
      </w:r>
      <w:r w:rsidRPr="00E64516">
        <w:rPr>
          <w:rFonts w:ascii="Times New Roman" w:eastAsia="Times New Roman" w:hAnsi="Times New Roman" w:cs="Times New Roman"/>
          <w:i/>
          <w:iCs/>
        </w:rPr>
        <w:t>Circular Economy for the Built Environment: Research and Practice</w:t>
      </w:r>
      <w:r w:rsidRPr="00E64516">
        <w:rPr>
          <w:rFonts w:ascii="Times New Roman" w:eastAsia="Times New Roman" w:hAnsi="Times New Roman" w:cs="Times New Roman"/>
        </w:rPr>
        <w:t xml:space="preserve">. </w:t>
      </w:r>
      <w:r w:rsidRPr="006E74E7">
        <w:rPr>
          <w:rFonts w:ascii="Times New Roman" w:eastAsia="Times New Roman" w:hAnsi="Times New Roman" w:cs="Times New Roman"/>
          <w:lang w:val="pt-PT"/>
        </w:rPr>
        <w:t>Taylor &amp; Francis.</w:t>
      </w:r>
    </w:p>
    <w:p w14:paraId="334570F4"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6E74E7">
        <w:rPr>
          <w:rFonts w:ascii="Times New Roman" w:eastAsia="Times New Roman" w:hAnsi="Times New Roman" w:cs="Times New Roman"/>
          <w:lang w:val="pt-PT"/>
        </w:rPr>
        <w:t xml:space="preserve">Chari, A., </w:t>
      </w:r>
      <w:proofErr w:type="spellStart"/>
      <w:r w:rsidRPr="006E74E7">
        <w:rPr>
          <w:rFonts w:ascii="Times New Roman" w:eastAsia="Times New Roman" w:hAnsi="Times New Roman" w:cs="Times New Roman"/>
          <w:lang w:val="pt-PT"/>
        </w:rPr>
        <w:t>Niedenzu</w:t>
      </w:r>
      <w:proofErr w:type="spellEnd"/>
      <w:r w:rsidRPr="006E74E7">
        <w:rPr>
          <w:rFonts w:ascii="Times New Roman" w:eastAsia="Times New Roman" w:hAnsi="Times New Roman" w:cs="Times New Roman"/>
          <w:lang w:val="pt-PT"/>
        </w:rPr>
        <w:t xml:space="preserve">, D., </w:t>
      </w:r>
      <w:proofErr w:type="spellStart"/>
      <w:r w:rsidRPr="006E74E7">
        <w:rPr>
          <w:rFonts w:ascii="Times New Roman" w:eastAsia="Times New Roman" w:hAnsi="Times New Roman" w:cs="Times New Roman"/>
          <w:lang w:val="pt-PT"/>
        </w:rPr>
        <w:t>Despeisse</w:t>
      </w:r>
      <w:proofErr w:type="spellEnd"/>
      <w:r w:rsidRPr="006E74E7">
        <w:rPr>
          <w:rFonts w:ascii="Times New Roman" w:eastAsia="Times New Roman" w:hAnsi="Times New Roman" w:cs="Times New Roman"/>
          <w:lang w:val="pt-PT"/>
        </w:rPr>
        <w:t xml:space="preserve">, M., Machado, C. G., Azevedo, J. D., Boavida‐Dias, R., &amp; </w:t>
      </w:r>
      <w:proofErr w:type="spellStart"/>
      <w:r w:rsidRPr="006E74E7">
        <w:rPr>
          <w:rFonts w:ascii="Times New Roman" w:eastAsia="Times New Roman" w:hAnsi="Times New Roman" w:cs="Times New Roman"/>
          <w:lang w:val="pt-PT"/>
        </w:rPr>
        <w:t>Johansson</w:t>
      </w:r>
      <w:proofErr w:type="spellEnd"/>
      <w:r w:rsidRPr="006E74E7">
        <w:rPr>
          <w:rFonts w:ascii="Times New Roman" w:eastAsia="Times New Roman" w:hAnsi="Times New Roman" w:cs="Times New Roman"/>
          <w:lang w:val="pt-PT"/>
        </w:rPr>
        <w:t xml:space="preserve">, B. (2022). </w:t>
      </w:r>
      <w:r w:rsidRPr="00E64516">
        <w:rPr>
          <w:rFonts w:ascii="Times New Roman" w:eastAsia="Times New Roman" w:hAnsi="Times New Roman" w:cs="Times New Roman"/>
        </w:rPr>
        <w:t>Dynamic capabilities for circular manufacturing supply chains—Exploring the role of Industry 4.0 and resilience. </w:t>
      </w:r>
      <w:r w:rsidRPr="00E64516">
        <w:rPr>
          <w:rFonts w:ascii="Times New Roman" w:eastAsia="Times New Roman" w:hAnsi="Times New Roman" w:cs="Times New Roman"/>
          <w:i/>
          <w:iCs/>
        </w:rPr>
        <w:t>Business Strategy and the Environment</w:t>
      </w:r>
      <w:r w:rsidRPr="00E64516">
        <w:rPr>
          <w:rFonts w:ascii="Times New Roman" w:eastAsia="Times New Roman" w:hAnsi="Times New Roman" w:cs="Times New Roman"/>
        </w:rPr>
        <w:t>, </w:t>
      </w:r>
      <w:r w:rsidRPr="00E64516">
        <w:rPr>
          <w:rFonts w:ascii="Times New Roman" w:eastAsia="Times New Roman" w:hAnsi="Times New Roman" w:cs="Times New Roman"/>
          <w:i/>
          <w:iCs/>
        </w:rPr>
        <w:t>31</w:t>
      </w:r>
      <w:r w:rsidRPr="00E64516">
        <w:rPr>
          <w:rFonts w:ascii="Times New Roman" w:eastAsia="Times New Roman" w:hAnsi="Times New Roman" w:cs="Times New Roman"/>
        </w:rPr>
        <w:t>(5), 2500-2517.</w:t>
      </w:r>
    </w:p>
    <w:p w14:paraId="0A0B0235"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lastRenderedPageBreak/>
        <w:t>Chen, Q., Feng, H., &amp; de Soto, B. G. (2022). Revamping construction supply chain processes with circular economy strategies: A systematic literature review. </w:t>
      </w:r>
      <w:r w:rsidRPr="00E64516">
        <w:rPr>
          <w:rFonts w:ascii="Times New Roman" w:eastAsia="Times New Roman" w:hAnsi="Times New Roman" w:cs="Times New Roman"/>
          <w:i/>
          <w:iCs/>
        </w:rPr>
        <w:t>Journal of cleaner production</w:t>
      </w:r>
      <w:r w:rsidRPr="00E64516">
        <w:rPr>
          <w:rFonts w:ascii="Times New Roman" w:eastAsia="Times New Roman" w:hAnsi="Times New Roman" w:cs="Times New Roman"/>
        </w:rPr>
        <w:t>, </w:t>
      </w:r>
      <w:r w:rsidRPr="00E64516">
        <w:rPr>
          <w:rFonts w:ascii="Times New Roman" w:eastAsia="Times New Roman" w:hAnsi="Times New Roman" w:cs="Times New Roman"/>
          <w:i/>
          <w:iCs/>
        </w:rPr>
        <w:t>335</w:t>
      </w:r>
      <w:r w:rsidRPr="00E64516">
        <w:rPr>
          <w:rFonts w:ascii="Times New Roman" w:eastAsia="Times New Roman" w:hAnsi="Times New Roman" w:cs="Times New Roman"/>
        </w:rPr>
        <w:t>, 130240.</w:t>
      </w:r>
    </w:p>
    <w:p w14:paraId="63605C41"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proofErr w:type="spellStart"/>
      <w:r w:rsidRPr="00E64516">
        <w:rPr>
          <w:rFonts w:ascii="Times New Roman" w:eastAsia="Times New Roman" w:hAnsi="Times New Roman" w:cs="Times New Roman"/>
          <w:bCs/>
        </w:rPr>
        <w:t>Cherrafi</w:t>
      </w:r>
      <w:proofErr w:type="spellEnd"/>
      <w:r w:rsidRPr="00E64516">
        <w:rPr>
          <w:rFonts w:ascii="Times New Roman" w:eastAsia="Times New Roman" w:hAnsi="Times New Roman" w:cs="Times New Roman"/>
          <w:bCs/>
        </w:rPr>
        <w:t xml:space="preserve">, A., </w:t>
      </w:r>
      <w:proofErr w:type="spellStart"/>
      <w:r w:rsidRPr="00E64516">
        <w:rPr>
          <w:rFonts w:ascii="Times New Roman" w:eastAsia="Times New Roman" w:hAnsi="Times New Roman" w:cs="Times New Roman"/>
          <w:bCs/>
        </w:rPr>
        <w:t>Chiarini</w:t>
      </w:r>
      <w:proofErr w:type="spellEnd"/>
      <w:r w:rsidRPr="00E64516">
        <w:rPr>
          <w:rFonts w:ascii="Times New Roman" w:eastAsia="Times New Roman" w:hAnsi="Times New Roman" w:cs="Times New Roman"/>
          <w:bCs/>
        </w:rPr>
        <w:t xml:space="preserve">, A., </w:t>
      </w:r>
      <w:proofErr w:type="spellStart"/>
      <w:r w:rsidRPr="00E64516">
        <w:rPr>
          <w:rFonts w:ascii="Times New Roman" w:eastAsia="Times New Roman" w:hAnsi="Times New Roman" w:cs="Times New Roman"/>
          <w:bCs/>
        </w:rPr>
        <w:t>Belhadi</w:t>
      </w:r>
      <w:proofErr w:type="spellEnd"/>
      <w:r w:rsidRPr="00E64516">
        <w:rPr>
          <w:rFonts w:ascii="Times New Roman" w:eastAsia="Times New Roman" w:hAnsi="Times New Roman" w:cs="Times New Roman"/>
          <w:bCs/>
        </w:rPr>
        <w:t xml:space="preserve">, A., El Baz, J., &amp; </w:t>
      </w:r>
      <w:proofErr w:type="spellStart"/>
      <w:r w:rsidRPr="00E64516">
        <w:rPr>
          <w:rFonts w:ascii="Times New Roman" w:eastAsia="Times New Roman" w:hAnsi="Times New Roman" w:cs="Times New Roman"/>
          <w:bCs/>
        </w:rPr>
        <w:t>Benabdellah</w:t>
      </w:r>
      <w:proofErr w:type="spellEnd"/>
      <w:r w:rsidRPr="00E64516">
        <w:rPr>
          <w:rFonts w:ascii="Times New Roman" w:eastAsia="Times New Roman" w:hAnsi="Times New Roman" w:cs="Times New Roman"/>
          <w:bCs/>
        </w:rPr>
        <w:t>, A. C. (2022). Digital technologies and circular economy practices: vital enablers to support sustainable and resilient supply chain management in the post-COVID-19 era. </w:t>
      </w:r>
      <w:r w:rsidRPr="00E64516">
        <w:rPr>
          <w:rFonts w:ascii="Times New Roman" w:eastAsia="Times New Roman" w:hAnsi="Times New Roman" w:cs="Times New Roman"/>
          <w:bCs/>
          <w:i/>
          <w:iCs/>
        </w:rPr>
        <w:t>The TQM Journal</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34</w:t>
      </w:r>
      <w:r w:rsidRPr="00E64516">
        <w:rPr>
          <w:rFonts w:ascii="Times New Roman" w:eastAsia="Times New Roman" w:hAnsi="Times New Roman" w:cs="Times New Roman"/>
          <w:bCs/>
        </w:rPr>
        <w:t>(7), 179-202.</w:t>
      </w:r>
    </w:p>
    <w:p w14:paraId="02C021E1"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proofErr w:type="spellStart"/>
      <w:r w:rsidRPr="00E64516">
        <w:rPr>
          <w:rFonts w:ascii="Times New Roman" w:eastAsia="Times New Roman" w:hAnsi="Times New Roman" w:cs="Times New Roman"/>
          <w:bCs/>
        </w:rPr>
        <w:t>Chhimwal</w:t>
      </w:r>
      <w:proofErr w:type="spellEnd"/>
      <w:r w:rsidRPr="00E64516">
        <w:rPr>
          <w:rFonts w:ascii="Times New Roman" w:eastAsia="Times New Roman" w:hAnsi="Times New Roman" w:cs="Times New Roman"/>
          <w:bCs/>
        </w:rPr>
        <w:t>, M., Agrawal, S., &amp; Kumar, G. (2021). Measuring circular supply chain risk: a Bayesian network methodology. </w:t>
      </w:r>
      <w:r w:rsidRPr="00E64516">
        <w:rPr>
          <w:rFonts w:ascii="Times New Roman" w:eastAsia="Times New Roman" w:hAnsi="Times New Roman" w:cs="Times New Roman"/>
          <w:bCs/>
          <w:i/>
          <w:iCs/>
        </w:rPr>
        <w:t>Sustainability</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13</w:t>
      </w:r>
      <w:r w:rsidRPr="00E64516">
        <w:rPr>
          <w:rFonts w:ascii="Times New Roman" w:eastAsia="Times New Roman" w:hAnsi="Times New Roman" w:cs="Times New Roman"/>
          <w:bCs/>
        </w:rPr>
        <w:t>(15), 8448.</w:t>
      </w:r>
    </w:p>
    <w:p w14:paraId="1FE0564F" w14:textId="77777777" w:rsidR="00E60C54" w:rsidRDefault="00E60C54" w:rsidP="00E60C54">
      <w:pPr>
        <w:spacing w:before="100" w:beforeAutospacing="1" w:after="100" w:afterAutospacing="1" w:line="480" w:lineRule="auto"/>
        <w:ind w:left="720" w:hanging="720"/>
        <w:rPr>
          <w:rFonts w:ascii="Times New Roman" w:eastAsia="Times New Roman" w:hAnsi="Times New Roman" w:cs="Times New Roman"/>
          <w:lang w:val="it-IT"/>
        </w:rPr>
      </w:pPr>
      <w:r w:rsidRPr="00E64516">
        <w:rPr>
          <w:rFonts w:ascii="Times New Roman" w:eastAsia="Times New Roman" w:hAnsi="Times New Roman" w:cs="Times New Roman"/>
        </w:rPr>
        <w:t>Chopra, S., &amp; Sodhi, M. (2014). Reducing the risk of supply chain disruptions. </w:t>
      </w:r>
      <w:r w:rsidRPr="006E74E7">
        <w:rPr>
          <w:rFonts w:ascii="Times New Roman" w:eastAsia="Times New Roman" w:hAnsi="Times New Roman" w:cs="Times New Roman"/>
          <w:i/>
          <w:iCs/>
          <w:lang w:val="it-IT"/>
        </w:rPr>
        <w:t xml:space="preserve">MIT </w:t>
      </w:r>
      <w:proofErr w:type="spellStart"/>
      <w:r w:rsidRPr="006E74E7">
        <w:rPr>
          <w:rFonts w:ascii="Times New Roman" w:eastAsia="Times New Roman" w:hAnsi="Times New Roman" w:cs="Times New Roman"/>
          <w:i/>
          <w:iCs/>
          <w:lang w:val="it-IT"/>
        </w:rPr>
        <w:t>Sloan</w:t>
      </w:r>
      <w:proofErr w:type="spellEnd"/>
      <w:r w:rsidRPr="006E74E7">
        <w:rPr>
          <w:rFonts w:ascii="Times New Roman" w:eastAsia="Times New Roman" w:hAnsi="Times New Roman" w:cs="Times New Roman"/>
          <w:i/>
          <w:iCs/>
          <w:lang w:val="it-IT"/>
        </w:rPr>
        <w:t xml:space="preserve"> management </w:t>
      </w:r>
      <w:proofErr w:type="spellStart"/>
      <w:r w:rsidRPr="006E74E7">
        <w:rPr>
          <w:rFonts w:ascii="Times New Roman" w:eastAsia="Times New Roman" w:hAnsi="Times New Roman" w:cs="Times New Roman"/>
          <w:i/>
          <w:iCs/>
          <w:lang w:val="it-IT"/>
        </w:rPr>
        <w:t>review</w:t>
      </w:r>
      <w:proofErr w:type="spellEnd"/>
      <w:r w:rsidRPr="006E74E7">
        <w:rPr>
          <w:rFonts w:ascii="Times New Roman" w:eastAsia="Times New Roman" w:hAnsi="Times New Roman" w:cs="Times New Roman"/>
          <w:lang w:val="it-IT"/>
        </w:rPr>
        <w:t>, </w:t>
      </w:r>
      <w:r w:rsidRPr="006E74E7">
        <w:rPr>
          <w:rFonts w:ascii="Times New Roman" w:eastAsia="Times New Roman" w:hAnsi="Times New Roman" w:cs="Times New Roman"/>
          <w:i/>
          <w:iCs/>
          <w:lang w:val="it-IT"/>
        </w:rPr>
        <w:t>55</w:t>
      </w:r>
      <w:r w:rsidRPr="006E74E7">
        <w:rPr>
          <w:rFonts w:ascii="Times New Roman" w:eastAsia="Times New Roman" w:hAnsi="Times New Roman" w:cs="Times New Roman"/>
          <w:lang w:val="it-IT"/>
        </w:rPr>
        <w:t>(3), 73-80.</w:t>
      </w:r>
    </w:p>
    <w:p w14:paraId="7C5BD68F" w14:textId="77777777" w:rsidR="00E60C54" w:rsidRPr="006E74E7" w:rsidRDefault="00E60C54" w:rsidP="00E60C54">
      <w:pPr>
        <w:spacing w:before="100" w:beforeAutospacing="1" w:after="100" w:afterAutospacing="1" w:line="480" w:lineRule="auto"/>
        <w:ind w:left="720" w:hanging="720"/>
        <w:rPr>
          <w:rFonts w:ascii="Times New Roman" w:eastAsia="Times New Roman" w:hAnsi="Times New Roman" w:cs="Times New Roman"/>
          <w:lang w:val="it-IT"/>
        </w:rPr>
      </w:pPr>
      <w:proofErr w:type="spellStart"/>
      <w:r w:rsidRPr="00761314">
        <w:rPr>
          <w:rFonts w:ascii="Times New Roman" w:eastAsia="Times New Roman" w:hAnsi="Times New Roman" w:cs="Times New Roman"/>
        </w:rPr>
        <w:t>Coatsworth-Puspoky</w:t>
      </w:r>
      <w:proofErr w:type="spellEnd"/>
      <w:r w:rsidRPr="00761314">
        <w:rPr>
          <w:rFonts w:ascii="Times New Roman" w:eastAsia="Times New Roman" w:hAnsi="Times New Roman" w:cs="Times New Roman"/>
        </w:rPr>
        <w:t xml:space="preserve">, R., </w:t>
      </w:r>
      <w:proofErr w:type="spellStart"/>
      <w:r w:rsidRPr="00761314">
        <w:rPr>
          <w:rFonts w:ascii="Times New Roman" w:eastAsia="Times New Roman" w:hAnsi="Times New Roman" w:cs="Times New Roman"/>
        </w:rPr>
        <w:t>Duggleby</w:t>
      </w:r>
      <w:proofErr w:type="spellEnd"/>
      <w:r w:rsidRPr="00761314">
        <w:rPr>
          <w:rFonts w:ascii="Times New Roman" w:eastAsia="Times New Roman" w:hAnsi="Times New Roman" w:cs="Times New Roman"/>
        </w:rPr>
        <w:t>, W., Dahlke, S., &amp; Hunter, K. F. (2025). Prioritizing qualitative meta-synthesis findings in a mixed methods systematic review study: A description of the method. </w:t>
      </w:r>
      <w:r w:rsidRPr="00761314">
        <w:rPr>
          <w:rFonts w:ascii="Times New Roman" w:eastAsia="Times New Roman" w:hAnsi="Times New Roman" w:cs="Times New Roman"/>
          <w:i/>
          <w:iCs/>
        </w:rPr>
        <w:t>Research Synthesis Methods</w:t>
      </w:r>
      <w:r w:rsidRPr="00761314">
        <w:rPr>
          <w:rFonts w:ascii="Times New Roman" w:eastAsia="Times New Roman" w:hAnsi="Times New Roman" w:cs="Times New Roman"/>
        </w:rPr>
        <w:t>, </w:t>
      </w:r>
      <w:r w:rsidRPr="00761314">
        <w:rPr>
          <w:rFonts w:ascii="Times New Roman" w:eastAsia="Times New Roman" w:hAnsi="Times New Roman" w:cs="Times New Roman"/>
          <w:i/>
          <w:iCs/>
        </w:rPr>
        <w:t>16</w:t>
      </w:r>
      <w:r w:rsidRPr="00761314">
        <w:rPr>
          <w:rFonts w:ascii="Times New Roman" w:eastAsia="Times New Roman" w:hAnsi="Times New Roman" w:cs="Times New Roman"/>
        </w:rPr>
        <w:t>(1), 123-138.</w:t>
      </w:r>
    </w:p>
    <w:p w14:paraId="6A433631"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6E74E7">
        <w:rPr>
          <w:rFonts w:ascii="Times New Roman" w:eastAsia="Times New Roman" w:hAnsi="Times New Roman" w:cs="Times New Roman"/>
          <w:bCs/>
          <w:lang w:val="it-IT"/>
        </w:rPr>
        <w:t xml:space="preserve">Di Stefano, C., Elia, S., Garrone, P., &amp; Piscitello, L. (2023). </w:t>
      </w:r>
      <w:r w:rsidRPr="00E64516">
        <w:rPr>
          <w:rFonts w:ascii="Times New Roman" w:eastAsia="Times New Roman" w:hAnsi="Times New Roman" w:cs="Times New Roman"/>
          <w:bCs/>
        </w:rPr>
        <w:t>The Circular Economy as a new production paradigm to enhance resilience of MNEs and the economic system. </w:t>
      </w:r>
      <w:r w:rsidRPr="00E64516">
        <w:rPr>
          <w:rFonts w:ascii="Times New Roman" w:eastAsia="Times New Roman" w:hAnsi="Times New Roman" w:cs="Times New Roman"/>
          <w:bCs/>
          <w:i/>
          <w:iCs/>
        </w:rPr>
        <w:t>AIB Insights</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23</w:t>
      </w:r>
      <w:r w:rsidRPr="00E64516">
        <w:rPr>
          <w:rFonts w:ascii="Times New Roman" w:eastAsia="Times New Roman" w:hAnsi="Times New Roman" w:cs="Times New Roman"/>
          <w:bCs/>
        </w:rPr>
        <w:t>(3), 1-7.</w:t>
      </w:r>
    </w:p>
    <w:p w14:paraId="2F82D496"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lastRenderedPageBreak/>
        <w:t xml:space="preserve">Diaz, E. M., </w:t>
      </w:r>
      <w:proofErr w:type="spellStart"/>
      <w:r w:rsidRPr="00E64516">
        <w:rPr>
          <w:rFonts w:ascii="Times New Roman" w:eastAsia="Times New Roman" w:hAnsi="Times New Roman" w:cs="Times New Roman"/>
        </w:rPr>
        <w:t>Cunado</w:t>
      </w:r>
      <w:proofErr w:type="spellEnd"/>
      <w:r w:rsidRPr="00E64516">
        <w:rPr>
          <w:rFonts w:ascii="Times New Roman" w:eastAsia="Times New Roman" w:hAnsi="Times New Roman" w:cs="Times New Roman"/>
        </w:rPr>
        <w:t xml:space="preserve">, J., &amp; de </w:t>
      </w:r>
      <w:proofErr w:type="spellStart"/>
      <w:r w:rsidRPr="00E64516">
        <w:rPr>
          <w:rFonts w:ascii="Times New Roman" w:eastAsia="Times New Roman" w:hAnsi="Times New Roman" w:cs="Times New Roman"/>
        </w:rPr>
        <w:t>Gracia</w:t>
      </w:r>
      <w:proofErr w:type="spellEnd"/>
      <w:r w:rsidRPr="00E64516">
        <w:rPr>
          <w:rFonts w:ascii="Times New Roman" w:eastAsia="Times New Roman" w:hAnsi="Times New Roman" w:cs="Times New Roman"/>
        </w:rPr>
        <w:t>, F. P. (2024). Global drivers of inflation: The role of supply chain disruptions and commodity price shocks. </w:t>
      </w:r>
      <w:r w:rsidRPr="00E64516">
        <w:rPr>
          <w:rFonts w:ascii="Times New Roman" w:eastAsia="Times New Roman" w:hAnsi="Times New Roman" w:cs="Times New Roman"/>
          <w:i/>
          <w:iCs/>
        </w:rPr>
        <w:t>Economic Modelling</w:t>
      </w:r>
      <w:r w:rsidRPr="00E64516">
        <w:rPr>
          <w:rFonts w:ascii="Times New Roman" w:eastAsia="Times New Roman" w:hAnsi="Times New Roman" w:cs="Times New Roman"/>
        </w:rPr>
        <w:t>, </w:t>
      </w:r>
      <w:r w:rsidRPr="00E64516">
        <w:rPr>
          <w:rFonts w:ascii="Times New Roman" w:eastAsia="Times New Roman" w:hAnsi="Times New Roman" w:cs="Times New Roman"/>
          <w:i/>
          <w:iCs/>
        </w:rPr>
        <w:t>140</w:t>
      </w:r>
      <w:r w:rsidRPr="00E64516">
        <w:rPr>
          <w:rFonts w:ascii="Times New Roman" w:eastAsia="Times New Roman" w:hAnsi="Times New Roman" w:cs="Times New Roman"/>
        </w:rPr>
        <w:t>, 106860.</w:t>
      </w:r>
      <w:r w:rsidRPr="00E64516">
        <w:rPr>
          <w:rFonts w:ascii="Times New Roman" w:eastAsia="Times New Roman" w:hAnsi="Times New Roman" w:cs="Times New Roman"/>
        </w:rPr>
        <w:br/>
      </w:r>
    </w:p>
    <w:p w14:paraId="49224FB7"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Dovgal</w:t>
      </w:r>
      <w:proofErr w:type="spellEnd"/>
      <w:r w:rsidRPr="00E64516">
        <w:rPr>
          <w:rFonts w:ascii="Times New Roman" w:eastAsia="Times New Roman" w:hAnsi="Times New Roman" w:cs="Times New Roman"/>
        </w:rPr>
        <w:t xml:space="preserve">, O., </w:t>
      </w:r>
      <w:proofErr w:type="spellStart"/>
      <w:r w:rsidRPr="00E64516">
        <w:rPr>
          <w:rFonts w:ascii="Times New Roman" w:eastAsia="Times New Roman" w:hAnsi="Times New Roman" w:cs="Times New Roman"/>
        </w:rPr>
        <w:t>Potryvaieva</w:t>
      </w:r>
      <w:proofErr w:type="spellEnd"/>
      <w:r w:rsidRPr="00E64516">
        <w:rPr>
          <w:rFonts w:ascii="Times New Roman" w:eastAsia="Times New Roman" w:hAnsi="Times New Roman" w:cs="Times New Roman"/>
        </w:rPr>
        <w:t xml:space="preserve">, N., </w:t>
      </w:r>
      <w:proofErr w:type="spellStart"/>
      <w:r w:rsidRPr="00E64516">
        <w:rPr>
          <w:rFonts w:ascii="Times New Roman" w:eastAsia="Times New Roman" w:hAnsi="Times New Roman" w:cs="Times New Roman"/>
        </w:rPr>
        <w:t>Bilichenko</w:t>
      </w:r>
      <w:proofErr w:type="spellEnd"/>
      <w:r w:rsidRPr="00E64516">
        <w:rPr>
          <w:rFonts w:ascii="Times New Roman" w:eastAsia="Times New Roman" w:hAnsi="Times New Roman" w:cs="Times New Roman"/>
        </w:rPr>
        <w:t xml:space="preserve">, O., &amp; </w:t>
      </w:r>
      <w:proofErr w:type="spellStart"/>
      <w:r w:rsidRPr="00E64516">
        <w:rPr>
          <w:rFonts w:ascii="Times New Roman" w:eastAsia="Times New Roman" w:hAnsi="Times New Roman" w:cs="Times New Roman"/>
        </w:rPr>
        <w:t>Kuzoma</w:t>
      </w:r>
      <w:proofErr w:type="spellEnd"/>
      <w:r w:rsidRPr="00E64516">
        <w:rPr>
          <w:rFonts w:ascii="Times New Roman" w:eastAsia="Times New Roman" w:hAnsi="Times New Roman" w:cs="Times New Roman"/>
        </w:rPr>
        <w:t>, V. (2024). Circular economy development in the context of war: Global challenges. </w:t>
      </w:r>
      <w:r w:rsidRPr="00E64516">
        <w:rPr>
          <w:rFonts w:ascii="Times New Roman" w:eastAsia="Times New Roman" w:hAnsi="Times New Roman" w:cs="Times New Roman"/>
          <w:i/>
          <w:iCs/>
        </w:rPr>
        <w:t>Interdisciplinary Journal of Applied Science</w:t>
      </w:r>
      <w:r w:rsidRPr="00E64516">
        <w:rPr>
          <w:rFonts w:ascii="Times New Roman" w:eastAsia="Times New Roman" w:hAnsi="Times New Roman" w:cs="Times New Roman"/>
        </w:rPr>
        <w:t>, </w:t>
      </w:r>
      <w:r w:rsidRPr="00E64516">
        <w:rPr>
          <w:rFonts w:ascii="Times New Roman" w:eastAsia="Times New Roman" w:hAnsi="Times New Roman" w:cs="Times New Roman"/>
          <w:i/>
          <w:iCs/>
        </w:rPr>
        <w:t>8</w:t>
      </w:r>
      <w:r w:rsidRPr="00E64516">
        <w:rPr>
          <w:rFonts w:ascii="Times New Roman" w:eastAsia="Times New Roman" w:hAnsi="Times New Roman" w:cs="Times New Roman"/>
        </w:rPr>
        <w:t>(13), 1-9.</w:t>
      </w:r>
    </w:p>
    <w:p w14:paraId="4458F56C"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iCs/>
        </w:rPr>
      </w:pPr>
      <w:r w:rsidRPr="00E64516">
        <w:rPr>
          <w:rFonts w:ascii="Times New Roman" w:eastAsia="Times New Roman" w:hAnsi="Times New Roman" w:cs="Times New Roman"/>
        </w:rPr>
        <w:t xml:space="preserve">Dura, B. S., Nadeem, S. P., Garza-Reyes, J. A., Alemu, A. E., Rostami </w:t>
      </w:r>
      <w:proofErr w:type="spellStart"/>
      <w:r w:rsidRPr="00E64516">
        <w:rPr>
          <w:rFonts w:ascii="Times New Roman" w:eastAsia="Times New Roman" w:hAnsi="Times New Roman" w:cs="Times New Roman"/>
        </w:rPr>
        <w:t>Tabar</w:t>
      </w:r>
      <w:proofErr w:type="spellEnd"/>
      <w:r w:rsidRPr="00E64516">
        <w:rPr>
          <w:rFonts w:ascii="Times New Roman" w:eastAsia="Times New Roman" w:hAnsi="Times New Roman" w:cs="Times New Roman"/>
        </w:rPr>
        <w:t xml:space="preserve">, B., Zapata, D. H., &amp; </w:t>
      </w:r>
      <w:proofErr w:type="spellStart"/>
      <w:r w:rsidRPr="00E64516">
        <w:rPr>
          <w:rFonts w:ascii="Times New Roman" w:eastAsia="Times New Roman" w:hAnsi="Times New Roman" w:cs="Times New Roman"/>
        </w:rPr>
        <w:t>Kreie</w:t>
      </w:r>
      <w:proofErr w:type="spellEnd"/>
      <w:r w:rsidRPr="00E64516">
        <w:rPr>
          <w:rFonts w:ascii="Times New Roman" w:eastAsia="Times New Roman" w:hAnsi="Times New Roman" w:cs="Times New Roman"/>
        </w:rPr>
        <w:t>, A. (2025). The role of technology in developing resilient supply chains: a systematic literature review during the COVID-19 pandemic and the disruptions of economic sanctions. </w:t>
      </w:r>
      <w:r w:rsidRPr="00E64516">
        <w:rPr>
          <w:rFonts w:ascii="Times New Roman" w:eastAsia="Times New Roman" w:hAnsi="Times New Roman" w:cs="Times New Roman"/>
          <w:i/>
          <w:iCs/>
        </w:rPr>
        <w:t>Journal of Humanitarian Logistics and Supply Chain Management, 1</w:t>
      </w:r>
      <w:r w:rsidRPr="00E64516">
        <w:rPr>
          <w:rFonts w:ascii="Times New Roman" w:eastAsia="Times New Roman" w:hAnsi="Times New Roman" w:cs="Times New Roman"/>
          <w:iCs/>
        </w:rPr>
        <w:t>(1), 1-10.</w:t>
      </w:r>
    </w:p>
    <w:p w14:paraId="23CC1730"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E64516">
        <w:rPr>
          <w:rFonts w:ascii="Times New Roman" w:eastAsia="Times New Roman" w:hAnsi="Times New Roman" w:cs="Times New Roman"/>
          <w:bCs/>
        </w:rPr>
        <w:t>Dwivedi, A., Chowdhury, P., Paul, S. K., &amp; Agrawal, D. (2023). Sustaining circular economy practices in supply chains during a global disruption. </w:t>
      </w:r>
      <w:r w:rsidRPr="00E64516">
        <w:rPr>
          <w:rFonts w:ascii="Times New Roman" w:eastAsia="Times New Roman" w:hAnsi="Times New Roman" w:cs="Times New Roman"/>
          <w:bCs/>
          <w:i/>
          <w:iCs/>
        </w:rPr>
        <w:t>The International Journal of Logistics Management</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34</w:t>
      </w:r>
      <w:r w:rsidRPr="00E64516">
        <w:rPr>
          <w:rFonts w:ascii="Times New Roman" w:eastAsia="Times New Roman" w:hAnsi="Times New Roman" w:cs="Times New Roman"/>
          <w:bCs/>
        </w:rPr>
        <w:t>(3), 644-673.</w:t>
      </w:r>
    </w:p>
    <w:p w14:paraId="67A255F1"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El Baz, J., Ruel, S., &amp; </w:t>
      </w:r>
      <w:proofErr w:type="spellStart"/>
      <w:r w:rsidRPr="00E64516">
        <w:rPr>
          <w:rFonts w:ascii="Times New Roman" w:eastAsia="Times New Roman" w:hAnsi="Times New Roman" w:cs="Times New Roman"/>
        </w:rPr>
        <w:t>Ardekani</w:t>
      </w:r>
      <w:proofErr w:type="spellEnd"/>
      <w:r w:rsidRPr="00E64516">
        <w:rPr>
          <w:rFonts w:ascii="Times New Roman" w:eastAsia="Times New Roman" w:hAnsi="Times New Roman" w:cs="Times New Roman"/>
        </w:rPr>
        <w:t>, Z. F. (2023). Predicting the effects of supply chain resilience and robustness on COVID-19 impacts and performance: Empirical investigation through resources orchestration perspective. </w:t>
      </w:r>
      <w:r w:rsidRPr="00E64516">
        <w:rPr>
          <w:rFonts w:ascii="Times New Roman" w:eastAsia="Times New Roman" w:hAnsi="Times New Roman" w:cs="Times New Roman"/>
          <w:i/>
          <w:iCs/>
        </w:rPr>
        <w:t>Journal of Business Research</w:t>
      </w:r>
      <w:r w:rsidRPr="00E64516">
        <w:rPr>
          <w:rFonts w:ascii="Times New Roman" w:eastAsia="Times New Roman" w:hAnsi="Times New Roman" w:cs="Times New Roman"/>
        </w:rPr>
        <w:t>, </w:t>
      </w:r>
      <w:r w:rsidRPr="00E64516">
        <w:rPr>
          <w:rFonts w:ascii="Times New Roman" w:eastAsia="Times New Roman" w:hAnsi="Times New Roman" w:cs="Times New Roman"/>
          <w:i/>
          <w:iCs/>
        </w:rPr>
        <w:t>164</w:t>
      </w:r>
      <w:r w:rsidRPr="00E64516">
        <w:rPr>
          <w:rFonts w:ascii="Times New Roman" w:eastAsia="Times New Roman" w:hAnsi="Times New Roman" w:cs="Times New Roman"/>
        </w:rPr>
        <w:t>, 114025.</w:t>
      </w:r>
    </w:p>
    <w:p w14:paraId="59C7DFA8"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lastRenderedPageBreak/>
        <w:t>Elghaish</w:t>
      </w:r>
      <w:proofErr w:type="spellEnd"/>
      <w:r w:rsidRPr="00E64516">
        <w:rPr>
          <w:rFonts w:ascii="Times New Roman" w:eastAsia="Times New Roman" w:hAnsi="Times New Roman" w:cs="Times New Roman"/>
        </w:rPr>
        <w:t xml:space="preserve">, F., Hosseini, M. R., </w:t>
      </w:r>
      <w:proofErr w:type="spellStart"/>
      <w:r w:rsidRPr="00E64516">
        <w:rPr>
          <w:rFonts w:ascii="Times New Roman" w:eastAsia="Times New Roman" w:hAnsi="Times New Roman" w:cs="Times New Roman"/>
        </w:rPr>
        <w:t>Kocaturk</w:t>
      </w:r>
      <w:proofErr w:type="spellEnd"/>
      <w:r w:rsidRPr="00E64516">
        <w:rPr>
          <w:rFonts w:ascii="Times New Roman" w:eastAsia="Times New Roman" w:hAnsi="Times New Roman" w:cs="Times New Roman"/>
        </w:rPr>
        <w:t xml:space="preserve">, T., </w:t>
      </w:r>
      <w:proofErr w:type="spellStart"/>
      <w:r w:rsidRPr="00E64516">
        <w:rPr>
          <w:rFonts w:ascii="Times New Roman" w:eastAsia="Times New Roman" w:hAnsi="Times New Roman" w:cs="Times New Roman"/>
        </w:rPr>
        <w:t>Arashpour</w:t>
      </w:r>
      <w:proofErr w:type="spellEnd"/>
      <w:r w:rsidRPr="00E64516">
        <w:rPr>
          <w:rFonts w:ascii="Times New Roman" w:eastAsia="Times New Roman" w:hAnsi="Times New Roman" w:cs="Times New Roman"/>
        </w:rPr>
        <w:t xml:space="preserve">, M., &amp; </w:t>
      </w:r>
      <w:proofErr w:type="spellStart"/>
      <w:r w:rsidRPr="00E64516">
        <w:rPr>
          <w:rFonts w:ascii="Times New Roman" w:eastAsia="Times New Roman" w:hAnsi="Times New Roman" w:cs="Times New Roman"/>
        </w:rPr>
        <w:t>Ledari</w:t>
      </w:r>
      <w:proofErr w:type="spellEnd"/>
      <w:r w:rsidRPr="00E64516">
        <w:rPr>
          <w:rFonts w:ascii="Times New Roman" w:eastAsia="Times New Roman" w:hAnsi="Times New Roman" w:cs="Times New Roman"/>
        </w:rPr>
        <w:t>, M. B. (2023). Digitalised circular construction supply chain: An integrated BIM-Blockchain solution. </w:t>
      </w:r>
      <w:r w:rsidRPr="00E64516">
        <w:rPr>
          <w:rFonts w:ascii="Times New Roman" w:eastAsia="Times New Roman" w:hAnsi="Times New Roman" w:cs="Times New Roman"/>
          <w:i/>
          <w:iCs/>
        </w:rPr>
        <w:t>Automation in Construction</w:t>
      </w:r>
      <w:r w:rsidRPr="00E64516">
        <w:rPr>
          <w:rFonts w:ascii="Times New Roman" w:eastAsia="Times New Roman" w:hAnsi="Times New Roman" w:cs="Times New Roman"/>
        </w:rPr>
        <w:t>, </w:t>
      </w:r>
      <w:r w:rsidRPr="00E64516">
        <w:rPr>
          <w:rFonts w:ascii="Times New Roman" w:eastAsia="Times New Roman" w:hAnsi="Times New Roman" w:cs="Times New Roman"/>
          <w:i/>
          <w:iCs/>
        </w:rPr>
        <w:t>148</w:t>
      </w:r>
      <w:r w:rsidRPr="00E64516">
        <w:rPr>
          <w:rFonts w:ascii="Times New Roman" w:eastAsia="Times New Roman" w:hAnsi="Times New Roman" w:cs="Times New Roman"/>
        </w:rPr>
        <w:t>, 104746.</w:t>
      </w:r>
    </w:p>
    <w:p w14:paraId="63DC1974"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Elsamadony</w:t>
      </w:r>
      <w:proofErr w:type="spellEnd"/>
      <w:r w:rsidRPr="00E64516">
        <w:rPr>
          <w:rFonts w:ascii="Times New Roman" w:eastAsia="Times New Roman" w:hAnsi="Times New Roman" w:cs="Times New Roman"/>
        </w:rPr>
        <w:t xml:space="preserve">, M., Pileggi, S. F., Liu, J., &amp; </w:t>
      </w:r>
      <w:proofErr w:type="spellStart"/>
      <w:r w:rsidRPr="00E64516">
        <w:rPr>
          <w:rFonts w:ascii="Times New Roman" w:eastAsia="Times New Roman" w:hAnsi="Times New Roman" w:cs="Times New Roman"/>
        </w:rPr>
        <w:t>Fujii</w:t>
      </w:r>
      <w:proofErr w:type="spellEnd"/>
      <w:r w:rsidRPr="00E64516">
        <w:rPr>
          <w:rFonts w:ascii="Times New Roman" w:eastAsia="Times New Roman" w:hAnsi="Times New Roman" w:cs="Times New Roman"/>
        </w:rPr>
        <w:t>, M. (2025). Crafting a Resilient and Sustainable Future amid Major Crises. </w:t>
      </w:r>
      <w:r w:rsidRPr="00E64516">
        <w:rPr>
          <w:rFonts w:ascii="Times New Roman" w:eastAsia="Times New Roman" w:hAnsi="Times New Roman" w:cs="Times New Roman"/>
          <w:i/>
          <w:iCs/>
        </w:rPr>
        <w:t>Journal of Cleaner Production</w:t>
      </w:r>
      <w:r w:rsidRPr="00E64516">
        <w:rPr>
          <w:rFonts w:ascii="Times New Roman" w:eastAsia="Times New Roman" w:hAnsi="Times New Roman" w:cs="Times New Roman"/>
        </w:rPr>
        <w:t>, 145583.</w:t>
      </w:r>
    </w:p>
    <w:p w14:paraId="0DC966CA"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proofErr w:type="spellStart"/>
      <w:r w:rsidRPr="00E64516">
        <w:rPr>
          <w:rFonts w:ascii="Times New Roman" w:eastAsia="Times New Roman" w:hAnsi="Times New Roman" w:cs="Times New Roman"/>
          <w:bCs/>
        </w:rPr>
        <w:t>Elshaer</w:t>
      </w:r>
      <w:proofErr w:type="spellEnd"/>
      <w:r w:rsidRPr="00E64516">
        <w:rPr>
          <w:rFonts w:ascii="Times New Roman" w:eastAsia="Times New Roman" w:hAnsi="Times New Roman" w:cs="Times New Roman"/>
          <w:bCs/>
        </w:rPr>
        <w:t xml:space="preserve">, I. A., </w:t>
      </w:r>
      <w:proofErr w:type="spellStart"/>
      <w:r w:rsidRPr="00E64516">
        <w:rPr>
          <w:rFonts w:ascii="Times New Roman" w:eastAsia="Times New Roman" w:hAnsi="Times New Roman" w:cs="Times New Roman"/>
          <w:bCs/>
        </w:rPr>
        <w:t>Azazz</w:t>
      </w:r>
      <w:proofErr w:type="spellEnd"/>
      <w:r w:rsidRPr="00E64516">
        <w:rPr>
          <w:rFonts w:ascii="Times New Roman" w:eastAsia="Times New Roman" w:hAnsi="Times New Roman" w:cs="Times New Roman"/>
          <w:bCs/>
        </w:rPr>
        <w:t xml:space="preserve">, A. M., </w:t>
      </w:r>
      <w:proofErr w:type="spellStart"/>
      <w:r w:rsidRPr="00E64516">
        <w:rPr>
          <w:rFonts w:ascii="Times New Roman" w:eastAsia="Times New Roman" w:hAnsi="Times New Roman" w:cs="Times New Roman"/>
          <w:bCs/>
        </w:rPr>
        <w:t>Kooli</w:t>
      </w:r>
      <w:proofErr w:type="spellEnd"/>
      <w:r w:rsidRPr="00E64516">
        <w:rPr>
          <w:rFonts w:ascii="Times New Roman" w:eastAsia="Times New Roman" w:hAnsi="Times New Roman" w:cs="Times New Roman"/>
          <w:bCs/>
        </w:rPr>
        <w:t xml:space="preserve">, C., </w:t>
      </w:r>
      <w:proofErr w:type="spellStart"/>
      <w:r w:rsidRPr="00E64516">
        <w:rPr>
          <w:rFonts w:ascii="Times New Roman" w:eastAsia="Times New Roman" w:hAnsi="Times New Roman" w:cs="Times New Roman"/>
          <w:bCs/>
        </w:rPr>
        <w:t>Alqasa</w:t>
      </w:r>
      <w:proofErr w:type="spellEnd"/>
      <w:r w:rsidRPr="00E64516">
        <w:rPr>
          <w:rFonts w:ascii="Times New Roman" w:eastAsia="Times New Roman" w:hAnsi="Times New Roman" w:cs="Times New Roman"/>
          <w:bCs/>
        </w:rPr>
        <w:t xml:space="preserve">, K. M., </w:t>
      </w:r>
      <w:proofErr w:type="spellStart"/>
      <w:r w:rsidRPr="00E64516">
        <w:rPr>
          <w:rFonts w:ascii="Times New Roman" w:eastAsia="Times New Roman" w:hAnsi="Times New Roman" w:cs="Times New Roman"/>
          <w:bCs/>
        </w:rPr>
        <w:t>Afaneh</w:t>
      </w:r>
      <w:proofErr w:type="spellEnd"/>
      <w:r w:rsidRPr="00E64516">
        <w:rPr>
          <w:rFonts w:ascii="Times New Roman" w:eastAsia="Times New Roman" w:hAnsi="Times New Roman" w:cs="Times New Roman"/>
          <w:bCs/>
        </w:rPr>
        <w:t>, J., Fathy, E. A., ... &amp; Fayyad, S. (2024). Resilience for sustainability: the synergistic role of green human resources management, circular economy, and green organizational culture in the hotel industry. Administrative Sciences, 14(11), 297.</w:t>
      </w:r>
    </w:p>
    <w:p w14:paraId="0278F93A"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proofErr w:type="spellStart"/>
      <w:r w:rsidRPr="00E64516">
        <w:rPr>
          <w:rFonts w:ascii="Times New Roman" w:eastAsia="Times New Roman" w:hAnsi="Times New Roman" w:cs="Times New Roman"/>
          <w:bCs/>
        </w:rPr>
        <w:t>Gaustad</w:t>
      </w:r>
      <w:proofErr w:type="spellEnd"/>
      <w:r w:rsidRPr="00E64516">
        <w:rPr>
          <w:rFonts w:ascii="Times New Roman" w:eastAsia="Times New Roman" w:hAnsi="Times New Roman" w:cs="Times New Roman"/>
          <w:bCs/>
        </w:rPr>
        <w:t xml:space="preserve">, G., </w:t>
      </w:r>
      <w:proofErr w:type="spellStart"/>
      <w:r w:rsidRPr="00E64516">
        <w:rPr>
          <w:rFonts w:ascii="Times New Roman" w:eastAsia="Times New Roman" w:hAnsi="Times New Roman" w:cs="Times New Roman"/>
          <w:bCs/>
        </w:rPr>
        <w:t>Krystofik</w:t>
      </w:r>
      <w:proofErr w:type="spellEnd"/>
      <w:r w:rsidRPr="00E64516">
        <w:rPr>
          <w:rFonts w:ascii="Times New Roman" w:eastAsia="Times New Roman" w:hAnsi="Times New Roman" w:cs="Times New Roman"/>
          <w:bCs/>
        </w:rPr>
        <w:t>, M., Bustamante, M., &amp; Badami, K. (2018). Circular economy strategies for mitigating critical material supply issues. </w:t>
      </w:r>
      <w:r w:rsidRPr="00E64516">
        <w:rPr>
          <w:rFonts w:ascii="Times New Roman" w:eastAsia="Times New Roman" w:hAnsi="Times New Roman" w:cs="Times New Roman"/>
          <w:bCs/>
          <w:i/>
          <w:iCs/>
        </w:rPr>
        <w:t>Resources, Conservation and Recycling</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135</w:t>
      </w:r>
      <w:r w:rsidRPr="00E64516">
        <w:rPr>
          <w:rFonts w:ascii="Times New Roman" w:eastAsia="Times New Roman" w:hAnsi="Times New Roman" w:cs="Times New Roman"/>
          <w:bCs/>
        </w:rPr>
        <w:t>, 24-33.</w:t>
      </w:r>
    </w:p>
    <w:p w14:paraId="75FDCF21"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Giudice, F., </w:t>
      </w:r>
      <w:proofErr w:type="spellStart"/>
      <w:r w:rsidRPr="00E64516">
        <w:rPr>
          <w:rFonts w:ascii="Times New Roman" w:eastAsia="Times New Roman" w:hAnsi="Times New Roman" w:cs="Times New Roman"/>
        </w:rPr>
        <w:t>Caferra</w:t>
      </w:r>
      <w:proofErr w:type="spellEnd"/>
      <w:r w:rsidRPr="00E64516">
        <w:rPr>
          <w:rFonts w:ascii="Times New Roman" w:eastAsia="Times New Roman" w:hAnsi="Times New Roman" w:cs="Times New Roman"/>
        </w:rPr>
        <w:t xml:space="preserve">, R., &amp; </w:t>
      </w:r>
      <w:proofErr w:type="spellStart"/>
      <w:r w:rsidRPr="00E64516">
        <w:rPr>
          <w:rFonts w:ascii="Times New Roman" w:eastAsia="Times New Roman" w:hAnsi="Times New Roman" w:cs="Times New Roman"/>
        </w:rPr>
        <w:t>Morone</w:t>
      </w:r>
      <w:proofErr w:type="spellEnd"/>
      <w:r w:rsidRPr="00E64516">
        <w:rPr>
          <w:rFonts w:ascii="Times New Roman" w:eastAsia="Times New Roman" w:hAnsi="Times New Roman" w:cs="Times New Roman"/>
        </w:rPr>
        <w:t>, P. (2020). COVID-19, the food system and the circular economy: Challenges and opportunities. </w:t>
      </w:r>
      <w:r w:rsidRPr="00E64516">
        <w:rPr>
          <w:rFonts w:ascii="Times New Roman" w:eastAsia="Times New Roman" w:hAnsi="Times New Roman" w:cs="Times New Roman"/>
          <w:i/>
          <w:iCs/>
        </w:rPr>
        <w:t>Sustainability</w:t>
      </w:r>
      <w:r w:rsidRPr="00E64516">
        <w:rPr>
          <w:rFonts w:ascii="Times New Roman" w:eastAsia="Times New Roman" w:hAnsi="Times New Roman" w:cs="Times New Roman"/>
        </w:rPr>
        <w:t>, </w:t>
      </w:r>
      <w:r w:rsidRPr="00E64516">
        <w:rPr>
          <w:rFonts w:ascii="Times New Roman" w:eastAsia="Times New Roman" w:hAnsi="Times New Roman" w:cs="Times New Roman"/>
          <w:i/>
          <w:iCs/>
        </w:rPr>
        <w:t>12</w:t>
      </w:r>
      <w:r w:rsidRPr="00E64516">
        <w:rPr>
          <w:rFonts w:ascii="Times New Roman" w:eastAsia="Times New Roman" w:hAnsi="Times New Roman" w:cs="Times New Roman"/>
        </w:rPr>
        <w:t>(19), 7939.</w:t>
      </w:r>
    </w:p>
    <w:p w14:paraId="25001383"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González-Sánchez, R., Alonso-Muñoz, S., &amp; </w:t>
      </w:r>
      <w:proofErr w:type="spellStart"/>
      <w:r w:rsidRPr="00E64516">
        <w:rPr>
          <w:rFonts w:ascii="Times New Roman" w:eastAsia="Times New Roman" w:hAnsi="Times New Roman" w:cs="Times New Roman"/>
        </w:rPr>
        <w:t>Kocollari</w:t>
      </w:r>
      <w:proofErr w:type="spellEnd"/>
      <w:r w:rsidRPr="00E64516">
        <w:rPr>
          <w:rFonts w:ascii="Times New Roman" w:eastAsia="Times New Roman" w:hAnsi="Times New Roman" w:cs="Times New Roman"/>
        </w:rPr>
        <w:t>, U. (2025). Exploring the supply chain’s transformation to achieve the sustainable development goals in the post-pandemic scenario: a review and a research agenda. </w:t>
      </w:r>
      <w:r w:rsidRPr="00E64516">
        <w:rPr>
          <w:rFonts w:ascii="Times New Roman" w:eastAsia="Times New Roman" w:hAnsi="Times New Roman" w:cs="Times New Roman"/>
          <w:i/>
          <w:iCs/>
        </w:rPr>
        <w:t>The International Journal of Logistics Management</w:t>
      </w:r>
      <w:r w:rsidRPr="00E64516">
        <w:rPr>
          <w:rFonts w:ascii="Times New Roman" w:eastAsia="Times New Roman" w:hAnsi="Times New Roman" w:cs="Times New Roman"/>
        </w:rPr>
        <w:t>, </w:t>
      </w:r>
      <w:r w:rsidRPr="00E64516">
        <w:rPr>
          <w:rFonts w:ascii="Times New Roman" w:eastAsia="Times New Roman" w:hAnsi="Times New Roman" w:cs="Times New Roman"/>
          <w:i/>
          <w:iCs/>
        </w:rPr>
        <w:t>36</w:t>
      </w:r>
      <w:r w:rsidRPr="00E64516">
        <w:rPr>
          <w:rFonts w:ascii="Times New Roman" w:eastAsia="Times New Roman" w:hAnsi="Times New Roman" w:cs="Times New Roman"/>
        </w:rPr>
        <w:t>(7), 137-177.</w:t>
      </w:r>
    </w:p>
    <w:p w14:paraId="0EF95000"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lastRenderedPageBreak/>
        <w:t>Grzybowska</w:t>
      </w:r>
      <w:proofErr w:type="spellEnd"/>
      <w:r w:rsidRPr="00E64516">
        <w:rPr>
          <w:rFonts w:ascii="Times New Roman" w:eastAsia="Times New Roman" w:hAnsi="Times New Roman" w:cs="Times New Roman"/>
        </w:rPr>
        <w:t xml:space="preserve">, K., &amp; </w:t>
      </w:r>
      <w:proofErr w:type="spellStart"/>
      <w:r w:rsidRPr="00E64516">
        <w:rPr>
          <w:rFonts w:ascii="Times New Roman" w:eastAsia="Times New Roman" w:hAnsi="Times New Roman" w:cs="Times New Roman"/>
        </w:rPr>
        <w:t>Stachowiak</w:t>
      </w:r>
      <w:proofErr w:type="spellEnd"/>
      <w:r w:rsidRPr="00E64516">
        <w:rPr>
          <w:rFonts w:ascii="Times New Roman" w:eastAsia="Times New Roman" w:hAnsi="Times New Roman" w:cs="Times New Roman"/>
        </w:rPr>
        <w:t>, A. (2022). Global changes and disruptions in supply chains—preliminary research to sustainable resilience of supply chains. </w:t>
      </w:r>
      <w:r w:rsidRPr="00E64516">
        <w:rPr>
          <w:rFonts w:ascii="Times New Roman" w:eastAsia="Times New Roman" w:hAnsi="Times New Roman" w:cs="Times New Roman"/>
          <w:i/>
          <w:iCs/>
        </w:rPr>
        <w:t>Energies</w:t>
      </w:r>
      <w:r w:rsidRPr="00E64516">
        <w:rPr>
          <w:rFonts w:ascii="Times New Roman" w:eastAsia="Times New Roman" w:hAnsi="Times New Roman" w:cs="Times New Roman"/>
        </w:rPr>
        <w:t>, </w:t>
      </w:r>
      <w:r w:rsidRPr="00E64516">
        <w:rPr>
          <w:rFonts w:ascii="Times New Roman" w:eastAsia="Times New Roman" w:hAnsi="Times New Roman" w:cs="Times New Roman"/>
          <w:i/>
          <w:iCs/>
        </w:rPr>
        <w:t>15</w:t>
      </w:r>
      <w:r w:rsidRPr="00E64516">
        <w:rPr>
          <w:rFonts w:ascii="Times New Roman" w:eastAsia="Times New Roman" w:hAnsi="Times New Roman" w:cs="Times New Roman"/>
        </w:rPr>
        <w:t>(13), 4579-4590.</w:t>
      </w:r>
    </w:p>
    <w:p w14:paraId="0D7EC773" w14:textId="77777777" w:rsidR="00E60C54"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Gurkov</w:t>
      </w:r>
      <w:proofErr w:type="spellEnd"/>
      <w:r w:rsidRPr="00E64516">
        <w:rPr>
          <w:rFonts w:ascii="Times New Roman" w:eastAsia="Times New Roman" w:hAnsi="Times New Roman" w:cs="Times New Roman"/>
        </w:rPr>
        <w:t xml:space="preserve">, I., </w:t>
      </w:r>
      <w:proofErr w:type="spellStart"/>
      <w:r w:rsidRPr="00E64516">
        <w:rPr>
          <w:rFonts w:ascii="Times New Roman" w:eastAsia="Times New Roman" w:hAnsi="Times New Roman" w:cs="Times New Roman"/>
        </w:rPr>
        <w:t>Dahms</w:t>
      </w:r>
      <w:proofErr w:type="spellEnd"/>
      <w:r w:rsidRPr="00E64516">
        <w:rPr>
          <w:rFonts w:ascii="Times New Roman" w:eastAsia="Times New Roman" w:hAnsi="Times New Roman" w:cs="Times New Roman"/>
        </w:rPr>
        <w:t xml:space="preserve">, S., &amp; </w:t>
      </w:r>
      <w:proofErr w:type="spellStart"/>
      <w:r w:rsidRPr="00E64516">
        <w:rPr>
          <w:rFonts w:ascii="Times New Roman" w:eastAsia="Times New Roman" w:hAnsi="Times New Roman" w:cs="Times New Roman"/>
        </w:rPr>
        <w:t>Shchetinin</w:t>
      </w:r>
      <w:proofErr w:type="spellEnd"/>
      <w:r w:rsidRPr="00E64516">
        <w:rPr>
          <w:rFonts w:ascii="Times New Roman" w:eastAsia="Times New Roman" w:hAnsi="Times New Roman" w:cs="Times New Roman"/>
        </w:rPr>
        <w:t>, I. (2023). Strategic tensions in multinational corporations during global disruptions. </w:t>
      </w:r>
      <w:r w:rsidRPr="00E64516">
        <w:rPr>
          <w:rFonts w:ascii="Times New Roman" w:eastAsia="Times New Roman" w:hAnsi="Times New Roman" w:cs="Times New Roman"/>
          <w:i/>
          <w:iCs/>
        </w:rPr>
        <w:t>Management Research Review</w:t>
      </w:r>
      <w:r w:rsidRPr="00E64516">
        <w:rPr>
          <w:rFonts w:ascii="Times New Roman" w:eastAsia="Times New Roman" w:hAnsi="Times New Roman" w:cs="Times New Roman"/>
        </w:rPr>
        <w:t>, </w:t>
      </w:r>
      <w:r w:rsidRPr="00E64516">
        <w:rPr>
          <w:rFonts w:ascii="Times New Roman" w:eastAsia="Times New Roman" w:hAnsi="Times New Roman" w:cs="Times New Roman"/>
          <w:i/>
          <w:iCs/>
        </w:rPr>
        <w:t>46</w:t>
      </w:r>
      <w:r>
        <w:rPr>
          <w:rFonts w:ascii="Times New Roman" w:eastAsia="Times New Roman" w:hAnsi="Times New Roman" w:cs="Times New Roman"/>
        </w:rPr>
        <w:t>(10), 1350-1363.</w:t>
      </w:r>
    </w:p>
    <w:p w14:paraId="53B64A23"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Bai, X., Fernández-</w:t>
      </w:r>
      <w:proofErr w:type="spellStart"/>
      <w:r w:rsidRPr="00E64516">
        <w:rPr>
          <w:rFonts w:ascii="Times New Roman" w:eastAsia="Times New Roman" w:hAnsi="Times New Roman" w:cs="Times New Roman"/>
        </w:rPr>
        <w:t>Villaverde</w:t>
      </w:r>
      <w:proofErr w:type="spellEnd"/>
      <w:r w:rsidRPr="00E64516">
        <w:rPr>
          <w:rFonts w:ascii="Times New Roman" w:eastAsia="Times New Roman" w:hAnsi="Times New Roman" w:cs="Times New Roman"/>
        </w:rPr>
        <w:t xml:space="preserve">, J., Li, Y., &amp; Zanetti, F. (2024). </w:t>
      </w:r>
      <w:r w:rsidRPr="00E64516">
        <w:rPr>
          <w:rFonts w:ascii="Times New Roman" w:eastAsia="Times New Roman" w:hAnsi="Times New Roman" w:cs="Times New Roman"/>
          <w:i/>
        </w:rPr>
        <w:t>The causal effects of global supply chain disruptions on macroeconomic outcomes: evidence and theory</w:t>
      </w:r>
      <w:r w:rsidRPr="00E64516">
        <w:rPr>
          <w:rFonts w:ascii="Times New Roman" w:eastAsia="Times New Roman" w:hAnsi="Times New Roman" w:cs="Times New Roman"/>
        </w:rPr>
        <w:t xml:space="preserve">. National Bureau of Economic Research. Available at: </w:t>
      </w:r>
      <w:hyperlink r:id="rId45" w:history="1">
        <w:r w:rsidRPr="00E64516">
          <w:rPr>
            <w:rStyle w:val="a3"/>
            <w:rFonts w:ascii="Times New Roman" w:eastAsia="Times New Roman" w:hAnsi="Times New Roman" w:cs="Times New Roman"/>
          </w:rPr>
          <w:t>https://www.nber.org/papers/w32098</w:t>
        </w:r>
      </w:hyperlink>
      <w:r>
        <w:rPr>
          <w:rFonts w:ascii="Times New Roman" w:eastAsia="Times New Roman" w:hAnsi="Times New Roman" w:cs="Times New Roman"/>
        </w:rPr>
        <w:t xml:space="preserve"> </w:t>
      </w:r>
    </w:p>
    <w:p w14:paraId="134705DF"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6E74E7">
        <w:rPr>
          <w:rFonts w:ascii="Times New Roman" w:eastAsia="Times New Roman" w:hAnsi="Times New Roman" w:cs="Times New Roman"/>
          <w:lang w:val="pl-PL"/>
        </w:rPr>
        <w:t xml:space="preserve">Herold, D. M., &amp; </w:t>
      </w:r>
      <w:proofErr w:type="spellStart"/>
      <w:r w:rsidRPr="006E74E7">
        <w:rPr>
          <w:rFonts w:ascii="Times New Roman" w:eastAsia="Times New Roman" w:hAnsi="Times New Roman" w:cs="Times New Roman"/>
          <w:lang w:val="pl-PL"/>
        </w:rPr>
        <w:t>Marzantowicz</w:t>
      </w:r>
      <w:proofErr w:type="spellEnd"/>
      <w:r w:rsidRPr="006E74E7">
        <w:rPr>
          <w:rFonts w:ascii="Times New Roman" w:eastAsia="Times New Roman" w:hAnsi="Times New Roman" w:cs="Times New Roman"/>
          <w:lang w:val="pl-PL"/>
        </w:rPr>
        <w:t xml:space="preserve">, Ł. (2023). </w:t>
      </w:r>
      <w:r w:rsidRPr="00E64516">
        <w:rPr>
          <w:rFonts w:ascii="Times New Roman" w:eastAsia="Times New Roman" w:hAnsi="Times New Roman" w:cs="Times New Roman"/>
        </w:rPr>
        <w:t>Supply chain responses to global disruptions and its ripple effects: an institutional complexity perspective. </w:t>
      </w:r>
      <w:r w:rsidRPr="00E64516">
        <w:rPr>
          <w:rFonts w:ascii="Times New Roman" w:eastAsia="Times New Roman" w:hAnsi="Times New Roman" w:cs="Times New Roman"/>
          <w:i/>
          <w:iCs/>
        </w:rPr>
        <w:t>Operations management research</w:t>
      </w:r>
      <w:r w:rsidRPr="00E64516">
        <w:rPr>
          <w:rFonts w:ascii="Times New Roman" w:eastAsia="Times New Roman" w:hAnsi="Times New Roman" w:cs="Times New Roman"/>
        </w:rPr>
        <w:t>, </w:t>
      </w:r>
      <w:r w:rsidRPr="00E64516">
        <w:rPr>
          <w:rFonts w:ascii="Times New Roman" w:eastAsia="Times New Roman" w:hAnsi="Times New Roman" w:cs="Times New Roman"/>
          <w:i/>
          <w:iCs/>
        </w:rPr>
        <w:t>16</w:t>
      </w:r>
      <w:r w:rsidRPr="00E64516">
        <w:rPr>
          <w:rFonts w:ascii="Times New Roman" w:eastAsia="Times New Roman" w:hAnsi="Times New Roman" w:cs="Times New Roman"/>
        </w:rPr>
        <w:t>(4), 2213-2224.</w:t>
      </w:r>
      <w:r w:rsidRPr="00E64516">
        <w:rPr>
          <w:rFonts w:ascii="Times New Roman" w:eastAsia="Times New Roman" w:hAnsi="Times New Roman" w:cs="Times New Roman"/>
        </w:rPr>
        <w:br/>
      </w:r>
    </w:p>
    <w:p w14:paraId="26B8F7BB"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Hou, E. J., Hsieh, Y. Y., Hsu, T. W., Huang, C. S., Lee, Y. C., Han, Y. S., &amp; Chu, H. T. (2022). Using the concept of circular economy to reduce the environmental impact of COVID-19 face mask waste. </w:t>
      </w:r>
      <w:r w:rsidRPr="00E64516">
        <w:rPr>
          <w:rFonts w:ascii="Times New Roman" w:eastAsia="Times New Roman" w:hAnsi="Times New Roman" w:cs="Times New Roman"/>
          <w:i/>
          <w:iCs/>
        </w:rPr>
        <w:t>Sustainable Materials and Technologies</w:t>
      </w:r>
      <w:r w:rsidRPr="00E64516">
        <w:rPr>
          <w:rFonts w:ascii="Times New Roman" w:eastAsia="Times New Roman" w:hAnsi="Times New Roman" w:cs="Times New Roman"/>
        </w:rPr>
        <w:t>, </w:t>
      </w:r>
      <w:r w:rsidRPr="00E64516">
        <w:rPr>
          <w:rFonts w:ascii="Times New Roman" w:eastAsia="Times New Roman" w:hAnsi="Times New Roman" w:cs="Times New Roman"/>
          <w:i/>
          <w:iCs/>
        </w:rPr>
        <w:t>33</w:t>
      </w:r>
      <w:r w:rsidRPr="00E64516">
        <w:rPr>
          <w:rFonts w:ascii="Times New Roman" w:eastAsia="Times New Roman" w:hAnsi="Times New Roman" w:cs="Times New Roman"/>
        </w:rPr>
        <w:t>, e00475.</w:t>
      </w:r>
    </w:p>
    <w:p w14:paraId="210491DC"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Ibn-Mohammed, T., Mustapha, K. B., Godsell, J., </w:t>
      </w:r>
      <w:proofErr w:type="spellStart"/>
      <w:r w:rsidRPr="00E64516">
        <w:rPr>
          <w:rFonts w:ascii="Times New Roman" w:eastAsia="Times New Roman" w:hAnsi="Times New Roman" w:cs="Times New Roman"/>
        </w:rPr>
        <w:t>Adamu</w:t>
      </w:r>
      <w:proofErr w:type="spellEnd"/>
      <w:r w:rsidRPr="00E64516">
        <w:rPr>
          <w:rFonts w:ascii="Times New Roman" w:eastAsia="Times New Roman" w:hAnsi="Times New Roman" w:cs="Times New Roman"/>
        </w:rPr>
        <w:t xml:space="preserve">, Z., Babatunde, K. A., </w:t>
      </w:r>
      <w:proofErr w:type="spellStart"/>
      <w:r w:rsidRPr="00E64516">
        <w:rPr>
          <w:rFonts w:ascii="Times New Roman" w:eastAsia="Times New Roman" w:hAnsi="Times New Roman" w:cs="Times New Roman"/>
        </w:rPr>
        <w:t>Akintade</w:t>
      </w:r>
      <w:proofErr w:type="spellEnd"/>
      <w:r w:rsidRPr="00E64516">
        <w:rPr>
          <w:rFonts w:ascii="Times New Roman" w:eastAsia="Times New Roman" w:hAnsi="Times New Roman" w:cs="Times New Roman"/>
        </w:rPr>
        <w:t xml:space="preserve">, D. D., ... &amp; Koh, S. C. L. (2021). A critical analysis of the impacts </w:t>
      </w:r>
      <w:r w:rsidRPr="00E64516">
        <w:rPr>
          <w:rFonts w:ascii="Times New Roman" w:eastAsia="Times New Roman" w:hAnsi="Times New Roman" w:cs="Times New Roman"/>
        </w:rPr>
        <w:lastRenderedPageBreak/>
        <w:t>of COVID-19 on the global economy and ecosystems and opportunities for circular economy strategies. </w:t>
      </w:r>
      <w:r w:rsidRPr="00E64516">
        <w:rPr>
          <w:rFonts w:ascii="Times New Roman" w:eastAsia="Times New Roman" w:hAnsi="Times New Roman" w:cs="Times New Roman"/>
          <w:i/>
          <w:iCs/>
        </w:rPr>
        <w:t>Resources, Conservation and Recycling</w:t>
      </w:r>
      <w:r w:rsidRPr="00E64516">
        <w:rPr>
          <w:rFonts w:ascii="Times New Roman" w:eastAsia="Times New Roman" w:hAnsi="Times New Roman" w:cs="Times New Roman"/>
        </w:rPr>
        <w:t>, </w:t>
      </w:r>
      <w:r w:rsidRPr="00E64516">
        <w:rPr>
          <w:rFonts w:ascii="Times New Roman" w:eastAsia="Times New Roman" w:hAnsi="Times New Roman" w:cs="Times New Roman"/>
          <w:i/>
          <w:iCs/>
        </w:rPr>
        <w:t>164</w:t>
      </w:r>
      <w:r w:rsidRPr="00E64516">
        <w:rPr>
          <w:rFonts w:ascii="Times New Roman" w:eastAsia="Times New Roman" w:hAnsi="Times New Roman" w:cs="Times New Roman"/>
        </w:rPr>
        <w:t>, 105169.</w:t>
      </w:r>
    </w:p>
    <w:p w14:paraId="475C5EFE"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Ismail, K., </w:t>
      </w:r>
      <w:proofErr w:type="spellStart"/>
      <w:r w:rsidRPr="00E64516">
        <w:rPr>
          <w:rFonts w:ascii="Times New Roman" w:eastAsia="Times New Roman" w:hAnsi="Times New Roman" w:cs="Times New Roman"/>
        </w:rPr>
        <w:t>Nikookar</w:t>
      </w:r>
      <w:proofErr w:type="spellEnd"/>
      <w:r w:rsidRPr="00E64516">
        <w:rPr>
          <w:rFonts w:ascii="Times New Roman" w:eastAsia="Times New Roman" w:hAnsi="Times New Roman" w:cs="Times New Roman"/>
        </w:rPr>
        <w:t>, E., Pepper, M., &amp; Stevenson, M. (2025). The implications of Industry 4.0 for managing supply chain disruption and enhancing supply chain resilience: a systematic literature review. </w:t>
      </w:r>
      <w:r w:rsidRPr="00E64516">
        <w:rPr>
          <w:rFonts w:ascii="Times New Roman" w:eastAsia="Times New Roman" w:hAnsi="Times New Roman" w:cs="Times New Roman"/>
          <w:i/>
          <w:iCs/>
        </w:rPr>
        <w:t>International Journal of Production Research</w:t>
      </w:r>
      <w:r w:rsidRPr="00E64516">
        <w:rPr>
          <w:rFonts w:ascii="Times New Roman" w:eastAsia="Times New Roman" w:hAnsi="Times New Roman" w:cs="Times New Roman"/>
        </w:rPr>
        <w:t>, 1-27.</w:t>
      </w:r>
    </w:p>
    <w:p w14:paraId="3DB50759"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Ivanov, D. (2024). Transformation of supply chain resilience research through the COVID-19 pandemic. </w:t>
      </w:r>
      <w:r w:rsidRPr="00E64516">
        <w:rPr>
          <w:rFonts w:ascii="Times New Roman" w:eastAsia="Times New Roman" w:hAnsi="Times New Roman" w:cs="Times New Roman"/>
          <w:i/>
          <w:iCs/>
        </w:rPr>
        <w:t>International Journal of Production Research</w:t>
      </w:r>
      <w:r w:rsidRPr="00E64516">
        <w:rPr>
          <w:rFonts w:ascii="Times New Roman" w:eastAsia="Times New Roman" w:hAnsi="Times New Roman" w:cs="Times New Roman"/>
        </w:rPr>
        <w:t>, </w:t>
      </w:r>
      <w:r w:rsidRPr="00E64516">
        <w:rPr>
          <w:rFonts w:ascii="Times New Roman" w:eastAsia="Times New Roman" w:hAnsi="Times New Roman" w:cs="Times New Roman"/>
          <w:i/>
          <w:iCs/>
        </w:rPr>
        <w:t>62</w:t>
      </w:r>
      <w:r w:rsidRPr="00E64516">
        <w:rPr>
          <w:rFonts w:ascii="Times New Roman" w:eastAsia="Times New Roman" w:hAnsi="Times New Roman" w:cs="Times New Roman"/>
        </w:rPr>
        <w:t>(23), 8217-8238.</w:t>
      </w:r>
      <w:r w:rsidRPr="00E64516">
        <w:rPr>
          <w:rFonts w:ascii="Times New Roman" w:eastAsia="Times New Roman" w:hAnsi="Times New Roman" w:cs="Times New Roman"/>
        </w:rPr>
        <w:br/>
      </w:r>
    </w:p>
    <w:p w14:paraId="64E7A956"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Ivanov, D., &amp; </w:t>
      </w:r>
      <w:proofErr w:type="spellStart"/>
      <w:r w:rsidRPr="00E64516">
        <w:rPr>
          <w:rFonts w:ascii="Times New Roman" w:eastAsia="Times New Roman" w:hAnsi="Times New Roman" w:cs="Times New Roman"/>
        </w:rPr>
        <w:t>Dolgui</w:t>
      </w:r>
      <w:proofErr w:type="spellEnd"/>
      <w:r w:rsidRPr="00E64516">
        <w:rPr>
          <w:rFonts w:ascii="Times New Roman" w:eastAsia="Times New Roman" w:hAnsi="Times New Roman" w:cs="Times New Roman"/>
        </w:rPr>
        <w:t>, A. (2020). Viability of intertwined supply networks: extending the supply chain resilience angles towards survivability. A position paper motivated by COVID-19 outbreak. </w:t>
      </w:r>
      <w:r w:rsidRPr="00E64516">
        <w:rPr>
          <w:rFonts w:ascii="Times New Roman" w:eastAsia="Times New Roman" w:hAnsi="Times New Roman" w:cs="Times New Roman"/>
          <w:i/>
          <w:iCs/>
        </w:rPr>
        <w:t>International journal of production research</w:t>
      </w:r>
      <w:r w:rsidRPr="00E64516">
        <w:rPr>
          <w:rFonts w:ascii="Times New Roman" w:eastAsia="Times New Roman" w:hAnsi="Times New Roman" w:cs="Times New Roman"/>
        </w:rPr>
        <w:t>, </w:t>
      </w:r>
      <w:r w:rsidRPr="00E64516">
        <w:rPr>
          <w:rFonts w:ascii="Times New Roman" w:eastAsia="Times New Roman" w:hAnsi="Times New Roman" w:cs="Times New Roman"/>
          <w:i/>
          <w:iCs/>
        </w:rPr>
        <w:t>58</w:t>
      </w:r>
      <w:r w:rsidRPr="00E64516">
        <w:rPr>
          <w:rFonts w:ascii="Times New Roman" w:eastAsia="Times New Roman" w:hAnsi="Times New Roman" w:cs="Times New Roman"/>
        </w:rPr>
        <w:t>(10), 2904-2915.</w:t>
      </w:r>
    </w:p>
    <w:p w14:paraId="26583770"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proofErr w:type="spellStart"/>
      <w:r w:rsidRPr="00E64516">
        <w:rPr>
          <w:rFonts w:ascii="Times New Roman" w:eastAsia="Times New Roman" w:hAnsi="Times New Roman" w:cs="Times New Roman"/>
          <w:bCs/>
        </w:rPr>
        <w:t>Jum'a</w:t>
      </w:r>
      <w:proofErr w:type="spellEnd"/>
      <w:r w:rsidRPr="00E64516">
        <w:rPr>
          <w:rFonts w:ascii="Times New Roman" w:eastAsia="Times New Roman" w:hAnsi="Times New Roman" w:cs="Times New Roman"/>
          <w:bCs/>
        </w:rPr>
        <w:t xml:space="preserve">, L., Ikram, M., &amp; </w:t>
      </w:r>
      <w:proofErr w:type="spellStart"/>
      <w:r w:rsidRPr="00E64516">
        <w:rPr>
          <w:rFonts w:ascii="Times New Roman" w:eastAsia="Times New Roman" w:hAnsi="Times New Roman" w:cs="Times New Roman"/>
          <w:bCs/>
        </w:rPr>
        <w:t>Jabbour</w:t>
      </w:r>
      <w:proofErr w:type="spellEnd"/>
      <w:r w:rsidRPr="00E64516">
        <w:rPr>
          <w:rFonts w:ascii="Times New Roman" w:eastAsia="Times New Roman" w:hAnsi="Times New Roman" w:cs="Times New Roman"/>
          <w:bCs/>
        </w:rPr>
        <w:t>, C. J. C. (2024). Towards circular economy: A IoT enabled framework for circular supply chain integration. </w:t>
      </w:r>
      <w:r w:rsidRPr="00E64516">
        <w:rPr>
          <w:rFonts w:ascii="Times New Roman" w:eastAsia="Times New Roman" w:hAnsi="Times New Roman" w:cs="Times New Roman"/>
          <w:bCs/>
          <w:i/>
          <w:iCs/>
        </w:rPr>
        <w:t>Computers &amp; Industrial Engineering</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192</w:t>
      </w:r>
      <w:r w:rsidRPr="00E64516">
        <w:rPr>
          <w:rFonts w:ascii="Times New Roman" w:eastAsia="Times New Roman" w:hAnsi="Times New Roman" w:cs="Times New Roman"/>
          <w:bCs/>
        </w:rPr>
        <w:t>, 110194.</w:t>
      </w:r>
    </w:p>
    <w:p w14:paraId="21538C72"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lastRenderedPageBreak/>
        <w:t>Kamalahmadi</w:t>
      </w:r>
      <w:proofErr w:type="spellEnd"/>
      <w:r w:rsidRPr="00E64516">
        <w:rPr>
          <w:rFonts w:ascii="Times New Roman" w:eastAsia="Times New Roman" w:hAnsi="Times New Roman" w:cs="Times New Roman"/>
        </w:rPr>
        <w:t xml:space="preserve">, M., </w:t>
      </w:r>
      <w:proofErr w:type="spellStart"/>
      <w:r w:rsidRPr="00E64516">
        <w:rPr>
          <w:rFonts w:ascii="Times New Roman" w:eastAsia="Times New Roman" w:hAnsi="Times New Roman" w:cs="Times New Roman"/>
        </w:rPr>
        <w:t>Shekarian</w:t>
      </w:r>
      <w:proofErr w:type="spellEnd"/>
      <w:r w:rsidRPr="00E64516">
        <w:rPr>
          <w:rFonts w:ascii="Times New Roman" w:eastAsia="Times New Roman" w:hAnsi="Times New Roman" w:cs="Times New Roman"/>
        </w:rPr>
        <w:t xml:space="preserve">, M., &amp; </w:t>
      </w:r>
      <w:proofErr w:type="spellStart"/>
      <w:r w:rsidRPr="00E64516">
        <w:rPr>
          <w:rFonts w:ascii="Times New Roman" w:eastAsia="Times New Roman" w:hAnsi="Times New Roman" w:cs="Times New Roman"/>
        </w:rPr>
        <w:t>Mellat</w:t>
      </w:r>
      <w:proofErr w:type="spellEnd"/>
      <w:r w:rsidRPr="00E64516">
        <w:rPr>
          <w:rFonts w:ascii="Times New Roman" w:eastAsia="Times New Roman" w:hAnsi="Times New Roman" w:cs="Times New Roman"/>
        </w:rPr>
        <w:t xml:space="preserve"> </w:t>
      </w:r>
      <w:proofErr w:type="spellStart"/>
      <w:r w:rsidRPr="00E64516">
        <w:rPr>
          <w:rFonts w:ascii="Times New Roman" w:eastAsia="Times New Roman" w:hAnsi="Times New Roman" w:cs="Times New Roman"/>
        </w:rPr>
        <w:t>Parast</w:t>
      </w:r>
      <w:proofErr w:type="spellEnd"/>
      <w:r w:rsidRPr="00E64516">
        <w:rPr>
          <w:rFonts w:ascii="Times New Roman" w:eastAsia="Times New Roman" w:hAnsi="Times New Roman" w:cs="Times New Roman"/>
        </w:rPr>
        <w:t>, M. (2022). The impact of flexibility and redundancy on improving supply chain resilience to disruptions. </w:t>
      </w:r>
      <w:r w:rsidRPr="00E64516">
        <w:rPr>
          <w:rFonts w:ascii="Times New Roman" w:eastAsia="Times New Roman" w:hAnsi="Times New Roman" w:cs="Times New Roman"/>
          <w:i/>
          <w:iCs/>
        </w:rPr>
        <w:t>International Journal of Production Research</w:t>
      </w:r>
      <w:r w:rsidRPr="00E64516">
        <w:rPr>
          <w:rFonts w:ascii="Times New Roman" w:eastAsia="Times New Roman" w:hAnsi="Times New Roman" w:cs="Times New Roman"/>
        </w:rPr>
        <w:t>, </w:t>
      </w:r>
      <w:r w:rsidRPr="00E64516">
        <w:rPr>
          <w:rFonts w:ascii="Times New Roman" w:eastAsia="Times New Roman" w:hAnsi="Times New Roman" w:cs="Times New Roman"/>
          <w:i/>
          <w:iCs/>
        </w:rPr>
        <w:t>60</w:t>
      </w:r>
      <w:r w:rsidRPr="00E64516">
        <w:rPr>
          <w:rFonts w:ascii="Times New Roman" w:eastAsia="Times New Roman" w:hAnsi="Times New Roman" w:cs="Times New Roman"/>
        </w:rPr>
        <w:t>(6), 1992-2020.</w:t>
      </w:r>
    </w:p>
    <w:p w14:paraId="1D3FB334"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Kennedy, S., &amp; </w:t>
      </w:r>
      <w:proofErr w:type="spellStart"/>
      <w:r w:rsidRPr="00E64516">
        <w:rPr>
          <w:rFonts w:ascii="Times New Roman" w:eastAsia="Times New Roman" w:hAnsi="Times New Roman" w:cs="Times New Roman"/>
        </w:rPr>
        <w:t>Linnenluecke</w:t>
      </w:r>
      <w:proofErr w:type="spellEnd"/>
      <w:r w:rsidRPr="00E64516">
        <w:rPr>
          <w:rFonts w:ascii="Times New Roman" w:eastAsia="Times New Roman" w:hAnsi="Times New Roman" w:cs="Times New Roman"/>
        </w:rPr>
        <w:t>, M. K. (2022). Circular economy and resilience: A research agenda. </w:t>
      </w:r>
      <w:r w:rsidRPr="00E64516">
        <w:rPr>
          <w:rFonts w:ascii="Times New Roman" w:eastAsia="Times New Roman" w:hAnsi="Times New Roman" w:cs="Times New Roman"/>
          <w:i/>
          <w:iCs/>
        </w:rPr>
        <w:t>Business Strategy and the Environment</w:t>
      </w:r>
      <w:r w:rsidRPr="00E64516">
        <w:rPr>
          <w:rFonts w:ascii="Times New Roman" w:eastAsia="Times New Roman" w:hAnsi="Times New Roman" w:cs="Times New Roman"/>
        </w:rPr>
        <w:t>, </w:t>
      </w:r>
      <w:r w:rsidRPr="00E64516">
        <w:rPr>
          <w:rFonts w:ascii="Times New Roman" w:eastAsia="Times New Roman" w:hAnsi="Times New Roman" w:cs="Times New Roman"/>
          <w:i/>
          <w:iCs/>
        </w:rPr>
        <w:t>31</w:t>
      </w:r>
      <w:r w:rsidRPr="00E64516">
        <w:rPr>
          <w:rFonts w:ascii="Times New Roman" w:eastAsia="Times New Roman" w:hAnsi="Times New Roman" w:cs="Times New Roman"/>
        </w:rPr>
        <w:t>(6), 2754-2765.</w:t>
      </w:r>
    </w:p>
    <w:p w14:paraId="2FCA97CD"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Khan, S. A. R., Ponce, P., Tanveer, M., Aguirre-Padilla, N., Mahmood, H., &amp; Shah, S. A. A. (2021). Technological innovation and circular economy practices: Business strategies to mitigate the effects of COVID-19. </w:t>
      </w:r>
      <w:r w:rsidRPr="00E64516">
        <w:rPr>
          <w:rFonts w:ascii="Times New Roman" w:eastAsia="Times New Roman" w:hAnsi="Times New Roman" w:cs="Times New Roman"/>
          <w:i/>
          <w:iCs/>
        </w:rPr>
        <w:t>Sustainability</w:t>
      </w:r>
      <w:r w:rsidRPr="00E64516">
        <w:rPr>
          <w:rFonts w:ascii="Times New Roman" w:eastAsia="Times New Roman" w:hAnsi="Times New Roman" w:cs="Times New Roman"/>
        </w:rPr>
        <w:t>, </w:t>
      </w:r>
      <w:r w:rsidRPr="00E64516">
        <w:rPr>
          <w:rFonts w:ascii="Times New Roman" w:eastAsia="Times New Roman" w:hAnsi="Times New Roman" w:cs="Times New Roman"/>
          <w:i/>
          <w:iCs/>
        </w:rPr>
        <w:t>13</w:t>
      </w:r>
      <w:r w:rsidRPr="00E64516">
        <w:rPr>
          <w:rFonts w:ascii="Times New Roman" w:eastAsia="Times New Roman" w:hAnsi="Times New Roman" w:cs="Times New Roman"/>
        </w:rPr>
        <w:t>(15), 8479.</w:t>
      </w:r>
    </w:p>
    <w:p w14:paraId="0A2E5902"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Kirchherr</w:t>
      </w:r>
      <w:proofErr w:type="spellEnd"/>
      <w:r w:rsidRPr="00E64516">
        <w:rPr>
          <w:rFonts w:ascii="Times New Roman" w:eastAsia="Times New Roman" w:hAnsi="Times New Roman" w:cs="Times New Roman"/>
        </w:rPr>
        <w:t>, J., Yang, N. H. N., Schulze-</w:t>
      </w:r>
      <w:proofErr w:type="spellStart"/>
      <w:r w:rsidRPr="00E64516">
        <w:rPr>
          <w:rFonts w:ascii="Times New Roman" w:eastAsia="Times New Roman" w:hAnsi="Times New Roman" w:cs="Times New Roman"/>
        </w:rPr>
        <w:t>Spüntrup</w:t>
      </w:r>
      <w:proofErr w:type="spellEnd"/>
      <w:r w:rsidRPr="00E64516">
        <w:rPr>
          <w:rFonts w:ascii="Times New Roman" w:eastAsia="Times New Roman" w:hAnsi="Times New Roman" w:cs="Times New Roman"/>
        </w:rPr>
        <w:t xml:space="preserve">, F., </w:t>
      </w:r>
      <w:proofErr w:type="spellStart"/>
      <w:r w:rsidRPr="00E64516">
        <w:rPr>
          <w:rFonts w:ascii="Times New Roman" w:eastAsia="Times New Roman" w:hAnsi="Times New Roman" w:cs="Times New Roman"/>
        </w:rPr>
        <w:t>Heerink</w:t>
      </w:r>
      <w:proofErr w:type="spellEnd"/>
      <w:r w:rsidRPr="00E64516">
        <w:rPr>
          <w:rFonts w:ascii="Times New Roman" w:eastAsia="Times New Roman" w:hAnsi="Times New Roman" w:cs="Times New Roman"/>
        </w:rPr>
        <w:t>, M. J., &amp; Hartley, K. (2023). Conceptualizing the circular economy (revisited): an analysis of 221 definitions. </w:t>
      </w:r>
      <w:r w:rsidRPr="00E64516">
        <w:rPr>
          <w:rFonts w:ascii="Times New Roman" w:eastAsia="Times New Roman" w:hAnsi="Times New Roman" w:cs="Times New Roman"/>
          <w:i/>
          <w:iCs/>
        </w:rPr>
        <w:t>Resources, conservation and recycling</w:t>
      </w:r>
      <w:r w:rsidRPr="00E64516">
        <w:rPr>
          <w:rFonts w:ascii="Times New Roman" w:eastAsia="Times New Roman" w:hAnsi="Times New Roman" w:cs="Times New Roman"/>
        </w:rPr>
        <w:t>, </w:t>
      </w:r>
      <w:r w:rsidRPr="00E64516">
        <w:rPr>
          <w:rFonts w:ascii="Times New Roman" w:eastAsia="Times New Roman" w:hAnsi="Times New Roman" w:cs="Times New Roman"/>
          <w:i/>
          <w:iCs/>
        </w:rPr>
        <w:t>194</w:t>
      </w:r>
      <w:r w:rsidRPr="00E64516">
        <w:rPr>
          <w:rFonts w:ascii="Times New Roman" w:eastAsia="Times New Roman" w:hAnsi="Times New Roman" w:cs="Times New Roman"/>
        </w:rPr>
        <w:t>, 107001.</w:t>
      </w:r>
    </w:p>
    <w:p w14:paraId="2F196AC8" w14:textId="77777777" w:rsidR="00E60C54" w:rsidRPr="006E74E7" w:rsidRDefault="00E60C54" w:rsidP="00E60C54">
      <w:pPr>
        <w:spacing w:before="100" w:beforeAutospacing="1" w:after="100" w:afterAutospacing="1" w:line="480" w:lineRule="auto"/>
        <w:ind w:left="720" w:hanging="720"/>
        <w:rPr>
          <w:rFonts w:ascii="Times New Roman" w:eastAsia="Times New Roman" w:hAnsi="Times New Roman" w:cs="Times New Roman"/>
          <w:bCs/>
          <w:lang w:val="sv-SE"/>
        </w:rPr>
      </w:pPr>
      <w:proofErr w:type="spellStart"/>
      <w:r w:rsidRPr="006E74E7">
        <w:rPr>
          <w:rFonts w:ascii="Times New Roman" w:eastAsia="Times New Roman" w:hAnsi="Times New Roman" w:cs="Times New Roman"/>
          <w:bCs/>
          <w:lang w:val="it-IT"/>
        </w:rPr>
        <w:t>Krstić</w:t>
      </w:r>
      <w:proofErr w:type="spellEnd"/>
      <w:r w:rsidRPr="006E74E7">
        <w:rPr>
          <w:rFonts w:ascii="Times New Roman" w:eastAsia="Times New Roman" w:hAnsi="Times New Roman" w:cs="Times New Roman"/>
          <w:bCs/>
          <w:lang w:val="it-IT"/>
        </w:rPr>
        <w:t xml:space="preserve">, M., Elia, V., Agnusdei, G. P., De Leo, F., </w:t>
      </w:r>
      <w:proofErr w:type="spellStart"/>
      <w:r w:rsidRPr="006E74E7">
        <w:rPr>
          <w:rFonts w:ascii="Times New Roman" w:eastAsia="Times New Roman" w:hAnsi="Times New Roman" w:cs="Times New Roman"/>
          <w:bCs/>
          <w:lang w:val="it-IT"/>
        </w:rPr>
        <w:t>Tadić</w:t>
      </w:r>
      <w:proofErr w:type="spellEnd"/>
      <w:r w:rsidRPr="006E74E7">
        <w:rPr>
          <w:rFonts w:ascii="Times New Roman" w:eastAsia="Times New Roman" w:hAnsi="Times New Roman" w:cs="Times New Roman"/>
          <w:bCs/>
          <w:lang w:val="it-IT"/>
        </w:rPr>
        <w:t xml:space="preserve">, S., &amp; </w:t>
      </w:r>
      <w:proofErr w:type="spellStart"/>
      <w:r w:rsidRPr="006E74E7">
        <w:rPr>
          <w:rFonts w:ascii="Times New Roman" w:eastAsia="Times New Roman" w:hAnsi="Times New Roman" w:cs="Times New Roman"/>
          <w:bCs/>
          <w:lang w:val="it-IT"/>
        </w:rPr>
        <w:t>Miglietta</w:t>
      </w:r>
      <w:proofErr w:type="spellEnd"/>
      <w:r w:rsidRPr="006E74E7">
        <w:rPr>
          <w:rFonts w:ascii="Times New Roman" w:eastAsia="Times New Roman" w:hAnsi="Times New Roman" w:cs="Times New Roman"/>
          <w:bCs/>
          <w:lang w:val="it-IT"/>
        </w:rPr>
        <w:t xml:space="preserve">, P. P. (2024). </w:t>
      </w:r>
      <w:r w:rsidRPr="00E64516">
        <w:rPr>
          <w:rFonts w:ascii="Times New Roman" w:eastAsia="Times New Roman" w:hAnsi="Times New Roman" w:cs="Times New Roman"/>
          <w:bCs/>
        </w:rPr>
        <w:t>Evaluation of the agri-food supply chain risks: the circular economy context. </w:t>
      </w:r>
      <w:r w:rsidRPr="006E74E7">
        <w:rPr>
          <w:rFonts w:ascii="Times New Roman" w:eastAsia="Times New Roman" w:hAnsi="Times New Roman" w:cs="Times New Roman"/>
          <w:bCs/>
          <w:i/>
          <w:iCs/>
          <w:lang w:val="sv-SE"/>
        </w:rPr>
        <w:t xml:space="preserve">British </w:t>
      </w:r>
      <w:proofErr w:type="spellStart"/>
      <w:r w:rsidRPr="006E74E7">
        <w:rPr>
          <w:rFonts w:ascii="Times New Roman" w:eastAsia="Times New Roman" w:hAnsi="Times New Roman" w:cs="Times New Roman"/>
          <w:bCs/>
          <w:i/>
          <w:iCs/>
          <w:lang w:val="sv-SE"/>
        </w:rPr>
        <w:t>Food</w:t>
      </w:r>
      <w:proofErr w:type="spellEnd"/>
      <w:r w:rsidRPr="006E74E7">
        <w:rPr>
          <w:rFonts w:ascii="Times New Roman" w:eastAsia="Times New Roman" w:hAnsi="Times New Roman" w:cs="Times New Roman"/>
          <w:bCs/>
          <w:i/>
          <w:iCs/>
          <w:lang w:val="sv-SE"/>
        </w:rPr>
        <w:t xml:space="preserve"> Journal</w:t>
      </w:r>
      <w:r w:rsidRPr="006E74E7">
        <w:rPr>
          <w:rFonts w:ascii="Times New Roman" w:eastAsia="Times New Roman" w:hAnsi="Times New Roman" w:cs="Times New Roman"/>
          <w:bCs/>
          <w:lang w:val="sv-SE"/>
        </w:rPr>
        <w:t>, </w:t>
      </w:r>
      <w:r w:rsidRPr="006E74E7">
        <w:rPr>
          <w:rFonts w:ascii="Times New Roman" w:eastAsia="Times New Roman" w:hAnsi="Times New Roman" w:cs="Times New Roman"/>
          <w:bCs/>
          <w:i/>
          <w:iCs/>
          <w:lang w:val="sv-SE"/>
        </w:rPr>
        <w:t>126</w:t>
      </w:r>
      <w:r w:rsidRPr="006E74E7">
        <w:rPr>
          <w:rFonts w:ascii="Times New Roman" w:eastAsia="Times New Roman" w:hAnsi="Times New Roman" w:cs="Times New Roman"/>
          <w:bCs/>
          <w:lang w:val="sv-SE"/>
        </w:rPr>
        <w:t xml:space="preserve">(1), </w:t>
      </w:r>
      <w:proofErr w:type="gramStart"/>
      <w:r w:rsidRPr="006E74E7">
        <w:rPr>
          <w:rFonts w:ascii="Times New Roman" w:eastAsia="Times New Roman" w:hAnsi="Times New Roman" w:cs="Times New Roman"/>
          <w:bCs/>
          <w:lang w:val="sv-SE"/>
        </w:rPr>
        <w:t>113-133</w:t>
      </w:r>
      <w:proofErr w:type="gramEnd"/>
      <w:r w:rsidRPr="006E74E7">
        <w:rPr>
          <w:rFonts w:ascii="Times New Roman" w:eastAsia="Times New Roman" w:hAnsi="Times New Roman" w:cs="Times New Roman"/>
          <w:bCs/>
          <w:lang w:val="sv-SE"/>
        </w:rPr>
        <w:t>.</w:t>
      </w:r>
    </w:p>
    <w:p w14:paraId="7D225850"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6E74E7">
        <w:rPr>
          <w:rFonts w:ascii="Times New Roman" w:eastAsia="Times New Roman" w:hAnsi="Times New Roman" w:cs="Times New Roman"/>
          <w:lang w:val="sv-SE"/>
        </w:rPr>
        <w:t xml:space="preserve">Kumar, B., Kumar, L., Kumar, A., </w:t>
      </w:r>
      <w:proofErr w:type="spellStart"/>
      <w:r w:rsidRPr="006E74E7">
        <w:rPr>
          <w:rFonts w:ascii="Times New Roman" w:eastAsia="Times New Roman" w:hAnsi="Times New Roman" w:cs="Times New Roman"/>
          <w:lang w:val="sv-SE"/>
        </w:rPr>
        <w:t>Kumari</w:t>
      </w:r>
      <w:proofErr w:type="spellEnd"/>
      <w:r w:rsidRPr="006E74E7">
        <w:rPr>
          <w:rFonts w:ascii="Times New Roman" w:eastAsia="Times New Roman" w:hAnsi="Times New Roman" w:cs="Times New Roman"/>
          <w:lang w:val="sv-SE"/>
        </w:rPr>
        <w:t xml:space="preserve">, R., </w:t>
      </w:r>
      <w:proofErr w:type="spellStart"/>
      <w:r w:rsidRPr="006E74E7">
        <w:rPr>
          <w:rFonts w:ascii="Times New Roman" w:eastAsia="Times New Roman" w:hAnsi="Times New Roman" w:cs="Times New Roman"/>
          <w:lang w:val="sv-SE"/>
        </w:rPr>
        <w:t>Tagar</w:t>
      </w:r>
      <w:proofErr w:type="spellEnd"/>
      <w:r w:rsidRPr="006E74E7">
        <w:rPr>
          <w:rFonts w:ascii="Times New Roman" w:eastAsia="Times New Roman" w:hAnsi="Times New Roman" w:cs="Times New Roman"/>
          <w:lang w:val="sv-SE"/>
        </w:rPr>
        <w:t xml:space="preserve">, U., &amp; </w:t>
      </w:r>
      <w:proofErr w:type="spellStart"/>
      <w:r w:rsidRPr="006E74E7">
        <w:rPr>
          <w:rFonts w:ascii="Times New Roman" w:eastAsia="Times New Roman" w:hAnsi="Times New Roman" w:cs="Times New Roman"/>
          <w:lang w:val="sv-SE"/>
        </w:rPr>
        <w:t>Sassanelli</w:t>
      </w:r>
      <w:proofErr w:type="spellEnd"/>
      <w:r w:rsidRPr="006E74E7">
        <w:rPr>
          <w:rFonts w:ascii="Times New Roman" w:eastAsia="Times New Roman" w:hAnsi="Times New Roman" w:cs="Times New Roman"/>
          <w:lang w:val="sv-SE"/>
        </w:rPr>
        <w:t xml:space="preserve">, C. (2024). </w:t>
      </w:r>
      <w:r w:rsidRPr="00E64516">
        <w:rPr>
          <w:rFonts w:ascii="Times New Roman" w:eastAsia="Times New Roman" w:hAnsi="Times New Roman" w:cs="Times New Roman"/>
        </w:rPr>
        <w:t>Green finance in circular economy: a literature review. </w:t>
      </w:r>
      <w:r w:rsidRPr="00E64516">
        <w:rPr>
          <w:rFonts w:ascii="Times New Roman" w:eastAsia="Times New Roman" w:hAnsi="Times New Roman" w:cs="Times New Roman"/>
          <w:i/>
          <w:iCs/>
        </w:rPr>
        <w:t>Environment, development and sustainability</w:t>
      </w:r>
      <w:r w:rsidRPr="00E64516">
        <w:rPr>
          <w:rFonts w:ascii="Times New Roman" w:eastAsia="Times New Roman" w:hAnsi="Times New Roman" w:cs="Times New Roman"/>
        </w:rPr>
        <w:t>, </w:t>
      </w:r>
      <w:r w:rsidRPr="00E64516">
        <w:rPr>
          <w:rFonts w:ascii="Times New Roman" w:eastAsia="Times New Roman" w:hAnsi="Times New Roman" w:cs="Times New Roman"/>
          <w:i/>
          <w:iCs/>
        </w:rPr>
        <w:t>26</w:t>
      </w:r>
      <w:r w:rsidRPr="00E64516">
        <w:rPr>
          <w:rFonts w:ascii="Times New Roman" w:eastAsia="Times New Roman" w:hAnsi="Times New Roman" w:cs="Times New Roman"/>
        </w:rPr>
        <w:t>(7), 16419-16459.</w:t>
      </w:r>
    </w:p>
    <w:p w14:paraId="29A2F737"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lastRenderedPageBreak/>
        <w:t xml:space="preserve">Kumar, D., Agrawal, S., Singh, R. K., &amp; Singh, R. K. (2024). IoT-enabled coordination for </w:t>
      </w:r>
      <w:proofErr w:type="spellStart"/>
      <w:r w:rsidRPr="00E64516">
        <w:rPr>
          <w:rFonts w:ascii="Times New Roman" w:eastAsia="Times New Roman" w:hAnsi="Times New Roman" w:cs="Times New Roman"/>
        </w:rPr>
        <w:t>recommerce</w:t>
      </w:r>
      <w:proofErr w:type="spellEnd"/>
      <w:r w:rsidRPr="00E64516">
        <w:rPr>
          <w:rFonts w:ascii="Times New Roman" w:eastAsia="Times New Roman" w:hAnsi="Times New Roman" w:cs="Times New Roman"/>
        </w:rPr>
        <w:t xml:space="preserve"> circular supply chain in the Industry 4.0 era. </w:t>
      </w:r>
      <w:r w:rsidRPr="00E64516">
        <w:rPr>
          <w:rFonts w:ascii="Times New Roman" w:eastAsia="Times New Roman" w:hAnsi="Times New Roman" w:cs="Times New Roman"/>
          <w:i/>
          <w:iCs/>
        </w:rPr>
        <w:t>Internet of Things</w:t>
      </w:r>
      <w:r w:rsidRPr="00E64516">
        <w:rPr>
          <w:rFonts w:ascii="Times New Roman" w:eastAsia="Times New Roman" w:hAnsi="Times New Roman" w:cs="Times New Roman"/>
        </w:rPr>
        <w:t>, </w:t>
      </w:r>
      <w:r w:rsidRPr="00E64516">
        <w:rPr>
          <w:rFonts w:ascii="Times New Roman" w:eastAsia="Times New Roman" w:hAnsi="Times New Roman" w:cs="Times New Roman"/>
          <w:i/>
          <w:iCs/>
        </w:rPr>
        <w:t>26</w:t>
      </w:r>
      <w:r w:rsidRPr="00E64516">
        <w:rPr>
          <w:rFonts w:ascii="Times New Roman" w:eastAsia="Times New Roman" w:hAnsi="Times New Roman" w:cs="Times New Roman"/>
        </w:rPr>
        <w:t>, 101140.</w:t>
      </w:r>
    </w:p>
    <w:p w14:paraId="6BF2C016"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Larrinaga, C., &amp; Garcia-</w:t>
      </w:r>
      <w:proofErr w:type="spellStart"/>
      <w:r w:rsidRPr="00E64516">
        <w:rPr>
          <w:rFonts w:ascii="Times New Roman" w:eastAsia="Times New Roman" w:hAnsi="Times New Roman" w:cs="Times New Roman"/>
        </w:rPr>
        <w:t>Torea</w:t>
      </w:r>
      <w:proofErr w:type="spellEnd"/>
      <w:r w:rsidRPr="00E64516">
        <w:rPr>
          <w:rFonts w:ascii="Times New Roman" w:eastAsia="Times New Roman" w:hAnsi="Times New Roman" w:cs="Times New Roman"/>
        </w:rPr>
        <w:t>, N. (2022). An ecological critique of accounting: The circular economy and COVID-19. </w:t>
      </w:r>
      <w:r w:rsidRPr="00E64516">
        <w:rPr>
          <w:rFonts w:ascii="Times New Roman" w:eastAsia="Times New Roman" w:hAnsi="Times New Roman" w:cs="Times New Roman"/>
          <w:i/>
          <w:iCs/>
        </w:rPr>
        <w:t>Critical Perspectives on Accounting</w:t>
      </w:r>
      <w:r w:rsidRPr="00E64516">
        <w:rPr>
          <w:rFonts w:ascii="Times New Roman" w:eastAsia="Times New Roman" w:hAnsi="Times New Roman" w:cs="Times New Roman"/>
        </w:rPr>
        <w:t>, </w:t>
      </w:r>
      <w:r w:rsidRPr="00E64516">
        <w:rPr>
          <w:rFonts w:ascii="Times New Roman" w:eastAsia="Times New Roman" w:hAnsi="Times New Roman" w:cs="Times New Roman"/>
          <w:i/>
          <w:iCs/>
        </w:rPr>
        <w:t>82</w:t>
      </w:r>
      <w:r w:rsidRPr="00E64516">
        <w:rPr>
          <w:rFonts w:ascii="Times New Roman" w:eastAsia="Times New Roman" w:hAnsi="Times New Roman" w:cs="Times New Roman"/>
        </w:rPr>
        <w:t>, 102320.</w:t>
      </w:r>
    </w:p>
    <w:p w14:paraId="5ABFF44B"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iCs/>
        </w:rPr>
      </w:pPr>
      <w:r w:rsidRPr="00E64516">
        <w:rPr>
          <w:rFonts w:ascii="Times New Roman" w:eastAsia="Times New Roman" w:hAnsi="Times New Roman" w:cs="Times New Roman"/>
        </w:rPr>
        <w:t>Le, M. H., &amp; Phi Tran, P. (2025). Managing supply chain resilience in climate and disaster-prone environments: a bibliometric analysis. </w:t>
      </w:r>
      <w:r w:rsidRPr="00E64516">
        <w:rPr>
          <w:rFonts w:ascii="Times New Roman" w:eastAsia="Times New Roman" w:hAnsi="Times New Roman" w:cs="Times New Roman"/>
          <w:i/>
          <w:iCs/>
        </w:rPr>
        <w:t>Competitiveness Review: An International Business Journal, 1</w:t>
      </w:r>
      <w:r w:rsidRPr="00E64516">
        <w:rPr>
          <w:rFonts w:ascii="Times New Roman" w:eastAsia="Times New Roman" w:hAnsi="Times New Roman" w:cs="Times New Roman"/>
          <w:iCs/>
        </w:rPr>
        <w:t>(1), 1-19.</w:t>
      </w:r>
    </w:p>
    <w:p w14:paraId="110BB518"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Li, X., Chen, X., Zhu, J., Zhang, P., Shi, H., &amp; </w:t>
      </w:r>
      <w:proofErr w:type="spellStart"/>
      <w:r w:rsidRPr="00E64516">
        <w:rPr>
          <w:rFonts w:ascii="Times New Roman" w:eastAsia="Times New Roman" w:hAnsi="Times New Roman" w:cs="Times New Roman"/>
        </w:rPr>
        <w:t>Chertow</w:t>
      </w:r>
      <w:proofErr w:type="spellEnd"/>
      <w:r w:rsidRPr="00E64516">
        <w:rPr>
          <w:rFonts w:ascii="Times New Roman" w:eastAsia="Times New Roman" w:hAnsi="Times New Roman" w:cs="Times New Roman"/>
        </w:rPr>
        <w:t>, M. R. (2025). Resilience of the circular economy to global disruptions in scrap recycling. </w:t>
      </w:r>
      <w:proofErr w:type="spellStart"/>
      <w:r w:rsidRPr="00E64516">
        <w:rPr>
          <w:rFonts w:ascii="Times New Roman" w:eastAsia="Times New Roman" w:hAnsi="Times New Roman" w:cs="Times New Roman"/>
          <w:i/>
          <w:iCs/>
        </w:rPr>
        <w:t>iScience</w:t>
      </w:r>
      <w:proofErr w:type="spellEnd"/>
      <w:r w:rsidRPr="00E64516">
        <w:rPr>
          <w:rFonts w:ascii="Times New Roman" w:eastAsia="Times New Roman" w:hAnsi="Times New Roman" w:cs="Times New Roman"/>
        </w:rPr>
        <w:t>, </w:t>
      </w:r>
      <w:r w:rsidRPr="00E64516">
        <w:rPr>
          <w:rFonts w:ascii="Times New Roman" w:eastAsia="Times New Roman" w:hAnsi="Times New Roman" w:cs="Times New Roman"/>
          <w:i/>
          <w:iCs/>
        </w:rPr>
        <w:t>28</w:t>
      </w:r>
      <w:r w:rsidRPr="00E64516">
        <w:rPr>
          <w:rFonts w:ascii="Times New Roman" w:eastAsia="Times New Roman" w:hAnsi="Times New Roman" w:cs="Times New Roman"/>
        </w:rPr>
        <w:t>(2), 1-6.</w:t>
      </w:r>
    </w:p>
    <w:p w14:paraId="092F1704"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Lu, H., Zhao, G., &amp; Liu, S. (2024). Integrating circular economy and Industry 4.0 for sustainable supply chain management: a dynamic capability view. </w:t>
      </w:r>
      <w:r w:rsidRPr="00E64516">
        <w:rPr>
          <w:rFonts w:ascii="Times New Roman" w:eastAsia="Times New Roman" w:hAnsi="Times New Roman" w:cs="Times New Roman"/>
          <w:i/>
          <w:iCs/>
        </w:rPr>
        <w:t>Production Planning &amp; Control</w:t>
      </w:r>
      <w:r w:rsidRPr="00E64516">
        <w:rPr>
          <w:rFonts w:ascii="Times New Roman" w:eastAsia="Times New Roman" w:hAnsi="Times New Roman" w:cs="Times New Roman"/>
        </w:rPr>
        <w:t>, </w:t>
      </w:r>
      <w:r w:rsidRPr="00E64516">
        <w:rPr>
          <w:rFonts w:ascii="Times New Roman" w:eastAsia="Times New Roman" w:hAnsi="Times New Roman" w:cs="Times New Roman"/>
          <w:i/>
          <w:iCs/>
        </w:rPr>
        <w:t>35</w:t>
      </w:r>
      <w:r w:rsidRPr="00E64516">
        <w:rPr>
          <w:rFonts w:ascii="Times New Roman" w:eastAsia="Times New Roman" w:hAnsi="Times New Roman" w:cs="Times New Roman"/>
        </w:rPr>
        <w:t>(2), 170-186.</w:t>
      </w:r>
    </w:p>
    <w:p w14:paraId="6E9297E4"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Magableh</w:t>
      </w:r>
      <w:proofErr w:type="spellEnd"/>
      <w:r w:rsidRPr="00E64516">
        <w:rPr>
          <w:rFonts w:ascii="Times New Roman" w:eastAsia="Times New Roman" w:hAnsi="Times New Roman" w:cs="Times New Roman"/>
        </w:rPr>
        <w:t>, G. M. (2021). Supply chains and the COVID‐19 pandemic: A comprehensive framework. </w:t>
      </w:r>
      <w:r w:rsidRPr="00E64516">
        <w:rPr>
          <w:rFonts w:ascii="Times New Roman" w:eastAsia="Times New Roman" w:hAnsi="Times New Roman" w:cs="Times New Roman"/>
          <w:i/>
          <w:iCs/>
        </w:rPr>
        <w:t>European Management Review</w:t>
      </w:r>
      <w:r w:rsidRPr="00E64516">
        <w:rPr>
          <w:rFonts w:ascii="Times New Roman" w:eastAsia="Times New Roman" w:hAnsi="Times New Roman" w:cs="Times New Roman"/>
        </w:rPr>
        <w:t>, </w:t>
      </w:r>
      <w:r w:rsidRPr="00E64516">
        <w:rPr>
          <w:rFonts w:ascii="Times New Roman" w:eastAsia="Times New Roman" w:hAnsi="Times New Roman" w:cs="Times New Roman"/>
          <w:i/>
          <w:iCs/>
        </w:rPr>
        <w:t>18</w:t>
      </w:r>
      <w:r w:rsidRPr="00E64516">
        <w:rPr>
          <w:rFonts w:ascii="Times New Roman" w:eastAsia="Times New Roman" w:hAnsi="Times New Roman" w:cs="Times New Roman"/>
        </w:rPr>
        <w:t>(3), 363-382.</w:t>
      </w:r>
    </w:p>
    <w:p w14:paraId="08DA02D0"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proofErr w:type="spellStart"/>
      <w:r w:rsidRPr="00E64516">
        <w:rPr>
          <w:rFonts w:ascii="Times New Roman" w:eastAsia="Times New Roman" w:hAnsi="Times New Roman" w:cs="Times New Roman"/>
          <w:bCs/>
        </w:rPr>
        <w:t>Matarneh</w:t>
      </w:r>
      <w:proofErr w:type="spellEnd"/>
      <w:r w:rsidRPr="00E64516">
        <w:rPr>
          <w:rFonts w:ascii="Times New Roman" w:eastAsia="Times New Roman" w:hAnsi="Times New Roman" w:cs="Times New Roman"/>
          <w:bCs/>
        </w:rPr>
        <w:t xml:space="preserve">, S., </w:t>
      </w:r>
      <w:proofErr w:type="spellStart"/>
      <w:r w:rsidRPr="00E64516">
        <w:rPr>
          <w:rFonts w:ascii="Times New Roman" w:eastAsia="Times New Roman" w:hAnsi="Times New Roman" w:cs="Times New Roman"/>
          <w:bCs/>
        </w:rPr>
        <w:t>Piprani</w:t>
      </w:r>
      <w:proofErr w:type="spellEnd"/>
      <w:r w:rsidRPr="00E64516">
        <w:rPr>
          <w:rFonts w:ascii="Times New Roman" w:eastAsia="Times New Roman" w:hAnsi="Times New Roman" w:cs="Times New Roman"/>
          <w:bCs/>
        </w:rPr>
        <w:t xml:space="preserve">, A. Z., </w:t>
      </w:r>
      <w:proofErr w:type="spellStart"/>
      <w:r w:rsidRPr="00E64516">
        <w:rPr>
          <w:rFonts w:ascii="Times New Roman" w:eastAsia="Times New Roman" w:hAnsi="Times New Roman" w:cs="Times New Roman"/>
          <w:bCs/>
        </w:rPr>
        <w:t>Ellahi</w:t>
      </w:r>
      <w:proofErr w:type="spellEnd"/>
      <w:r w:rsidRPr="00E64516">
        <w:rPr>
          <w:rFonts w:ascii="Times New Roman" w:eastAsia="Times New Roman" w:hAnsi="Times New Roman" w:cs="Times New Roman"/>
          <w:bCs/>
        </w:rPr>
        <w:t xml:space="preserve">, R. M., Nguyen, D. N., Le, T. M., &amp; Nazir, S. (2024). Industry 4.0 technologies and circular economy synergies: Enhancing </w:t>
      </w:r>
      <w:r w:rsidRPr="00E64516">
        <w:rPr>
          <w:rFonts w:ascii="Times New Roman" w:eastAsia="Times New Roman" w:hAnsi="Times New Roman" w:cs="Times New Roman"/>
          <w:bCs/>
        </w:rPr>
        <w:lastRenderedPageBreak/>
        <w:t>corporate sustainability through sustainable supply chain integration and flexibility. </w:t>
      </w:r>
      <w:r w:rsidRPr="00E64516">
        <w:rPr>
          <w:rFonts w:ascii="Times New Roman" w:eastAsia="Times New Roman" w:hAnsi="Times New Roman" w:cs="Times New Roman"/>
          <w:bCs/>
          <w:i/>
          <w:iCs/>
        </w:rPr>
        <w:t>Environmental Technology &amp; Innovation</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35</w:t>
      </w:r>
      <w:r w:rsidRPr="00E64516">
        <w:rPr>
          <w:rFonts w:ascii="Times New Roman" w:eastAsia="Times New Roman" w:hAnsi="Times New Roman" w:cs="Times New Roman"/>
          <w:bCs/>
        </w:rPr>
        <w:t>, 103723.</w:t>
      </w:r>
    </w:p>
    <w:p w14:paraId="2EAA9824"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Meyer, K. E., &amp; Li, C. (2022). The MNE and its subsidiaries at times of global disruptions: An international relations perspective. </w:t>
      </w:r>
      <w:r w:rsidRPr="00E64516">
        <w:rPr>
          <w:rFonts w:ascii="Times New Roman" w:eastAsia="Times New Roman" w:hAnsi="Times New Roman" w:cs="Times New Roman"/>
          <w:i/>
          <w:iCs/>
        </w:rPr>
        <w:t>Global Strategy Journal</w:t>
      </w:r>
      <w:r w:rsidRPr="00E64516">
        <w:rPr>
          <w:rFonts w:ascii="Times New Roman" w:eastAsia="Times New Roman" w:hAnsi="Times New Roman" w:cs="Times New Roman"/>
        </w:rPr>
        <w:t>, </w:t>
      </w:r>
      <w:r w:rsidRPr="00E64516">
        <w:rPr>
          <w:rFonts w:ascii="Times New Roman" w:eastAsia="Times New Roman" w:hAnsi="Times New Roman" w:cs="Times New Roman"/>
          <w:i/>
          <w:iCs/>
        </w:rPr>
        <w:t>12</w:t>
      </w:r>
      <w:r w:rsidRPr="00E64516">
        <w:rPr>
          <w:rFonts w:ascii="Times New Roman" w:eastAsia="Times New Roman" w:hAnsi="Times New Roman" w:cs="Times New Roman"/>
        </w:rPr>
        <w:t>(3), 555-577.</w:t>
      </w:r>
      <w:r w:rsidRPr="00E64516">
        <w:rPr>
          <w:rFonts w:ascii="Times New Roman" w:eastAsia="Times New Roman" w:hAnsi="Times New Roman" w:cs="Times New Roman"/>
        </w:rPr>
        <w:br/>
      </w:r>
    </w:p>
    <w:p w14:paraId="619B67DB"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Mishra, A., Gupta, N., &amp; Jha, G. K. (2024). Supply chain resilience: Adapting to global disruptions and uncertainty. </w:t>
      </w:r>
      <w:r w:rsidRPr="00E64516">
        <w:rPr>
          <w:rFonts w:ascii="Times New Roman" w:eastAsia="Times New Roman" w:hAnsi="Times New Roman" w:cs="Times New Roman"/>
          <w:i/>
          <w:iCs/>
        </w:rPr>
        <w:t>International Journal of Innovative Research in Engineering</w:t>
      </w:r>
      <w:r w:rsidRPr="00E64516">
        <w:rPr>
          <w:rFonts w:ascii="Times New Roman" w:eastAsia="Times New Roman" w:hAnsi="Times New Roman" w:cs="Times New Roman"/>
        </w:rPr>
        <w:t>, </w:t>
      </w:r>
      <w:r w:rsidRPr="00E64516">
        <w:rPr>
          <w:rFonts w:ascii="Times New Roman" w:eastAsia="Times New Roman" w:hAnsi="Times New Roman" w:cs="Times New Roman"/>
          <w:i/>
          <w:iCs/>
        </w:rPr>
        <w:t>5</w:t>
      </w:r>
      <w:r w:rsidRPr="00E64516">
        <w:rPr>
          <w:rFonts w:ascii="Times New Roman" w:eastAsia="Times New Roman" w:hAnsi="Times New Roman" w:cs="Times New Roman"/>
        </w:rPr>
        <w:t>(2), 189-96.</w:t>
      </w:r>
    </w:p>
    <w:p w14:paraId="21EC210A"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Mujtaba, M., </w:t>
      </w:r>
      <w:proofErr w:type="spellStart"/>
      <w:r w:rsidRPr="00E64516">
        <w:rPr>
          <w:rFonts w:ascii="Times New Roman" w:eastAsia="Times New Roman" w:hAnsi="Times New Roman" w:cs="Times New Roman"/>
        </w:rPr>
        <w:t>Fraceto</w:t>
      </w:r>
      <w:proofErr w:type="spellEnd"/>
      <w:r w:rsidRPr="00E64516">
        <w:rPr>
          <w:rFonts w:ascii="Times New Roman" w:eastAsia="Times New Roman" w:hAnsi="Times New Roman" w:cs="Times New Roman"/>
        </w:rPr>
        <w:t xml:space="preserve">, L. F., </w:t>
      </w:r>
      <w:proofErr w:type="spellStart"/>
      <w:r w:rsidRPr="00E64516">
        <w:rPr>
          <w:rFonts w:ascii="Times New Roman" w:eastAsia="Times New Roman" w:hAnsi="Times New Roman" w:cs="Times New Roman"/>
        </w:rPr>
        <w:t>Fazeli</w:t>
      </w:r>
      <w:proofErr w:type="spellEnd"/>
      <w:r w:rsidRPr="00E64516">
        <w:rPr>
          <w:rFonts w:ascii="Times New Roman" w:eastAsia="Times New Roman" w:hAnsi="Times New Roman" w:cs="Times New Roman"/>
        </w:rPr>
        <w:t xml:space="preserve">, M., Mukherjee, S., </w:t>
      </w:r>
      <w:proofErr w:type="spellStart"/>
      <w:r w:rsidRPr="00E64516">
        <w:rPr>
          <w:rFonts w:ascii="Times New Roman" w:eastAsia="Times New Roman" w:hAnsi="Times New Roman" w:cs="Times New Roman"/>
        </w:rPr>
        <w:t>Savassa</w:t>
      </w:r>
      <w:proofErr w:type="spellEnd"/>
      <w:r w:rsidRPr="00E64516">
        <w:rPr>
          <w:rFonts w:ascii="Times New Roman" w:eastAsia="Times New Roman" w:hAnsi="Times New Roman" w:cs="Times New Roman"/>
        </w:rPr>
        <w:t xml:space="preserve">, S. M., de Medeiros, G. A., ... &amp; </w:t>
      </w:r>
      <w:proofErr w:type="spellStart"/>
      <w:r w:rsidRPr="00E64516">
        <w:rPr>
          <w:rFonts w:ascii="Times New Roman" w:eastAsia="Times New Roman" w:hAnsi="Times New Roman" w:cs="Times New Roman"/>
        </w:rPr>
        <w:t>Vilaplana</w:t>
      </w:r>
      <w:proofErr w:type="spellEnd"/>
      <w:r w:rsidRPr="00E64516">
        <w:rPr>
          <w:rFonts w:ascii="Times New Roman" w:eastAsia="Times New Roman" w:hAnsi="Times New Roman" w:cs="Times New Roman"/>
        </w:rPr>
        <w:t xml:space="preserve">, F. (2023). Lignocellulosic biomass from agricultural waste to the circular economy: a review with focus on biofuels, </w:t>
      </w:r>
      <w:proofErr w:type="spellStart"/>
      <w:r w:rsidRPr="00E64516">
        <w:rPr>
          <w:rFonts w:ascii="Times New Roman" w:eastAsia="Times New Roman" w:hAnsi="Times New Roman" w:cs="Times New Roman"/>
        </w:rPr>
        <w:t>biocomposites</w:t>
      </w:r>
      <w:proofErr w:type="spellEnd"/>
      <w:r w:rsidRPr="00E64516">
        <w:rPr>
          <w:rFonts w:ascii="Times New Roman" w:eastAsia="Times New Roman" w:hAnsi="Times New Roman" w:cs="Times New Roman"/>
        </w:rPr>
        <w:t xml:space="preserve"> and bioplastics. </w:t>
      </w:r>
      <w:r w:rsidRPr="00E64516">
        <w:rPr>
          <w:rFonts w:ascii="Times New Roman" w:eastAsia="Times New Roman" w:hAnsi="Times New Roman" w:cs="Times New Roman"/>
          <w:i/>
          <w:iCs/>
        </w:rPr>
        <w:t>Journal of Cleaner Production</w:t>
      </w:r>
      <w:r w:rsidRPr="00E64516">
        <w:rPr>
          <w:rFonts w:ascii="Times New Roman" w:eastAsia="Times New Roman" w:hAnsi="Times New Roman" w:cs="Times New Roman"/>
        </w:rPr>
        <w:t>, </w:t>
      </w:r>
      <w:r w:rsidRPr="00E64516">
        <w:rPr>
          <w:rFonts w:ascii="Times New Roman" w:eastAsia="Times New Roman" w:hAnsi="Times New Roman" w:cs="Times New Roman"/>
          <w:i/>
          <w:iCs/>
        </w:rPr>
        <w:t>402</w:t>
      </w:r>
      <w:r w:rsidRPr="00E64516">
        <w:rPr>
          <w:rFonts w:ascii="Times New Roman" w:eastAsia="Times New Roman" w:hAnsi="Times New Roman" w:cs="Times New Roman"/>
        </w:rPr>
        <w:t>, 136815.</w:t>
      </w:r>
    </w:p>
    <w:p w14:paraId="7ABC465C"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Munaro</w:t>
      </w:r>
      <w:proofErr w:type="spellEnd"/>
      <w:r w:rsidRPr="00E64516">
        <w:rPr>
          <w:rFonts w:ascii="Times New Roman" w:eastAsia="Times New Roman" w:hAnsi="Times New Roman" w:cs="Times New Roman"/>
        </w:rPr>
        <w:t>, M. R., &amp; Tavares, S. F. (2023). A review on barriers, drivers, and stakeholders towards the circular economy: The construction sector perspective. </w:t>
      </w:r>
      <w:r w:rsidRPr="00E64516">
        <w:rPr>
          <w:rFonts w:ascii="Times New Roman" w:eastAsia="Times New Roman" w:hAnsi="Times New Roman" w:cs="Times New Roman"/>
          <w:i/>
          <w:iCs/>
        </w:rPr>
        <w:t>Cleaner and Responsible Consumption</w:t>
      </w:r>
      <w:r w:rsidRPr="00E64516">
        <w:rPr>
          <w:rFonts w:ascii="Times New Roman" w:eastAsia="Times New Roman" w:hAnsi="Times New Roman" w:cs="Times New Roman"/>
        </w:rPr>
        <w:t>, </w:t>
      </w:r>
      <w:r w:rsidRPr="00E64516">
        <w:rPr>
          <w:rFonts w:ascii="Times New Roman" w:eastAsia="Times New Roman" w:hAnsi="Times New Roman" w:cs="Times New Roman"/>
          <w:i/>
          <w:iCs/>
        </w:rPr>
        <w:t>8</w:t>
      </w:r>
      <w:r w:rsidRPr="00E64516">
        <w:rPr>
          <w:rFonts w:ascii="Times New Roman" w:eastAsia="Times New Roman" w:hAnsi="Times New Roman" w:cs="Times New Roman"/>
        </w:rPr>
        <w:t>, 100107.</w:t>
      </w:r>
    </w:p>
    <w:p w14:paraId="23E42D70"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E64516">
        <w:rPr>
          <w:rFonts w:ascii="Times New Roman" w:eastAsia="Times New Roman" w:hAnsi="Times New Roman" w:cs="Times New Roman"/>
          <w:bCs/>
        </w:rPr>
        <w:t xml:space="preserve">Nandi, S., Sarkis, J., </w:t>
      </w:r>
      <w:proofErr w:type="spellStart"/>
      <w:r w:rsidRPr="00E64516">
        <w:rPr>
          <w:rFonts w:ascii="Times New Roman" w:eastAsia="Times New Roman" w:hAnsi="Times New Roman" w:cs="Times New Roman"/>
          <w:bCs/>
        </w:rPr>
        <w:t>Hervani</w:t>
      </w:r>
      <w:proofErr w:type="spellEnd"/>
      <w:r w:rsidRPr="00E64516">
        <w:rPr>
          <w:rFonts w:ascii="Times New Roman" w:eastAsia="Times New Roman" w:hAnsi="Times New Roman" w:cs="Times New Roman"/>
          <w:bCs/>
        </w:rPr>
        <w:t>, A. A., &amp; Helms, M. M. (2021). Redesigning supply chains using blockchain-enabled circular economy and COVID-19 experiences. </w:t>
      </w:r>
      <w:r w:rsidRPr="00E64516">
        <w:rPr>
          <w:rFonts w:ascii="Times New Roman" w:eastAsia="Times New Roman" w:hAnsi="Times New Roman" w:cs="Times New Roman"/>
          <w:bCs/>
          <w:i/>
          <w:iCs/>
        </w:rPr>
        <w:t>Sustainable Production and Consumption</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27</w:t>
      </w:r>
      <w:r w:rsidRPr="00E64516">
        <w:rPr>
          <w:rFonts w:ascii="Times New Roman" w:eastAsia="Times New Roman" w:hAnsi="Times New Roman" w:cs="Times New Roman"/>
          <w:bCs/>
        </w:rPr>
        <w:t>, 10-22.</w:t>
      </w:r>
    </w:p>
    <w:p w14:paraId="03AFD877"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lastRenderedPageBreak/>
        <w:t xml:space="preserve">Nandi, S., Sarkis, J., </w:t>
      </w:r>
      <w:proofErr w:type="spellStart"/>
      <w:r w:rsidRPr="00E64516">
        <w:rPr>
          <w:rFonts w:ascii="Times New Roman" w:eastAsia="Times New Roman" w:hAnsi="Times New Roman" w:cs="Times New Roman"/>
        </w:rPr>
        <w:t>Hervani</w:t>
      </w:r>
      <w:proofErr w:type="spellEnd"/>
      <w:r w:rsidRPr="00E64516">
        <w:rPr>
          <w:rFonts w:ascii="Times New Roman" w:eastAsia="Times New Roman" w:hAnsi="Times New Roman" w:cs="Times New Roman"/>
        </w:rPr>
        <w:t>, A., &amp; Helms, M. (2021). Do blockchain and circular economy practices improve post COVID-19 supply chains? A resource-based and resource dependence perspective. </w:t>
      </w:r>
      <w:r w:rsidRPr="00E64516">
        <w:rPr>
          <w:rFonts w:ascii="Times New Roman" w:eastAsia="Times New Roman" w:hAnsi="Times New Roman" w:cs="Times New Roman"/>
          <w:i/>
          <w:iCs/>
        </w:rPr>
        <w:t>Industrial Management &amp; Data Systems</w:t>
      </w:r>
      <w:r w:rsidRPr="00E64516">
        <w:rPr>
          <w:rFonts w:ascii="Times New Roman" w:eastAsia="Times New Roman" w:hAnsi="Times New Roman" w:cs="Times New Roman"/>
        </w:rPr>
        <w:t>, </w:t>
      </w:r>
      <w:r w:rsidRPr="00E64516">
        <w:rPr>
          <w:rFonts w:ascii="Times New Roman" w:eastAsia="Times New Roman" w:hAnsi="Times New Roman" w:cs="Times New Roman"/>
          <w:i/>
          <w:iCs/>
        </w:rPr>
        <w:t>121</w:t>
      </w:r>
      <w:r w:rsidRPr="00E64516">
        <w:rPr>
          <w:rFonts w:ascii="Times New Roman" w:eastAsia="Times New Roman" w:hAnsi="Times New Roman" w:cs="Times New Roman"/>
        </w:rPr>
        <w:t>(2), 333-363.</w:t>
      </w:r>
    </w:p>
    <w:p w14:paraId="0C0FF83E"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6E74E7">
        <w:rPr>
          <w:rFonts w:ascii="Times New Roman" w:eastAsia="Times New Roman" w:hAnsi="Times New Roman" w:cs="Times New Roman"/>
          <w:lang w:val="it-IT"/>
        </w:rPr>
        <w:t>Ncube</w:t>
      </w:r>
      <w:proofErr w:type="spellEnd"/>
      <w:r w:rsidRPr="006E74E7">
        <w:rPr>
          <w:rFonts w:ascii="Times New Roman" w:eastAsia="Times New Roman" w:hAnsi="Times New Roman" w:cs="Times New Roman"/>
          <w:lang w:val="it-IT"/>
        </w:rPr>
        <w:t xml:space="preserve">, A., </w:t>
      </w:r>
      <w:proofErr w:type="spellStart"/>
      <w:r w:rsidRPr="006E74E7">
        <w:rPr>
          <w:rFonts w:ascii="Times New Roman" w:eastAsia="Times New Roman" w:hAnsi="Times New Roman" w:cs="Times New Roman"/>
          <w:lang w:val="it-IT"/>
        </w:rPr>
        <w:t>Mtetwa</w:t>
      </w:r>
      <w:proofErr w:type="spellEnd"/>
      <w:r w:rsidRPr="006E74E7">
        <w:rPr>
          <w:rFonts w:ascii="Times New Roman" w:eastAsia="Times New Roman" w:hAnsi="Times New Roman" w:cs="Times New Roman"/>
          <w:lang w:val="it-IT"/>
        </w:rPr>
        <w:t xml:space="preserve">, S., </w:t>
      </w:r>
      <w:proofErr w:type="spellStart"/>
      <w:r w:rsidRPr="006E74E7">
        <w:rPr>
          <w:rFonts w:ascii="Times New Roman" w:eastAsia="Times New Roman" w:hAnsi="Times New Roman" w:cs="Times New Roman"/>
          <w:lang w:val="it-IT"/>
        </w:rPr>
        <w:t>Bukhari</w:t>
      </w:r>
      <w:proofErr w:type="spellEnd"/>
      <w:r w:rsidRPr="006E74E7">
        <w:rPr>
          <w:rFonts w:ascii="Times New Roman" w:eastAsia="Times New Roman" w:hAnsi="Times New Roman" w:cs="Times New Roman"/>
          <w:lang w:val="it-IT"/>
        </w:rPr>
        <w:t xml:space="preserve">, M., Fiorentino, G., &amp; </w:t>
      </w:r>
      <w:proofErr w:type="spellStart"/>
      <w:r w:rsidRPr="006E74E7">
        <w:rPr>
          <w:rFonts w:ascii="Times New Roman" w:eastAsia="Times New Roman" w:hAnsi="Times New Roman" w:cs="Times New Roman"/>
          <w:lang w:val="it-IT"/>
        </w:rPr>
        <w:t>Passaro</w:t>
      </w:r>
      <w:proofErr w:type="spellEnd"/>
      <w:r w:rsidRPr="006E74E7">
        <w:rPr>
          <w:rFonts w:ascii="Times New Roman" w:eastAsia="Times New Roman" w:hAnsi="Times New Roman" w:cs="Times New Roman"/>
          <w:lang w:val="it-IT"/>
        </w:rPr>
        <w:t xml:space="preserve">, R. (2023). </w:t>
      </w:r>
      <w:r w:rsidRPr="00E64516">
        <w:rPr>
          <w:rFonts w:ascii="Times New Roman" w:eastAsia="Times New Roman" w:hAnsi="Times New Roman" w:cs="Times New Roman"/>
        </w:rPr>
        <w:t>Circular economy and green chemistry: the need for radical innovative approaches in the design for new products. </w:t>
      </w:r>
      <w:r w:rsidRPr="00E64516">
        <w:rPr>
          <w:rFonts w:ascii="Times New Roman" w:eastAsia="Times New Roman" w:hAnsi="Times New Roman" w:cs="Times New Roman"/>
          <w:i/>
          <w:iCs/>
        </w:rPr>
        <w:t>Energies</w:t>
      </w:r>
      <w:r w:rsidRPr="00E64516">
        <w:rPr>
          <w:rFonts w:ascii="Times New Roman" w:eastAsia="Times New Roman" w:hAnsi="Times New Roman" w:cs="Times New Roman"/>
        </w:rPr>
        <w:t>, </w:t>
      </w:r>
      <w:r w:rsidRPr="00E64516">
        <w:rPr>
          <w:rFonts w:ascii="Times New Roman" w:eastAsia="Times New Roman" w:hAnsi="Times New Roman" w:cs="Times New Roman"/>
          <w:i/>
          <w:iCs/>
        </w:rPr>
        <w:t>16</w:t>
      </w:r>
      <w:r w:rsidRPr="00E64516">
        <w:rPr>
          <w:rFonts w:ascii="Times New Roman" w:eastAsia="Times New Roman" w:hAnsi="Times New Roman" w:cs="Times New Roman"/>
        </w:rPr>
        <w:t>(4), 1752.</w:t>
      </w:r>
    </w:p>
    <w:p w14:paraId="5BB3200A"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E64516">
        <w:rPr>
          <w:rFonts w:ascii="Times New Roman" w:eastAsia="Times New Roman" w:hAnsi="Times New Roman" w:cs="Times New Roman"/>
          <w:bCs/>
        </w:rPr>
        <w:t xml:space="preserve">Negri, M., </w:t>
      </w:r>
      <w:proofErr w:type="spellStart"/>
      <w:r w:rsidRPr="00E64516">
        <w:rPr>
          <w:rFonts w:ascii="Times New Roman" w:eastAsia="Times New Roman" w:hAnsi="Times New Roman" w:cs="Times New Roman"/>
          <w:bCs/>
        </w:rPr>
        <w:t>Cagno</w:t>
      </w:r>
      <w:proofErr w:type="spellEnd"/>
      <w:r w:rsidRPr="00E64516">
        <w:rPr>
          <w:rFonts w:ascii="Times New Roman" w:eastAsia="Times New Roman" w:hAnsi="Times New Roman" w:cs="Times New Roman"/>
          <w:bCs/>
        </w:rPr>
        <w:t xml:space="preserve">, E., </w:t>
      </w:r>
      <w:proofErr w:type="spellStart"/>
      <w:r w:rsidRPr="00E64516">
        <w:rPr>
          <w:rFonts w:ascii="Times New Roman" w:eastAsia="Times New Roman" w:hAnsi="Times New Roman" w:cs="Times New Roman"/>
          <w:bCs/>
        </w:rPr>
        <w:t>Colicchia</w:t>
      </w:r>
      <w:proofErr w:type="spellEnd"/>
      <w:r w:rsidRPr="00E64516">
        <w:rPr>
          <w:rFonts w:ascii="Times New Roman" w:eastAsia="Times New Roman" w:hAnsi="Times New Roman" w:cs="Times New Roman"/>
          <w:bCs/>
        </w:rPr>
        <w:t>, C., &amp; Sarkis, J. (2021). Integrating sustainability and resilience in the supply chain: A systematic literature review and a research agenda. </w:t>
      </w:r>
      <w:r w:rsidRPr="00E64516">
        <w:rPr>
          <w:rFonts w:ascii="Times New Roman" w:eastAsia="Times New Roman" w:hAnsi="Times New Roman" w:cs="Times New Roman"/>
          <w:bCs/>
          <w:i/>
          <w:iCs/>
        </w:rPr>
        <w:t>Business Strategy and the environment</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30</w:t>
      </w:r>
      <w:r w:rsidRPr="00E64516">
        <w:rPr>
          <w:rFonts w:ascii="Times New Roman" w:eastAsia="Times New Roman" w:hAnsi="Times New Roman" w:cs="Times New Roman"/>
          <w:bCs/>
        </w:rPr>
        <w:t>(7), 2858-2886.</w:t>
      </w:r>
    </w:p>
    <w:p w14:paraId="01E0FE59"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Nnaji, U. O., Benjamin, L. B., </w:t>
      </w:r>
      <w:proofErr w:type="spellStart"/>
      <w:r w:rsidRPr="00E64516">
        <w:rPr>
          <w:rFonts w:ascii="Times New Roman" w:eastAsia="Times New Roman" w:hAnsi="Times New Roman" w:cs="Times New Roman"/>
        </w:rPr>
        <w:t>Eyo</w:t>
      </w:r>
      <w:proofErr w:type="spellEnd"/>
      <w:r w:rsidRPr="00E64516">
        <w:rPr>
          <w:rFonts w:ascii="Times New Roman" w:eastAsia="Times New Roman" w:hAnsi="Times New Roman" w:cs="Times New Roman"/>
        </w:rPr>
        <w:t xml:space="preserve">-Udo, N. L., &amp; </w:t>
      </w:r>
      <w:proofErr w:type="spellStart"/>
      <w:r w:rsidRPr="00E64516">
        <w:rPr>
          <w:rFonts w:ascii="Times New Roman" w:eastAsia="Times New Roman" w:hAnsi="Times New Roman" w:cs="Times New Roman"/>
        </w:rPr>
        <w:t>Etukudoh</w:t>
      </w:r>
      <w:proofErr w:type="spellEnd"/>
      <w:r w:rsidRPr="00E64516">
        <w:rPr>
          <w:rFonts w:ascii="Times New Roman" w:eastAsia="Times New Roman" w:hAnsi="Times New Roman" w:cs="Times New Roman"/>
        </w:rPr>
        <w:t>, E. A. (2024). Strategies for enhancing global supply chain resilience to climate change. </w:t>
      </w:r>
      <w:r w:rsidRPr="00E64516">
        <w:rPr>
          <w:rFonts w:ascii="Times New Roman" w:eastAsia="Times New Roman" w:hAnsi="Times New Roman" w:cs="Times New Roman"/>
          <w:i/>
          <w:iCs/>
        </w:rPr>
        <w:t>International Journal of Management &amp; Entrepreneurship Research</w:t>
      </w:r>
      <w:r w:rsidRPr="00E64516">
        <w:rPr>
          <w:rFonts w:ascii="Times New Roman" w:eastAsia="Times New Roman" w:hAnsi="Times New Roman" w:cs="Times New Roman"/>
        </w:rPr>
        <w:t>, </w:t>
      </w:r>
      <w:r w:rsidRPr="00E64516">
        <w:rPr>
          <w:rFonts w:ascii="Times New Roman" w:eastAsia="Times New Roman" w:hAnsi="Times New Roman" w:cs="Times New Roman"/>
          <w:i/>
          <w:iCs/>
        </w:rPr>
        <w:t>6</w:t>
      </w:r>
      <w:r w:rsidRPr="00E64516">
        <w:rPr>
          <w:rFonts w:ascii="Times New Roman" w:eastAsia="Times New Roman" w:hAnsi="Times New Roman" w:cs="Times New Roman"/>
        </w:rPr>
        <w:t>(5), 1677-1686.</w:t>
      </w:r>
    </w:p>
    <w:p w14:paraId="2F8A4039" w14:textId="77777777" w:rsidR="00E60C54" w:rsidRPr="006E74E7" w:rsidRDefault="00E60C54" w:rsidP="00E60C54">
      <w:pPr>
        <w:spacing w:before="100" w:beforeAutospacing="1" w:after="100" w:afterAutospacing="1" w:line="480" w:lineRule="auto"/>
        <w:ind w:left="720" w:hanging="720"/>
        <w:rPr>
          <w:rFonts w:ascii="Times New Roman" w:eastAsia="Times New Roman" w:hAnsi="Times New Roman" w:cs="Times New Roman"/>
          <w:lang w:val="it-IT"/>
        </w:rPr>
      </w:pPr>
      <w:proofErr w:type="spellStart"/>
      <w:r w:rsidRPr="00E64516">
        <w:rPr>
          <w:rFonts w:ascii="Times New Roman" w:eastAsia="Times New Roman" w:hAnsi="Times New Roman" w:cs="Times New Roman"/>
        </w:rPr>
        <w:t>Onyeaka</w:t>
      </w:r>
      <w:proofErr w:type="spellEnd"/>
      <w:r w:rsidRPr="00E64516">
        <w:rPr>
          <w:rFonts w:ascii="Times New Roman" w:eastAsia="Times New Roman" w:hAnsi="Times New Roman" w:cs="Times New Roman"/>
        </w:rPr>
        <w:t xml:space="preserve">, H., </w:t>
      </w:r>
      <w:proofErr w:type="spellStart"/>
      <w:r w:rsidRPr="00E64516">
        <w:rPr>
          <w:rFonts w:ascii="Times New Roman" w:eastAsia="Times New Roman" w:hAnsi="Times New Roman" w:cs="Times New Roman"/>
        </w:rPr>
        <w:t>Tamasiga</w:t>
      </w:r>
      <w:proofErr w:type="spellEnd"/>
      <w:r w:rsidRPr="00E64516">
        <w:rPr>
          <w:rFonts w:ascii="Times New Roman" w:eastAsia="Times New Roman" w:hAnsi="Times New Roman" w:cs="Times New Roman"/>
        </w:rPr>
        <w:t xml:space="preserve">, P., </w:t>
      </w:r>
      <w:proofErr w:type="spellStart"/>
      <w:r w:rsidRPr="00E64516">
        <w:rPr>
          <w:rFonts w:ascii="Times New Roman" w:eastAsia="Times New Roman" w:hAnsi="Times New Roman" w:cs="Times New Roman"/>
        </w:rPr>
        <w:t>Nwauzoma</w:t>
      </w:r>
      <w:proofErr w:type="spellEnd"/>
      <w:r w:rsidRPr="00E64516">
        <w:rPr>
          <w:rFonts w:ascii="Times New Roman" w:eastAsia="Times New Roman" w:hAnsi="Times New Roman" w:cs="Times New Roman"/>
        </w:rPr>
        <w:t xml:space="preserve">, U. M., Miri, T., Juliet, U. C., </w:t>
      </w:r>
      <w:proofErr w:type="spellStart"/>
      <w:r w:rsidRPr="00E64516">
        <w:rPr>
          <w:rFonts w:ascii="Times New Roman" w:eastAsia="Times New Roman" w:hAnsi="Times New Roman" w:cs="Times New Roman"/>
        </w:rPr>
        <w:t>Nwaiwu</w:t>
      </w:r>
      <w:proofErr w:type="spellEnd"/>
      <w:r w:rsidRPr="00E64516">
        <w:rPr>
          <w:rFonts w:ascii="Times New Roman" w:eastAsia="Times New Roman" w:hAnsi="Times New Roman" w:cs="Times New Roman"/>
        </w:rPr>
        <w:t xml:space="preserve">, O., &amp; </w:t>
      </w:r>
      <w:proofErr w:type="spellStart"/>
      <w:r w:rsidRPr="00E64516">
        <w:rPr>
          <w:rFonts w:ascii="Times New Roman" w:eastAsia="Times New Roman" w:hAnsi="Times New Roman" w:cs="Times New Roman"/>
        </w:rPr>
        <w:t>Akinsemolu</w:t>
      </w:r>
      <w:proofErr w:type="spellEnd"/>
      <w:r w:rsidRPr="00E64516">
        <w:rPr>
          <w:rFonts w:ascii="Times New Roman" w:eastAsia="Times New Roman" w:hAnsi="Times New Roman" w:cs="Times New Roman"/>
        </w:rPr>
        <w:t>, A. A. (2023). Using artificial intelligence to tackle food waste and enhance the circular economy: Maximising resource efficiency and minimising environmental impact: A review. </w:t>
      </w:r>
      <w:proofErr w:type="spellStart"/>
      <w:r w:rsidRPr="006E74E7">
        <w:rPr>
          <w:rFonts w:ascii="Times New Roman" w:eastAsia="Times New Roman" w:hAnsi="Times New Roman" w:cs="Times New Roman"/>
          <w:i/>
          <w:iCs/>
          <w:lang w:val="it-IT"/>
        </w:rPr>
        <w:t>Sustainability</w:t>
      </w:r>
      <w:proofErr w:type="spellEnd"/>
      <w:r w:rsidRPr="006E74E7">
        <w:rPr>
          <w:rFonts w:ascii="Times New Roman" w:eastAsia="Times New Roman" w:hAnsi="Times New Roman" w:cs="Times New Roman"/>
          <w:lang w:val="it-IT"/>
        </w:rPr>
        <w:t>, </w:t>
      </w:r>
      <w:r w:rsidRPr="006E74E7">
        <w:rPr>
          <w:rFonts w:ascii="Times New Roman" w:eastAsia="Times New Roman" w:hAnsi="Times New Roman" w:cs="Times New Roman"/>
          <w:i/>
          <w:iCs/>
          <w:lang w:val="it-IT"/>
        </w:rPr>
        <w:t>15</w:t>
      </w:r>
      <w:r w:rsidRPr="006E74E7">
        <w:rPr>
          <w:rFonts w:ascii="Times New Roman" w:eastAsia="Times New Roman" w:hAnsi="Times New Roman" w:cs="Times New Roman"/>
          <w:lang w:val="it-IT"/>
        </w:rPr>
        <w:t>(13), 10482.</w:t>
      </w:r>
    </w:p>
    <w:p w14:paraId="65CEA4C5"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6E74E7">
        <w:rPr>
          <w:rFonts w:ascii="Times New Roman" w:eastAsia="Times New Roman" w:hAnsi="Times New Roman" w:cs="Times New Roman"/>
          <w:lang w:val="it-IT"/>
        </w:rPr>
        <w:t xml:space="preserve">Orlando, B., Tortora, D., Pezzi, A., &amp; </w:t>
      </w:r>
      <w:proofErr w:type="spellStart"/>
      <w:r w:rsidRPr="006E74E7">
        <w:rPr>
          <w:rFonts w:ascii="Times New Roman" w:eastAsia="Times New Roman" w:hAnsi="Times New Roman" w:cs="Times New Roman"/>
          <w:lang w:val="it-IT"/>
        </w:rPr>
        <w:t>Bitbol</w:t>
      </w:r>
      <w:proofErr w:type="spellEnd"/>
      <w:r w:rsidRPr="006E74E7">
        <w:rPr>
          <w:rFonts w:ascii="Times New Roman" w:eastAsia="Times New Roman" w:hAnsi="Times New Roman" w:cs="Times New Roman"/>
          <w:lang w:val="it-IT"/>
        </w:rPr>
        <w:t xml:space="preserve">-Saba, N. (2021). </w:t>
      </w:r>
      <w:r w:rsidRPr="00E64516">
        <w:rPr>
          <w:rFonts w:ascii="Times New Roman" w:eastAsia="Times New Roman" w:hAnsi="Times New Roman" w:cs="Times New Roman"/>
        </w:rPr>
        <w:t xml:space="preserve">The disruption of the international supply chain: Firm resilience and knowledge preparedness to </w:t>
      </w:r>
      <w:r w:rsidRPr="00E64516">
        <w:rPr>
          <w:rFonts w:ascii="Times New Roman" w:eastAsia="Times New Roman" w:hAnsi="Times New Roman" w:cs="Times New Roman"/>
        </w:rPr>
        <w:lastRenderedPageBreak/>
        <w:t>tackle the COVID-19 outbreak. </w:t>
      </w:r>
      <w:r w:rsidRPr="00E64516">
        <w:rPr>
          <w:rFonts w:ascii="Times New Roman" w:eastAsia="Times New Roman" w:hAnsi="Times New Roman" w:cs="Times New Roman"/>
          <w:i/>
          <w:iCs/>
        </w:rPr>
        <w:t>Journal of International Management</w:t>
      </w:r>
      <w:r w:rsidRPr="00E64516">
        <w:rPr>
          <w:rFonts w:ascii="Times New Roman" w:eastAsia="Times New Roman" w:hAnsi="Times New Roman" w:cs="Times New Roman"/>
        </w:rPr>
        <w:t>, </w:t>
      </w:r>
      <w:r w:rsidRPr="00E64516">
        <w:rPr>
          <w:rFonts w:ascii="Times New Roman" w:eastAsia="Times New Roman" w:hAnsi="Times New Roman" w:cs="Times New Roman"/>
          <w:i/>
          <w:iCs/>
        </w:rPr>
        <w:t>28</w:t>
      </w:r>
      <w:r w:rsidRPr="00E64516">
        <w:rPr>
          <w:rFonts w:ascii="Times New Roman" w:eastAsia="Times New Roman" w:hAnsi="Times New Roman" w:cs="Times New Roman"/>
        </w:rPr>
        <w:t>(1), 100876.</w:t>
      </w:r>
    </w:p>
    <w:p w14:paraId="43941725"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proofErr w:type="spellStart"/>
      <w:r w:rsidRPr="00E64516">
        <w:rPr>
          <w:rFonts w:ascii="Times New Roman" w:eastAsia="Times New Roman" w:hAnsi="Times New Roman" w:cs="Times New Roman"/>
          <w:bCs/>
        </w:rPr>
        <w:t>Piila</w:t>
      </w:r>
      <w:proofErr w:type="spellEnd"/>
      <w:r w:rsidRPr="00E64516">
        <w:rPr>
          <w:rFonts w:ascii="Times New Roman" w:eastAsia="Times New Roman" w:hAnsi="Times New Roman" w:cs="Times New Roman"/>
          <w:bCs/>
        </w:rPr>
        <w:t xml:space="preserve">, N., &amp; </w:t>
      </w:r>
      <w:proofErr w:type="spellStart"/>
      <w:r w:rsidRPr="00E64516">
        <w:rPr>
          <w:rFonts w:ascii="Times New Roman" w:eastAsia="Times New Roman" w:hAnsi="Times New Roman" w:cs="Times New Roman"/>
          <w:bCs/>
        </w:rPr>
        <w:t>Sarja</w:t>
      </w:r>
      <w:proofErr w:type="spellEnd"/>
      <w:r w:rsidRPr="00E64516">
        <w:rPr>
          <w:rFonts w:ascii="Times New Roman" w:eastAsia="Times New Roman" w:hAnsi="Times New Roman" w:cs="Times New Roman"/>
          <w:bCs/>
        </w:rPr>
        <w:t xml:space="preserve">, M. (2024). Extraordinary supply chain disruptions and the circular economy transition in the construction industry–An opportunity within </w:t>
      </w:r>
      <w:proofErr w:type="gramStart"/>
      <w:r w:rsidRPr="00E64516">
        <w:rPr>
          <w:rFonts w:ascii="Times New Roman" w:eastAsia="Times New Roman" w:hAnsi="Times New Roman" w:cs="Times New Roman"/>
          <w:bCs/>
        </w:rPr>
        <w:t>crisis?.</w:t>
      </w:r>
      <w:proofErr w:type="gramEnd"/>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Sustainable Production and Consumption</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47</w:t>
      </w:r>
      <w:r w:rsidRPr="00E64516">
        <w:rPr>
          <w:rFonts w:ascii="Times New Roman" w:eastAsia="Times New Roman" w:hAnsi="Times New Roman" w:cs="Times New Roman"/>
          <w:bCs/>
        </w:rPr>
        <w:t>, 71-86.</w:t>
      </w:r>
    </w:p>
    <w:p w14:paraId="2348D0C4" w14:textId="77777777" w:rsidR="00E60C54" w:rsidRPr="006E74E7" w:rsidRDefault="00E60C54" w:rsidP="00E60C54">
      <w:pPr>
        <w:spacing w:before="100" w:beforeAutospacing="1" w:after="100" w:afterAutospacing="1" w:line="480" w:lineRule="auto"/>
        <w:ind w:left="720" w:hanging="720"/>
        <w:rPr>
          <w:rFonts w:ascii="Times New Roman" w:eastAsia="Times New Roman" w:hAnsi="Times New Roman" w:cs="Times New Roman"/>
          <w:lang w:val="fr-FR"/>
        </w:rPr>
      </w:pPr>
      <w:r w:rsidRPr="00E64516">
        <w:rPr>
          <w:rFonts w:ascii="Times New Roman" w:eastAsia="Times New Roman" w:hAnsi="Times New Roman" w:cs="Times New Roman"/>
        </w:rPr>
        <w:t xml:space="preserve">Pinsky, E., &amp; Jia, J. (2025). </w:t>
      </w:r>
      <w:proofErr w:type="spellStart"/>
      <w:r w:rsidRPr="00E64516">
        <w:rPr>
          <w:rFonts w:ascii="Times New Roman" w:eastAsia="Times New Roman" w:hAnsi="Times New Roman" w:cs="Times New Roman"/>
        </w:rPr>
        <w:t>Analyzing</w:t>
      </w:r>
      <w:proofErr w:type="spellEnd"/>
      <w:r w:rsidRPr="00E64516">
        <w:rPr>
          <w:rFonts w:ascii="Times New Roman" w:eastAsia="Times New Roman" w:hAnsi="Times New Roman" w:cs="Times New Roman"/>
        </w:rPr>
        <w:t xml:space="preserve"> China's export-import dynamics amid global disruptions. </w:t>
      </w:r>
      <w:r w:rsidRPr="006E74E7">
        <w:rPr>
          <w:rFonts w:ascii="Times New Roman" w:eastAsia="Times New Roman" w:hAnsi="Times New Roman" w:cs="Times New Roman"/>
          <w:i/>
          <w:iCs/>
          <w:lang w:val="fr-FR"/>
        </w:rPr>
        <w:t>Social Sciences Insights Journal</w:t>
      </w:r>
      <w:r w:rsidRPr="006E74E7">
        <w:rPr>
          <w:rFonts w:ascii="Times New Roman" w:eastAsia="Times New Roman" w:hAnsi="Times New Roman" w:cs="Times New Roman"/>
          <w:lang w:val="fr-FR"/>
        </w:rPr>
        <w:t>, </w:t>
      </w:r>
      <w:r w:rsidRPr="006E74E7">
        <w:rPr>
          <w:rFonts w:ascii="Times New Roman" w:eastAsia="Times New Roman" w:hAnsi="Times New Roman" w:cs="Times New Roman"/>
          <w:i/>
          <w:iCs/>
          <w:lang w:val="fr-FR"/>
        </w:rPr>
        <w:t>3</w:t>
      </w:r>
      <w:r w:rsidRPr="006E74E7">
        <w:rPr>
          <w:rFonts w:ascii="Times New Roman" w:eastAsia="Times New Roman" w:hAnsi="Times New Roman" w:cs="Times New Roman"/>
          <w:lang w:val="fr-FR"/>
        </w:rPr>
        <w:t>(1), 1-9.</w:t>
      </w:r>
      <w:r w:rsidRPr="006E74E7">
        <w:rPr>
          <w:rFonts w:ascii="Times New Roman" w:eastAsia="Times New Roman" w:hAnsi="Times New Roman" w:cs="Times New Roman"/>
          <w:lang w:val="fr-FR"/>
        </w:rPr>
        <w:br/>
      </w:r>
    </w:p>
    <w:p w14:paraId="3B7DBF61"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6E74E7">
        <w:rPr>
          <w:rFonts w:ascii="Times New Roman" w:eastAsia="Times New Roman" w:hAnsi="Times New Roman" w:cs="Times New Roman"/>
          <w:lang w:val="fr-FR"/>
        </w:rPr>
        <w:t>Possas</w:t>
      </w:r>
      <w:proofErr w:type="spellEnd"/>
      <w:r w:rsidRPr="006E74E7">
        <w:rPr>
          <w:rFonts w:ascii="Times New Roman" w:eastAsia="Times New Roman" w:hAnsi="Times New Roman" w:cs="Times New Roman"/>
          <w:lang w:val="fr-FR"/>
        </w:rPr>
        <w:t xml:space="preserve">, C., Marques, E. T., Risi Jr, J. B., &amp; </w:t>
      </w:r>
      <w:proofErr w:type="spellStart"/>
      <w:r w:rsidRPr="006E74E7">
        <w:rPr>
          <w:rFonts w:ascii="Times New Roman" w:eastAsia="Times New Roman" w:hAnsi="Times New Roman" w:cs="Times New Roman"/>
          <w:lang w:val="fr-FR"/>
        </w:rPr>
        <w:t>Homma</w:t>
      </w:r>
      <w:proofErr w:type="spellEnd"/>
      <w:r w:rsidRPr="006E74E7">
        <w:rPr>
          <w:rFonts w:ascii="Times New Roman" w:eastAsia="Times New Roman" w:hAnsi="Times New Roman" w:cs="Times New Roman"/>
          <w:lang w:val="fr-FR"/>
        </w:rPr>
        <w:t xml:space="preserve">, A. (2021). </w:t>
      </w:r>
      <w:r w:rsidRPr="00E64516">
        <w:rPr>
          <w:rFonts w:ascii="Times New Roman" w:eastAsia="Times New Roman" w:hAnsi="Times New Roman" w:cs="Times New Roman"/>
        </w:rPr>
        <w:t>COVID-19 and future disease X in circular economy transition: redesigning pandemic preparedness to prevent a global disaster. </w:t>
      </w:r>
      <w:r w:rsidRPr="00E64516">
        <w:rPr>
          <w:rFonts w:ascii="Times New Roman" w:eastAsia="Times New Roman" w:hAnsi="Times New Roman" w:cs="Times New Roman"/>
          <w:i/>
          <w:iCs/>
        </w:rPr>
        <w:t>Circular Economy and Sustainability</w:t>
      </w:r>
      <w:r w:rsidRPr="00E64516">
        <w:rPr>
          <w:rFonts w:ascii="Times New Roman" w:eastAsia="Times New Roman" w:hAnsi="Times New Roman" w:cs="Times New Roman"/>
        </w:rPr>
        <w:t>, </w:t>
      </w:r>
      <w:r w:rsidRPr="00E64516">
        <w:rPr>
          <w:rFonts w:ascii="Times New Roman" w:eastAsia="Times New Roman" w:hAnsi="Times New Roman" w:cs="Times New Roman"/>
          <w:i/>
          <w:iCs/>
        </w:rPr>
        <w:t>1</w:t>
      </w:r>
      <w:r w:rsidRPr="00E64516">
        <w:rPr>
          <w:rFonts w:ascii="Times New Roman" w:eastAsia="Times New Roman" w:hAnsi="Times New Roman" w:cs="Times New Roman"/>
        </w:rPr>
        <w:t>(4), 1463-1478.</w:t>
      </w:r>
    </w:p>
    <w:p w14:paraId="6223AD59"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Queiroz, M. M., Ivanov, D., </w:t>
      </w:r>
      <w:proofErr w:type="spellStart"/>
      <w:r w:rsidRPr="00E64516">
        <w:rPr>
          <w:rFonts w:ascii="Times New Roman" w:eastAsia="Times New Roman" w:hAnsi="Times New Roman" w:cs="Times New Roman"/>
        </w:rPr>
        <w:t>Dolgui</w:t>
      </w:r>
      <w:proofErr w:type="spellEnd"/>
      <w:r w:rsidRPr="00E64516">
        <w:rPr>
          <w:rFonts w:ascii="Times New Roman" w:eastAsia="Times New Roman" w:hAnsi="Times New Roman" w:cs="Times New Roman"/>
        </w:rPr>
        <w:t xml:space="preserve">, A., &amp; </w:t>
      </w:r>
      <w:proofErr w:type="spellStart"/>
      <w:r w:rsidRPr="00E64516">
        <w:rPr>
          <w:rFonts w:ascii="Times New Roman" w:eastAsia="Times New Roman" w:hAnsi="Times New Roman" w:cs="Times New Roman"/>
        </w:rPr>
        <w:t>Fosso</w:t>
      </w:r>
      <w:proofErr w:type="spellEnd"/>
      <w:r w:rsidRPr="00E64516">
        <w:rPr>
          <w:rFonts w:ascii="Times New Roman" w:eastAsia="Times New Roman" w:hAnsi="Times New Roman" w:cs="Times New Roman"/>
        </w:rPr>
        <w:t xml:space="preserve"> Wamba, S. (2022). Impacts of epidemic outbreaks on supply chains: mapping a research agenda amid the COVID-19 pandemic through a structured literature review. </w:t>
      </w:r>
      <w:r w:rsidRPr="00E64516">
        <w:rPr>
          <w:rFonts w:ascii="Times New Roman" w:eastAsia="Times New Roman" w:hAnsi="Times New Roman" w:cs="Times New Roman"/>
          <w:i/>
          <w:iCs/>
        </w:rPr>
        <w:t>Annals of operations research</w:t>
      </w:r>
      <w:r w:rsidRPr="00E64516">
        <w:rPr>
          <w:rFonts w:ascii="Times New Roman" w:eastAsia="Times New Roman" w:hAnsi="Times New Roman" w:cs="Times New Roman"/>
        </w:rPr>
        <w:t>, </w:t>
      </w:r>
      <w:r w:rsidRPr="00E64516">
        <w:rPr>
          <w:rFonts w:ascii="Times New Roman" w:eastAsia="Times New Roman" w:hAnsi="Times New Roman" w:cs="Times New Roman"/>
          <w:i/>
          <w:iCs/>
        </w:rPr>
        <w:t>319</w:t>
      </w:r>
      <w:r w:rsidRPr="00E64516">
        <w:rPr>
          <w:rFonts w:ascii="Times New Roman" w:eastAsia="Times New Roman" w:hAnsi="Times New Roman" w:cs="Times New Roman"/>
        </w:rPr>
        <w:t>(1), 1159-1196.</w:t>
      </w:r>
    </w:p>
    <w:p w14:paraId="0DBE299E"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Rannane</w:t>
      </w:r>
      <w:proofErr w:type="spellEnd"/>
      <w:r w:rsidRPr="00E64516">
        <w:rPr>
          <w:rFonts w:ascii="Times New Roman" w:eastAsia="Times New Roman" w:hAnsi="Times New Roman" w:cs="Times New Roman"/>
        </w:rPr>
        <w:t xml:space="preserve">, Y., </w:t>
      </w:r>
      <w:proofErr w:type="spellStart"/>
      <w:r w:rsidRPr="00E64516">
        <w:rPr>
          <w:rFonts w:ascii="Times New Roman" w:eastAsia="Times New Roman" w:hAnsi="Times New Roman" w:cs="Times New Roman"/>
        </w:rPr>
        <w:t>Mharzi</w:t>
      </w:r>
      <w:proofErr w:type="spellEnd"/>
      <w:r w:rsidRPr="00E64516">
        <w:rPr>
          <w:rFonts w:ascii="Times New Roman" w:eastAsia="Times New Roman" w:hAnsi="Times New Roman" w:cs="Times New Roman"/>
        </w:rPr>
        <w:t xml:space="preserve">, H., &amp; El </w:t>
      </w:r>
      <w:proofErr w:type="spellStart"/>
      <w:r w:rsidRPr="00E64516">
        <w:rPr>
          <w:rFonts w:ascii="Times New Roman" w:eastAsia="Times New Roman" w:hAnsi="Times New Roman" w:cs="Times New Roman"/>
        </w:rPr>
        <w:t>Oualidi</w:t>
      </w:r>
      <w:proofErr w:type="spellEnd"/>
      <w:r w:rsidRPr="00E64516">
        <w:rPr>
          <w:rFonts w:ascii="Times New Roman" w:eastAsia="Times New Roman" w:hAnsi="Times New Roman" w:cs="Times New Roman"/>
        </w:rPr>
        <w:t>, M. A. (2022, May). A systematic review of the supply chain resilience measurement literature. In </w:t>
      </w:r>
      <w:r w:rsidRPr="00E64516">
        <w:rPr>
          <w:rFonts w:ascii="Times New Roman" w:eastAsia="Times New Roman" w:hAnsi="Times New Roman" w:cs="Times New Roman"/>
          <w:i/>
          <w:iCs/>
        </w:rPr>
        <w:t>2022 14th International Colloquium of Logistics and Supply Chain Management (LOGISTIQUA)</w:t>
      </w:r>
      <w:r w:rsidRPr="00E64516">
        <w:rPr>
          <w:rFonts w:ascii="Times New Roman" w:eastAsia="Times New Roman" w:hAnsi="Times New Roman" w:cs="Times New Roman"/>
        </w:rPr>
        <w:t> (pp. 1-6). IEEE.</w:t>
      </w:r>
    </w:p>
    <w:p w14:paraId="534F56A8"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lastRenderedPageBreak/>
        <w:t xml:space="preserve">Rashid, A., Rasheed, R., </w:t>
      </w:r>
      <w:proofErr w:type="spellStart"/>
      <w:r w:rsidRPr="00E64516">
        <w:rPr>
          <w:rFonts w:ascii="Times New Roman" w:eastAsia="Times New Roman" w:hAnsi="Times New Roman" w:cs="Times New Roman"/>
        </w:rPr>
        <w:t>Ngah</w:t>
      </w:r>
      <w:proofErr w:type="spellEnd"/>
      <w:r w:rsidRPr="00E64516">
        <w:rPr>
          <w:rFonts w:ascii="Times New Roman" w:eastAsia="Times New Roman" w:hAnsi="Times New Roman" w:cs="Times New Roman"/>
        </w:rPr>
        <w:t xml:space="preserve">, A. H., </w:t>
      </w:r>
      <w:proofErr w:type="spellStart"/>
      <w:r w:rsidRPr="00E64516">
        <w:rPr>
          <w:rFonts w:ascii="Times New Roman" w:eastAsia="Times New Roman" w:hAnsi="Times New Roman" w:cs="Times New Roman"/>
        </w:rPr>
        <w:t>Pradeepa</w:t>
      </w:r>
      <w:proofErr w:type="spellEnd"/>
      <w:r w:rsidRPr="00E64516">
        <w:rPr>
          <w:rFonts w:ascii="Times New Roman" w:eastAsia="Times New Roman" w:hAnsi="Times New Roman" w:cs="Times New Roman"/>
        </w:rPr>
        <w:t xml:space="preserve"> Jayaratne, M. D. R., </w:t>
      </w:r>
      <w:proofErr w:type="spellStart"/>
      <w:r w:rsidRPr="00E64516">
        <w:rPr>
          <w:rFonts w:ascii="Times New Roman" w:eastAsia="Times New Roman" w:hAnsi="Times New Roman" w:cs="Times New Roman"/>
        </w:rPr>
        <w:t>Rahi</w:t>
      </w:r>
      <w:proofErr w:type="spellEnd"/>
      <w:r w:rsidRPr="00E64516">
        <w:rPr>
          <w:rFonts w:ascii="Times New Roman" w:eastAsia="Times New Roman" w:hAnsi="Times New Roman" w:cs="Times New Roman"/>
        </w:rPr>
        <w:t xml:space="preserve">, S., &amp; </w:t>
      </w:r>
      <w:proofErr w:type="spellStart"/>
      <w:r w:rsidRPr="00E64516">
        <w:rPr>
          <w:rFonts w:ascii="Times New Roman" w:eastAsia="Times New Roman" w:hAnsi="Times New Roman" w:cs="Times New Roman"/>
        </w:rPr>
        <w:t>Tunio</w:t>
      </w:r>
      <w:proofErr w:type="spellEnd"/>
      <w:r w:rsidRPr="00E64516">
        <w:rPr>
          <w:rFonts w:ascii="Times New Roman" w:eastAsia="Times New Roman" w:hAnsi="Times New Roman" w:cs="Times New Roman"/>
        </w:rPr>
        <w:t>, M. N. (2024). Role of information processing and digital supply chain in supply chain resilience through supply chain risk management. </w:t>
      </w:r>
      <w:r w:rsidRPr="00E64516">
        <w:rPr>
          <w:rFonts w:ascii="Times New Roman" w:eastAsia="Times New Roman" w:hAnsi="Times New Roman" w:cs="Times New Roman"/>
          <w:i/>
          <w:iCs/>
        </w:rPr>
        <w:t>Journal of Global Operations and Strategic Sourcing</w:t>
      </w:r>
      <w:r w:rsidRPr="00E64516">
        <w:rPr>
          <w:rFonts w:ascii="Times New Roman" w:eastAsia="Times New Roman" w:hAnsi="Times New Roman" w:cs="Times New Roman"/>
        </w:rPr>
        <w:t>, </w:t>
      </w:r>
      <w:r w:rsidRPr="00E64516">
        <w:rPr>
          <w:rFonts w:ascii="Times New Roman" w:eastAsia="Times New Roman" w:hAnsi="Times New Roman" w:cs="Times New Roman"/>
          <w:i/>
          <w:iCs/>
        </w:rPr>
        <w:t>17</w:t>
      </w:r>
      <w:r w:rsidRPr="00E64516">
        <w:rPr>
          <w:rFonts w:ascii="Times New Roman" w:eastAsia="Times New Roman" w:hAnsi="Times New Roman" w:cs="Times New Roman"/>
        </w:rPr>
        <w:t>(2), 429-447.</w:t>
      </w:r>
      <w:r w:rsidRPr="00E64516">
        <w:rPr>
          <w:rFonts w:ascii="Times New Roman" w:eastAsia="Times New Roman" w:hAnsi="Times New Roman" w:cs="Times New Roman"/>
        </w:rPr>
        <w:br/>
      </w:r>
    </w:p>
    <w:p w14:paraId="25BC5714"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Raudales</w:t>
      </w:r>
      <w:proofErr w:type="spellEnd"/>
      <w:r w:rsidRPr="00E64516">
        <w:rPr>
          <w:rFonts w:ascii="Times New Roman" w:eastAsia="Times New Roman" w:hAnsi="Times New Roman" w:cs="Times New Roman"/>
        </w:rPr>
        <w:t>-Garcia, E. V., Acosta-</w:t>
      </w:r>
      <w:proofErr w:type="spellStart"/>
      <w:r w:rsidRPr="00E64516">
        <w:rPr>
          <w:rFonts w:ascii="Times New Roman" w:eastAsia="Times New Roman" w:hAnsi="Times New Roman" w:cs="Times New Roman"/>
        </w:rPr>
        <w:t>Tzin</w:t>
      </w:r>
      <w:proofErr w:type="spellEnd"/>
      <w:r w:rsidRPr="00E64516">
        <w:rPr>
          <w:rFonts w:ascii="Times New Roman" w:eastAsia="Times New Roman" w:hAnsi="Times New Roman" w:cs="Times New Roman"/>
        </w:rPr>
        <w:t xml:space="preserve">, J. V., &amp; Aguilar-Hernández, P. A. (2024). Circular economy: A systematic and bibliometric review. </w:t>
      </w:r>
      <w:proofErr w:type="spellStart"/>
      <w:r w:rsidRPr="00E64516">
        <w:rPr>
          <w:rFonts w:ascii="Times New Roman" w:eastAsia="Times New Roman" w:hAnsi="Times New Roman" w:cs="Times New Roman"/>
          <w:i/>
        </w:rPr>
        <w:t>Región</w:t>
      </w:r>
      <w:proofErr w:type="spellEnd"/>
      <w:r w:rsidRPr="00E64516">
        <w:rPr>
          <w:rFonts w:ascii="Times New Roman" w:eastAsia="Times New Roman" w:hAnsi="Times New Roman" w:cs="Times New Roman"/>
          <w:i/>
        </w:rPr>
        <w:t xml:space="preserve"> </w:t>
      </w:r>
      <w:proofErr w:type="spellStart"/>
      <w:r w:rsidRPr="00E64516">
        <w:rPr>
          <w:rFonts w:ascii="Times New Roman" w:eastAsia="Times New Roman" w:hAnsi="Times New Roman" w:cs="Times New Roman"/>
          <w:i/>
        </w:rPr>
        <w:t>Científica</w:t>
      </w:r>
      <w:proofErr w:type="spellEnd"/>
      <w:r w:rsidRPr="00E64516">
        <w:rPr>
          <w:rFonts w:ascii="Times New Roman" w:eastAsia="Times New Roman" w:hAnsi="Times New Roman" w:cs="Times New Roman"/>
          <w:i/>
        </w:rPr>
        <w:t>, 2024192.</w:t>
      </w:r>
    </w:p>
    <w:p w14:paraId="45657142"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Rejeb</w:t>
      </w:r>
      <w:proofErr w:type="spellEnd"/>
      <w:r w:rsidRPr="00E64516">
        <w:rPr>
          <w:rFonts w:ascii="Times New Roman" w:eastAsia="Times New Roman" w:hAnsi="Times New Roman" w:cs="Times New Roman"/>
        </w:rPr>
        <w:t xml:space="preserve">, A., </w:t>
      </w:r>
      <w:proofErr w:type="spellStart"/>
      <w:r w:rsidRPr="00E64516">
        <w:rPr>
          <w:rFonts w:ascii="Times New Roman" w:eastAsia="Times New Roman" w:hAnsi="Times New Roman" w:cs="Times New Roman"/>
        </w:rPr>
        <w:t>Rejeb</w:t>
      </w:r>
      <w:proofErr w:type="spellEnd"/>
      <w:r w:rsidRPr="00E64516">
        <w:rPr>
          <w:rFonts w:ascii="Times New Roman" w:eastAsia="Times New Roman" w:hAnsi="Times New Roman" w:cs="Times New Roman"/>
        </w:rPr>
        <w:t xml:space="preserve">, K., </w:t>
      </w:r>
      <w:proofErr w:type="spellStart"/>
      <w:r w:rsidRPr="00E64516">
        <w:rPr>
          <w:rFonts w:ascii="Times New Roman" w:eastAsia="Times New Roman" w:hAnsi="Times New Roman" w:cs="Times New Roman"/>
        </w:rPr>
        <w:t>Appolloni</w:t>
      </w:r>
      <w:proofErr w:type="spellEnd"/>
      <w:r w:rsidRPr="00E64516">
        <w:rPr>
          <w:rFonts w:ascii="Times New Roman" w:eastAsia="Times New Roman" w:hAnsi="Times New Roman" w:cs="Times New Roman"/>
        </w:rPr>
        <w:t xml:space="preserve">, A., </w:t>
      </w:r>
      <w:proofErr w:type="spellStart"/>
      <w:r w:rsidRPr="00E64516">
        <w:rPr>
          <w:rFonts w:ascii="Times New Roman" w:eastAsia="Times New Roman" w:hAnsi="Times New Roman" w:cs="Times New Roman"/>
        </w:rPr>
        <w:t>Treiblmaier</w:t>
      </w:r>
      <w:proofErr w:type="spellEnd"/>
      <w:r w:rsidRPr="00E64516">
        <w:rPr>
          <w:rFonts w:ascii="Times New Roman" w:eastAsia="Times New Roman" w:hAnsi="Times New Roman" w:cs="Times New Roman"/>
        </w:rPr>
        <w:t xml:space="preserve">, H., &amp; </w:t>
      </w:r>
      <w:proofErr w:type="spellStart"/>
      <w:r w:rsidRPr="00E64516">
        <w:rPr>
          <w:rFonts w:ascii="Times New Roman" w:eastAsia="Times New Roman" w:hAnsi="Times New Roman" w:cs="Times New Roman"/>
        </w:rPr>
        <w:t>Iranmanesh</w:t>
      </w:r>
      <w:proofErr w:type="spellEnd"/>
      <w:r w:rsidRPr="00E64516">
        <w:rPr>
          <w:rFonts w:ascii="Times New Roman" w:eastAsia="Times New Roman" w:hAnsi="Times New Roman" w:cs="Times New Roman"/>
        </w:rPr>
        <w:t>, M. (2023). Circular economy research in the COVID-19 era: a review and the road ahead. </w:t>
      </w:r>
      <w:r w:rsidRPr="00E64516">
        <w:rPr>
          <w:rFonts w:ascii="Times New Roman" w:eastAsia="Times New Roman" w:hAnsi="Times New Roman" w:cs="Times New Roman"/>
          <w:i/>
          <w:iCs/>
        </w:rPr>
        <w:t>Circular economy and sustainability</w:t>
      </w:r>
      <w:r w:rsidRPr="00E64516">
        <w:rPr>
          <w:rFonts w:ascii="Times New Roman" w:eastAsia="Times New Roman" w:hAnsi="Times New Roman" w:cs="Times New Roman"/>
        </w:rPr>
        <w:t>, </w:t>
      </w:r>
      <w:r w:rsidRPr="00E64516">
        <w:rPr>
          <w:rFonts w:ascii="Times New Roman" w:eastAsia="Times New Roman" w:hAnsi="Times New Roman" w:cs="Times New Roman"/>
          <w:i/>
          <w:iCs/>
        </w:rPr>
        <w:t>3</w:t>
      </w:r>
      <w:r w:rsidRPr="00E64516">
        <w:rPr>
          <w:rFonts w:ascii="Times New Roman" w:eastAsia="Times New Roman" w:hAnsi="Times New Roman" w:cs="Times New Roman"/>
        </w:rPr>
        <w:t>(4), 2127-2157.</w:t>
      </w:r>
    </w:p>
    <w:p w14:paraId="5FB6C665"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Rodrigo, N., </w:t>
      </w:r>
      <w:proofErr w:type="spellStart"/>
      <w:r w:rsidRPr="00E64516">
        <w:rPr>
          <w:rFonts w:ascii="Times New Roman" w:eastAsia="Times New Roman" w:hAnsi="Times New Roman" w:cs="Times New Roman"/>
        </w:rPr>
        <w:t>Omrany</w:t>
      </w:r>
      <w:proofErr w:type="spellEnd"/>
      <w:r w:rsidRPr="00E64516">
        <w:rPr>
          <w:rFonts w:ascii="Times New Roman" w:eastAsia="Times New Roman" w:hAnsi="Times New Roman" w:cs="Times New Roman"/>
        </w:rPr>
        <w:t xml:space="preserve">, H., Chang, R., &amp; </w:t>
      </w:r>
      <w:proofErr w:type="spellStart"/>
      <w:r w:rsidRPr="00E64516">
        <w:rPr>
          <w:rFonts w:ascii="Times New Roman" w:eastAsia="Times New Roman" w:hAnsi="Times New Roman" w:cs="Times New Roman"/>
        </w:rPr>
        <w:t>Zuo</w:t>
      </w:r>
      <w:proofErr w:type="spellEnd"/>
      <w:r w:rsidRPr="00E64516">
        <w:rPr>
          <w:rFonts w:ascii="Times New Roman" w:eastAsia="Times New Roman" w:hAnsi="Times New Roman" w:cs="Times New Roman"/>
        </w:rPr>
        <w:t>, J. (2023). Leveraging digital technologies for circular economy in construction industry: a way forward. </w:t>
      </w:r>
      <w:r w:rsidRPr="00E64516">
        <w:rPr>
          <w:rFonts w:ascii="Times New Roman" w:eastAsia="Times New Roman" w:hAnsi="Times New Roman" w:cs="Times New Roman"/>
          <w:i/>
          <w:iCs/>
        </w:rPr>
        <w:t>Smart and Sustainable Built Environment</w:t>
      </w:r>
      <w:r w:rsidRPr="00E64516">
        <w:rPr>
          <w:rFonts w:ascii="Times New Roman" w:eastAsia="Times New Roman" w:hAnsi="Times New Roman" w:cs="Times New Roman"/>
        </w:rPr>
        <w:t>, </w:t>
      </w:r>
      <w:r w:rsidRPr="00E64516">
        <w:rPr>
          <w:rFonts w:ascii="Times New Roman" w:eastAsia="Times New Roman" w:hAnsi="Times New Roman" w:cs="Times New Roman"/>
          <w:i/>
          <w:iCs/>
        </w:rPr>
        <w:t>13</w:t>
      </w:r>
      <w:r w:rsidRPr="00E64516">
        <w:rPr>
          <w:rFonts w:ascii="Times New Roman" w:eastAsia="Times New Roman" w:hAnsi="Times New Roman" w:cs="Times New Roman"/>
        </w:rPr>
        <w:t>(1), 85-116.</w:t>
      </w:r>
    </w:p>
    <w:p w14:paraId="01E5ED3B"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Rosenboom</w:t>
      </w:r>
      <w:proofErr w:type="spellEnd"/>
      <w:r w:rsidRPr="00E64516">
        <w:rPr>
          <w:rFonts w:ascii="Times New Roman" w:eastAsia="Times New Roman" w:hAnsi="Times New Roman" w:cs="Times New Roman"/>
        </w:rPr>
        <w:t>, J. G., Langer, R., &amp; Traverso, G. (2022). Bioplastics for a circular economy. </w:t>
      </w:r>
      <w:r w:rsidRPr="00E64516">
        <w:rPr>
          <w:rFonts w:ascii="Times New Roman" w:eastAsia="Times New Roman" w:hAnsi="Times New Roman" w:cs="Times New Roman"/>
          <w:i/>
          <w:iCs/>
        </w:rPr>
        <w:t>Nature Reviews Materials</w:t>
      </w:r>
      <w:r w:rsidRPr="00E64516">
        <w:rPr>
          <w:rFonts w:ascii="Times New Roman" w:eastAsia="Times New Roman" w:hAnsi="Times New Roman" w:cs="Times New Roman"/>
        </w:rPr>
        <w:t>, </w:t>
      </w:r>
      <w:r w:rsidRPr="00E64516">
        <w:rPr>
          <w:rFonts w:ascii="Times New Roman" w:eastAsia="Times New Roman" w:hAnsi="Times New Roman" w:cs="Times New Roman"/>
          <w:i/>
          <w:iCs/>
        </w:rPr>
        <w:t>7</w:t>
      </w:r>
      <w:r w:rsidRPr="00E64516">
        <w:rPr>
          <w:rFonts w:ascii="Times New Roman" w:eastAsia="Times New Roman" w:hAnsi="Times New Roman" w:cs="Times New Roman"/>
        </w:rPr>
        <w:t>(2), 117-137.</w:t>
      </w:r>
    </w:p>
    <w:p w14:paraId="6CCAB06C"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Sadeghi, M., </w:t>
      </w:r>
      <w:proofErr w:type="spellStart"/>
      <w:r w:rsidRPr="00E64516">
        <w:rPr>
          <w:rFonts w:ascii="Times New Roman" w:eastAsia="Times New Roman" w:hAnsi="Times New Roman" w:cs="Times New Roman"/>
        </w:rPr>
        <w:t>Mahmoudi</w:t>
      </w:r>
      <w:proofErr w:type="spellEnd"/>
      <w:r w:rsidRPr="00E64516">
        <w:rPr>
          <w:rFonts w:ascii="Times New Roman" w:eastAsia="Times New Roman" w:hAnsi="Times New Roman" w:cs="Times New Roman"/>
        </w:rPr>
        <w:t>, A., Deng, X., &amp; Luo, X. (2023). Prioritizing requirements for implementing blockchain technology in construction supply chain based on circular economy: Fuzzy Ordinal Priority Approach. </w:t>
      </w:r>
      <w:r w:rsidRPr="00E64516">
        <w:rPr>
          <w:rFonts w:ascii="Times New Roman" w:eastAsia="Times New Roman" w:hAnsi="Times New Roman" w:cs="Times New Roman"/>
          <w:i/>
          <w:iCs/>
        </w:rPr>
        <w:t>International Journal of Environmental Science and Technology</w:t>
      </w:r>
      <w:r w:rsidRPr="00E64516">
        <w:rPr>
          <w:rFonts w:ascii="Times New Roman" w:eastAsia="Times New Roman" w:hAnsi="Times New Roman" w:cs="Times New Roman"/>
        </w:rPr>
        <w:t>, </w:t>
      </w:r>
      <w:r w:rsidRPr="00E64516">
        <w:rPr>
          <w:rFonts w:ascii="Times New Roman" w:eastAsia="Times New Roman" w:hAnsi="Times New Roman" w:cs="Times New Roman"/>
          <w:i/>
          <w:iCs/>
        </w:rPr>
        <w:t>20</w:t>
      </w:r>
      <w:r w:rsidRPr="00E64516">
        <w:rPr>
          <w:rFonts w:ascii="Times New Roman" w:eastAsia="Times New Roman" w:hAnsi="Times New Roman" w:cs="Times New Roman"/>
        </w:rPr>
        <w:t>(5), 4991-5012.</w:t>
      </w:r>
    </w:p>
    <w:p w14:paraId="36DEFDB9"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proofErr w:type="spellStart"/>
      <w:r w:rsidRPr="00E64516">
        <w:rPr>
          <w:rFonts w:ascii="Times New Roman" w:eastAsia="Times New Roman" w:hAnsi="Times New Roman" w:cs="Times New Roman"/>
          <w:bCs/>
        </w:rPr>
        <w:lastRenderedPageBreak/>
        <w:t>Saidani</w:t>
      </w:r>
      <w:proofErr w:type="spellEnd"/>
      <w:r w:rsidRPr="00E64516">
        <w:rPr>
          <w:rFonts w:ascii="Times New Roman" w:eastAsia="Times New Roman" w:hAnsi="Times New Roman" w:cs="Times New Roman"/>
          <w:bCs/>
        </w:rPr>
        <w:t xml:space="preserve">, M., </w:t>
      </w:r>
      <w:proofErr w:type="spellStart"/>
      <w:r w:rsidRPr="00E64516">
        <w:rPr>
          <w:rFonts w:ascii="Times New Roman" w:eastAsia="Times New Roman" w:hAnsi="Times New Roman" w:cs="Times New Roman"/>
          <w:bCs/>
        </w:rPr>
        <w:t>Cluzel</w:t>
      </w:r>
      <w:proofErr w:type="spellEnd"/>
      <w:r w:rsidRPr="00E64516">
        <w:rPr>
          <w:rFonts w:ascii="Times New Roman" w:eastAsia="Times New Roman" w:hAnsi="Times New Roman" w:cs="Times New Roman"/>
          <w:bCs/>
        </w:rPr>
        <w:t xml:space="preserve">, F., </w:t>
      </w:r>
      <w:proofErr w:type="spellStart"/>
      <w:r w:rsidRPr="00E64516">
        <w:rPr>
          <w:rFonts w:ascii="Times New Roman" w:eastAsia="Times New Roman" w:hAnsi="Times New Roman" w:cs="Times New Roman"/>
          <w:bCs/>
        </w:rPr>
        <w:t>Yannou</w:t>
      </w:r>
      <w:proofErr w:type="spellEnd"/>
      <w:r w:rsidRPr="00E64516">
        <w:rPr>
          <w:rFonts w:ascii="Times New Roman" w:eastAsia="Times New Roman" w:hAnsi="Times New Roman" w:cs="Times New Roman"/>
          <w:bCs/>
        </w:rPr>
        <w:t xml:space="preserve">, B., &amp; Kim, H. (2021). Circular economy as a key for industrial value chain resilience in a post-COVID world: what do future engineers </w:t>
      </w:r>
      <w:proofErr w:type="gramStart"/>
      <w:r w:rsidRPr="00E64516">
        <w:rPr>
          <w:rFonts w:ascii="Times New Roman" w:eastAsia="Times New Roman" w:hAnsi="Times New Roman" w:cs="Times New Roman"/>
          <w:bCs/>
        </w:rPr>
        <w:t>think?.</w:t>
      </w:r>
      <w:proofErr w:type="gramEnd"/>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 xml:space="preserve">Procedia </w:t>
      </w:r>
      <w:proofErr w:type="spellStart"/>
      <w:r w:rsidRPr="00E64516">
        <w:rPr>
          <w:rFonts w:ascii="Times New Roman" w:eastAsia="Times New Roman" w:hAnsi="Times New Roman" w:cs="Times New Roman"/>
          <w:bCs/>
          <w:i/>
          <w:iCs/>
        </w:rPr>
        <w:t>Cirp</w:t>
      </w:r>
      <w:proofErr w:type="spellEnd"/>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103</w:t>
      </w:r>
      <w:r w:rsidRPr="00E64516">
        <w:rPr>
          <w:rFonts w:ascii="Times New Roman" w:eastAsia="Times New Roman" w:hAnsi="Times New Roman" w:cs="Times New Roman"/>
          <w:bCs/>
        </w:rPr>
        <w:t>, 26-31.</w:t>
      </w:r>
    </w:p>
    <w:p w14:paraId="23B86E90"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Sartzetaki</w:t>
      </w:r>
      <w:proofErr w:type="spellEnd"/>
      <w:r w:rsidRPr="00E64516">
        <w:rPr>
          <w:rFonts w:ascii="Times New Roman" w:eastAsia="Times New Roman" w:hAnsi="Times New Roman" w:cs="Times New Roman"/>
        </w:rPr>
        <w:t xml:space="preserve">, M., </w:t>
      </w:r>
      <w:proofErr w:type="spellStart"/>
      <w:r w:rsidRPr="00E64516">
        <w:rPr>
          <w:rFonts w:ascii="Times New Roman" w:eastAsia="Times New Roman" w:hAnsi="Times New Roman" w:cs="Times New Roman"/>
        </w:rPr>
        <w:t>Karampini</w:t>
      </w:r>
      <w:proofErr w:type="spellEnd"/>
      <w:r w:rsidRPr="00E64516">
        <w:rPr>
          <w:rFonts w:ascii="Times New Roman" w:eastAsia="Times New Roman" w:hAnsi="Times New Roman" w:cs="Times New Roman"/>
        </w:rPr>
        <w:t xml:space="preserve">, T., </w:t>
      </w:r>
      <w:proofErr w:type="spellStart"/>
      <w:r w:rsidRPr="00E64516">
        <w:rPr>
          <w:rFonts w:ascii="Times New Roman" w:eastAsia="Times New Roman" w:hAnsi="Times New Roman" w:cs="Times New Roman"/>
        </w:rPr>
        <w:t>Karagkouni</w:t>
      </w:r>
      <w:proofErr w:type="spellEnd"/>
      <w:r w:rsidRPr="00E64516">
        <w:rPr>
          <w:rFonts w:ascii="Times New Roman" w:eastAsia="Times New Roman" w:hAnsi="Times New Roman" w:cs="Times New Roman"/>
        </w:rPr>
        <w:t xml:space="preserve">, A., </w:t>
      </w:r>
      <w:proofErr w:type="spellStart"/>
      <w:r w:rsidRPr="00E64516">
        <w:rPr>
          <w:rFonts w:ascii="Times New Roman" w:eastAsia="Times New Roman" w:hAnsi="Times New Roman" w:cs="Times New Roman"/>
        </w:rPr>
        <w:t>Drimpetas</w:t>
      </w:r>
      <w:proofErr w:type="spellEnd"/>
      <w:r w:rsidRPr="00E64516">
        <w:rPr>
          <w:rFonts w:ascii="Times New Roman" w:eastAsia="Times New Roman" w:hAnsi="Times New Roman" w:cs="Times New Roman"/>
        </w:rPr>
        <w:t xml:space="preserve">, E., &amp; </w:t>
      </w:r>
      <w:proofErr w:type="spellStart"/>
      <w:r w:rsidRPr="00E64516">
        <w:rPr>
          <w:rFonts w:ascii="Times New Roman" w:eastAsia="Times New Roman" w:hAnsi="Times New Roman" w:cs="Times New Roman"/>
        </w:rPr>
        <w:t>Dimitriou</w:t>
      </w:r>
      <w:proofErr w:type="spellEnd"/>
      <w:r w:rsidRPr="00E64516">
        <w:rPr>
          <w:rFonts w:ascii="Times New Roman" w:eastAsia="Times New Roman" w:hAnsi="Times New Roman" w:cs="Times New Roman"/>
        </w:rPr>
        <w:t>, D. (2025). Circular economy strategies in supply chain management: an evaluation framework for airport operators. </w:t>
      </w:r>
      <w:r w:rsidRPr="00E64516">
        <w:rPr>
          <w:rFonts w:ascii="Times New Roman" w:eastAsia="Times New Roman" w:hAnsi="Times New Roman" w:cs="Times New Roman"/>
          <w:i/>
          <w:iCs/>
        </w:rPr>
        <w:t>Frontiers in Sustainability</w:t>
      </w:r>
      <w:r w:rsidRPr="00E64516">
        <w:rPr>
          <w:rFonts w:ascii="Times New Roman" w:eastAsia="Times New Roman" w:hAnsi="Times New Roman" w:cs="Times New Roman"/>
        </w:rPr>
        <w:t>, </w:t>
      </w:r>
      <w:r w:rsidRPr="00E64516">
        <w:rPr>
          <w:rFonts w:ascii="Times New Roman" w:eastAsia="Times New Roman" w:hAnsi="Times New Roman" w:cs="Times New Roman"/>
          <w:i/>
          <w:iCs/>
        </w:rPr>
        <w:t>6</w:t>
      </w:r>
      <w:r w:rsidRPr="00E64516">
        <w:rPr>
          <w:rFonts w:ascii="Times New Roman" w:eastAsia="Times New Roman" w:hAnsi="Times New Roman" w:cs="Times New Roman"/>
        </w:rPr>
        <w:t>, 1558706.</w:t>
      </w:r>
    </w:p>
    <w:p w14:paraId="7576414F"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Shang, W. L., Gao, Z., </w:t>
      </w:r>
      <w:proofErr w:type="spellStart"/>
      <w:r w:rsidRPr="00E64516">
        <w:rPr>
          <w:rFonts w:ascii="Times New Roman" w:eastAsia="Times New Roman" w:hAnsi="Times New Roman" w:cs="Times New Roman"/>
        </w:rPr>
        <w:t>Daina</w:t>
      </w:r>
      <w:proofErr w:type="spellEnd"/>
      <w:r w:rsidRPr="00E64516">
        <w:rPr>
          <w:rFonts w:ascii="Times New Roman" w:eastAsia="Times New Roman" w:hAnsi="Times New Roman" w:cs="Times New Roman"/>
        </w:rPr>
        <w:t>, N., Zhang, H., Long, Y., Guo, Z., &amp; Ochieng, W. Y. (2022). Benchmark analysis for robustness of multi-scale urban road networks under global disruptions. </w:t>
      </w:r>
      <w:r w:rsidRPr="00E64516">
        <w:rPr>
          <w:rFonts w:ascii="Times New Roman" w:eastAsia="Times New Roman" w:hAnsi="Times New Roman" w:cs="Times New Roman"/>
          <w:i/>
          <w:iCs/>
        </w:rPr>
        <w:t>IEEE Transactions on Intelligent Transportation Systems</w:t>
      </w:r>
      <w:r w:rsidRPr="00E64516">
        <w:rPr>
          <w:rFonts w:ascii="Times New Roman" w:eastAsia="Times New Roman" w:hAnsi="Times New Roman" w:cs="Times New Roman"/>
        </w:rPr>
        <w:t>, </w:t>
      </w:r>
      <w:r w:rsidRPr="00E64516">
        <w:rPr>
          <w:rFonts w:ascii="Times New Roman" w:eastAsia="Times New Roman" w:hAnsi="Times New Roman" w:cs="Times New Roman"/>
          <w:i/>
          <w:iCs/>
        </w:rPr>
        <w:t>24</w:t>
      </w:r>
      <w:r w:rsidRPr="00E64516">
        <w:rPr>
          <w:rFonts w:ascii="Times New Roman" w:eastAsia="Times New Roman" w:hAnsi="Times New Roman" w:cs="Times New Roman"/>
        </w:rPr>
        <w:t>(12), 15344-15354.</w:t>
      </w:r>
      <w:r w:rsidRPr="00E64516">
        <w:rPr>
          <w:rFonts w:ascii="Times New Roman" w:eastAsia="Times New Roman" w:hAnsi="Times New Roman" w:cs="Times New Roman"/>
        </w:rPr>
        <w:br/>
      </w:r>
    </w:p>
    <w:p w14:paraId="54B459FA"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Singh, A., Dwivedi, A., Agrawal, D., &amp; Chauhan, A. (2024). A framework to model the performance indicators of resilient construction supply chain: An effort toward attaining sustainability and circular practices. </w:t>
      </w:r>
      <w:r w:rsidRPr="00E64516">
        <w:rPr>
          <w:rFonts w:ascii="Times New Roman" w:eastAsia="Times New Roman" w:hAnsi="Times New Roman" w:cs="Times New Roman"/>
          <w:i/>
          <w:iCs/>
        </w:rPr>
        <w:t>Business Strategy and the Environment</w:t>
      </w:r>
      <w:r w:rsidRPr="00E64516">
        <w:rPr>
          <w:rFonts w:ascii="Times New Roman" w:eastAsia="Times New Roman" w:hAnsi="Times New Roman" w:cs="Times New Roman"/>
        </w:rPr>
        <w:t>, </w:t>
      </w:r>
      <w:r w:rsidRPr="00E64516">
        <w:rPr>
          <w:rFonts w:ascii="Times New Roman" w:eastAsia="Times New Roman" w:hAnsi="Times New Roman" w:cs="Times New Roman"/>
          <w:i/>
          <w:iCs/>
        </w:rPr>
        <w:t>33</w:t>
      </w:r>
      <w:r w:rsidRPr="00E64516">
        <w:rPr>
          <w:rFonts w:ascii="Times New Roman" w:eastAsia="Times New Roman" w:hAnsi="Times New Roman" w:cs="Times New Roman"/>
        </w:rPr>
        <w:t>(3), 1688-1720.</w:t>
      </w:r>
    </w:p>
    <w:p w14:paraId="25ECA36A"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Solomon, N. O., </w:t>
      </w:r>
      <w:proofErr w:type="spellStart"/>
      <w:r w:rsidRPr="00E64516">
        <w:rPr>
          <w:rFonts w:ascii="Times New Roman" w:eastAsia="Times New Roman" w:hAnsi="Times New Roman" w:cs="Times New Roman"/>
        </w:rPr>
        <w:t>Simpa</w:t>
      </w:r>
      <w:proofErr w:type="spellEnd"/>
      <w:r w:rsidRPr="00E64516">
        <w:rPr>
          <w:rFonts w:ascii="Times New Roman" w:eastAsia="Times New Roman" w:hAnsi="Times New Roman" w:cs="Times New Roman"/>
        </w:rPr>
        <w:t xml:space="preserve">, P., </w:t>
      </w:r>
      <w:proofErr w:type="spellStart"/>
      <w:r w:rsidRPr="00E64516">
        <w:rPr>
          <w:rFonts w:ascii="Times New Roman" w:eastAsia="Times New Roman" w:hAnsi="Times New Roman" w:cs="Times New Roman"/>
        </w:rPr>
        <w:t>Adenekan</w:t>
      </w:r>
      <w:proofErr w:type="spellEnd"/>
      <w:r w:rsidRPr="00E64516">
        <w:rPr>
          <w:rFonts w:ascii="Times New Roman" w:eastAsia="Times New Roman" w:hAnsi="Times New Roman" w:cs="Times New Roman"/>
        </w:rPr>
        <w:t>, O. A., &amp; Obasi, S. C. (2024). Circular economy principles and their integration into global supply chain strategies. </w:t>
      </w:r>
      <w:r w:rsidRPr="00E64516">
        <w:rPr>
          <w:rFonts w:ascii="Times New Roman" w:eastAsia="Times New Roman" w:hAnsi="Times New Roman" w:cs="Times New Roman"/>
          <w:i/>
          <w:iCs/>
        </w:rPr>
        <w:t>Finance &amp; Accounting Research Journal</w:t>
      </w:r>
      <w:r w:rsidRPr="00E64516">
        <w:rPr>
          <w:rFonts w:ascii="Times New Roman" w:eastAsia="Times New Roman" w:hAnsi="Times New Roman" w:cs="Times New Roman"/>
        </w:rPr>
        <w:t>, </w:t>
      </w:r>
      <w:r w:rsidRPr="00E64516">
        <w:rPr>
          <w:rFonts w:ascii="Times New Roman" w:eastAsia="Times New Roman" w:hAnsi="Times New Roman" w:cs="Times New Roman"/>
          <w:i/>
          <w:iCs/>
        </w:rPr>
        <w:t>6</w:t>
      </w:r>
      <w:r w:rsidRPr="00E64516">
        <w:rPr>
          <w:rFonts w:ascii="Times New Roman" w:eastAsia="Times New Roman" w:hAnsi="Times New Roman" w:cs="Times New Roman"/>
        </w:rPr>
        <w:t>(5), 747-762.</w:t>
      </w:r>
    </w:p>
    <w:p w14:paraId="0245D9F3"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E64516">
        <w:rPr>
          <w:rFonts w:ascii="Times New Roman" w:eastAsia="Times New Roman" w:hAnsi="Times New Roman" w:cs="Times New Roman"/>
          <w:bCs/>
        </w:rPr>
        <w:t xml:space="preserve">Sprecher, B., </w:t>
      </w:r>
      <w:proofErr w:type="spellStart"/>
      <w:r w:rsidRPr="00E64516">
        <w:rPr>
          <w:rFonts w:ascii="Times New Roman" w:eastAsia="Times New Roman" w:hAnsi="Times New Roman" w:cs="Times New Roman"/>
          <w:bCs/>
        </w:rPr>
        <w:t>Daigo</w:t>
      </w:r>
      <w:proofErr w:type="spellEnd"/>
      <w:r w:rsidRPr="00E64516">
        <w:rPr>
          <w:rFonts w:ascii="Times New Roman" w:eastAsia="Times New Roman" w:hAnsi="Times New Roman" w:cs="Times New Roman"/>
          <w:bCs/>
        </w:rPr>
        <w:t xml:space="preserve">, I., Murakami, S., Kleijn, R., Vos, M., &amp; Kramer, G. J. (2015). Framework for resilience in material supply chains, with a case study from the </w:t>
      </w:r>
      <w:r w:rsidRPr="00E64516">
        <w:rPr>
          <w:rFonts w:ascii="Times New Roman" w:eastAsia="Times New Roman" w:hAnsi="Times New Roman" w:cs="Times New Roman"/>
          <w:bCs/>
        </w:rPr>
        <w:lastRenderedPageBreak/>
        <w:t>2010 rare earth crisis. </w:t>
      </w:r>
      <w:r w:rsidRPr="00E64516">
        <w:rPr>
          <w:rFonts w:ascii="Times New Roman" w:eastAsia="Times New Roman" w:hAnsi="Times New Roman" w:cs="Times New Roman"/>
          <w:bCs/>
          <w:i/>
          <w:iCs/>
        </w:rPr>
        <w:t>Environmental science &amp; technology</w:t>
      </w:r>
      <w:r w:rsidRPr="00E64516">
        <w:rPr>
          <w:rFonts w:ascii="Times New Roman" w:eastAsia="Times New Roman" w:hAnsi="Times New Roman" w:cs="Times New Roman"/>
          <w:bCs/>
        </w:rPr>
        <w:t>, </w:t>
      </w:r>
      <w:r w:rsidRPr="00E64516">
        <w:rPr>
          <w:rFonts w:ascii="Times New Roman" w:eastAsia="Times New Roman" w:hAnsi="Times New Roman" w:cs="Times New Roman"/>
          <w:bCs/>
          <w:i/>
          <w:iCs/>
        </w:rPr>
        <w:t>49</w:t>
      </w:r>
      <w:r w:rsidRPr="00E64516">
        <w:rPr>
          <w:rFonts w:ascii="Times New Roman" w:eastAsia="Times New Roman" w:hAnsi="Times New Roman" w:cs="Times New Roman"/>
          <w:bCs/>
        </w:rPr>
        <w:t>(11), 6740-6750.</w:t>
      </w:r>
    </w:p>
    <w:p w14:paraId="4CC6FAD8"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Su</w:t>
      </w:r>
      <w:proofErr w:type="spellEnd"/>
      <w:r w:rsidRPr="00E64516">
        <w:rPr>
          <w:rFonts w:ascii="Times New Roman" w:eastAsia="Times New Roman" w:hAnsi="Times New Roman" w:cs="Times New Roman"/>
        </w:rPr>
        <w:t>, C., &amp; Urban, F. (2021). Circular economy for clean energy transitions: A new opportunity under the COVID-19 pandemic. </w:t>
      </w:r>
      <w:r w:rsidRPr="00E64516">
        <w:rPr>
          <w:rFonts w:ascii="Times New Roman" w:eastAsia="Times New Roman" w:hAnsi="Times New Roman" w:cs="Times New Roman"/>
          <w:i/>
          <w:iCs/>
        </w:rPr>
        <w:t>Applied Energy</w:t>
      </w:r>
      <w:r w:rsidRPr="00E64516">
        <w:rPr>
          <w:rFonts w:ascii="Times New Roman" w:eastAsia="Times New Roman" w:hAnsi="Times New Roman" w:cs="Times New Roman"/>
        </w:rPr>
        <w:t>, </w:t>
      </w:r>
      <w:r w:rsidRPr="00E64516">
        <w:rPr>
          <w:rFonts w:ascii="Times New Roman" w:eastAsia="Times New Roman" w:hAnsi="Times New Roman" w:cs="Times New Roman"/>
          <w:i/>
          <w:iCs/>
        </w:rPr>
        <w:t>289</w:t>
      </w:r>
      <w:r w:rsidRPr="00E64516">
        <w:rPr>
          <w:rFonts w:ascii="Times New Roman" w:eastAsia="Times New Roman" w:hAnsi="Times New Roman" w:cs="Times New Roman"/>
        </w:rPr>
        <w:t>, 116666.</w:t>
      </w:r>
    </w:p>
    <w:p w14:paraId="089219D3"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Sudhakaran</w:t>
      </w:r>
      <w:proofErr w:type="spellEnd"/>
      <w:r w:rsidRPr="00E64516">
        <w:rPr>
          <w:rFonts w:ascii="Times New Roman" w:eastAsia="Times New Roman" w:hAnsi="Times New Roman" w:cs="Times New Roman"/>
        </w:rPr>
        <w:t xml:space="preserve">, S., </w:t>
      </w:r>
      <w:proofErr w:type="spellStart"/>
      <w:r w:rsidRPr="00E64516">
        <w:rPr>
          <w:rFonts w:ascii="Times New Roman" w:eastAsia="Times New Roman" w:hAnsi="Times New Roman" w:cs="Times New Roman"/>
        </w:rPr>
        <w:t>Maheswari</w:t>
      </w:r>
      <w:proofErr w:type="spellEnd"/>
      <w:r w:rsidRPr="00E64516">
        <w:rPr>
          <w:rFonts w:ascii="Times New Roman" w:eastAsia="Times New Roman" w:hAnsi="Times New Roman" w:cs="Times New Roman"/>
        </w:rPr>
        <w:t>, R., &amp; Jagannathan, S. K. (2025). IoT-Driven Supply Chain Management: A Comprehensive Framework for Smart and Sustainable Operations. In </w:t>
      </w:r>
      <w:r w:rsidRPr="00E64516">
        <w:rPr>
          <w:rFonts w:ascii="Times New Roman" w:eastAsia="Times New Roman" w:hAnsi="Times New Roman" w:cs="Times New Roman"/>
          <w:i/>
          <w:iCs/>
        </w:rPr>
        <w:t>Industry 4.0, Smart Manufacturing, and Industrial Engineering</w:t>
      </w:r>
      <w:r w:rsidRPr="00E64516">
        <w:rPr>
          <w:rFonts w:ascii="Times New Roman" w:eastAsia="Times New Roman" w:hAnsi="Times New Roman" w:cs="Times New Roman"/>
        </w:rPr>
        <w:t> (pp. 162-178). CRC Press.</w:t>
      </w:r>
    </w:p>
    <w:p w14:paraId="67F5669A"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t>Turskis</w:t>
      </w:r>
      <w:proofErr w:type="spellEnd"/>
      <w:r w:rsidRPr="00E64516">
        <w:rPr>
          <w:rFonts w:ascii="Times New Roman" w:eastAsia="Times New Roman" w:hAnsi="Times New Roman" w:cs="Times New Roman"/>
        </w:rPr>
        <w:t xml:space="preserve">, Z., &amp; </w:t>
      </w:r>
      <w:proofErr w:type="spellStart"/>
      <w:r w:rsidRPr="00E64516">
        <w:rPr>
          <w:rFonts w:ascii="Times New Roman" w:eastAsia="Times New Roman" w:hAnsi="Times New Roman" w:cs="Times New Roman"/>
        </w:rPr>
        <w:t>Šniokienė</w:t>
      </w:r>
      <w:proofErr w:type="spellEnd"/>
      <w:r w:rsidRPr="00E64516">
        <w:rPr>
          <w:rFonts w:ascii="Times New Roman" w:eastAsia="Times New Roman" w:hAnsi="Times New Roman" w:cs="Times New Roman"/>
        </w:rPr>
        <w:t>, V. (2024). IoT-Driven Transformation of Circular Economy Efficiency: An Overview. </w:t>
      </w:r>
      <w:r w:rsidRPr="00E64516">
        <w:rPr>
          <w:rFonts w:ascii="Times New Roman" w:eastAsia="Times New Roman" w:hAnsi="Times New Roman" w:cs="Times New Roman"/>
          <w:i/>
          <w:iCs/>
        </w:rPr>
        <w:t>Mathematical and Computational Applications</w:t>
      </w:r>
      <w:r w:rsidRPr="00E64516">
        <w:rPr>
          <w:rFonts w:ascii="Times New Roman" w:eastAsia="Times New Roman" w:hAnsi="Times New Roman" w:cs="Times New Roman"/>
        </w:rPr>
        <w:t>, </w:t>
      </w:r>
      <w:r w:rsidRPr="00E64516">
        <w:rPr>
          <w:rFonts w:ascii="Times New Roman" w:eastAsia="Times New Roman" w:hAnsi="Times New Roman" w:cs="Times New Roman"/>
          <w:i/>
          <w:iCs/>
        </w:rPr>
        <w:t>29</w:t>
      </w:r>
      <w:r w:rsidRPr="00E64516">
        <w:rPr>
          <w:rFonts w:ascii="Times New Roman" w:eastAsia="Times New Roman" w:hAnsi="Times New Roman" w:cs="Times New Roman"/>
        </w:rPr>
        <w:t>(4), 49-55.</w:t>
      </w:r>
    </w:p>
    <w:p w14:paraId="4C6E0F91"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ul </w:t>
      </w:r>
      <w:proofErr w:type="spellStart"/>
      <w:r w:rsidRPr="00E64516">
        <w:rPr>
          <w:rFonts w:ascii="Times New Roman" w:eastAsia="Times New Roman" w:hAnsi="Times New Roman" w:cs="Times New Roman"/>
        </w:rPr>
        <w:t>Haq</w:t>
      </w:r>
      <w:proofErr w:type="spellEnd"/>
      <w:r w:rsidRPr="00E64516">
        <w:rPr>
          <w:rFonts w:ascii="Times New Roman" w:eastAsia="Times New Roman" w:hAnsi="Times New Roman" w:cs="Times New Roman"/>
        </w:rPr>
        <w:t xml:space="preserve">, M. Z., </w:t>
      </w:r>
      <w:proofErr w:type="spellStart"/>
      <w:r w:rsidRPr="00E64516">
        <w:rPr>
          <w:rFonts w:ascii="Times New Roman" w:eastAsia="Times New Roman" w:hAnsi="Times New Roman" w:cs="Times New Roman"/>
        </w:rPr>
        <w:t>Sood</w:t>
      </w:r>
      <w:proofErr w:type="spellEnd"/>
      <w:r w:rsidRPr="00E64516">
        <w:rPr>
          <w:rFonts w:ascii="Times New Roman" w:eastAsia="Times New Roman" w:hAnsi="Times New Roman" w:cs="Times New Roman"/>
        </w:rPr>
        <w:t xml:space="preserve">, H., Kumar, R., Dixit, S., Srinivas, T., Ahuja, S., ... &amp; Kumar, K. (2023). Circular Economy Enabler: Enhancing High-Performance Bricks through </w:t>
      </w:r>
      <w:proofErr w:type="spellStart"/>
      <w:r w:rsidRPr="00E64516">
        <w:rPr>
          <w:rFonts w:ascii="Times New Roman" w:eastAsia="Times New Roman" w:hAnsi="Times New Roman" w:cs="Times New Roman"/>
        </w:rPr>
        <w:t>Geopolymerization</w:t>
      </w:r>
      <w:proofErr w:type="spellEnd"/>
      <w:r w:rsidRPr="00E64516">
        <w:rPr>
          <w:rFonts w:ascii="Times New Roman" w:eastAsia="Times New Roman" w:hAnsi="Times New Roman" w:cs="Times New Roman"/>
        </w:rPr>
        <w:t xml:space="preserve"> of Plastic Waste. In </w:t>
      </w:r>
      <w:r w:rsidRPr="00E64516">
        <w:rPr>
          <w:rFonts w:ascii="Times New Roman" w:eastAsia="Times New Roman" w:hAnsi="Times New Roman" w:cs="Times New Roman"/>
          <w:i/>
          <w:iCs/>
        </w:rPr>
        <w:t>E3S Web of Conferences</w:t>
      </w:r>
      <w:r w:rsidRPr="00E64516">
        <w:rPr>
          <w:rFonts w:ascii="Times New Roman" w:eastAsia="Times New Roman" w:hAnsi="Times New Roman" w:cs="Times New Roman"/>
        </w:rPr>
        <w:t> (Vol. 430, p. 01202). EDP Sciences.</w:t>
      </w:r>
    </w:p>
    <w:p w14:paraId="3557FD8D"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 xml:space="preserve">Vidal, F., van der </w:t>
      </w:r>
      <w:proofErr w:type="spellStart"/>
      <w:r w:rsidRPr="00E64516">
        <w:rPr>
          <w:rFonts w:ascii="Times New Roman" w:eastAsia="Times New Roman" w:hAnsi="Times New Roman" w:cs="Times New Roman"/>
        </w:rPr>
        <w:t>Marel</w:t>
      </w:r>
      <w:proofErr w:type="spellEnd"/>
      <w:r w:rsidRPr="00E64516">
        <w:rPr>
          <w:rFonts w:ascii="Times New Roman" w:eastAsia="Times New Roman" w:hAnsi="Times New Roman" w:cs="Times New Roman"/>
        </w:rPr>
        <w:t>, E. R., Kerr, R. W., McElroy, C., Schroeder, N., Mitchell, C., ... &amp; Williams, C. K. (2024). Designing a circular carbon and plastics economy for a sustainable future. </w:t>
      </w:r>
      <w:r w:rsidRPr="00E64516">
        <w:rPr>
          <w:rFonts w:ascii="Times New Roman" w:eastAsia="Times New Roman" w:hAnsi="Times New Roman" w:cs="Times New Roman"/>
          <w:i/>
          <w:iCs/>
        </w:rPr>
        <w:t>Nature</w:t>
      </w:r>
      <w:r w:rsidRPr="00E64516">
        <w:rPr>
          <w:rFonts w:ascii="Times New Roman" w:eastAsia="Times New Roman" w:hAnsi="Times New Roman" w:cs="Times New Roman"/>
        </w:rPr>
        <w:t>, </w:t>
      </w:r>
      <w:r w:rsidRPr="00E64516">
        <w:rPr>
          <w:rFonts w:ascii="Times New Roman" w:eastAsia="Times New Roman" w:hAnsi="Times New Roman" w:cs="Times New Roman"/>
          <w:i/>
          <w:iCs/>
        </w:rPr>
        <w:t>626</w:t>
      </w:r>
      <w:r w:rsidRPr="00E64516">
        <w:rPr>
          <w:rFonts w:ascii="Times New Roman" w:eastAsia="Times New Roman" w:hAnsi="Times New Roman" w:cs="Times New Roman"/>
        </w:rPr>
        <w:t>(7997), 45-57.</w:t>
      </w:r>
    </w:p>
    <w:p w14:paraId="0BA6D5D4"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proofErr w:type="spellStart"/>
      <w:r w:rsidRPr="00E64516">
        <w:rPr>
          <w:rFonts w:ascii="Times New Roman" w:eastAsia="Times New Roman" w:hAnsi="Times New Roman" w:cs="Times New Roman"/>
        </w:rPr>
        <w:lastRenderedPageBreak/>
        <w:t>Wikurendra</w:t>
      </w:r>
      <w:proofErr w:type="spellEnd"/>
      <w:r w:rsidRPr="00E64516">
        <w:rPr>
          <w:rFonts w:ascii="Times New Roman" w:eastAsia="Times New Roman" w:hAnsi="Times New Roman" w:cs="Times New Roman"/>
        </w:rPr>
        <w:t xml:space="preserve">, E. A., </w:t>
      </w:r>
      <w:proofErr w:type="spellStart"/>
      <w:r w:rsidRPr="00E64516">
        <w:rPr>
          <w:rFonts w:ascii="Times New Roman" w:eastAsia="Times New Roman" w:hAnsi="Times New Roman" w:cs="Times New Roman"/>
        </w:rPr>
        <w:t>Csonka</w:t>
      </w:r>
      <w:proofErr w:type="spellEnd"/>
      <w:r w:rsidRPr="00E64516">
        <w:rPr>
          <w:rFonts w:ascii="Times New Roman" w:eastAsia="Times New Roman" w:hAnsi="Times New Roman" w:cs="Times New Roman"/>
        </w:rPr>
        <w:t xml:space="preserve">, A., Nagy, I., &amp; </w:t>
      </w:r>
      <w:proofErr w:type="spellStart"/>
      <w:r w:rsidRPr="00E64516">
        <w:rPr>
          <w:rFonts w:ascii="Times New Roman" w:eastAsia="Times New Roman" w:hAnsi="Times New Roman" w:cs="Times New Roman"/>
        </w:rPr>
        <w:t>Nurika</w:t>
      </w:r>
      <w:proofErr w:type="spellEnd"/>
      <w:r w:rsidRPr="00E64516">
        <w:rPr>
          <w:rFonts w:ascii="Times New Roman" w:eastAsia="Times New Roman" w:hAnsi="Times New Roman" w:cs="Times New Roman"/>
        </w:rPr>
        <w:t>, G. (2024). Urbanization and benefit of integration circular economy into waste management in Indonesia: A Review. </w:t>
      </w:r>
      <w:r w:rsidRPr="00E64516">
        <w:rPr>
          <w:rFonts w:ascii="Times New Roman" w:eastAsia="Times New Roman" w:hAnsi="Times New Roman" w:cs="Times New Roman"/>
          <w:i/>
          <w:iCs/>
        </w:rPr>
        <w:t>Circular Economy and Sustainability</w:t>
      </w:r>
      <w:r w:rsidRPr="00E64516">
        <w:rPr>
          <w:rFonts w:ascii="Times New Roman" w:eastAsia="Times New Roman" w:hAnsi="Times New Roman" w:cs="Times New Roman"/>
        </w:rPr>
        <w:t>, </w:t>
      </w:r>
      <w:r w:rsidRPr="00E64516">
        <w:rPr>
          <w:rFonts w:ascii="Times New Roman" w:eastAsia="Times New Roman" w:hAnsi="Times New Roman" w:cs="Times New Roman"/>
          <w:i/>
          <w:iCs/>
        </w:rPr>
        <w:t>4</w:t>
      </w:r>
      <w:r w:rsidRPr="00E64516">
        <w:rPr>
          <w:rFonts w:ascii="Times New Roman" w:eastAsia="Times New Roman" w:hAnsi="Times New Roman" w:cs="Times New Roman"/>
        </w:rPr>
        <w:t>(2), 1219-1248.</w:t>
      </w:r>
    </w:p>
    <w:p w14:paraId="1A65E40F"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Yang, Y., &amp; Peng, C. (2023). A prediction-based supply chain recovery strategy under disruption risks. </w:t>
      </w:r>
      <w:r w:rsidRPr="00E64516">
        <w:rPr>
          <w:rFonts w:ascii="Times New Roman" w:eastAsia="Times New Roman" w:hAnsi="Times New Roman" w:cs="Times New Roman"/>
          <w:i/>
          <w:iCs/>
        </w:rPr>
        <w:t>International Journal of Production Research</w:t>
      </w:r>
      <w:r w:rsidRPr="00E64516">
        <w:rPr>
          <w:rFonts w:ascii="Times New Roman" w:eastAsia="Times New Roman" w:hAnsi="Times New Roman" w:cs="Times New Roman"/>
        </w:rPr>
        <w:t>, </w:t>
      </w:r>
      <w:r w:rsidRPr="00E64516">
        <w:rPr>
          <w:rFonts w:ascii="Times New Roman" w:eastAsia="Times New Roman" w:hAnsi="Times New Roman" w:cs="Times New Roman"/>
          <w:i/>
          <w:iCs/>
        </w:rPr>
        <w:t>61</w:t>
      </w:r>
      <w:r w:rsidRPr="00E64516">
        <w:rPr>
          <w:rFonts w:ascii="Times New Roman" w:eastAsia="Times New Roman" w:hAnsi="Times New Roman" w:cs="Times New Roman"/>
        </w:rPr>
        <w:t>(22), 7670-7684.</w:t>
      </w:r>
    </w:p>
    <w:p w14:paraId="51EAD636"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Yang, Z., Guo, X., Sun, J., Zhang, Y., &amp; Wang, Y. (2022). What does not kill you makes you stronger: Supply chain resilience and corporate sustainability through emerging IT capability. </w:t>
      </w:r>
      <w:r w:rsidRPr="00E64516">
        <w:rPr>
          <w:rFonts w:ascii="Times New Roman" w:eastAsia="Times New Roman" w:hAnsi="Times New Roman" w:cs="Times New Roman"/>
          <w:i/>
          <w:iCs/>
        </w:rPr>
        <w:t>IEEE Transactions on Engineering Management</w:t>
      </w:r>
      <w:r w:rsidRPr="00E64516">
        <w:rPr>
          <w:rFonts w:ascii="Times New Roman" w:eastAsia="Times New Roman" w:hAnsi="Times New Roman" w:cs="Times New Roman"/>
        </w:rPr>
        <w:t>.</w:t>
      </w:r>
    </w:p>
    <w:p w14:paraId="3928A963"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rPr>
      </w:pPr>
      <w:r w:rsidRPr="00E64516">
        <w:rPr>
          <w:rFonts w:ascii="Times New Roman" w:eastAsia="Times New Roman" w:hAnsi="Times New Roman" w:cs="Times New Roman"/>
        </w:rPr>
        <w:t>Basset, C. (2024). Soil security: The cornerstone of national security in an era of global disruptions. </w:t>
      </w:r>
      <w:r w:rsidRPr="00E64516">
        <w:rPr>
          <w:rFonts w:ascii="Times New Roman" w:eastAsia="Times New Roman" w:hAnsi="Times New Roman" w:cs="Times New Roman"/>
          <w:i/>
          <w:iCs/>
        </w:rPr>
        <w:t>Soil Security</w:t>
      </w:r>
      <w:r w:rsidRPr="00E64516">
        <w:rPr>
          <w:rFonts w:ascii="Times New Roman" w:eastAsia="Times New Roman" w:hAnsi="Times New Roman" w:cs="Times New Roman"/>
        </w:rPr>
        <w:t>, 100154.</w:t>
      </w:r>
    </w:p>
    <w:p w14:paraId="67F717A6" w14:textId="77777777" w:rsidR="00E60C54" w:rsidRPr="00E64516" w:rsidRDefault="00E60C54" w:rsidP="00E60C54">
      <w:pPr>
        <w:spacing w:before="100" w:beforeAutospacing="1" w:after="100" w:afterAutospacing="1" w:line="480" w:lineRule="auto"/>
        <w:ind w:left="720" w:hanging="720"/>
        <w:rPr>
          <w:rFonts w:ascii="Times New Roman" w:eastAsia="Times New Roman" w:hAnsi="Times New Roman" w:cs="Times New Roman"/>
          <w:bCs/>
        </w:rPr>
      </w:pPr>
      <w:r w:rsidRPr="00E64516">
        <w:rPr>
          <w:rFonts w:ascii="Times New Roman" w:eastAsia="Times New Roman" w:hAnsi="Times New Roman" w:cs="Times New Roman"/>
          <w:bCs/>
        </w:rPr>
        <w:t xml:space="preserve">Yu, Z., Razzaq, A., Rehman, A., Shah, A., Jameel, K., &amp; </w:t>
      </w:r>
      <w:proofErr w:type="spellStart"/>
      <w:r w:rsidRPr="00E64516">
        <w:rPr>
          <w:rFonts w:ascii="Times New Roman" w:eastAsia="Times New Roman" w:hAnsi="Times New Roman" w:cs="Times New Roman"/>
          <w:bCs/>
        </w:rPr>
        <w:t>Mor</w:t>
      </w:r>
      <w:proofErr w:type="spellEnd"/>
      <w:r w:rsidRPr="00E64516">
        <w:rPr>
          <w:rFonts w:ascii="Times New Roman" w:eastAsia="Times New Roman" w:hAnsi="Times New Roman" w:cs="Times New Roman"/>
          <w:bCs/>
        </w:rPr>
        <w:t>, R. S. (2021). Disruption in global supply chain and socio-economic shocks: a lesson from COVID-19 for sustainable production and consumption. </w:t>
      </w:r>
      <w:r w:rsidRPr="00E64516">
        <w:rPr>
          <w:rFonts w:ascii="Times New Roman" w:eastAsia="Times New Roman" w:hAnsi="Times New Roman" w:cs="Times New Roman"/>
          <w:bCs/>
          <w:i/>
          <w:iCs/>
        </w:rPr>
        <w:t>Operations Management Research</w:t>
      </w:r>
      <w:r w:rsidRPr="00E64516">
        <w:rPr>
          <w:rFonts w:ascii="Times New Roman" w:eastAsia="Times New Roman" w:hAnsi="Times New Roman" w:cs="Times New Roman"/>
          <w:bCs/>
        </w:rPr>
        <w:t>, 1-16.</w:t>
      </w:r>
    </w:p>
    <w:p w14:paraId="0D532F99" w14:textId="77777777" w:rsidR="00E60C54" w:rsidRPr="00063ABF" w:rsidRDefault="00E60C54" w:rsidP="00E60C54">
      <w:pPr>
        <w:spacing w:before="100" w:beforeAutospacing="1" w:after="100" w:afterAutospacing="1" w:line="480" w:lineRule="auto"/>
        <w:ind w:left="720" w:hanging="720"/>
        <w:rPr>
          <w:rFonts w:ascii="Times New Roman" w:eastAsia="Times New Roman" w:hAnsi="Times New Roman" w:cs="Times New Roman"/>
        </w:rPr>
      </w:pPr>
    </w:p>
    <w:p w14:paraId="4B55B076" w14:textId="77777777" w:rsidR="00E60C54" w:rsidRDefault="00E60C54" w:rsidP="00E60C54"/>
    <w:p w14:paraId="315F7B54" w14:textId="77777777" w:rsidR="00E60C54" w:rsidRDefault="00E60C54" w:rsidP="00E60C54"/>
    <w:p w14:paraId="4C67478A" w14:textId="77777777" w:rsidR="006A7A68" w:rsidRDefault="006A7A68" w:rsidP="00E60C54">
      <w:pPr>
        <w:pStyle w:val="TOC"/>
        <w:spacing w:line="240" w:lineRule="auto"/>
        <w:jc w:val="center"/>
      </w:pPr>
    </w:p>
    <w:sectPr w:rsidR="006A7A68">
      <w:pgSz w:w="11906" w:h="16838"/>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Helen Lee" w:date="2025-06-20T18:23:00Z" w:initials="HL">
    <w:p w14:paraId="4AFAFB8E" w14:textId="77777777" w:rsidR="00E60C54" w:rsidRDefault="00E60C54" w:rsidP="00E60C54">
      <w:pPr>
        <w:pStyle w:val="a8"/>
      </w:pPr>
      <w:r>
        <w:rPr>
          <w:rStyle w:val="a7"/>
        </w:rPr>
        <w:annotationRef/>
      </w:r>
      <w:r>
        <w:t xml:space="preserve">Please add an “abstract” before part 1 upon your final revision. </w:t>
      </w:r>
    </w:p>
  </w:comment>
  <w:comment w:id="10" w:author="Helen Lee" w:date="2025-06-20T16:47:00Z" w:initials="HL">
    <w:p w14:paraId="199163AF" w14:textId="77777777" w:rsidR="00E60C54" w:rsidRDefault="00E60C54" w:rsidP="00E60C54">
      <w:pPr>
        <w:pStyle w:val="a8"/>
      </w:pPr>
      <w:r>
        <w:rPr>
          <w:rStyle w:val="a7"/>
        </w:rPr>
        <w:annotationRef/>
      </w:r>
      <w:r>
        <w:t>Your stated ROs</w:t>
      </w:r>
    </w:p>
    <w:p w14:paraId="79A9F608" w14:textId="77777777" w:rsidR="00E60C54" w:rsidRDefault="00E60C54" w:rsidP="00E60C54">
      <w:pPr>
        <w:pStyle w:val="a8"/>
      </w:pPr>
    </w:p>
    <w:p w14:paraId="0850795C" w14:textId="77777777" w:rsidR="00E60C54" w:rsidRDefault="00E60C54" w:rsidP="00E60C54">
      <w:pPr>
        <w:pStyle w:val="a8"/>
      </w:pPr>
      <w:r>
        <w:t xml:space="preserve">RO1- Discuss the effects of global disruptions on existing supply chain management paradigms and key weaknesses </w:t>
      </w:r>
    </w:p>
    <w:p w14:paraId="124C79FE" w14:textId="77777777" w:rsidR="00E60C54" w:rsidRDefault="00E60C54" w:rsidP="00E60C54">
      <w:pPr>
        <w:pStyle w:val="a8"/>
      </w:pPr>
    </w:p>
    <w:p w14:paraId="1AF0C843" w14:textId="77777777" w:rsidR="00E60C54" w:rsidRDefault="00E60C54" w:rsidP="00E60C54">
      <w:pPr>
        <w:pStyle w:val="a8"/>
      </w:pPr>
      <w:r>
        <w:t>RO2 - Assess the impacts of circular economy strategies on the vulnerability of supply chains.</w:t>
      </w:r>
    </w:p>
    <w:p w14:paraId="223F74A7" w14:textId="77777777" w:rsidR="00E60C54" w:rsidRDefault="00E60C54" w:rsidP="00E60C54">
      <w:pPr>
        <w:pStyle w:val="a8"/>
      </w:pPr>
    </w:p>
    <w:p w14:paraId="776AFAFD" w14:textId="77777777" w:rsidR="00E60C54" w:rsidRDefault="00E60C54" w:rsidP="00E60C54">
      <w:pPr>
        <w:pStyle w:val="a8"/>
      </w:pPr>
      <w:r>
        <w:t>RO3 - Assess ways for integrating circular economy principles in supply chain resilience.</w:t>
      </w:r>
    </w:p>
    <w:p w14:paraId="5E2BB152" w14:textId="77777777" w:rsidR="00E60C54" w:rsidRDefault="00E60C54" w:rsidP="00E60C54">
      <w:pPr>
        <w:pStyle w:val="a8"/>
      </w:pPr>
    </w:p>
    <w:p w14:paraId="4D3E88E8" w14:textId="77777777" w:rsidR="00E60C54" w:rsidRDefault="00E60C54" w:rsidP="00E60C54">
      <w:pPr>
        <w:pStyle w:val="a8"/>
      </w:pPr>
    </w:p>
    <w:p w14:paraId="7316F841" w14:textId="77777777" w:rsidR="00E60C54" w:rsidRDefault="00E60C54" w:rsidP="00E60C54">
      <w:pPr>
        <w:pStyle w:val="a8"/>
      </w:pPr>
    </w:p>
  </w:comment>
  <w:comment w:id="14" w:author="Helen Lee" w:date="2025-06-20T17:06:00Z" w:initials="HL">
    <w:p w14:paraId="533EDCDC" w14:textId="77777777" w:rsidR="00E60C54" w:rsidRDefault="00E60C54" w:rsidP="00E60C54">
      <w:pPr>
        <w:pStyle w:val="a8"/>
      </w:pPr>
      <w:r>
        <w:rPr>
          <w:rStyle w:val="a7"/>
        </w:rPr>
        <w:annotationRef/>
      </w:r>
      <w:r>
        <w:t xml:space="preserve">It is good that you mention about how your findings are based on part 2. </w:t>
      </w:r>
    </w:p>
    <w:p w14:paraId="2DABB884" w14:textId="77777777" w:rsidR="00E60C54" w:rsidRDefault="00E60C54" w:rsidP="00E60C54">
      <w:pPr>
        <w:pStyle w:val="a8"/>
      </w:pPr>
    </w:p>
    <w:p w14:paraId="2FD27C91" w14:textId="77777777" w:rsidR="00E60C54" w:rsidRDefault="00E60C54" w:rsidP="00E60C54">
      <w:pPr>
        <w:pStyle w:val="a8"/>
      </w:pPr>
      <w:r>
        <w:t xml:space="preserve">I can read that you mention the connectivity between the respective literature and objective e.g. L1 contributes to RO2 &amp; RO3. </w:t>
      </w:r>
    </w:p>
    <w:p w14:paraId="39018DA2" w14:textId="77777777" w:rsidR="00E60C54" w:rsidRDefault="00E60C54" w:rsidP="00E60C54">
      <w:pPr>
        <w:pStyle w:val="a8"/>
      </w:pPr>
    </w:p>
    <w:p w14:paraId="0BA35A38" w14:textId="77777777" w:rsidR="00E60C54" w:rsidRDefault="00E60C54" w:rsidP="00E60C54">
      <w:pPr>
        <w:pStyle w:val="a8"/>
      </w:pPr>
    </w:p>
    <w:p w14:paraId="14C8CC12" w14:textId="77777777" w:rsidR="00E60C54" w:rsidRDefault="00E60C54" w:rsidP="00E60C54">
      <w:pPr>
        <w:pStyle w:val="a8"/>
      </w:pPr>
      <w:r>
        <w:t xml:space="preserve">However, in what ways does L1 contribute to RO2 &amp; RO3 ? Do you make this finding based upon their purpose ? Which I can find your </w:t>
      </w:r>
    </w:p>
    <w:p w14:paraId="76498B14" w14:textId="77777777" w:rsidR="00E60C54" w:rsidRDefault="00E60C54" w:rsidP="00E60C54">
      <w:pPr>
        <w:pStyle w:val="a8"/>
      </w:pPr>
      <w:r>
        <w:t xml:space="preserve">”purpose” column. I can see those columns of “findings”, “why” and “notes” . Does a particular column or these columns contribute(s) to your objectives? </w:t>
      </w:r>
    </w:p>
    <w:p w14:paraId="7E697579" w14:textId="77777777" w:rsidR="00E60C54" w:rsidRDefault="00E60C54" w:rsidP="00E60C54">
      <w:pPr>
        <w:pStyle w:val="a8"/>
      </w:pPr>
    </w:p>
    <w:p w14:paraId="2ECCA2DC" w14:textId="77777777" w:rsidR="00E60C54" w:rsidRDefault="00E60C54" w:rsidP="00E60C54">
      <w:pPr>
        <w:pStyle w:val="a8"/>
      </w:pPr>
    </w:p>
    <w:p w14:paraId="7B90AE28" w14:textId="77777777" w:rsidR="00E60C54" w:rsidRDefault="00E60C54" w:rsidP="00E60C54">
      <w:pPr>
        <w:pStyle w:val="a8"/>
      </w:pPr>
      <w:r>
        <w:t xml:space="preserve">  </w:t>
      </w:r>
    </w:p>
  </w:comment>
  <w:comment w:id="15" w:author="Helen Lee" w:date="2025-06-20T18:21:00Z" w:initials="HL">
    <w:p w14:paraId="7876255F" w14:textId="77777777" w:rsidR="00E60C54" w:rsidRDefault="00E60C54" w:rsidP="00E60C54">
      <w:pPr>
        <w:pStyle w:val="a8"/>
      </w:pPr>
      <w:r>
        <w:rPr>
          <w:rStyle w:val="a7"/>
        </w:rPr>
        <w:annotationRef/>
      </w:r>
      <w:r>
        <w:t xml:space="preserve">Good that you adopt this qualitative meta-synthesis. </w:t>
      </w:r>
    </w:p>
    <w:p w14:paraId="67849CA1" w14:textId="77777777" w:rsidR="00E60C54" w:rsidRDefault="00E60C54" w:rsidP="00E60C54">
      <w:pPr>
        <w:pStyle w:val="a8"/>
      </w:pPr>
    </w:p>
    <w:p w14:paraId="6579B4B6" w14:textId="77777777" w:rsidR="00E60C54" w:rsidRDefault="00E60C54" w:rsidP="00E60C54">
      <w:pPr>
        <w:pStyle w:val="a8"/>
      </w:pPr>
      <w:r>
        <w:t xml:space="preserve">For the qualitative meta-synthesis, it emphasises the analysis of qualitative research findings. In the course of synthesis, methodological approach needed a discussion. </w:t>
      </w:r>
    </w:p>
    <w:p w14:paraId="09169D5C" w14:textId="77777777" w:rsidR="00E60C54" w:rsidRDefault="00E60C54" w:rsidP="00E60C54">
      <w:pPr>
        <w:pStyle w:val="a8"/>
      </w:pPr>
    </w:p>
    <w:p w14:paraId="439F93D6" w14:textId="77777777" w:rsidR="00E60C54" w:rsidRDefault="00E60C54" w:rsidP="00E60C54">
      <w:pPr>
        <w:pStyle w:val="a8"/>
      </w:pPr>
      <w:r>
        <w:t xml:space="preserve">In Part 2, you do mention about the methods. Majority of them are qualitative paper while some of them are quantitative (L37). In this regard, </w:t>
      </w:r>
    </w:p>
    <w:p w14:paraId="5BF7422C" w14:textId="77777777" w:rsidR="00E60C54" w:rsidRDefault="00E60C54" w:rsidP="00E60C54">
      <w:pPr>
        <w:pStyle w:val="a8"/>
      </w:pPr>
      <w:r>
        <w:t>You need to revisit if the quantiative-based paper are incorporated in qualitative meta-synthesis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AFAFB8E" w15:done="0"/>
  <w15:commentEx w15:paraId="7316F841" w15:done="0"/>
  <w15:commentEx w15:paraId="7B90AE28" w15:done="0"/>
  <w15:commentEx w15:paraId="5BF7422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19C475C4" w16cex:dateUtc="2025-06-20T17:23:00Z"/>
  <w16cex:commentExtensible w16cex:durableId="19A48EAD" w16cex:dateUtc="2025-06-20T15:47:00Z"/>
  <w16cex:commentExtensible w16cex:durableId="5AECF185" w16cex:dateUtc="2025-06-20T16:06:00Z"/>
  <w16cex:commentExtensible w16cex:durableId="3EC575E8" w16cex:dateUtc="2025-06-20T17:2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AFAFB8E" w16cid:durableId="19C475C4"/>
  <w16cid:commentId w16cid:paraId="7316F841" w16cid:durableId="19A48EAD"/>
  <w16cid:commentId w16cid:paraId="7B90AE28" w16cid:durableId="5AECF185"/>
  <w16cid:commentId w16cid:paraId="5BF7422C" w16cid:durableId="3EC575E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98741E" w14:textId="77777777" w:rsidR="00C860E2" w:rsidRDefault="00C860E2" w:rsidP="006A7A68">
      <w:pPr>
        <w:spacing w:after="0" w:line="240" w:lineRule="auto"/>
      </w:pPr>
      <w:r>
        <w:separator/>
      </w:r>
    </w:p>
  </w:endnote>
  <w:endnote w:type="continuationSeparator" w:id="0">
    <w:p w14:paraId="55D18557" w14:textId="77777777" w:rsidR="00C860E2" w:rsidRDefault="00C860E2" w:rsidP="006A7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ptos">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ABC44D" w14:textId="77777777" w:rsidR="00C860E2" w:rsidRDefault="00C860E2" w:rsidP="006A7A68">
      <w:pPr>
        <w:spacing w:after="0" w:line="240" w:lineRule="auto"/>
      </w:pPr>
      <w:r>
        <w:separator/>
      </w:r>
    </w:p>
  </w:footnote>
  <w:footnote w:type="continuationSeparator" w:id="0">
    <w:p w14:paraId="1B661327" w14:textId="77777777" w:rsidR="00C860E2" w:rsidRDefault="00C860E2" w:rsidP="006A7A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353C85"/>
    <w:multiLevelType w:val="multilevel"/>
    <w:tmpl w:val="FBD83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572C6"/>
    <w:multiLevelType w:val="hybridMultilevel"/>
    <w:tmpl w:val="DBB65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A24856"/>
    <w:multiLevelType w:val="multilevel"/>
    <w:tmpl w:val="8938C9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441BB1"/>
    <w:multiLevelType w:val="multilevel"/>
    <w:tmpl w:val="0424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D1026D"/>
    <w:multiLevelType w:val="multilevel"/>
    <w:tmpl w:val="57AAA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E55CDD"/>
    <w:multiLevelType w:val="hybridMultilevel"/>
    <w:tmpl w:val="BE70460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56D91264"/>
    <w:multiLevelType w:val="multilevel"/>
    <w:tmpl w:val="533A7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A30F2C"/>
    <w:multiLevelType w:val="hybridMultilevel"/>
    <w:tmpl w:val="760C46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
  </w:num>
  <w:num w:numId="3">
    <w:abstractNumId w:val="7"/>
  </w:num>
  <w:num w:numId="4">
    <w:abstractNumId w:val="0"/>
  </w:num>
  <w:num w:numId="5">
    <w:abstractNumId w:val="2"/>
  </w:num>
  <w:num w:numId="6">
    <w:abstractNumId w:val="5"/>
  </w:num>
  <w:num w:numId="7">
    <w:abstractNumId w:val="4"/>
  </w:num>
  <w:num w:numId="8">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Helen Lee">
    <w15:presenceInfo w15:providerId="AD" w15:userId="S::h.lee@uwtsd.ac.uk::950b76d7-29a8-4037-9cf6-1d47a6b9637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A68"/>
    <w:rsid w:val="00334A09"/>
    <w:rsid w:val="003B50D1"/>
    <w:rsid w:val="005075EF"/>
    <w:rsid w:val="006A7A68"/>
    <w:rsid w:val="007474E3"/>
    <w:rsid w:val="00947283"/>
    <w:rsid w:val="00C860E2"/>
    <w:rsid w:val="00CF38D3"/>
    <w:rsid w:val="00E60C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7505C18"/>
  <w15:chartTrackingRefBased/>
  <w15:docId w15:val="{D71E28B2-8F26-8E4E-9041-9A92A2F36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A7A68"/>
    <w:pPr>
      <w:spacing w:after="160" w:line="278" w:lineRule="auto"/>
    </w:pPr>
    <w:rPr>
      <w:rFonts w:ascii="Aptos" w:eastAsia="DengXian" w:hAnsi="Aptos" w:cs="Arial"/>
      <w:sz w:val="24"/>
      <w:lang w:val="en-GB" w:eastAsia="en-US"/>
    </w:rPr>
  </w:style>
  <w:style w:type="paragraph" w:styleId="1">
    <w:name w:val="heading 1"/>
    <w:basedOn w:val="a"/>
    <w:next w:val="a"/>
    <w:link w:val="10"/>
    <w:uiPriority w:val="9"/>
    <w:qFormat/>
    <w:rsid w:val="006A7A68"/>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US"/>
    </w:rPr>
  </w:style>
  <w:style w:type="paragraph" w:styleId="2">
    <w:name w:val="heading 2"/>
    <w:basedOn w:val="a"/>
    <w:next w:val="a"/>
    <w:link w:val="20"/>
    <w:uiPriority w:val="9"/>
    <w:unhideWhenUsed/>
    <w:qFormat/>
    <w:rsid w:val="006A7A68"/>
    <w:pPr>
      <w:keepNext/>
      <w:keepLines/>
      <w:spacing w:before="40" w:after="0" w:line="259" w:lineRule="auto"/>
      <w:outlineLvl w:val="1"/>
    </w:pPr>
    <w:rPr>
      <w:rFonts w:asciiTheme="majorHAnsi" w:eastAsiaTheme="majorEastAsia" w:hAnsiTheme="majorHAnsi" w:cstheme="majorBidi"/>
      <w:color w:val="2F5496" w:themeColor="accent1" w:themeShade="BF"/>
      <w:kern w:val="0"/>
      <w:sz w:val="26"/>
      <w:szCs w:val="26"/>
      <w:lang w:val="en-US"/>
    </w:rPr>
  </w:style>
  <w:style w:type="paragraph" w:styleId="3">
    <w:name w:val="heading 3"/>
    <w:basedOn w:val="a"/>
    <w:next w:val="a"/>
    <w:link w:val="30"/>
    <w:uiPriority w:val="9"/>
    <w:semiHidden/>
    <w:unhideWhenUsed/>
    <w:qFormat/>
    <w:rsid w:val="006A7A68"/>
    <w:pPr>
      <w:keepNext/>
      <w:keepLines/>
      <w:spacing w:before="40" w:after="0" w:line="259" w:lineRule="auto"/>
      <w:outlineLvl w:val="2"/>
    </w:pPr>
    <w:rPr>
      <w:rFonts w:asciiTheme="majorHAnsi" w:eastAsiaTheme="majorEastAsia" w:hAnsiTheme="majorHAnsi" w:cstheme="majorBidi"/>
      <w:color w:val="1F3763" w:themeColor="accent1" w:themeShade="7F"/>
      <w:kern w:val="0"/>
      <w:lang w:val="en-US"/>
    </w:rPr>
  </w:style>
  <w:style w:type="paragraph" w:styleId="4">
    <w:name w:val="heading 4"/>
    <w:basedOn w:val="a"/>
    <w:next w:val="a"/>
    <w:link w:val="40"/>
    <w:uiPriority w:val="9"/>
    <w:semiHidden/>
    <w:unhideWhenUsed/>
    <w:qFormat/>
    <w:rsid w:val="006A7A68"/>
    <w:pPr>
      <w:keepNext/>
      <w:keepLines/>
      <w:spacing w:before="40" w:after="0" w:line="259" w:lineRule="auto"/>
      <w:outlineLvl w:val="3"/>
    </w:pPr>
    <w:rPr>
      <w:rFonts w:asciiTheme="majorHAnsi" w:eastAsiaTheme="majorEastAsia" w:hAnsiTheme="majorHAnsi" w:cstheme="majorBidi"/>
      <w:i/>
      <w:iCs/>
      <w:color w:val="2F5496" w:themeColor="accent1" w:themeShade="BF"/>
      <w:kern w:val="0"/>
      <w:sz w:val="22"/>
      <w:szCs w:val="22"/>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6A7A68"/>
    <w:rPr>
      <w:rFonts w:asciiTheme="majorHAnsi" w:eastAsiaTheme="majorEastAsia" w:hAnsiTheme="majorHAnsi" w:cstheme="majorBidi"/>
      <w:color w:val="2F5496" w:themeColor="accent1" w:themeShade="BF"/>
      <w:kern w:val="0"/>
      <w:sz w:val="32"/>
      <w:szCs w:val="32"/>
      <w:lang w:eastAsia="en-US"/>
    </w:rPr>
  </w:style>
  <w:style w:type="character" w:customStyle="1" w:styleId="20">
    <w:name w:val="标题 2 字符"/>
    <w:basedOn w:val="a0"/>
    <w:link w:val="2"/>
    <w:uiPriority w:val="9"/>
    <w:rsid w:val="006A7A68"/>
    <w:rPr>
      <w:rFonts w:asciiTheme="majorHAnsi" w:eastAsiaTheme="majorEastAsia" w:hAnsiTheme="majorHAnsi" w:cstheme="majorBidi"/>
      <w:color w:val="2F5496" w:themeColor="accent1" w:themeShade="BF"/>
      <w:kern w:val="0"/>
      <w:sz w:val="26"/>
      <w:szCs w:val="26"/>
      <w:lang w:eastAsia="en-US"/>
    </w:rPr>
  </w:style>
  <w:style w:type="character" w:customStyle="1" w:styleId="30">
    <w:name w:val="标题 3 字符"/>
    <w:basedOn w:val="a0"/>
    <w:link w:val="3"/>
    <w:uiPriority w:val="9"/>
    <w:semiHidden/>
    <w:rsid w:val="006A7A68"/>
    <w:rPr>
      <w:rFonts w:asciiTheme="majorHAnsi" w:eastAsiaTheme="majorEastAsia" w:hAnsiTheme="majorHAnsi" w:cstheme="majorBidi"/>
      <w:color w:val="1F3763" w:themeColor="accent1" w:themeShade="7F"/>
      <w:kern w:val="0"/>
      <w:sz w:val="24"/>
      <w:lang w:eastAsia="en-US"/>
    </w:rPr>
  </w:style>
  <w:style w:type="character" w:customStyle="1" w:styleId="40">
    <w:name w:val="标题 4 字符"/>
    <w:basedOn w:val="a0"/>
    <w:link w:val="4"/>
    <w:uiPriority w:val="9"/>
    <w:semiHidden/>
    <w:rsid w:val="006A7A68"/>
    <w:rPr>
      <w:rFonts w:asciiTheme="majorHAnsi" w:eastAsiaTheme="majorEastAsia" w:hAnsiTheme="majorHAnsi" w:cstheme="majorBidi"/>
      <w:i/>
      <w:iCs/>
      <w:color w:val="2F5496" w:themeColor="accent1" w:themeShade="BF"/>
      <w:kern w:val="0"/>
      <w:sz w:val="22"/>
      <w:szCs w:val="22"/>
      <w:lang w:eastAsia="en-US"/>
    </w:rPr>
  </w:style>
  <w:style w:type="character" w:styleId="a3">
    <w:name w:val="Hyperlink"/>
    <w:basedOn w:val="a0"/>
    <w:uiPriority w:val="99"/>
    <w:unhideWhenUsed/>
    <w:rsid w:val="006A7A68"/>
    <w:rPr>
      <w:color w:val="0563C1" w:themeColor="hyperlink"/>
      <w:u w:val="single"/>
    </w:rPr>
  </w:style>
  <w:style w:type="paragraph" w:styleId="a4">
    <w:name w:val="Normal (Web)"/>
    <w:basedOn w:val="a"/>
    <w:uiPriority w:val="99"/>
    <w:semiHidden/>
    <w:unhideWhenUsed/>
    <w:rsid w:val="006A7A68"/>
    <w:pPr>
      <w:spacing w:before="100" w:beforeAutospacing="1" w:after="100" w:afterAutospacing="1" w:line="240" w:lineRule="auto"/>
    </w:pPr>
    <w:rPr>
      <w:rFonts w:ascii="Times New Roman" w:eastAsia="Times New Roman" w:hAnsi="Times New Roman" w:cs="Times New Roman"/>
      <w:kern w:val="0"/>
      <w:lang w:val="en-US"/>
    </w:rPr>
  </w:style>
  <w:style w:type="character" w:styleId="a5">
    <w:name w:val="Strong"/>
    <w:basedOn w:val="a0"/>
    <w:uiPriority w:val="22"/>
    <w:qFormat/>
    <w:rsid w:val="006A7A68"/>
    <w:rPr>
      <w:b/>
      <w:bCs/>
    </w:rPr>
  </w:style>
  <w:style w:type="character" w:styleId="a6">
    <w:name w:val="Emphasis"/>
    <w:basedOn w:val="a0"/>
    <w:uiPriority w:val="20"/>
    <w:qFormat/>
    <w:rsid w:val="006A7A68"/>
    <w:rPr>
      <w:i/>
      <w:iCs/>
    </w:rPr>
  </w:style>
  <w:style w:type="character" w:styleId="a7">
    <w:name w:val="annotation reference"/>
    <w:basedOn w:val="a0"/>
    <w:uiPriority w:val="99"/>
    <w:semiHidden/>
    <w:unhideWhenUsed/>
    <w:rsid w:val="006A7A68"/>
    <w:rPr>
      <w:sz w:val="16"/>
      <w:szCs w:val="16"/>
    </w:rPr>
  </w:style>
  <w:style w:type="paragraph" w:styleId="a8">
    <w:name w:val="annotation text"/>
    <w:basedOn w:val="a"/>
    <w:link w:val="a9"/>
    <w:uiPriority w:val="99"/>
    <w:unhideWhenUsed/>
    <w:rsid w:val="006A7A68"/>
    <w:pPr>
      <w:spacing w:line="240" w:lineRule="auto"/>
    </w:pPr>
    <w:rPr>
      <w:rFonts w:asciiTheme="minorHAnsi" w:eastAsiaTheme="minorEastAsia" w:hAnsiTheme="minorHAnsi" w:cstheme="minorBidi"/>
      <w:kern w:val="0"/>
      <w:sz w:val="20"/>
      <w:szCs w:val="20"/>
      <w:lang w:val="en-US"/>
    </w:rPr>
  </w:style>
  <w:style w:type="character" w:customStyle="1" w:styleId="a9">
    <w:name w:val="批注文字 字符"/>
    <w:basedOn w:val="a0"/>
    <w:link w:val="a8"/>
    <w:uiPriority w:val="99"/>
    <w:rsid w:val="006A7A68"/>
    <w:rPr>
      <w:kern w:val="0"/>
      <w:sz w:val="20"/>
      <w:szCs w:val="20"/>
      <w:lang w:eastAsia="en-US"/>
    </w:rPr>
  </w:style>
  <w:style w:type="paragraph" w:styleId="aa">
    <w:name w:val="annotation subject"/>
    <w:basedOn w:val="a8"/>
    <w:next w:val="a8"/>
    <w:link w:val="ab"/>
    <w:uiPriority w:val="99"/>
    <w:semiHidden/>
    <w:unhideWhenUsed/>
    <w:rsid w:val="006A7A68"/>
    <w:rPr>
      <w:b/>
      <w:bCs/>
    </w:rPr>
  </w:style>
  <w:style w:type="character" w:customStyle="1" w:styleId="ab">
    <w:name w:val="批注主题 字符"/>
    <w:basedOn w:val="a9"/>
    <w:link w:val="aa"/>
    <w:uiPriority w:val="99"/>
    <w:semiHidden/>
    <w:rsid w:val="006A7A68"/>
    <w:rPr>
      <w:b/>
      <w:bCs/>
      <w:kern w:val="0"/>
      <w:sz w:val="20"/>
      <w:szCs w:val="20"/>
      <w:lang w:eastAsia="en-US"/>
    </w:rPr>
  </w:style>
  <w:style w:type="paragraph" w:styleId="ac">
    <w:name w:val="Balloon Text"/>
    <w:basedOn w:val="a"/>
    <w:link w:val="ad"/>
    <w:uiPriority w:val="99"/>
    <w:semiHidden/>
    <w:unhideWhenUsed/>
    <w:rsid w:val="006A7A68"/>
    <w:pPr>
      <w:spacing w:after="0" w:line="240" w:lineRule="auto"/>
    </w:pPr>
    <w:rPr>
      <w:rFonts w:ascii="Segoe UI" w:eastAsiaTheme="minorEastAsia" w:hAnsi="Segoe UI" w:cs="Segoe UI"/>
      <w:kern w:val="0"/>
      <w:sz w:val="18"/>
      <w:szCs w:val="18"/>
      <w:lang w:val="en-US"/>
    </w:rPr>
  </w:style>
  <w:style w:type="character" w:customStyle="1" w:styleId="ad">
    <w:name w:val="批注框文本 字符"/>
    <w:basedOn w:val="a0"/>
    <w:link w:val="ac"/>
    <w:uiPriority w:val="99"/>
    <w:semiHidden/>
    <w:rsid w:val="006A7A68"/>
    <w:rPr>
      <w:rFonts w:ascii="Segoe UI" w:hAnsi="Segoe UI" w:cs="Segoe UI"/>
      <w:kern w:val="0"/>
      <w:sz w:val="18"/>
      <w:szCs w:val="18"/>
      <w:lang w:eastAsia="en-US"/>
    </w:rPr>
  </w:style>
  <w:style w:type="paragraph" w:styleId="TOC">
    <w:name w:val="TOC Heading"/>
    <w:basedOn w:val="1"/>
    <w:next w:val="a"/>
    <w:uiPriority w:val="39"/>
    <w:unhideWhenUsed/>
    <w:qFormat/>
    <w:rsid w:val="006A7A68"/>
    <w:pPr>
      <w:outlineLvl w:val="9"/>
    </w:pPr>
  </w:style>
  <w:style w:type="paragraph" w:styleId="TOC1">
    <w:name w:val="toc 1"/>
    <w:basedOn w:val="a"/>
    <w:next w:val="a"/>
    <w:autoRedefine/>
    <w:uiPriority w:val="39"/>
    <w:unhideWhenUsed/>
    <w:rsid w:val="006A7A68"/>
    <w:pPr>
      <w:spacing w:after="100" w:line="259" w:lineRule="auto"/>
    </w:pPr>
    <w:rPr>
      <w:rFonts w:asciiTheme="minorHAnsi" w:eastAsiaTheme="minorEastAsia" w:hAnsiTheme="minorHAnsi" w:cstheme="minorBidi"/>
      <w:kern w:val="0"/>
      <w:sz w:val="22"/>
      <w:szCs w:val="22"/>
      <w:lang w:val="en-US"/>
    </w:rPr>
  </w:style>
  <w:style w:type="paragraph" w:styleId="TOC2">
    <w:name w:val="toc 2"/>
    <w:basedOn w:val="a"/>
    <w:next w:val="a"/>
    <w:autoRedefine/>
    <w:uiPriority w:val="39"/>
    <w:unhideWhenUsed/>
    <w:rsid w:val="006A7A68"/>
    <w:pPr>
      <w:spacing w:after="100" w:line="259" w:lineRule="auto"/>
      <w:ind w:left="220"/>
    </w:pPr>
    <w:rPr>
      <w:rFonts w:asciiTheme="minorHAnsi" w:eastAsiaTheme="minorEastAsia" w:hAnsiTheme="minorHAnsi" w:cstheme="minorBidi"/>
      <w:kern w:val="0"/>
      <w:sz w:val="22"/>
      <w:szCs w:val="22"/>
      <w:lang w:val="en-US"/>
    </w:rPr>
  </w:style>
  <w:style w:type="paragraph" w:styleId="ae">
    <w:name w:val="List Paragraph"/>
    <w:basedOn w:val="a"/>
    <w:uiPriority w:val="34"/>
    <w:qFormat/>
    <w:rsid w:val="006A7A68"/>
    <w:pPr>
      <w:spacing w:line="259" w:lineRule="auto"/>
      <w:ind w:left="720"/>
      <w:contextualSpacing/>
    </w:pPr>
    <w:rPr>
      <w:rFonts w:asciiTheme="minorHAnsi" w:eastAsiaTheme="minorEastAsia" w:hAnsiTheme="minorHAnsi" w:cstheme="minorBidi"/>
      <w:kern w:val="0"/>
      <w:sz w:val="22"/>
      <w:szCs w:val="22"/>
      <w:lang w:val="en-US"/>
    </w:rPr>
  </w:style>
  <w:style w:type="paragraph" w:styleId="af">
    <w:name w:val="header"/>
    <w:basedOn w:val="a"/>
    <w:link w:val="af0"/>
    <w:uiPriority w:val="99"/>
    <w:unhideWhenUsed/>
    <w:rsid w:val="00E60C54"/>
    <w:pPr>
      <w:tabs>
        <w:tab w:val="center" w:pos="4680"/>
        <w:tab w:val="right" w:pos="9360"/>
      </w:tabs>
      <w:spacing w:after="0" w:line="240" w:lineRule="auto"/>
    </w:pPr>
    <w:rPr>
      <w:rFonts w:asciiTheme="minorHAnsi" w:eastAsiaTheme="minorEastAsia" w:hAnsiTheme="minorHAnsi" w:cstheme="minorBidi"/>
      <w:kern w:val="0"/>
      <w:sz w:val="22"/>
      <w:szCs w:val="22"/>
      <w:lang w:val="en-US"/>
    </w:rPr>
  </w:style>
  <w:style w:type="character" w:customStyle="1" w:styleId="af0">
    <w:name w:val="页眉 字符"/>
    <w:basedOn w:val="a0"/>
    <w:link w:val="af"/>
    <w:uiPriority w:val="99"/>
    <w:rsid w:val="00E60C54"/>
    <w:rPr>
      <w:kern w:val="0"/>
      <w:sz w:val="22"/>
      <w:szCs w:val="22"/>
      <w:lang w:eastAsia="en-US"/>
    </w:rPr>
  </w:style>
  <w:style w:type="paragraph" w:styleId="af1">
    <w:name w:val="footer"/>
    <w:basedOn w:val="a"/>
    <w:link w:val="af2"/>
    <w:uiPriority w:val="99"/>
    <w:unhideWhenUsed/>
    <w:rsid w:val="00E60C54"/>
    <w:pPr>
      <w:tabs>
        <w:tab w:val="center" w:pos="4680"/>
        <w:tab w:val="right" w:pos="9360"/>
      </w:tabs>
      <w:spacing w:after="0" w:line="240" w:lineRule="auto"/>
    </w:pPr>
    <w:rPr>
      <w:rFonts w:asciiTheme="minorHAnsi" w:eastAsiaTheme="minorEastAsia" w:hAnsiTheme="minorHAnsi" w:cstheme="minorBidi"/>
      <w:kern w:val="0"/>
      <w:sz w:val="22"/>
      <w:szCs w:val="22"/>
      <w:lang w:val="en-US"/>
    </w:rPr>
  </w:style>
  <w:style w:type="character" w:customStyle="1" w:styleId="af2">
    <w:name w:val="页脚 字符"/>
    <w:basedOn w:val="a0"/>
    <w:link w:val="af1"/>
    <w:uiPriority w:val="99"/>
    <w:rsid w:val="00E60C54"/>
    <w:rPr>
      <w:kern w:val="0"/>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3098900">
      <w:bodyDiv w:val="1"/>
      <w:marLeft w:val="0"/>
      <w:marRight w:val="0"/>
      <w:marTop w:val="0"/>
      <w:marBottom w:val="0"/>
      <w:divBdr>
        <w:top w:val="none" w:sz="0" w:space="0" w:color="auto"/>
        <w:left w:val="none" w:sz="0" w:space="0" w:color="auto"/>
        <w:bottom w:val="none" w:sz="0" w:space="0" w:color="auto"/>
        <w:right w:val="none" w:sz="0" w:space="0" w:color="auto"/>
      </w:divBdr>
      <w:divsChild>
        <w:div w:id="1270889252">
          <w:marLeft w:val="0"/>
          <w:marRight w:val="0"/>
          <w:marTop w:val="0"/>
          <w:marBottom w:val="0"/>
          <w:divBdr>
            <w:top w:val="none" w:sz="0" w:space="0" w:color="auto"/>
            <w:left w:val="none" w:sz="0" w:space="0" w:color="auto"/>
            <w:bottom w:val="none" w:sz="0" w:space="0" w:color="auto"/>
            <w:right w:val="none" w:sz="0" w:space="0" w:color="auto"/>
          </w:divBdr>
        </w:div>
      </w:divsChild>
    </w:div>
    <w:div w:id="1786533097">
      <w:bodyDiv w:val="1"/>
      <w:marLeft w:val="0"/>
      <w:marRight w:val="0"/>
      <w:marTop w:val="0"/>
      <w:marBottom w:val="0"/>
      <w:divBdr>
        <w:top w:val="none" w:sz="0" w:space="0" w:color="auto"/>
        <w:left w:val="none" w:sz="0" w:space="0" w:color="auto"/>
        <w:bottom w:val="none" w:sz="0" w:space="0" w:color="auto"/>
        <w:right w:val="none" w:sz="0" w:space="0" w:color="auto"/>
      </w:divBdr>
      <w:divsChild>
        <w:div w:id="1258631661">
          <w:marLeft w:val="0"/>
          <w:marRight w:val="0"/>
          <w:marTop w:val="0"/>
          <w:marBottom w:val="0"/>
          <w:divBdr>
            <w:top w:val="none" w:sz="0" w:space="0" w:color="auto"/>
            <w:left w:val="none" w:sz="0" w:space="0" w:color="auto"/>
            <w:bottom w:val="none" w:sz="0" w:space="0" w:color="auto"/>
            <w:right w:val="none" w:sz="0" w:space="0" w:color="auto"/>
          </w:divBdr>
          <w:divsChild>
            <w:div w:id="1664967439">
              <w:marLeft w:val="0"/>
              <w:marRight w:val="0"/>
              <w:marTop w:val="0"/>
              <w:marBottom w:val="0"/>
              <w:divBdr>
                <w:top w:val="none" w:sz="0" w:space="0" w:color="auto"/>
                <w:left w:val="none" w:sz="0" w:space="0" w:color="auto"/>
                <w:bottom w:val="none" w:sz="0" w:space="0" w:color="auto"/>
                <w:right w:val="none" w:sz="0" w:space="0" w:color="auto"/>
              </w:divBdr>
              <w:divsChild>
                <w:div w:id="26754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904017">
      <w:bodyDiv w:val="1"/>
      <w:marLeft w:val="0"/>
      <w:marRight w:val="0"/>
      <w:marTop w:val="0"/>
      <w:marBottom w:val="0"/>
      <w:divBdr>
        <w:top w:val="none" w:sz="0" w:space="0" w:color="auto"/>
        <w:left w:val="none" w:sz="0" w:space="0" w:color="auto"/>
        <w:bottom w:val="none" w:sz="0" w:space="0" w:color="auto"/>
        <w:right w:val="none" w:sz="0" w:space="0" w:color="auto"/>
      </w:divBdr>
      <w:divsChild>
        <w:div w:id="11966235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microsoft.com/office/2011/relationships/people" Target="peop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yperlink" Target="https://www.nber.org/papers/w32098" TargetMode="Externa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microsoft.com/office/2016/09/relationships/commentsIds" Target="commentsId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theme" Target="theme/theme1.xml"/><Relationship Id="rId8" Type="http://schemas.openxmlformats.org/officeDocument/2006/relationships/comments" Target="comments.xm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67</Pages>
  <Words>10191</Words>
  <Characters>58094</Characters>
  <Application>Microsoft Office Word</Application>
  <DocSecurity>0</DocSecurity>
  <Lines>484</Lines>
  <Paragraphs>136</Paragraphs>
  <ScaleCrop>false</ScaleCrop>
  <Company/>
  <LinksUpToDate>false</LinksUpToDate>
  <CharactersWithSpaces>68149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Xianghan Zhou (2408612)</dc:creator>
  <cp:keywords/>
  <dc:description/>
  <cp:lastModifiedBy>Xianghan Zhou (2408612)</cp:lastModifiedBy>
  <cp:revision>4</cp:revision>
  <dcterms:created xsi:type="dcterms:W3CDTF">2025-05-28T09:16:00Z</dcterms:created>
  <dcterms:modified xsi:type="dcterms:W3CDTF">2025-07-09T16:40:00Z</dcterms:modified>
</cp:coreProperties>
</file>