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82FC45" w14:textId="77777777" w:rsidR="00F23AA4" w:rsidRPr="00C760CA" w:rsidRDefault="00C760CA" w:rsidP="00C760CA">
      <w:pPr>
        <w:rPr>
          <w:rFonts w:asciiTheme="minorBidi" w:hAnsiTheme="minorBidi"/>
          <w:b/>
          <w:bCs/>
          <w:color w:val="0070C0"/>
          <w:sz w:val="40"/>
          <w:szCs w:val="40"/>
        </w:rPr>
      </w:pPr>
      <w:r w:rsidRPr="00C760CA">
        <w:rPr>
          <w:rFonts w:asciiTheme="minorBidi" w:hAnsiTheme="minorBidi"/>
          <w:b/>
          <w:bCs/>
          <w:color w:val="0070C0"/>
          <w:sz w:val="40"/>
          <w:szCs w:val="40"/>
        </w:rPr>
        <w:t>Fact Sheet: Determinants of Health</w:t>
      </w:r>
    </w:p>
    <w:p w14:paraId="2614E0CC"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 xml:space="preserve">This fact sheet provides an overview of the different types of determinants of health and how they influence health outcomes. Understanding these helps explain why some individuals and communities experience better or </w:t>
      </w:r>
      <w:r w:rsidRPr="00C760CA">
        <w:rPr>
          <w:rFonts w:asciiTheme="minorBidi" w:hAnsiTheme="minorBidi"/>
          <w:sz w:val="24"/>
          <w:szCs w:val="24"/>
        </w:rPr>
        <w:t>worse health than others.</w:t>
      </w:r>
    </w:p>
    <w:p w14:paraId="0A00C429"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t>What Are Determinants of Health?</w:t>
      </w:r>
    </w:p>
    <w:p w14:paraId="5A720866" w14:textId="69882439" w:rsidR="00F23AA4" w:rsidRPr="00C760CA" w:rsidRDefault="00C760CA" w:rsidP="00C760CA">
      <w:pPr>
        <w:rPr>
          <w:rFonts w:asciiTheme="minorBidi" w:hAnsiTheme="minorBidi"/>
          <w:sz w:val="24"/>
          <w:szCs w:val="24"/>
        </w:rPr>
      </w:pPr>
      <w:r w:rsidRPr="00C760CA">
        <w:rPr>
          <w:rFonts w:asciiTheme="minorBidi" w:hAnsiTheme="minorBidi"/>
          <w:sz w:val="24"/>
          <w:szCs w:val="24"/>
        </w:rPr>
        <w:t>Determinants of health are the broad range of personal, social, economic, and environmental factors that influence individual and population health. They help explain why some groups of people live longer and healthier lives than others.</w:t>
      </w:r>
      <w:r>
        <w:rPr>
          <w:rFonts w:asciiTheme="minorBidi" w:hAnsiTheme="minorBidi"/>
          <w:sz w:val="24"/>
          <w:szCs w:val="24"/>
        </w:rPr>
        <w:br/>
      </w:r>
    </w:p>
    <w:p w14:paraId="63B91109"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t>Why Are They Important?</w:t>
      </w:r>
    </w:p>
    <w:p w14:paraId="4DCF7A42" w14:textId="77777777" w:rsidR="00F23AA4" w:rsidRPr="00C760CA" w:rsidRDefault="00C760CA" w:rsidP="00C760CA">
      <w:pPr>
        <w:rPr>
          <w:rFonts w:asciiTheme="minorBidi" w:hAnsiTheme="minorBidi"/>
          <w:sz w:val="24"/>
          <w:szCs w:val="24"/>
        </w:rPr>
      </w:pPr>
      <w:r w:rsidRPr="00C760CA">
        <w:rPr>
          <w:rFonts w:asciiTheme="minorBidi" w:hAnsiTheme="minorBidi"/>
          <w:b/>
          <w:bCs/>
          <w:sz w:val="24"/>
          <w:szCs w:val="24"/>
        </w:rPr>
        <w:t>Determinants of health:</w:t>
      </w:r>
      <w:r w:rsidRPr="00C760CA">
        <w:rPr>
          <w:rFonts w:asciiTheme="minorBidi" w:hAnsiTheme="minorBidi"/>
          <w:sz w:val="24"/>
          <w:szCs w:val="24"/>
        </w:rPr>
        <w:br/>
        <w:t>• Explain why some groups experience better or worse health outcomes</w:t>
      </w:r>
      <w:r w:rsidRPr="00C760CA">
        <w:rPr>
          <w:rFonts w:asciiTheme="minorBidi" w:hAnsiTheme="minorBidi"/>
          <w:sz w:val="24"/>
          <w:szCs w:val="24"/>
        </w:rPr>
        <w:br/>
        <w:t>• Guide public health policy and intervention</w:t>
      </w:r>
      <w:r w:rsidRPr="00C760CA">
        <w:rPr>
          <w:rFonts w:asciiTheme="minorBidi" w:hAnsiTheme="minorBidi"/>
          <w:sz w:val="24"/>
          <w:szCs w:val="24"/>
        </w:rPr>
        <w:br/>
        <w:t>• Are key to addressing health inequalities and promoting equity</w:t>
      </w:r>
      <w:r w:rsidRPr="00C760CA">
        <w:rPr>
          <w:rFonts w:asciiTheme="minorBidi" w:hAnsiTheme="minorBidi"/>
          <w:sz w:val="24"/>
          <w:szCs w:val="24"/>
        </w:rPr>
        <w:br/>
        <w:t>• Include many modifiable factors that can be changed through targeted action</w:t>
      </w:r>
    </w:p>
    <w:p w14:paraId="2B9216B6"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t>Categories of Health Determinants</w:t>
      </w:r>
    </w:p>
    <w:p w14:paraId="1E7E0AB4"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1. Biological and Genetic Factors:</w:t>
      </w:r>
      <w:r w:rsidRPr="00C760CA">
        <w:rPr>
          <w:rFonts w:asciiTheme="minorBidi" w:hAnsiTheme="minorBidi"/>
          <w:sz w:val="24"/>
          <w:szCs w:val="24"/>
        </w:rPr>
        <w:br/>
        <w:t>- Age, sex, ethnicity, genetics, and inherited conditions.</w:t>
      </w:r>
    </w:p>
    <w:p w14:paraId="646D52E9"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2. Lifestyle and Behavioural Factors:</w:t>
      </w:r>
      <w:r w:rsidRPr="00C760CA">
        <w:rPr>
          <w:rFonts w:asciiTheme="minorBidi" w:hAnsiTheme="minorBidi"/>
          <w:sz w:val="24"/>
          <w:szCs w:val="24"/>
        </w:rPr>
        <w:br/>
        <w:t>- Diet, physical activity, smoking, alcohol, and drug use.</w:t>
      </w:r>
    </w:p>
    <w:p w14:paraId="5112A556"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3. Social and Community Networks:</w:t>
      </w:r>
      <w:r w:rsidRPr="00C760CA">
        <w:rPr>
          <w:rFonts w:asciiTheme="minorBidi" w:hAnsiTheme="minorBidi"/>
          <w:sz w:val="24"/>
          <w:szCs w:val="24"/>
        </w:rPr>
        <w:br/>
        <w:t>- Family, peer support, community ties, social isolation.</w:t>
      </w:r>
    </w:p>
    <w:p w14:paraId="535DB546"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4. Living and Working Conditions:</w:t>
      </w:r>
      <w:r w:rsidRPr="00C760CA">
        <w:rPr>
          <w:rFonts w:asciiTheme="minorBidi" w:hAnsiTheme="minorBidi"/>
          <w:sz w:val="24"/>
          <w:szCs w:val="24"/>
        </w:rPr>
        <w:br/>
        <w:t>- Employment, housing, income, education, healthcare access.</w:t>
      </w:r>
    </w:p>
    <w:p w14:paraId="4D0020E3"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5. Socioeconomic, Cultural and Environmental Conditions:</w:t>
      </w:r>
      <w:r w:rsidRPr="00C760CA">
        <w:rPr>
          <w:rFonts w:asciiTheme="minorBidi" w:hAnsiTheme="minorBidi"/>
          <w:sz w:val="24"/>
          <w:szCs w:val="24"/>
        </w:rPr>
        <w:br/>
        <w:t>- Policy, discrimination, social norms, climate, safety.</w:t>
      </w:r>
    </w:p>
    <w:p w14:paraId="18FA71DE"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The Dahlgren &amp; Whitehead Rainbow Model</w:t>
      </w:r>
    </w:p>
    <w:p w14:paraId="5AEF1D79"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This 1991 model illustrates how individual, social, and environmental layers influence health. It is widely used in health education and policy to explain the complex causes of health inequalities and to target interventions accordingly.</w:t>
      </w:r>
    </w:p>
    <w:p w14:paraId="224AA445"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lastRenderedPageBreak/>
        <w:t>Examples of Health Inequality</w:t>
      </w:r>
    </w:p>
    <w:p w14:paraId="248CA177" w14:textId="5E6768C8" w:rsidR="00F23AA4" w:rsidRPr="00C760CA" w:rsidRDefault="00C760CA" w:rsidP="00C760CA">
      <w:pPr>
        <w:rPr>
          <w:rFonts w:asciiTheme="minorBidi" w:hAnsiTheme="minorBidi"/>
          <w:sz w:val="24"/>
          <w:szCs w:val="24"/>
        </w:rPr>
      </w:pPr>
      <w:r w:rsidRPr="00C760CA">
        <w:rPr>
          <w:rFonts w:asciiTheme="minorBidi" w:hAnsiTheme="minorBidi"/>
          <w:sz w:val="24"/>
          <w:szCs w:val="24"/>
        </w:rPr>
        <w:t>• Life Expectancy: Significant regional variation linked to deprivation.</w:t>
      </w:r>
      <w:r>
        <w:rPr>
          <w:rFonts w:asciiTheme="minorBidi" w:hAnsiTheme="minorBidi"/>
          <w:sz w:val="24"/>
          <w:szCs w:val="24"/>
        </w:rPr>
        <w:br/>
      </w:r>
      <w:r w:rsidRPr="00C760CA">
        <w:rPr>
          <w:rFonts w:asciiTheme="minorBidi" w:hAnsiTheme="minorBidi"/>
          <w:sz w:val="24"/>
          <w:szCs w:val="24"/>
        </w:rPr>
        <w:br/>
        <w:t>• Maternal Mortality: Higher in lower-income and ethnic minority groups.</w:t>
      </w:r>
      <w:r>
        <w:rPr>
          <w:rFonts w:asciiTheme="minorBidi" w:hAnsiTheme="minorBidi"/>
          <w:sz w:val="24"/>
          <w:szCs w:val="24"/>
        </w:rPr>
        <w:br/>
      </w:r>
      <w:r w:rsidRPr="00C760CA">
        <w:rPr>
          <w:rFonts w:asciiTheme="minorBidi" w:hAnsiTheme="minorBidi"/>
          <w:sz w:val="24"/>
          <w:szCs w:val="24"/>
        </w:rPr>
        <w:br/>
        <w:t>• Child Mortality: Higher in areas of poverty and social exclusion.</w:t>
      </w:r>
    </w:p>
    <w:p w14:paraId="421B2720"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t>Linking Determinants of Health to the SDGs</w:t>
      </w:r>
    </w:p>
    <w:p w14:paraId="26B8C8C0" w14:textId="65E3B403" w:rsidR="00F23AA4" w:rsidRPr="00C760CA" w:rsidRDefault="00C760CA" w:rsidP="00C760CA">
      <w:pPr>
        <w:rPr>
          <w:rFonts w:asciiTheme="minorBidi" w:hAnsiTheme="minorBidi"/>
          <w:sz w:val="24"/>
          <w:szCs w:val="24"/>
        </w:rPr>
      </w:pPr>
      <w:r w:rsidRPr="00C760CA">
        <w:rPr>
          <w:rFonts w:asciiTheme="minorBidi" w:hAnsiTheme="minorBidi"/>
          <w:sz w:val="24"/>
          <w:szCs w:val="24"/>
        </w:rPr>
        <w:t>The Sustainable Development Goals (SDGs) are a UN framework aiming for global prosperity and health. SDG 3—‘Good Health and Well-being’—focuses on ensuring healthy lives for all and includes targets such as:</w:t>
      </w:r>
      <w:r w:rsidRPr="00C760CA">
        <w:rPr>
          <w:rFonts w:asciiTheme="minorBidi" w:hAnsiTheme="minorBidi"/>
          <w:sz w:val="24"/>
          <w:szCs w:val="24"/>
        </w:rPr>
        <w:br/>
        <w:t>• Reducing child and maternal mortality</w:t>
      </w:r>
      <w:r>
        <w:rPr>
          <w:rFonts w:asciiTheme="minorBidi" w:hAnsiTheme="minorBidi"/>
          <w:sz w:val="24"/>
          <w:szCs w:val="24"/>
        </w:rPr>
        <w:br/>
      </w:r>
      <w:r w:rsidRPr="00C760CA">
        <w:rPr>
          <w:rFonts w:asciiTheme="minorBidi" w:hAnsiTheme="minorBidi"/>
          <w:sz w:val="24"/>
          <w:szCs w:val="24"/>
        </w:rPr>
        <w:br/>
        <w:t>• Combating disease and promoting mental health</w:t>
      </w:r>
      <w:r>
        <w:rPr>
          <w:rFonts w:asciiTheme="minorBidi" w:hAnsiTheme="minorBidi"/>
          <w:sz w:val="24"/>
          <w:szCs w:val="24"/>
        </w:rPr>
        <w:br/>
      </w:r>
      <w:r w:rsidRPr="00C760CA">
        <w:rPr>
          <w:rFonts w:asciiTheme="minorBidi" w:hAnsiTheme="minorBidi"/>
          <w:sz w:val="24"/>
          <w:szCs w:val="24"/>
        </w:rPr>
        <w:br/>
        <w:t>• Achieving universal health coverage</w:t>
      </w:r>
    </w:p>
    <w:p w14:paraId="19FA243A" w14:textId="1601575E" w:rsidR="00F23AA4" w:rsidRPr="00C760CA" w:rsidRDefault="00C760CA" w:rsidP="00C760CA">
      <w:pPr>
        <w:rPr>
          <w:rFonts w:asciiTheme="minorBidi" w:hAnsiTheme="minorBidi"/>
          <w:sz w:val="24"/>
          <w:szCs w:val="24"/>
        </w:rPr>
      </w:pPr>
      <w:r w:rsidRPr="00C760CA">
        <w:rPr>
          <w:rFonts w:asciiTheme="minorBidi" w:hAnsiTheme="minorBidi"/>
          <w:b/>
          <w:bCs/>
          <w:sz w:val="28"/>
          <w:szCs w:val="28"/>
        </w:rPr>
        <w:t>Determinants of health are deeply connected to SDG 3 and others such as:</w:t>
      </w:r>
      <w:r w:rsidRPr="00C760CA">
        <w:rPr>
          <w:rFonts w:asciiTheme="minorBidi" w:hAnsiTheme="minorBidi"/>
          <w:sz w:val="24"/>
          <w:szCs w:val="24"/>
        </w:rPr>
        <w:br/>
        <w:t>• SDG 1: No Poverty</w:t>
      </w:r>
      <w:r>
        <w:rPr>
          <w:rFonts w:asciiTheme="minorBidi" w:hAnsiTheme="minorBidi"/>
          <w:sz w:val="24"/>
          <w:szCs w:val="24"/>
        </w:rPr>
        <w:br/>
      </w:r>
      <w:r w:rsidRPr="00C760CA">
        <w:rPr>
          <w:rFonts w:asciiTheme="minorBidi" w:hAnsiTheme="minorBidi"/>
          <w:sz w:val="24"/>
          <w:szCs w:val="24"/>
        </w:rPr>
        <w:br/>
        <w:t>• SDG 4: Quality Education</w:t>
      </w:r>
      <w:r>
        <w:rPr>
          <w:rFonts w:asciiTheme="minorBidi" w:hAnsiTheme="minorBidi"/>
          <w:sz w:val="24"/>
          <w:szCs w:val="24"/>
        </w:rPr>
        <w:br/>
      </w:r>
      <w:r w:rsidRPr="00C760CA">
        <w:rPr>
          <w:rFonts w:asciiTheme="minorBidi" w:hAnsiTheme="minorBidi"/>
          <w:sz w:val="24"/>
          <w:szCs w:val="24"/>
        </w:rPr>
        <w:br/>
        <w:t>• SDG 5: Gender Equality</w:t>
      </w:r>
      <w:r>
        <w:rPr>
          <w:rFonts w:asciiTheme="minorBidi" w:hAnsiTheme="minorBidi"/>
          <w:sz w:val="24"/>
          <w:szCs w:val="24"/>
        </w:rPr>
        <w:br/>
      </w:r>
      <w:r w:rsidRPr="00C760CA">
        <w:rPr>
          <w:rFonts w:asciiTheme="minorBidi" w:hAnsiTheme="minorBidi"/>
          <w:sz w:val="24"/>
          <w:szCs w:val="24"/>
        </w:rPr>
        <w:br/>
        <w:t>• SDG 10: Reduced Inequalities</w:t>
      </w:r>
      <w:r>
        <w:rPr>
          <w:rFonts w:asciiTheme="minorBidi" w:hAnsiTheme="minorBidi"/>
          <w:sz w:val="24"/>
          <w:szCs w:val="24"/>
        </w:rPr>
        <w:br/>
      </w:r>
      <w:r w:rsidRPr="00C760CA">
        <w:rPr>
          <w:rFonts w:asciiTheme="minorBidi" w:hAnsiTheme="minorBidi"/>
          <w:sz w:val="24"/>
          <w:szCs w:val="24"/>
        </w:rPr>
        <w:br/>
        <w:t>• SDG 13: Climate Action</w:t>
      </w:r>
    </w:p>
    <w:p w14:paraId="2C4C7A92"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Understanding and acting on these determinants supports both national health priorities and global development goals.</w:t>
      </w:r>
    </w:p>
    <w:p w14:paraId="0D07010B"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Why This Matters in Practice</w:t>
      </w:r>
    </w:p>
    <w:p w14:paraId="6A8F83E1" w14:textId="77777777" w:rsidR="00C760CA" w:rsidRDefault="00C760CA" w:rsidP="00C760CA">
      <w:pPr>
        <w:rPr>
          <w:rFonts w:asciiTheme="minorBidi" w:hAnsiTheme="minorBidi"/>
          <w:sz w:val="24"/>
          <w:szCs w:val="24"/>
        </w:rPr>
      </w:pPr>
      <w:r w:rsidRPr="00C760CA">
        <w:rPr>
          <w:rFonts w:asciiTheme="minorBidi" w:hAnsiTheme="minorBidi"/>
          <w:sz w:val="24"/>
          <w:szCs w:val="24"/>
        </w:rPr>
        <w:t>H</w:t>
      </w:r>
      <w:r>
        <w:rPr>
          <w:rFonts w:asciiTheme="minorBidi" w:hAnsiTheme="minorBidi"/>
          <w:sz w:val="24"/>
          <w:szCs w:val="24"/>
        </w:rPr>
        <w:t>+SC</w:t>
      </w:r>
      <w:r w:rsidRPr="00C760CA">
        <w:rPr>
          <w:rFonts w:asciiTheme="minorBidi" w:hAnsiTheme="minorBidi"/>
          <w:sz w:val="24"/>
          <w:szCs w:val="24"/>
        </w:rPr>
        <w:t xml:space="preserve"> professionals must understand the wider context of health to:</w:t>
      </w:r>
      <w:r w:rsidRPr="00C760CA">
        <w:rPr>
          <w:rFonts w:asciiTheme="minorBidi" w:hAnsiTheme="minorBidi"/>
          <w:sz w:val="24"/>
          <w:szCs w:val="24"/>
        </w:rPr>
        <w:br/>
        <w:t>• Deliver holistic and person-</w:t>
      </w:r>
      <w:proofErr w:type="spellStart"/>
      <w:r w:rsidRPr="00C760CA">
        <w:rPr>
          <w:rFonts w:asciiTheme="minorBidi" w:hAnsiTheme="minorBidi"/>
          <w:sz w:val="24"/>
          <w:szCs w:val="24"/>
        </w:rPr>
        <w:t>centred</w:t>
      </w:r>
      <w:proofErr w:type="spellEnd"/>
      <w:r w:rsidRPr="00C760CA">
        <w:rPr>
          <w:rFonts w:asciiTheme="minorBidi" w:hAnsiTheme="minorBidi"/>
          <w:sz w:val="24"/>
          <w:szCs w:val="24"/>
        </w:rPr>
        <w:t xml:space="preserve"> care</w:t>
      </w:r>
      <w:r>
        <w:rPr>
          <w:rFonts w:asciiTheme="minorBidi" w:hAnsiTheme="minorBidi"/>
          <w:sz w:val="24"/>
          <w:szCs w:val="24"/>
        </w:rPr>
        <w:br/>
      </w:r>
      <w:r w:rsidRPr="00C760CA">
        <w:rPr>
          <w:rFonts w:asciiTheme="minorBidi" w:hAnsiTheme="minorBidi"/>
          <w:sz w:val="24"/>
          <w:szCs w:val="24"/>
        </w:rPr>
        <w:br/>
        <w:t xml:space="preserve">• </w:t>
      </w:r>
      <w:proofErr w:type="spellStart"/>
      <w:r w:rsidRPr="00C760CA">
        <w:rPr>
          <w:rFonts w:asciiTheme="minorBidi" w:hAnsiTheme="minorBidi"/>
          <w:sz w:val="24"/>
          <w:szCs w:val="24"/>
        </w:rPr>
        <w:t>Recognise</w:t>
      </w:r>
      <w:proofErr w:type="spellEnd"/>
      <w:r w:rsidRPr="00C760CA">
        <w:rPr>
          <w:rFonts w:asciiTheme="minorBidi" w:hAnsiTheme="minorBidi"/>
          <w:sz w:val="24"/>
          <w:szCs w:val="24"/>
        </w:rPr>
        <w:t xml:space="preserve"> barriers to health and well-being</w:t>
      </w:r>
      <w:r>
        <w:rPr>
          <w:rFonts w:asciiTheme="minorBidi" w:hAnsiTheme="minorBidi"/>
          <w:sz w:val="24"/>
          <w:szCs w:val="24"/>
        </w:rPr>
        <w:br/>
      </w:r>
      <w:r w:rsidRPr="00C760CA">
        <w:rPr>
          <w:rFonts w:asciiTheme="minorBidi" w:hAnsiTheme="minorBidi"/>
          <w:sz w:val="24"/>
          <w:szCs w:val="24"/>
        </w:rPr>
        <w:br/>
        <w:t>• Advocate for change at the individual, community, and policy level</w:t>
      </w:r>
    </w:p>
    <w:p w14:paraId="36496BCF" w14:textId="123085F3" w:rsidR="00F23AA4" w:rsidRPr="00C760CA" w:rsidRDefault="00C760CA" w:rsidP="00C760CA">
      <w:pPr>
        <w:rPr>
          <w:rFonts w:asciiTheme="minorBidi" w:hAnsiTheme="minorBidi"/>
          <w:sz w:val="28"/>
          <w:szCs w:val="28"/>
        </w:rPr>
      </w:pPr>
      <w:r w:rsidRPr="00C760CA">
        <w:rPr>
          <w:rFonts w:asciiTheme="minorBidi" w:hAnsiTheme="minorBidi"/>
          <w:b/>
          <w:bCs/>
          <w:sz w:val="28"/>
          <w:szCs w:val="28"/>
        </w:rPr>
        <w:lastRenderedPageBreak/>
        <w:t>Relevant UK Policy and Legislation</w:t>
      </w:r>
    </w:p>
    <w:p w14:paraId="39B9C3F5" w14:textId="7D2C04F8" w:rsidR="00F23AA4" w:rsidRPr="00C760CA" w:rsidRDefault="00C760CA" w:rsidP="00C760CA">
      <w:pPr>
        <w:rPr>
          <w:rFonts w:asciiTheme="minorBidi" w:hAnsiTheme="minorBidi"/>
          <w:sz w:val="24"/>
          <w:szCs w:val="24"/>
        </w:rPr>
      </w:pPr>
      <w:r w:rsidRPr="00C760CA">
        <w:rPr>
          <w:rFonts w:asciiTheme="minorBidi" w:hAnsiTheme="minorBidi"/>
          <w:sz w:val="24"/>
          <w:szCs w:val="24"/>
        </w:rPr>
        <w:t xml:space="preserve">In the UK, a number of national strategies and frameworks aim to reduce health inequalities by addressing the broader determinants of health. These policies provide a structure for public health efforts and set standards for </w:t>
      </w:r>
      <w:r>
        <w:rPr>
          <w:rFonts w:asciiTheme="minorBidi" w:hAnsiTheme="minorBidi"/>
          <w:sz w:val="24"/>
          <w:szCs w:val="24"/>
        </w:rPr>
        <w:t xml:space="preserve">H+SC </w:t>
      </w:r>
      <w:r w:rsidRPr="00C760CA">
        <w:rPr>
          <w:rFonts w:asciiTheme="minorBidi" w:hAnsiTheme="minorBidi"/>
          <w:sz w:val="24"/>
          <w:szCs w:val="24"/>
        </w:rPr>
        <w:t>delivery.</w:t>
      </w:r>
    </w:p>
    <w:p w14:paraId="269F6D17"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1. The Marmot Review (2010) and 'Health Equity in England: The Marmot Review 10 Years On' (2020):</w:t>
      </w:r>
    </w:p>
    <w:p w14:paraId="321081D1" w14:textId="0E6194B7" w:rsidR="00F23AA4" w:rsidRPr="00C760CA" w:rsidRDefault="00C760CA" w:rsidP="00C760CA">
      <w:pPr>
        <w:rPr>
          <w:rFonts w:asciiTheme="minorBidi" w:hAnsiTheme="minorBidi"/>
          <w:sz w:val="24"/>
          <w:szCs w:val="24"/>
        </w:rPr>
      </w:pPr>
      <w:r w:rsidRPr="00C760CA">
        <w:rPr>
          <w:rFonts w:asciiTheme="minorBidi" w:hAnsiTheme="minorBidi"/>
          <w:sz w:val="24"/>
          <w:szCs w:val="24"/>
        </w:rPr>
        <w:t>- Landmark reports that call for action across six policy objectives including early childhood development, employment, income, and healthy communities. These reviews have shaped public health strategy across the UK.</w:t>
      </w:r>
      <w:r>
        <w:rPr>
          <w:rFonts w:asciiTheme="minorBidi" w:hAnsiTheme="minorBidi"/>
          <w:sz w:val="24"/>
          <w:szCs w:val="24"/>
        </w:rPr>
        <w:br/>
      </w:r>
      <w:r w:rsidRPr="00C760CA">
        <w:rPr>
          <w:rFonts w:asciiTheme="minorBidi" w:hAnsiTheme="minorBidi"/>
          <w:b/>
          <w:bCs/>
          <w:sz w:val="24"/>
          <w:szCs w:val="24"/>
        </w:rPr>
        <w:t>2. NHS Long Term Plan (2019):</w:t>
      </w:r>
    </w:p>
    <w:p w14:paraId="423AE1DF" w14:textId="5092EE38" w:rsidR="00F23AA4" w:rsidRPr="00C760CA" w:rsidRDefault="00C760CA" w:rsidP="00C760CA">
      <w:pPr>
        <w:rPr>
          <w:rFonts w:asciiTheme="minorBidi" w:hAnsiTheme="minorBidi"/>
          <w:sz w:val="24"/>
          <w:szCs w:val="24"/>
        </w:rPr>
      </w:pPr>
      <w:r w:rsidRPr="00C760CA">
        <w:rPr>
          <w:rFonts w:asciiTheme="minorBidi" w:hAnsiTheme="minorBidi"/>
          <w:sz w:val="24"/>
          <w:szCs w:val="24"/>
        </w:rPr>
        <w:t>- Outlines the NHS commitment to preventing ill health, reducing inequalities, and delivering more integrated care. Includes a focus on mental health, digital health access, and Making Every Contact Count (MECC).</w:t>
      </w:r>
      <w:r>
        <w:rPr>
          <w:rFonts w:asciiTheme="minorBidi" w:hAnsiTheme="minorBidi"/>
          <w:sz w:val="24"/>
          <w:szCs w:val="24"/>
        </w:rPr>
        <w:br/>
      </w:r>
      <w:r w:rsidRPr="00C760CA">
        <w:rPr>
          <w:rFonts w:asciiTheme="minorBidi" w:hAnsiTheme="minorBidi"/>
          <w:b/>
          <w:bCs/>
          <w:sz w:val="24"/>
          <w:szCs w:val="24"/>
        </w:rPr>
        <w:t>3. Health and Social Care Act (2012):</w:t>
      </w:r>
    </w:p>
    <w:p w14:paraId="30A83727" w14:textId="2FC9CDF6" w:rsidR="00F23AA4" w:rsidRPr="00C760CA" w:rsidRDefault="00C760CA" w:rsidP="00C760CA">
      <w:pPr>
        <w:rPr>
          <w:rFonts w:asciiTheme="minorBidi" w:hAnsiTheme="minorBidi"/>
          <w:sz w:val="24"/>
          <w:szCs w:val="24"/>
        </w:rPr>
      </w:pPr>
      <w:r w:rsidRPr="00C760CA">
        <w:rPr>
          <w:rFonts w:asciiTheme="minorBidi" w:hAnsiTheme="minorBidi"/>
          <w:sz w:val="24"/>
          <w:szCs w:val="24"/>
        </w:rPr>
        <w:t xml:space="preserve">- Requires local authorities and the NHS to reduce inequalities in </w:t>
      </w:r>
      <w:r w:rsidRPr="00C760CA">
        <w:rPr>
          <w:rFonts w:asciiTheme="minorBidi" w:hAnsiTheme="minorBidi"/>
          <w:sz w:val="24"/>
          <w:szCs w:val="24"/>
        </w:rPr>
        <w:t>access to and outcomes from healthcare. It formalised the role of Health and Wellbeing Boards in England.</w:t>
      </w:r>
      <w:r>
        <w:rPr>
          <w:rFonts w:asciiTheme="minorBidi" w:hAnsiTheme="minorBidi"/>
          <w:sz w:val="24"/>
          <w:szCs w:val="24"/>
        </w:rPr>
        <w:br/>
      </w:r>
      <w:r w:rsidRPr="00C760CA">
        <w:rPr>
          <w:rFonts w:asciiTheme="minorBidi" w:hAnsiTheme="minorBidi"/>
          <w:b/>
          <w:bCs/>
          <w:sz w:val="24"/>
          <w:szCs w:val="24"/>
        </w:rPr>
        <w:t>4. Equality Act (2010):</w:t>
      </w:r>
    </w:p>
    <w:p w14:paraId="2368291E" w14:textId="6BEF1441" w:rsidR="00F23AA4" w:rsidRPr="00C760CA" w:rsidRDefault="00C760CA" w:rsidP="00C760CA">
      <w:pPr>
        <w:rPr>
          <w:rFonts w:asciiTheme="minorBidi" w:hAnsiTheme="minorBidi"/>
          <w:sz w:val="24"/>
          <w:szCs w:val="24"/>
        </w:rPr>
      </w:pPr>
      <w:r w:rsidRPr="00C760CA">
        <w:rPr>
          <w:rFonts w:asciiTheme="minorBidi" w:hAnsiTheme="minorBidi"/>
          <w:sz w:val="24"/>
          <w:szCs w:val="24"/>
        </w:rPr>
        <w:t>- Protects individuals from discrimination and promotes equality in service delivery, including healthcare. Supports inclusive approaches and consideration of protected characteristics.</w:t>
      </w:r>
      <w:r>
        <w:rPr>
          <w:rFonts w:asciiTheme="minorBidi" w:hAnsiTheme="minorBidi"/>
          <w:sz w:val="24"/>
          <w:szCs w:val="24"/>
        </w:rPr>
        <w:br/>
      </w:r>
      <w:r w:rsidRPr="00C760CA">
        <w:rPr>
          <w:rFonts w:asciiTheme="minorBidi" w:hAnsiTheme="minorBidi"/>
          <w:b/>
          <w:bCs/>
          <w:sz w:val="24"/>
          <w:szCs w:val="24"/>
        </w:rPr>
        <w:t>5. NICE Guidelines:</w:t>
      </w:r>
    </w:p>
    <w:p w14:paraId="4BE140DC" w14:textId="29FA1418" w:rsidR="00F23AA4" w:rsidRDefault="00C760CA" w:rsidP="00C760CA">
      <w:pPr>
        <w:rPr>
          <w:rFonts w:asciiTheme="minorBidi" w:hAnsiTheme="minorBidi"/>
          <w:sz w:val="24"/>
          <w:szCs w:val="24"/>
        </w:rPr>
      </w:pPr>
      <w:r w:rsidRPr="00C760CA">
        <w:rPr>
          <w:rFonts w:asciiTheme="minorBidi" w:hAnsiTheme="minorBidi"/>
          <w:sz w:val="24"/>
          <w:szCs w:val="24"/>
        </w:rPr>
        <w:t>- The National Institute for Health and Care Excellence (NICE) provides evidence-based guidelines for addressing public health issues, including housing, education, and environmental sustainability.</w:t>
      </w:r>
      <w:r>
        <w:rPr>
          <w:rFonts w:asciiTheme="minorBidi" w:hAnsiTheme="minorBidi"/>
          <w:sz w:val="24"/>
          <w:szCs w:val="24"/>
        </w:rPr>
        <w:br/>
        <w:t>-</w:t>
      </w:r>
      <w:r w:rsidRPr="00C760CA">
        <w:rPr>
          <w:rFonts w:asciiTheme="minorBidi" w:hAnsiTheme="minorBidi"/>
          <w:sz w:val="24"/>
          <w:szCs w:val="24"/>
        </w:rPr>
        <w:t>Together, these policies form the foundation for action to improve public health, reduce inequalities, and support the delivery of person-</w:t>
      </w:r>
      <w:proofErr w:type="spellStart"/>
      <w:r w:rsidRPr="00C760CA">
        <w:rPr>
          <w:rFonts w:asciiTheme="minorBidi" w:hAnsiTheme="minorBidi"/>
          <w:sz w:val="24"/>
          <w:szCs w:val="24"/>
        </w:rPr>
        <w:t>centred</w:t>
      </w:r>
      <w:proofErr w:type="spellEnd"/>
      <w:r w:rsidRPr="00C760CA">
        <w:rPr>
          <w:rFonts w:asciiTheme="minorBidi" w:hAnsiTheme="minorBidi"/>
          <w:sz w:val="24"/>
          <w:szCs w:val="24"/>
        </w:rPr>
        <w:t xml:space="preserve"> care.</w:t>
      </w:r>
      <w:r>
        <w:rPr>
          <w:rFonts w:asciiTheme="minorBidi" w:hAnsiTheme="minorBidi"/>
          <w:sz w:val="24"/>
          <w:szCs w:val="24"/>
        </w:rPr>
        <w:br/>
      </w:r>
      <w:r>
        <w:rPr>
          <w:rFonts w:asciiTheme="minorBidi" w:hAnsiTheme="minorBidi"/>
          <w:b/>
          <w:bCs/>
          <w:sz w:val="24"/>
          <w:szCs w:val="24"/>
        </w:rPr>
        <w:t xml:space="preserve">6. </w:t>
      </w:r>
      <w:r w:rsidRPr="00C760CA">
        <w:rPr>
          <w:rFonts w:asciiTheme="minorBidi" w:hAnsiTheme="minorBidi"/>
          <w:b/>
          <w:bCs/>
          <w:sz w:val="24"/>
          <w:szCs w:val="24"/>
        </w:rPr>
        <w:t>UK Health Security Agency (UKHSA)</w:t>
      </w:r>
      <w:r>
        <w:rPr>
          <w:rFonts w:asciiTheme="minorBidi" w:hAnsiTheme="minorBidi"/>
          <w:b/>
          <w:bCs/>
          <w:sz w:val="24"/>
          <w:szCs w:val="24"/>
        </w:rPr>
        <w:t xml:space="preserve"> (formerly PHE)</w:t>
      </w:r>
      <w:r>
        <w:rPr>
          <w:rFonts w:asciiTheme="minorBidi" w:hAnsiTheme="minorBidi"/>
          <w:b/>
          <w:bCs/>
          <w:sz w:val="24"/>
          <w:szCs w:val="24"/>
        </w:rPr>
        <w:br/>
      </w:r>
      <w:r w:rsidRPr="00C760CA">
        <w:rPr>
          <w:rFonts w:asciiTheme="minorBidi" w:hAnsiTheme="minorBidi"/>
          <w:sz w:val="24"/>
          <w:szCs w:val="24"/>
        </w:rPr>
        <w:br/>
      </w:r>
      <w:r>
        <w:rPr>
          <w:rFonts w:asciiTheme="minorBidi" w:hAnsiTheme="minorBidi"/>
          <w:sz w:val="24"/>
          <w:szCs w:val="24"/>
        </w:rPr>
        <w:t>-</w:t>
      </w:r>
      <w:r w:rsidRPr="00C760CA">
        <w:rPr>
          <w:rFonts w:asciiTheme="minorBidi" w:hAnsiTheme="minorBidi"/>
          <w:sz w:val="24"/>
          <w:szCs w:val="24"/>
        </w:rPr>
        <w:t xml:space="preserve">Established in 2021, UKHSA is responsible for protecting the nation’s health from infectious diseases and environmental hazards, while also working to tackle wider health inequalities. </w:t>
      </w:r>
      <w:r>
        <w:rPr>
          <w:rFonts w:asciiTheme="minorBidi" w:hAnsiTheme="minorBidi"/>
          <w:sz w:val="24"/>
          <w:szCs w:val="24"/>
        </w:rPr>
        <w:br/>
        <w:t>-</w:t>
      </w:r>
      <w:r w:rsidRPr="00C760CA">
        <w:rPr>
          <w:rFonts w:asciiTheme="minorBidi" w:hAnsiTheme="minorBidi"/>
          <w:sz w:val="24"/>
          <w:szCs w:val="24"/>
        </w:rPr>
        <w:t>Their p</w:t>
      </w:r>
      <w:proofErr w:type="spellStart"/>
      <w:r w:rsidRPr="00C760CA">
        <w:rPr>
          <w:rFonts w:asciiTheme="minorBidi" w:hAnsiTheme="minorBidi"/>
          <w:sz w:val="24"/>
          <w:szCs w:val="24"/>
        </w:rPr>
        <w:t>rogrammes</w:t>
      </w:r>
      <w:proofErr w:type="spellEnd"/>
      <w:r w:rsidRPr="00C760CA">
        <w:rPr>
          <w:rFonts w:asciiTheme="minorBidi" w:hAnsiTheme="minorBidi"/>
          <w:sz w:val="24"/>
          <w:szCs w:val="24"/>
        </w:rPr>
        <w:t xml:space="preserve"> focus on understanding population health, preventing disease, and supporting local systems with evidence and guidance. </w:t>
      </w:r>
      <w:r>
        <w:rPr>
          <w:rFonts w:asciiTheme="minorBidi" w:hAnsiTheme="minorBidi"/>
          <w:sz w:val="24"/>
          <w:szCs w:val="24"/>
        </w:rPr>
        <w:br/>
        <w:t>-</w:t>
      </w:r>
      <w:r w:rsidRPr="00C760CA">
        <w:rPr>
          <w:rFonts w:asciiTheme="minorBidi" w:hAnsiTheme="minorBidi"/>
          <w:sz w:val="24"/>
          <w:szCs w:val="24"/>
        </w:rPr>
        <w:t>UKHSA contributes to reducing the impact of social determinants through surveillance, early intervention, and policy support.</w:t>
      </w:r>
    </w:p>
    <w:p w14:paraId="1B8219DB" w14:textId="77777777" w:rsidR="00F23AA4" w:rsidRPr="00C760CA" w:rsidRDefault="00C760CA" w:rsidP="00C760CA">
      <w:pPr>
        <w:rPr>
          <w:rFonts w:asciiTheme="minorBidi" w:hAnsiTheme="minorBidi"/>
          <w:b/>
          <w:bCs/>
          <w:sz w:val="28"/>
          <w:szCs w:val="28"/>
        </w:rPr>
      </w:pPr>
      <w:r w:rsidRPr="00C760CA">
        <w:rPr>
          <w:rFonts w:asciiTheme="minorBidi" w:hAnsiTheme="minorBidi"/>
          <w:b/>
          <w:bCs/>
          <w:sz w:val="28"/>
          <w:szCs w:val="28"/>
        </w:rPr>
        <w:lastRenderedPageBreak/>
        <w:t>Expanded Focus on Specific Determinants</w:t>
      </w:r>
    </w:p>
    <w:p w14:paraId="6926A98B"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The following determinants are particularly significant due to their widespread and long-lasting impact on health:</w:t>
      </w:r>
    </w:p>
    <w:p w14:paraId="0B43222D"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1. Gender and Age</w:t>
      </w:r>
    </w:p>
    <w:p w14:paraId="2982C24F"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Health risks and outcomes can differ significantly based on gender and age. For example, women may face unique reproductive health challenges, while older adults may experience age-related conditions such as frailty or dementia. Health services must be responsive to these differences to ensure equity.</w:t>
      </w:r>
    </w:p>
    <w:p w14:paraId="18651FC0"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2. Behavioural and Socio-Cultural (Lifestyle) Factors</w:t>
      </w:r>
    </w:p>
    <w:p w14:paraId="7A7FD46D" w14:textId="4380BF0E" w:rsidR="00F23AA4" w:rsidRPr="00C760CA" w:rsidRDefault="00C760CA" w:rsidP="00C760CA">
      <w:pPr>
        <w:rPr>
          <w:rFonts w:asciiTheme="minorBidi" w:hAnsiTheme="minorBidi"/>
          <w:sz w:val="24"/>
          <w:szCs w:val="24"/>
        </w:rPr>
      </w:pPr>
      <w:r w:rsidRPr="00C760CA">
        <w:rPr>
          <w:rFonts w:asciiTheme="minorBidi" w:hAnsiTheme="minorBidi"/>
          <w:sz w:val="24"/>
          <w:szCs w:val="24"/>
        </w:rPr>
        <w:t xml:space="preserve">Lifestyle choices such as smoking, alcohol consumption, physical inactivity, and diet are shaped by cultural norms, access, and </w:t>
      </w:r>
      <w:r>
        <w:rPr>
          <w:rFonts w:asciiTheme="minorBidi" w:hAnsiTheme="minorBidi"/>
          <w:sz w:val="24"/>
          <w:szCs w:val="24"/>
        </w:rPr>
        <w:t>SES</w:t>
      </w:r>
      <w:r w:rsidRPr="00C760CA">
        <w:rPr>
          <w:rFonts w:asciiTheme="minorBidi" w:hAnsiTheme="minorBidi"/>
          <w:sz w:val="24"/>
          <w:szCs w:val="24"/>
        </w:rPr>
        <w:t>. Promoting healthier behaviours must consider cultural contexts and barriers faced by individuals.</w:t>
      </w:r>
    </w:p>
    <w:p w14:paraId="150544F9"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3. Education and Health Literacy</w:t>
      </w:r>
    </w:p>
    <w:p w14:paraId="0633C32D"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Education level is a strong predictor of health. It affects employment opportunities, health literacy, income, and the ability to access and navigate healthcare systems. Higher education is often associated with longer life expectancy and better health outcomes.</w:t>
      </w:r>
    </w:p>
    <w:p w14:paraId="0AD34A1A"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4. Employment and Occupation</w:t>
      </w:r>
    </w:p>
    <w:p w14:paraId="66CE7620" w14:textId="3A660C0D" w:rsidR="00F23AA4" w:rsidRPr="00C760CA" w:rsidRDefault="00C760CA" w:rsidP="00C760CA">
      <w:pPr>
        <w:rPr>
          <w:rFonts w:asciiTheme="minorBidi" w:hAnsiTheme="minorBidi"/>
          <w:sz w:val="24"/>
          <w:szCs w:val="24"/>
        </w:rPr>
      </w:pPr>
      <w:r w:rsidRPr="00C760CA">
        <w:rPr>
          <w:rFonts w:asciiTheme="minorBidi" w:hAnsiTheme="minorBidi"/>
          <w:sz w:val="24"/>
          <w:szCs w:val="24"/>
        </w:rPr>
        <w:t>The nature of a person’s job (e.g. physically demanding, high stress, or insecure work) affects both mental and physical health. Un</w:t>
      </w:r>
      <w:r>
        <w:rPr>
          <w:rFonts w:asciiTheme="minorBidi" w:hAnsiTheme="minorBidi"/>
          <w:sz w:val="24"/>
          <w:szCs w:val="24"/>
        </w:rPr>
        <w:t xml:space="preserve"> or</w:t>
      </w:r>
      <w:r w:rsidRPr="00C760CA">
        <w:rPr>
          <w:rFonts w:asciiTheme="minorBidi" w:hAnsiTheme="minorBidi"/>
          <w:sz w:val="24"/>
          <w:szCs w:val="24"/>
        </w:rPr>
        <w:t xml:space="preserve"> underemployment is strongly linked to poor health and reduced access to healthcare services.</w:t>
      </w:r>
    </w:p>
    <w:p w14:paraId="199689B0"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5. Political Systems and Governance</w:t>
      </w:r>
    </w:p>
    <w:p w14:paraId="3F2CD32B"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Health is influenced by policy choices made at the local, national, and global level. Political stability, public investment, welfare provision, and regulatory frameworks all shape health determinants. Strong governance can reduce inequalities, while political neglect can deepen them.</w:t>
      </w:r>
    </w:p>
    <w:p w14:paraId="35ADF53C" w14:textId="77777777" w:rsidR="00F23AA4" w:rsidRPr="00C760CA" w:rsidRDefault="00C760CA" w:rsidP="00C760CA">
      <w:pPr>
        <w:rPr>
          <w:rFonts w:asciiTheme="minorBidi" w:hAnsiTheme="minorBidi"/>
          <w:b/>
          <w:bCs/>
          <w:sz w:val="24"/>
          <w:szCs w:val="24"/>
        </w:rPr>
      </w:pPr>
      <w:r w:rsidRPr="00C760CA">
        <w:rPr>
          <w:rFonts w:asciiTheme="minorBidi" w:hAnsiTheme="minorBidi"/>
          <w:b/>
          <w:bCs/>
          <w:sz w:val="24"/>
          <w:szCs w:val="24"/>
        </w:rPr>
        <w:t>6. Social Exclusion and Social Isolation</w:t>
      </w:r>
    </w:p>
    <w:p w14:paraId="6DA5C5C0" w14:textId="77777777" w:rsidR="00F23AA4" w:rsidRPr="00C760CA" w:rsidRDefault="00C760CA" w:rsidP="00C760CA">
      <w:pPr>
        <w:rPr>
          <w:rFonts w:asciiTheme="minorBidi" w:hAnsiTheme="minorBidi"/>
          <w:sz w:val="24"/>
          <w:szCs w:val="24"/>
        </w:rPr>
      </w:pPr>
      <w:r w:rsidRPr="00C760CA">
        <w:rPr>
          <w:rFonts w:asciiTheme="minorBidi" w:hAnsiTheme="minorBidi"/>
          <w:sz w:val="24"/>
          <w:szCs w:val="24"/>
        </w:rPr>
        <w:t>Social exclusion refers to being marginalised or denied full participation in society due to factors such as poverty, ethnicity, disability, or discrimination. Social isolation involves a lack of social contact and support. Both are linked to poor mental and physical health, particularly among older people and marginalised groups.</w:t>
      </w:r>
    </w:p>
    <w:sectPr w:rsidR="00F23AA4" w:rsidRPr="00C760CA" w:rsidSect="00034616">
      <w:headerReference w:type="default" r:id="rId8"/>
      <w:footerReference w:type="default" r:id="rId9"/>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13A634" w14:textId="77777777" w:rsidR="00C760CA" w:rsidRDefault="00C760CA" w:rsidP="00C760CA">
      <w:pPr>
        <w:spacing w:after="0" w:line="240" w:lineRule="auto"/>
      </w:pPr>
      <w:r>
        <w:separator/>
      </w:r>
    </w:p>
  </w:endnote>
  <w:endnote w:type="continuationSeparator" w:id="0">
    <w:p w14:paraId="01E19BE3" w14:textId="77777777" w:rsidR="00C760CA" w:rsidRDefault="00C760CA" w:rsidP="00C760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336589"/>
      <w:docPartObj>
        <w:docPartGallery w:val="Page Numbers (Bottom of Page)"/>
        <w:docPartUnique/>
      </w:docPartObj>
    </w:sdtPr>
    <w:sdtEndPr>
      <w:rPr>
        <w:noProof/>
      </w:rPr>
    </w:sdtEndPr>
    <w:sdtContent>
      <w:p w14:paraId="0784D2B5" w14:textId="3BA525AF" w:rsidR="00C760CA" w:rsidRDefault="00C760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27CED1E" w14:textId="77777777" w:rsidR="00C760CA" w:rsidRDefault="00C760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E85955" w14:textId="77777777" w:rsidR="00C760CA" w:rsidRDefault="00C760CA" w:rsidP="00C760CA">
      <w:pPr>
        <w:spacing w:after="0" w:line="240" w:lineRule="auto"/>
      </w:pPr>
      <w:r>
        <w:separator/>
      </w:r>
    </w:p>
  </w:footnote>
  <w:footnote w:type="continuationSeparator" w:id="0">
    <w:p w14:paraId="428850A1" w14:textId="77777777" w:rsidR="00C760CA" w:rsidRDefault="00C760CA" w:rsidP="00C760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979EDE" w14:textId="52B7AF1B" w:rsidR="00C760CA" w:rsidRPr="00C760CA" w:rsidRDefault="00C760CA" w:rsidP="00C760CA">
    <w:pPr>
      <w:pStyle w:val="Header"/>
      <w:jc w:val="center"/>
      <w:rPr>
        <w:rFonts w:asciiTheme="minorBidi" w:hAnsiTheme="minorBidi"/>
        <w:b/>
        <w:bCs/>
        <w:sz w:val="40"/>
        <w:szCs w:val="40"/>
        <w:lang w:val="en-GB"/>
      </w:rPr>
    </w:pPr>
    <w:r w:rsidRPr="00C760CA">
      <w:rPr>
        <w:rFonts w:asciiTheme="minorBidi" w:hAnsiTheme="minorBidi"/>
        <w:b/>
        <w:bCs/>
        <w:sz w:val="40"/>
        <w:szCs w:val="40"/>
        <w:lang w:val="en-GB"/>
      </w:rPr>
      <w:t>Week 3 Fact Sheet DOH</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47197402">
    <w:abstractNumId w:val="8"/>
  </w:num>
  <w:num w:numId="2" w16cid:durableId="1408577754">
    <w:abstractNumId w:val="6"/>
  </w:num>
  <w:num w:numId="3" w16cid:durableId="453212872">
    <w:abstractNumId w:val="5"/>
  </w:num>
  <w:num w:numId="4" w16cid:durableId="2059476382">
    <w:abstractNumId w:val="4"/>
  </w:num>
  <w:num w:numId="5" w16cid:durableId="1257321829">
    <w:abstractNumId w:val="7"/>
  </w:num>
  <w:num w:numId="6" w16cid:durableId="2011636055">
    <w:abstractNumId w:val="3"/>
  </w:num>
  <w:num w:numId="7" w16cid:durableId="171189270">
    <w:abstractNumId w:val="2"/>
  </w:num>
  <w:num w:numId="8" w16cid:durableId="1488550561">
    <w:abstractNumId w:val="1"/>
  </w:num>
  <w:num w:numId="9" w16cid:durableId="51769816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900B82"/>
    <w:rsid w:val="00AA1D8D"/>
    <w:rsid w:val="00B47730"/>
    <w:rsid w:val="00C760CA"/>
    <w:rsid w:val="00CB0664"/>
    <w:rsid w:val="00F23AA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EE99B6D"/>
  <w14:defaultImageDpi w14:val="300"/>
  <w15:docId w15:val="{D7136A81-96D4-4368-9FD8-88D83DC7C9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1045</Words>
  <Characters>5960</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6992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Joanne Davies (Yr Athrofa)</cp:lastModifiedBy>
  <cp:revision>2</cp:revision>
  <dcterms:created xsi:type="dcterms:W3CDTF">2025-05-04T15:45:00Z</dcterms:created>
  <dcterms:modified xsi:type="dcterms:W3CDTF">2025-05-04T15:45:00Z</dcterms:modified>
  <cp:category/>
</cp:coreProperties>
</file>