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63465252"/>
        <w:docPartObj>
          <w:docPartGallery w:val="Cover Pages"/>
          <w:docPartUnique/>
        </w:docPartObj>
      </w:sdtPr>
      <w:sdtEndPr>
        <w:rPr>
          <w:color w:val="auto"/>
        </w:rPr>
      </w:sdtEndPr>
      <w:sdtContent>
        <w:p w14:paraId="6695649F" w14:textId="7E168F3A" w:rsidR="007E1996" w:rsidRDefault="007E1996">
          <w:pPr>
            <w:pStyle w:val="NoSpacing"/>
            <w:spacing w:before="1540" w:after="240"/>
            <w:jc w:val="center"/>
            <w:rPr>
              <w:color w:val="4472C4" w:themeColor="accent1"/>
            </w:rPr>
          </w:pPr>
          <w:r>
            <w:rPr>
              <w:noProof/>
              <w:color w:val="4472C4" w:themeColor="accent1"/>
            </w:rPr>
            <w:drawing>
              <wp:inline distT="0" distB="0" distL="0" distR="0" wp14:anchorId="6DC486B4" wp14:editId="277094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sz w:val="40"/>
              <w:szCs w:val="40"/>
              <w:u w:val="single"/>
              <w:lang w:val="en-GB"/>
            </w:rPr>
            <w:alias w:val="Title"/>
            <w:tag w:val=""/>
            <w:id w:val="1735040861"/>
            <w:placeholder>
              <w:docPart w:val="CDD333DAD0CC4650848EFCEA2A4FCEB3"/>
            </w:placeholder>
            <w:dataBinding w:prefixMappings="xmlns:ns0='http://purl.org/dc/elements/1.1/' xmlns:ns1='http://schemas.openxmlformats.org/package/2006/metadata/core-properties' " w:xpath="/ns1:coreProperties[1]/ns0:title[1]" w:storeItemID="{6C3C8BC8-F283-45AE-878A-BAB7291924A1}"/>
            <w:text/>
          </w:sdtPr>
          <w:sdtEndPr/>
          <w:sdtContent>
            <w:p w14:paraId="0C42147C" w14:textId="259E4A83" w:rsidR="007E1996" w:rsidRPr="00F722D6" w:rsidRDefault="00F722D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40"/>
                  <w:szCs w:val="40"/>
                  <w:u w:val="single"/>
                </w:rPr>
              </w:pPr>
              <w:r w:rsidRPr="00F722D6">
                <w:rPr>
                  <w:rFonts w:asciiTheme="majorHAnsi" w:eastAsiaTheme="majorEastAsia" w:hAnsiTheme="majorHAnsi" w:cstheme="majorBidi"/>
                  <w:b/>
                  <w:bCs/>
                  <w:sz w:val="40"/>
                  <w:szCs w:val="40"/>
                  <w:u w:val="single"/>
                  <w:lang w:val="en-GB"/>
                </w:rPr>
                <w:t xml:space="preserve">Critically Evaluate </w:t>
              </w:r>
              <w:r w:rsidR="007723B8">
                <w:rPr>
                  <w:rFonts w:asciiTheme="majorHAnsi" w:eastAsiaTheme="majorEastAsia" w:hAnsiTheme="majorHAnsi" w:cstheme="majorBidi"/>
                  <w:b/>
                  <w:bCs/>
                  <w:sz w:val="40"/>
                  <w:szCs w:val="40"/>
                  <w:u w:val="single"/>
                  <w:lang w:val="en-GB"/>
                </w:rPr>
                <w:t>t</w:t>
              </w:r>
              <w:r w:rsidRPr="00F722D6">
                <w:rPr>
                  <w:rFonts w:asciiTheme="majorHAnsi" w:eastAsiaTheme="majorEastAsia" w:hAnsiTheme="majorHAnsi" w:cstheme="majorBidi"/>
                  <w:b/>
                  <w:bCs/>
                  <w:sz w:val="40"/>
                  <w:szCs w:val="40"/>
                  <w:u w:val="single"/>
                  <w:lang w:val="en-GB"/>
                </w:rPr>
                <w:t xml:space="preserve">he Processes </w:t>
              </w:r>
              <w:r w:rsidR="007723B8">
                <w:rPr>
                  <w:rFonts w:asciiTheme="majorHAnsi" w:eastAsiaTheme="majorEastAsia" w:hAnsiTheme="majorHAnsi" w:cstheme="majorBidi"/>
                  <w:b/>
                  <w:bCs/>
                  <w:sz w:val="40"/>
                  <w:szCs w:val="40"/>
                  <w:u w:val="single"/>
                  <w:lang w:val="en-GB"/>
                </w:rPr>
                <w:t>a</w:t>
              </w:r>
              <w:r w:rsidRPr="00F722D6">
                <w:rPr>
                  <w:rFonts w:asciiTheme="majorHAnsi" w:eastAsiaTheme="majorEastAsia" w:hAnsiTheme="majorHAnsi" w:cstheme="majorBidi"/>
                  <w:b/>
                  <w:bCs/>
                  <w:sz w:val="40"/>
                  <w:szCs w:val="40"/>
                  <w:u w:val="single"/>
                  <w:lang w:val="en-GB"/>
                </w:rPr>
                <w:t xml:space="preserve">nd Procedures Adopted </w:t>
              </w:r>
              <w:r w:rsidR="007723B8">
                <w:rPr>
                  <w:rFonts w:asciiTheme="majorHAnsi" w:eastAsiaTheme="majorEastAsia" w:hAnsiTheme="majorHAnsi" w:cstheme="majorBidi"/>
                  <w:b/>
                  <w:bCs/>
                  <w:sz w:val="40"/>
                  <w:szCs w:val="40"/>
                  <w:u w:val="single"/>
                  <w:lang w:val="en-GB"/>
                </w:rPr>
                <w:t>b</w:t>
              </w:r>
              <w:r w:rsidRPr="00F722D6">
                <w:rPr>
                  <w:rFonts w:asciiTheme="majorHAnsi" w:eastAsiaTheme="majorEastAsia" w:hAnsiTheme="majorHAnsi" w:cstheme="majorBidi"/>
                  <w:b/>
                  <w:bCs/>
                  <w:sz w:val="40"/>
                  <w:szCs w:val="40"/>
                  <w:u w:val="single"/>
                  <w:lang w:val="en-GB"/>
                </w:rPr>
                <w:t xml:space="preserve">y </w:t>
              </w:r>
              <w:r w:rsidR="007723B8">
                <w:rPr>
                  <w:rFonts w:asciiTheme="majorHAnsi" w:eastAsiaTheme="majorEastAsia" w:hAnsiTheme="majorHAnsi" w:cstheme="majorBidi"/>
                  <w:b/>
                  <w:bCs/>
                  <w:sz w:val="40"/>
                  <w:szCs w:val="40"/>
                  <w:u w:val="single"/>
                  <w:lang w:val="en-GB"/>
                </w:rPr>
                <w:t>t</w:t>
              </w:r>
              <w:r w:rsidRPr="00F722D6">
                <w:rPr>
                  <w:rFonts w:asciiTheme="majorHAnsi" w:eastAsiaTheme="majorEastAsia" w:hAnsiTheme="majorHAnsi" w:cstheme="majorBidi"/>
                  <w:b/>
                  <w:bCs/>
                  <w:sz w:val="40"/>
                  <w:szCs w:val="40"/>
                  <w:u w:val="single"/>
                  <w:lang w:val="en-GB"/>
                </w:rPr>
                <w:t xml:space="preserve">he First Attending Officer (FAO) </w:t>
              </w:r>
              <w:r w:rsidR="007723B8">
                <w:rPr>
                  <w:rFonts w:asciiTheme="majorHAnsi" w:eastAsiaTheme="majorEastAsia" w:hAnsiTheme="majorHAnsi" w:cstheme="majorBidi"/>
                  <w:b/>
                  <w:bCs/>
                  <w:sz w:val="40"/>
                  <w:szCs w:val="40"/>
                  <w:u w:val="single"/>
                  <w:lang w:val="en-GB"/>
                </w:rPr>
                <w:t>a</w:t>
              </w:r>
              <w:r w:rsidRPr="00F722D6">
                <w:rPr>
                  <w:rFonts w:asciiTheme="majorHAnsi" w:eastAsiaTheme="majorEastAsia" w:hAnsiTheme="majorHAnsi" w:cstheme="majorBidi"/>
                  <w:b/>
                  <w:bCs/>
                  <w:sz w:val="40"/>
                  <w:szCs w:val="40"/>
                  <w:u w:val="single"/>
                  <w:lang w:val="en-GB"/>
                </w:rPr>
                <w:t xml:space="preserve">t </w:t>
              </w:r>
              <w:r w:rsidR="007723B8">
                <w:rPr>
                  <w:rFonts w:asciiTheme="majorHAnsi" w:eastAsiaTheme="majorEastAsia" w:hAnsiTheme="majorHAnsi" w:cstheme="majorBidi"/>
                  <w:b/>
                  <w:bCs/>
                  <w:sz w:val="40"/>
                  <w:szCs w:val="40"/>
                  <w:u w:val="single"/>
                  <w:lang w:val="en-GB"/>
                </w:rPr>
                <w:t xml:space="preserve">a </w:t>
              </w:r>
              <w:r w:rsidRPr="00F722D6">
                <w:rPr>
                  <w:rFonts w:asciiTheme="majorHAnsi" w:eastAsiaTheme="majorEastAsia" w:hAnsiTheme="majorHAnsi" w:cstheme="majorBidi"/>
                  <w:b/>
                  <w:bCs/>
                  <w:sz w:val="40"/>
                  <w:szCs w:val="40"/>
                  <w:u w:val="single"/>
                  <w:lang w:val="en-GB"/>
                </w:rPr>
                <w:t xml:space="preserve">Crime Scene </w:t>
              </w:r>
              <w:r w:rsidR="007723B8">
                <w:rPr>
                  <w:rFonts w:asciiTheme="majorHAnsi" w:eastAsiaTheme="majorEastAsia" w:hAnsiTheme="majorHAnsi" w:cstheme="majorBidi"/>
                  <w:b/>
                  <w:bCs/>
                  <w:sz w:val="40"/>
                  <w:szCs w:val="40"/>
                  <w:u w:val="single"/>
                  <w:lang w:val="en-GB"/>
                </w:rPr>
                <w:t>i</w:t>
              </w:r>
              <w:r w:rsidRPr="00F722D6">
                <w:rPr>
                  <w:rFonts w:asciiTheme="majorHAnsi" w:eastAsiaTheme="majorEastAsia" w:hAnsiTheme="majorHAnsi" w:cstheme="majorBidi"/>
                  <w:b/>
                  <w:bCs/>
                  <w:sz w:val="40"/>
                  <w:szCs w:val="40"/>
                  <w:u w:val="single"/>
                  <w:lang w:val="en-GB"/>
                </w:rPr>
                <w:t xml:space="preserve">n </w:t>
              </w:r>
              <w:r w:rsidR="007723B8">
                <w:rPr>
                  <w:rFonts w:asciiTheme="majorHAnsi" w:eastAsiaTheme="majorEastAsia" w:hAnsiTheme="majorHAnsi" w:cstheme="majorBidi"/>
                  <w:b/>
                  <w:bCs/>
                  <w:sz w:val="40"/>
                  <w:szCs w:val="40"/>
                  <w:u w:val="single"/>
                  <w:lang w:val="en-GB"/>
                </w:rPr>
                <w:t>o</w:t>
              </w:r>
              <w:r w:rsidRPr="00F722D6">
                <w:rPr>
                  <w:rFonts w:asciiTheme="majorHAnsi" w:eastAsiaTheme="majorEastAsia" w:hAnsiTheme="majorHAnsi" w:cstheme="majorBidi"/>
                  <w:b/>
                  <w:bCs/>
                  <w:sz w:val="40"/>
                  <w:szCs w:val="40"/>
                  <w:u w:val="single"/>
                  <w:lang w:val="en-GB"/>
                </w:rPr>
                <w:t xml:space="preserve">rder </w:t>
              </w:r>
              <w:r w:rsidR="007723B8">
                <w:rPr>
                  <w:rFonts w:asciiTheme="majorHAnsi" w:eastAsiaTheme="majorEastAsia" w:hAnsiTheme="majorHAnsi" w:cstheme="majorBidi"/>
                  <w:b/>
                  <w:bCs/>
                  <w:sz w:val="40"/>
                  <w:szCs w:val="40"/>
                  <w:u w:val="single"/>
                  <w:lang w:val="en-GB"/>
                </w:rPr>
                <w:t>t</w:t>
              </w:r>
              <w:r w:rsidRPr="00F722D6">
                <w:rPr>
                  <w:rFonts w:asciiTheme="majorHAnsi" w:eastAsiaTheme="majorEastAsia" w:hAnsiTheme="majorHAnsi" w:cstheme="majorBidi"/>
                  <w:b/>
                  <w:bCs/>
                  <w:sz w:val="40"/>
                  <w:szCs w:val="40"/>
                  <w:u w:val="single"/>
                  <w:lang w:val="en-GB"/>
                </w:rPr>
                <w:t xml:space="preserve">o Reduce </w:t>
              </w:r>
              <w:r w:rsidR="007723B8">
                <w:rPr>
                  <w:rFonts w:asciiTheme="majorHAnsi" w:eastAsiaTheme="majorEastAsia" w:hAnsiTheme="majorHAnsi" w:cstheme="majorBidi"/>
                  <w:b/>
                  <w:bCs/>
                  <w:sz w:val="40"/>
                  <w:szCs w:val="40"/>
                  <w:u w:val="single"/>
                  <w:lang w:val="en-GB"/>
                </w:rPr>
                <w:t>t</w:t>
              </w:r>
              <w:r w:rsidRPr="00F722D6">
                <w:rPr>
                  <w:rFonts w:asciiTheme="majorHAnsi" w:eastAsiaTheme="majorEastAsia" w:hAnsiTheme="majorHAnsi" w:cstheme="majorBidi"/>
                  <w:b/>
                  <w:bCs/>
                  <w:sz w:val="40"/>
                  <w:szCs w:val="40"/>
                  <w:u w:val="single"/>
                  <w:lang w:val="en-GB"/>
                </w:rPr>
                <w:t xml:space="preserve">he Possibilities </w:t>
              </w:r>
              <w:r w:rsidR="007723B8">
                <w:rPr>
                  <w:rFonts w:asciiTheme="majorHAnsi" w:eastAsiaTheme="majorEastAsia" w:hAnsiTheme="majorHAnsi" w:cstheme="majorBidi"/>
                  <w:b/>
                  <w:bCs/>
                  <w:sz w:val="40"/>
                  <w:szCs w:val="40"/>
                  <w:u w:val="single"/>
                  <w:lang w:val="en-GB"/>
                </w:rPr>
                <w:t>o</w:t>
              </w:r>
              <w:r w:rsidRPr="00F722D6">
                <w:rPr>
                  <w:rFonts w:asciiTheme="majorHAnsi" w:eastAsiaTheme="majorEastAsia" w:hAnsiTheme="majorHAnsi" w:cstheme="majorBidi"/>
                  <w:b/>
                  <w:bCs/>
                  <w:sz w:val="40"/>
                  <w:szCs w:val="40"/>
                  <w:u w:val="single"/>
                  <w:lang w:val="en-GB"/>
                </w:rPr>
                <w:t>f Cross Contamination</w:t>
              </w:r>
            </w:p>
          </w:sdtContent>
        </w:sdt>
        <w:sdt>
          <w:sdtPr>
            <w:rPr>
              <w:b/>
              <w:bCs/>
              <w:sz w:val="44"/>
              <w:szCs w:val="44"/>
            </w:rPr>
            <w:alias w:val="Subtitle"/>
            <w:tag w:val=""/>
            <w:id w:val="328029620"/>
            <w:placeholder>
              <w:docPart w:val="FBAA0B202A2042FDB5367A243687E57F"/>
            </w:placeholder>
            <w:dataBinding w:prefixMappings="xmlns:ns0='http://purl.org/dc/elements/1.1/' xmlns:ns1='http://schemas.openxmlformats.org/package/2006/metadata/core-properties' " w:xpath="/ns1:coreProperties[1]/ns0:subject[1]" w:storeItemID="{6C3C8BC8-F283-45AE-878A-BAB7291924A1}"/>
            <w:text/>
          </w:sdtPr>
          <w:sdtEndPr/>
          <w:sdtContent>
            <w:p w14:paraId="5E18A207" w14:textId="007E3F28" w:rsidR="007E1996" w:rsidRPr="003E09C4" w:rsidRDefault="003E09C4">
              <w:pPr>
                <w:pStyle w:val="NoSpacing"/>
                <w:jc w:val="center"/>
                <w:rPr>
                  <w:b/>
                  <w:bCs/>
                  <w:sz w:val="44"/>
                  <w:szCs w:val="44"/>
                </w:rPr>
              </w:pPr>
              <w:r w:rsidRPr="003E09C4">
                <w:rPr>
                  <w:b/>
                  <w:bCs/>
                  <w:sz w:val="44"/>
                  <w:szCs w:val="44"/>
                </w:rPr>
                <w:t>Jack Jones</w:t>
              </w:r>
            </w:p>
          </w:sdtContent>
        </w:sdt>
        <w:p w14:paraId="720CBD3B" w14:textId="16213381" w:rsidR="007E1996" w:rsidRDefault="007E1996">
          <w:pPr>
            <w:pStyle w:val="NoSpacing"/>
            <w:spacing w:before="480"/>
            <w:jc w:val="center"/>
            <w:rPr>
              <w:color w:val="4472C4" w:themeColor="accent1"/>
            </w:rPr>
          </w:pPr>
          <w:r>
            <w:rPr>
              <w:noProof/>
              <w:color w:val="4472C4" w:themeColor="accent1"/>
            </w:rPr>
            <w:drawing>
              <wp:inline distT="0" distB="0" distL="0" distR="0" wp14:anchorId="028D778E" wp14:editId="12C197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3EFF60" w14:textId="77777777" w:rsidR="007E1996" w:rsidRDefault="007E1996"/>
        <w:p w14:paraId="5B413193" w14:textId="77777777" w:rsidR="007E1996" w:rsidRDefault="007E1996"/>
        <w:p w14:paraId="7E24C86B" w14:textId="77777777" w:rsidR="007E1996" w:rsidRDefault="007E1996"/>
        <w:p w14:paraId="302A2440" w14:textId="77777777" w:rsidR="007E1996" w:rsidRDefault="007E1996"/>
        <w:p w14:paraId="10FAF148" w14:textId="77777777" w:rsidR="007E1996" w:rsidRDefault="007E1996"/>
        <w:p w14:paraId="07C47BFA" w14:textId="77777777" w:rsidR="007E1996" w:rsidRDefault="007E1996" w:rsidP="007E1996">
          <w:pPr>
            <w:rPr>
              <w:b/>
              <w:bCs/>
              <w:sz w:val="40"/>
              <w:szCs w:val="40"/>
            </w:rPr>
          </w:pPr>
        </w:p>
        <w:p w14:paraId="060705C4" w14:textId="155DF67A" w:rsidR="007E1996" w:rsidRPr="005A13D8" w:rsidRDefault="007E1996" w:rsidP="007E1996">
          <w:pPr>
            <w:rPr>
              <w:b/>
              <w:bCs/>
              <w:sz w:val="56"/>
              <w:szCs w:val="56"/>
              <w:u w:val="single"/>
            </w:rPr>
          </w:pPr>
          <w:r w:rsidRPr="00384CAB">
            <w:rPr>
              <w:b/>
              <w:bCs/>
              <w:sz w:val="40"/>
              <w:szCs w:val="40"/>
            </w:rPr>
            <w:t xml:space="preserve">Student Number: 1902835 </w:t>
          </w:r>
        </w:p>
        <w:p w14:paraId="5674E2EE" w14:textId="5AB9CEDA" w:rsidR="007E1996" w:rsidRDefault="007E1996" w:rsidP="007E1996">
          <w:pPr>
            <w:rPr>
              <w:b/>
              <w:bCs/>
              <w:sz w:val="40"/>
              <w:szCs w:val="40"/>
            </w:rPr>
          </w:pPr>
          <w:r w:rsidRPr="00384CAB">
            <w:rPr>
              <w:b/>
              <w:bCs/>
              <w:sz w:val="40"/>
              <w:szCs w:val="40"/>
            </w:rPr>
            <w:t>Word count:</w:t>
          </w:r>
          <w:r>
            <w:rPr>
              <w:b/>
              <w:bCs/>
              <w:sz w:val="40"/>
              <w:szCs w:val="40"/>
            </w:rPr>
            <w:t xml:space="preserve"> </w:t>
          </w:r>
          <w:r w:rsidR="000D3A0F">
            <w:rPr>
              <w:b/>
              <w:bCs/>
              <w:sz w:val="40"/>
              <w:szCs w:val="40"/>
            </w:rPr>
            <w:t>3206</w:t>
          </w:r>
        </w:p>
        <w:p w14:paraId="5D329D2D" w14:textId="2240AC88" w:rsidR="007E1996" w:rsidRDefault="007E1996" w:rsidP="007E1996">
          <w:pPr>
            <w:rPr>
              <w:b/>
              <w:bCs/>
              <w:sz w:val="40"/>
              <w:szCs w:val="40"/>
            </w:rPr>
          </w:pPr>
          <w:r w:rsidRPr="00AC60D5">
            <w:rPr>
              <w:b/>
              <w:bCs/>
              <w:sz w:val="40"/>
              <w:szCs w:val="40"/>
            </w:rPr>
            <w:t>Module Code:</w:t>
          </w:r>
          <w:r w:rsidRPr="00AC60D5">
            <w:t xml:space="preserve"> </w:t>
          </w:r>
          <w:r w:rsidR="00E0606F" w:rsidRPr="00E0606F">
            <w:rPr>
              <w:b/>
              <w:bCs/>
              <w:sz w:val="40"/>
              <w:szCs w:val="40"/>
            </w:rPr>
            <w:t>BMPL6002</w:t>
          </w:r>
        </w:p>
        <w:p w14:paraId="533C1791" w14:textId="5BBD8743" w:rsidR="007E1996" w:rsidRDefault="007E1996">
          <w:r>
            <w:br w:type="page"/>
          </w:r>
        </w:p>
      </w:sdtContent>
    </w:sdt>
    <w:p w14:paraId="1ECC88AF" w14:textId="77777777" w:rsidR="00843422" w:rsidRDefault="00843422" w:rsidP="00801FF6">
      <w:pPr>
        <w:spacing w:line="480" w:lineRule="auto"/>
      </w:pPr>
      <w:r>
        <w:lastRenderedPageBreak/>
        <w:t>A criminal trial must establish, beyond a reasonable doubt, that the defendant is responsible for the illegal conduct as defined in the Human Rights Act (1998) (Home Office, 2003; Equality &amp; Human Rights Commission, 2018; Liberty, 2021). The procedures in use for the recovery and examination of forensic evidence at crime scenes are carried out through forensic investigations, nonetheless, are initially considered and protected by the First Attending Officer (FAO) (Smith,2005).</w:t>
      </w:r>
    </w:p>
    <w:p w14:paraId="27A46CA7" w14:textId="77777777" w:rsidR="00843422" w:rsidRDefault="00843422" w:rsidP="00801FF6">
      <w:pPr>
        <w:spacing w:line="480" w:lineRule="auto"/>
        <w:ind w:firstLine="720"/>
      </w:pPr>
      <w:r>
        <w:t>The FAO has various obligations. First and foremost, it is critical to determine if a crime has been committed, and it is advised to presume the worst from a forensic perspective to perhaps save evidence if needed later in the process (McCartney, 2006). According to Dyfed Powys Police (2017), an FAO must consider their own and others' safety and well-being, and they must do preliminary evaluations to identify the victim, witnesses, and suspects. Dyfed Powys further implies that statements should always be taken as soon as convenient if practicable, however, the evidence from the statements should always be viewed with caution due to the uncertainty of trustworthiness at this stage.</w:t>
      </w:r>
    </w:p>
    <w:p w14:paraId="69E91CA8" w14:textId="77777777" w:rsidR="00843422" w:rsidRDefault="00843422" w:rsidP="00801FF6">
      <w:pPr>
        <w:spacing w:line="480" w:lineRule="auto"/>
        <w:ind w:firstLine="720"/>
      </w:pPr>
      <w:proofErr w:type="gramStart"/>
      <w:r>
        <w:t>Following this policing phase, it</w:t>
      </w:r>
      <w:proofErr w:type="gramEnd"/>
      <w:r>
        <w:t xml:space="preserve"> is believed that the FAO's major objective is to preserve evidence and minimise cross-contamination as much as possible during the investigation and prosecution of the offence (Forensics Library, 2007). There are numerous methods for resolving this priority, including establishing a common approach path (CAP), establishing an outer cordon barrier, documenting the crime scene, creating a crime scene log, seizing, and recovering obvious essential evidence in appropriate bagging known at the earliest point, and contacting other members of the force to attend the scene as soon as possible (College of Policing, 2017).</w:t>
      </w:r>
    </w:p>
    <w:p w14:paraId="2EFD38A4" w14:textId="77777777" w:rsidR="00843422" w:rsidRDefault="00843422" w:rsidP="00801FF6">
      <w:pPr>
        <w:spacing w:line="480" w:lineRule="auto"/>
        <w:ind w:firstLine="720"/>
      </w:pPr>
      <w:r>
        <w:t xml:space="preserve">The College of Policing (2017) defines forensic investigations as, context-sensitive forensic science in which evidence is given meaning whilst it plays a role or function throughout investigations, it is significantly carried out by investigators and the Criminal Justice System during both civil and criminal matters to provide validity to prosecutions. Forensic science, often referred to as criminology, is the study and application of science and the execution of regulations (Lehman, </w:t>
      </w:r>
      <w:r>
        <w:lastRenderedPageBreak/>
        <w:t>2012). Forensic investigation is a field that gathers, analyses, and interprets evidence that results from criminal conduct (Morgan, 2019).</w:t>
      </w:r>
    </w:p>
    <w:p w14:paraId="4372BCBA" w14:textId="7A1775F4" w:rsidR="00843422" w:rsidRDefault="00843422" w:rsidP="00801FF6">
      <w:pPr>
        <w:spacing w:line="480" w:lineRule="auto"/>
        <w:ind w:firstLine="720"/>
      </w:pPr>
      <w:r>
        <w:t>The successful utilisation of evidence by the forensic laboratory and the crime scene investigator begins with a thorough investigation of the crime scene (College of Policing, 2018). Therefore, according to Miller (2000), every location of a crime should always be carefully controlled and examined most efficiently by the FAO. According to Wyatt (2019), managing a scene is basic, however, it requires a methodical technique to conduct a thorough, high-quality forensic investigation. It is not rigid; instead, it adheres to a set of logical rules and processes that almost guarantees that all evidence is uncovered and processed in the best interest of the public. To support this Horsman, Findlay &amp; James (2019) imply that every crime scene is different, however, an FAO should be able to apply the same rational and methodical strategy to bring even the most difficult offences to honesty to recover any of the three forensic evidence available.</w:t>
      </w:r>
    </w:p>
    <w:p w14:paraId="23BEFA8C" w14:textId="4ABBE4F6" w:rsidR="00843422" w:rsidRDefault="00843422" w:rsidP="00801FF6">
      <w:pPr>
        <w:spacing w:line="480" w:lineRule="auto"/>
        <w:ind w:firstLine="720"/>
      </w:pPr>
      <w:r>
        <w:t>According to the College of Policing (2017), evidence is divided into three categories: trace evidence, impressions, and DNA evidence. Furthermore, it is believed that DNA evidence has the lowest likelihood of being present at a crime scene while having the highest validity when presented in court (Forensic Academy, 2012). Furthermore, Bodziak (2017) argues that imprints or markings are the most difficult to recover owing to their two-dimensional form, the possibility of being overlooked or smeared, environmental influences, and having the least credibility in court results in the evidence being one of the least concerned by the FA</w:t>
      </w:r>
      <w:r w:rsidR="00D81739">
        <w:t>O</w:t>
      </w:r>
      <w:r>
        <w:t>. Nevertheless, the Organisation of Scientific Area (2021) states that because trace evidence samples could appear identical and the contexts where they are located are typically complicated, recognising distinctive traits and establishing a connection can be challenging. Due to these difficulties, older approaches are frequently unable to differentiate such evidence.</w:t>
      </w:r>
    </w:p>
    <w:p w14:paraId="254B8151" w14:textId="77777777" w:rsidR="003060C2" w:rsidRDefault="003060C2" w:rsidP="00801FF6">
      <w:pPr>
        <w:spacing w:line="480" w:lineRule="auto"/>
        <w:ind w:firstLine="720"/>
      </w:pPr>
    </w:p>
    <w:p w14:paraId="709E9191" w14:textId="77777777" w:rsidR="00843422" w:rsidRDefault="00843422" w:rsidP="00801FF6">
      <w:pPr>
        <w:spacing w:line="480" w:lineRule="auto"/>
        <w:ind w:firstLine="720"/>
      </w:pPr>
      <w:r>
        <w:lastRenderedPageBreak/>
        <w:t xml:space="preserve">Although the official inquiry will be conducted by detectives and criminal investigators, the FAO is responsible for initiating the investigation (Office of Justice Programme, 2005). The phrase 'Golden Hour Principle' is often used in criminal investigations to refer to collecting the most amount of evidence, reducing material loss, and increasing the chances of identifying the offender (City of London Policing, 2020). The definition of material according to the College of Policing (2013, p.21) in the Code of Practice Section 23 of the Criminal Procedure and Investigations Act 1996, “Material of any kind, including information and objects, which is obtained in the course of a criminal investigation, and which may be relevant to the investigation”. It is argued by Deane (2019), consequently, the material would eventually be lost to the inquiry due to external forces if not recovered within the hour. Additionally, both the investigating professionals and the victim, who seeks to find loopholes and protect themselves and others in society from future offences, rely largely on the FAO within the first sixty minutes after the crime is committed to recovering the evidence (HMIC, 2018). </w:t>
      </w:r>
    </w:p>
    <w:p w14:paraId="0E43572C" w14:textId="77777777" w:rsidR="00843422" w:rsidRDefault="00843422" w:rsidP="00801FF6">
      <w:pPr>
        <w:spacing w:line="480" w:lineRule="auto"/>
        <w:ind w:firstLine="720"/>
      </w:pPr>
      <w:r>
        <w:t>Regular methods have been established to assure that a scene is managed appropriately. While waiting for additional professionals to attend, the FAO would have a variety of tasks to accomplish (Forensics Library, 2007). College of Policing (2018) highlights that the methods include the use of ‘CLADD’ to establish processes and procedures and using the ‘Four R's’ to consider the importance of cross-contamination when handling evidence. According to Section 19 of PACE, the evidence must be seized to prevent it from being 'CLADD,' which is an acronym for evidence becoming concealed, lost, altered, or destroyed (Home Office, 2013). Furthermore, the College of Policing (2017) believes that after an FAO has utilised CLADD, they should follow the Four R's, which are to retain, record, review, and reveal the material to disclose all potential evidence.</w:t>
      </w:r>
    </w:p>
    <w:p w14:paraId="366AD4C1" w14:textId="77777777" w:rsidR="00C311A2" w:rsidRDefault="00843422" w:rsidP="00801FF6">
      <w:pPr>
        <w:spacing w:line="480" w:lineRule="auto"/>
        <w:ind w:firstLine="720"/>
      </w:pPr>
      <w:r>
        <w:t xml:space="preserve">It is suggested that a decade ago there is a complete misunderstanding on the subject of following all lawful lines of investigation, regardless of whether the evidence leads towards or away from the defendant, to make a trial ‘fair’ (Verkaik and Russell, 2006). Furthermore, it is claimed by </w:t>
      </w:r>
      <w:r>
        <w:lastRenderedPageBreak/>
        <w:t xml:space="preserve">Nowland (2008), that the stage of disclosing evidence is a critical need that is wrongly disguised in the statutes associated with the Codes of Practice. Overall, it is claimed that there is a widespread misunderstanding of disclosure responsibilities, owing mostly to a lack of basic training (Jones, 2018). According to Lord Goldsmith, the FAO is responsible for the fairness of the trial when it concerns preserving and gathering vital evidence (Goldsmith, 2005). </w:t>
      </w:r>
      <w:r w:rsidR="00C311A2" w:rsidRPr="00C311A2">
        <w:t>Given the lack of training, the acronyms proposed by the College of Policing have sought to enhance forensic science with regard to police responders by offering suggestions and lessons to new recruits (College of Policing, 2021).</w:t>
      </w:r>
    </w:p>
    <w:p w14:paraId="22FAFBEB" w14:textId="6007C6F2" w:rsidR="00843422" w:rsidRDefault="00843422" w:rsidP="00801FF6">
      <w:pPr>
        <w:spacing w:line="480" w:lineRule="auto"/>
        <w:ind w:firstLine="720"/>
      </w:pPr>
      <w:r>
        <w:t>On the other hand, despite the efforts from improved procedures, when it comes to packaging and presenting, a concern with precision may have huge consequences when it comes to creating mistakes due to a failure to follow protocols. In the instance of R v Hoey (2007), for example (Weir, 2007). The conclusion is that the FA</w:t>
      </w:r>
      <w:r w:rsidR="00D81739">
        <w:t>O</w:t>
      </w:r>
      <w:r>
        <w:t xml:space="preserve"> often takes a rushed attitude when collecting, storing, and transmitting what would certainly have been possible future exhibits in a criminal trial. However, it is argued by Buckleton (2009), in an era when the opportunity for cross-contamination should be well-known to the police, those items were so widespread and frequently handled with such a casual disregard for their integrity. Furthermore, the House of Lords (2019) suggests that there is still a lack of accountability and responsibility for the consideration of forensic science from the FAO House of Lords (2019).</w:t>
      </w:r>
    </w:p>
    <w:p w14:paraId="119F2DC8" w14:textId="77777777" w:rsidR="00843422" w:rsidRDefault="00843422" w:rsidP="00801FF6">
      <w:pPr>
        <w:spacing w:line="480" w:lineRule="auto"/>
        <w:ind w:firstLine="720"/>
      </w:pPr>
      <w:r>
        <w:t xml:space="preserve">To further the discussion on the critiques of gathering forensic evidence, the FAO, Scenes of Crime Officer (SOCO), Police Scientific Support Unit (SSU) and the Crime Scene Investigator (CSI) have undoubtedly used cognitive bias in past events which have led to either evidence being lost or to a miscarriage of justice (Andrew, </w:t>
      </w:r>
      <w:proofErr w:type="gramStart"/>
      <w:r>
        <w:t>Jackson</w:t>
      </w:r>
      <w:proofErr w:type="gramEnd"/>
      <w:r>
        <w:t xml:space="preserve"> and Jackson, 2017). The anchoring effect, expectation bias, confirmation bias, and contextual bias are the four primary errors that have contributed to ineffective evidence collection, all of which could influence a professional's thoughts away from the right course based on prior occurrences and misleading external information (Dror, Charlton, and Peron, 2006).</w:t>
      </w:r>
    </w:p>
    <w:p w14:paraId="22AC091B" w14:textId="77777777" w:rsidR="00843422" w:rsidRDefault="00843422" w:rsidP="00801FF6">
      <w:pPr>
        <w:spacing w:line="480" w:lineRule="auto"/>
        <w:ind w:firstLine="720"/>
      </w:pPr>
      <w:r>
        <w:lastRenderedPageBreak/>
        <w:t>To conclude, the police and forensic professionals have had increasing concerns regarding the danger of cross-contamination since the commencement of evidence processing (College of Policing, 2018). According to Jones (2018), due to the sensitive nature of the current scientific procedures, the potential effects on materials can easily be contaminated, making the role of FAO increasingly important. Additionally, it is highlighted by Hayden (2017) that the risk of contamination is considerably decreased if the evidence is carefully handled from the scene, packed, and stored whilst decontamination measures are implemented; as a consequence, the evidence's integrity and validity will be preserved. To guarantee effective material administration from scene to storage, and therefore decrease the risk of contamination and the impact of these issues on the outcome of a criminal investigation, police forces must maintain their education and training even when recruiting response personnel to improve the efficiency of the FAO in the future (Forensic Academy, 2012).</w:t>
      </w:r>
    </w:p>
    <w:p w14:paraId="3CE6142B" w14:textId="77777777" w:rsidR="00843422" w:rsidRPr="00C311A2" w:rsidRDefault="00843422" w:rsidP="00801FF6">
      <w:pPr>
        <w:spacing w:line="480" w:lineRule="auto"/>
        <w:rPr>
          <w:b/>
          <w:bCs/>
          <w:u w:val="single"/>
        </w:rPr>
      </w:pPr>
      <w:r w:rsidRPr="00C311A2">
        <w:rPr>
          <w:b/>
          <w:bCs/>
          <w:u w:val="single"/>
        </w:rPr>
        <w:t>Part 2</w:t>
      </w:r>
    </w:p>
    <w:p w14:paraId="61A09AC6" w14:textId="77777777" w:rsidR="00843422" w:rsidRDefault="00843422" w:rsidP="00801FF6">
      <w:pPr>
        <w:spacing w:line="480" w:lineRule="auto"/>
        <w:ind w:firstLine="720"/>
      </w:pPr>
      <w:r>
        <w:t xml:space="preserve">During the last decade, forensic science has become the focal point of intense worldwide attention according to the House of Lords (2019). Science is experiencing enormous problems locally and internationally, and deep reforms in financing and governance are necessary to guarantee that forensic research survives and continues to thrive instead of drifting from crisis to crisis (Law Commission, 2011; Government Scientific Advisors, 2015; House of Commons, 2018). Additionally, Friedman &amp; Brand (2017) argue that there needs to be an evaluation of the methods in practice for the recovery and examination of forensic evidence and the theories applied to overcome major scrutiny.  </w:t>
      </w:r>
    </w:p>
    <w:p w14:paraId="695E8002" w14:textId="77777777" w:rsidR="00843422" w:rsidRDefault="00843422" w:rsidP="00801FF6">
      <w:pPr>
        <w:spacing w:line="480" w:lineRule="auto"/>
        <w:ind w:firstLine="720"/>
      </w:pPr>
      <w:r>
        <w:t xml:space="preserve">It is argued that forensic investigation theories are built on assumptions and trusting moments since the concepts are not carved in stone and have never been invalidated or demonstrated to be 100% certain (National Research Council, 2009; Forensic Science Regulator, 2017). The father of forensic science, Locard (1920) proposed the idea of exchange, which argues that when two objects meet, they trade components; the material would be detected on the person </w:t>
      </w:r>
      <w:r>
        <w:lastRenderedPageBreak/>
        <w:t>and likewise, on the item, he or she had contacted, according to the theory. Therefore ‘every contact leaves a trace’ as summarised by Locard.</w:t>
      </w:r>
    </w:p>
    <w:p w14:paraId="6961C403" w14:textId="77777777" w:rsidR="00843422" w:rsidRDefault="00843422" w:rsidP="00801FF6">
      <w:pPr>
        <w:spacing w:line="480" w:lineRule="auto"/>
        <w:ind w:firstLine="720"/>
      </w:pPr>
      <w:r>
        <w:t xml:space="preserve">To advance on Locard's hypothesis, it was revealed that all items have to be distinct to discern the source of the issue (College of Policing, 2018). The uniqueness of the two interacting elements inspired that no two fingerprints are identical, which further validates Locard's hypothesis by giving it validity and efficiency without introducing additional abnormalities to the matter (Andrew, Jackson, and Jackson, 2017). Scholars have noted the spirals and swirls that marked human fingers as being unique; Mayers (1788), a scientist, stated that formations appear to be </w:t>
      </w:r>
      <w:proofErr w:type="gramStart"/>
      <w:r>
        <w:t>unique</w:t>
      </w:r>
      <w:proofErr w:type="gramEnd"/>
      <w:r>
        <w:t xml:space="preserve"> and that the configuration of epidermal roughness has never been replicated in two people. Additionally, according to Galton (1888), the chances of two fingerprints being identical are fewer than one in sixty-four trillion, this indicates that it is extremely improbable to occur. Page, Taylor, and Blenkin (2011) believe, however, that forensic investigations will proceed to use this idea of uniqueness until it is no longer valid; this suggests that fingerprinting will ultimately begin to replicate, even when considering the probability, ultimately making the idea less efficient.</w:t>
      </w:r>
    </w:p>
    <w:p w14:paraId="66A98785" w14:textId="77777777" w:rsidR="00843422" w:rsidRDefault="00843422" w:rsidP="00801FF6">
      <w:pPr>
        <w:spacing w:line="480" w:lineRule="auto"/>
        <w:ind w:firstLine="720"/>
      </w:pPr>
      <w:r>
        <w:t xml:space="preserve">Beck (1992) further supports the idea of uniqueness by highlighting that the individualization theory claims that if a criminal investigation is required, all items in the universe are unique when viewed at the molecular level therefore identification of all objects is possible. Additionally, Morgan (2019) highlights the idea of anything can be associated with a source theory, this allows any object to be traced back to the source based on the imprint or mark left </w:t>
      </w:r>
      <w:proofErr w:type="gramStart"/>
      <w:r>
        <w:t>behind;</w:t>
      </w:r>
      <w:proofErr w:type="gramEnd"/>
      <w:r>
        <w:t xml:space="preserve"> for example, a tool mark to a tool or a fingerprint to a finger. The College of Policing (2021) highlights that objects that seem similar are marked differently or made using a varied type of material for example a crowbar used for burglary will each have a varied variety of the metal in question. Furthermore, it is argued by Liu et al (2012) that a tool or object can develop its uniqueness as it ages due to the wear and tears on the object allowing for easier identification during forensic investigations.</w:t>
      </w:r>
    </w:p>
    <w:p w14:paraId="10C0F0C1" w14:textId="77777777" w:rsidR="00843422" w:rsidRDefault="00843422" w:rsidP="00801FF6">
      <w:pPr>
        <w:spacing w:line="480" w:lineRule="auto"/>
        <w:ind w:firstLine="720"/>
      </w:pPr>
      <w:r>
        <w:lastRenderedPageBreak/>
        <w:t>According to Inman &amp; Rudin (2002), the notion of exchange is only partially correct unless sufficient force is exerted from object to object. A sufficient quantity of energy must be used to apply to at least one of the items to break down, releasing materials that may swap traces (College of Policing, 2017). Furthermore, depending on the environment, the slightest quantities of materials can be transferred, culminating in a trace that is untraceable with today's technology (Forensic Academy, 2012). As a result, there seems to be a case to be made that technology needs to be developed to solve and gather evidence for the most serious crimes so that those who committed the crimes can be prosecuted (Carew, Morgan &amp; Rando, 2019). To further this argument, according to Kirk (1953) the main flaw regarding forensic evidence concerns forensic professionals' failures to find or evaluate physical evidence, rather than the evidence's authenticity itself, this implies the further need for investment in greater technology to avoid the failures or errors created by the professionals during the completion of their roles and responsibilities.</w:t>
      </w:r>
    </w:p>
    <w:p w14:paraId="54E0E41E" w14:textId="77777777" w:rsidR="00843422" w:rsidRDefault="00843422" w:rsidP="00801FF6">
      <w:pPr>
        <w:spacing w:line="480" w:lineRule="auto"/>
        <w:ind w:firstLine="720"/>
      </w:pPr>
      <w:r>
        <w:t>Kirk (1953) highlights that hair, clothing filaments, broken glass, tool markings, paintwork, and deposited blood or sperm are all examples of evidence that may be used to identify a person at a crime scene. Kirk’s particular talents in the profession have proven to be valuable in conjunction with forensic investigation and probable evidence analysis. Furthermore, according to Pan, Chen &amp; Kafadar (2020), even with today's current criminal investigations, this forensic science innovation is still being utilised to prosecute even the smartest of criminals.</w:t>
      </w:r>
    </w:p>
    <w:p w14:paraId="529C4217" w14:textId="5CACD2FF" w:rsidR="00843422" w:rsidRDefault="00843422" w:rsidP="00801FF6">
      <w:pPr>
        <w:spacing w:line="480" w:lineRule="auto"/>
        <w:ind w:firstLine="720"/>
      </w:pPr>
      <w:r>
        <w:t>On the other hand, according to the National Crime Agency (2019) crime is evolving around the growth of technology, making crimes lesser risk with bigger incentives for criminals; consequently, a forensic investigation must move with the times or risk being left behind. Furthermore, according to Perkins (2022), the legislation and strategies in relationship with forensic recovery need to be frequently critiqued and changed to continue to perpetuate the offenders.</w:t>
      </w:r>
    </w:p>
    <w:p w14:paraId="6D2760EB" w14:textId="77777777" w:rsidR="003060C2" w:rsidRDefault="003060C2" w:rsidP="00801FF6">
      <w:pPr>
        <w:spacing w:line="480" w:lineRule="auto"/>
        <w:ind w:firstLine="720"/>
      </w:pPr>
    </w:p>
    <w:p w14:paraId="4FA05B79" w14:textId="77777777" w:rsidR="00843422" w:rsidRDefault="00843422" w:rsidP="00801FF6">
      <w:pPr>
        <w:spacing w:line="480" w:lineRule="auto"/>
        <w:ind w:firstLine="720"/>
      </w:pPr>
      <w:r>
        <w:lastRenderedPageBreak/>
        <w:t>To provide a summary of cost, over the previous decade, the UK Research and Innovation (UKRI) has been valued at £56.1 million by the government, which is only 0.01 percent of the entire UKRI expenditure (Morgan &amp; Levin, 2019). According to the data, forensic science funding focused on generating technical breakthroughs accounted for 69 percent of the overall funding (House of Commons, 2019). Additionally, forensic investigations including fingerprints and DNA received 1.3 percent and 5.1 percent of the total investment, correspondingly, compared to 25.7 percent for electronic and cyber studies between 2010 and 2015 (Home Office, 2015). Therefore, according to Tully (2019), these findings provide light on the scope of the forensic science funding issue in the UK, as well as the need to create new laws, and guarantee that both technology and fundamental research are supported in the future years.</w:t>
      </w:r>
    </w:p>
    <w:p w14:paraId="55E2191B" w14:textId="77777777" w:rsidR="00843422" w:rsidRDefault="00843422" w:rsidP="00801FF6">
      <w:pPr>
        <w:spacing w:line="480" w:lineRule="auto"/>
        <w:ind w:firstLine="720"/>
      </w:pPr>
      <w:r>
        <w:t>The relevance of several legislations in forensic science has been the topic of great dispute, numerous statutes must be followed by forensic investigators, to collect evidence efficiently (College of Policing, 2017). Recent developments in forensic recovery have heightened the need for the Forensic Science Regulator Act 2021 according to many (Home Office, 2021; House of Lords, 2021; House of Commons, 2021)</w:t>
      </w:r>
    </w:p>
    <w:p w14:paraId="5DEA0D14" w14:textId="77777777" w:rsidR="00843422" w:rsidRDefault="00843422" w:rsidP="00801FF6">
      <w:pPr>
        <w:spacing w:line="480" w:lineRule="auto"/>
        <w:ind w:firstLine="720"/>
      </w:pPr>
      <w:r>
        <w:t>The new legislation establishes standards of conduct for all forensic science experts (Home Office, 2021). As a result, the legislation lacks legal force and does not address the massive number of complaints that occur as a consequence of the Human Rights Act of 1998 concerning forensic investigations (Home Office, 1998). However, the UK government claimed that existing regulations made gathering evidence difficult. Additionally, both Houses of Parliament for many years have backed the necessity for forensic science to add legislative authorities to enforce legislation during investigations (Judiciary England and Wales, 2015; House of Lords, 2021). Furthermore, the House of Commons (2021) argues that forensic teams need powers due to the unpredictability in the profession owing to the advancements in crimes.</w:t>
      </w:r>
    </w:p>
    <w:p w14:paraId="7704A429" w14:textId="77777777" w:rsidR="00843422" w:rsidRDefault="00843422" w:rsidP="00801FF6">
      <w:pPr>
        <w:spacing w:line="480" w:lineRule="auto"/>
        <w:ind w:firstLine="720"/>
      </w:pPr>
      <w:r>
        <w:lastRenderedPageBreak/>
        <w:t>According to UK Parliament (2019) the Forensic Science Regulator Act 2021 will increase the trust in the quality of evidence. Additionally, the improvements in the act, according to Charalambous (2021), are long overdue and therefore should improve the integrity of the Criminal Justice System. To further support the act, the Forensic Capability Network (2021) implies that the legislation is crucial to improving the quality of forensic evidence presented in court, allowing for the long-term prosecution of more criminals. Furthermore, Gillian (2019) states that the new act will save time on forensic work, therefore making greater availability for future incidents for the police.</w:t>
      </w:r>
    </w:p>
    <w:p w14:paraId="081AA851" w14:textId="77777777" w:rsidR="00843422" w:rsidRDefault="00843422" w:rsidP="00801FF6">
      <w:pPr>
        <w:spacing w:line="480" w:lineRule="auto"/>
        <w:ind w:firstLine="720"/>
      </w:pPr>
      <w:r>
        <w:t>On the other hand, the new legislation would cost approximately £100,000 per year to implement (Home Office, 2021). However, Jones (2020) argues that this component of the bill should not be disclosed while emphasising that the purpose is to reduce procedural delays, which would aid forensic science work. According to Bell et al (2020), the legislation would bring justice to the victims by establishing forensic service standards and by providing more powers would increase trust in the criminal justice system, thus the cost should not be a concern.</w:t>
      </w:r>
    </w:p>
    <w:p w14:paraId="01B7E2CD" w14:textId="77777777" w:rsidR="00843422" w:rsidRDefault="00843422" w:rsidP="00801FF6">
      <w:pPr>
        <w:spacing w:line="480" w:lineRule="auto"/>
        <w:ind w:firstLine="720"/>
      </w:pPr>
      <w:r>
        <w:t>Other legislation includes the Criminal Procedure and Investigations Act 1996 (Home Office, 1996), PACE 1984 (Home Office, 1984), Human Rights Act 1998 (Home Office, 1998) &amp; the Equality Act 2010 (Home Office, 2010). All of which empowers investigators to deprive people of their liberty utilize justifiable physical force, accessing personal homes or other private places, get private information, and utilise invasive surveillance tactics under certain circumstances (College of Policing, 2017). Investigators have a great deal of flexibility when it comes to how they employ these powers however it must be done with ‘JPLANE’, which is Justifiable, Proportionate, Legal, Accountable, Necessary, Ethical (Ram &amp; Roberts, 2020; College of Policing, 2021).</w:t>
      </w:r>
    </w:p>
    <w:p w14:paraId="43BAA005" w14:textId="6999C232" w:rsidR="003060C2" w:rsidRDefault="00843422" w:rsidP="003060C2">
      <w:pPr>
        <w:spacing w:line="480" w:lineRule="auto"/>
        <w:ind w:firstLine="720"/>
      </w:pPr>
      <w:r>
        <w:t xml:space="preserve">To conclude, the continual development of forensic identification technology and its increased implementation has been greatly aided by the creation of historical theories, new methods, and legislation as a result of breakthroughs in criminal technology (Andrew, Jackson, and Jackson, 2017). The collapse in police-community relations posed a serious challenge for policing as </w:t>
      </w:r>
      <w:r>
        <w:lastRenderedPageBreak/>
        <w:t xml:space="preserve">well as for forensic science since the criminal justice system perceived a lack of public collaboration as a source of political and financial concerns, which restricted the development of crime investigations (Morgan &amp; Levin, 2019). </w:t>
      </w:r>
    </w:p>
    <w:p w14:paraId="06848EDE" w14:textId="1CA4C1C3" w:rsidR="00843422" w:rsidRDefault="00843422" w:rsidP="00801FF6">
      <w:pPr>
        <w:spacing w:line="480" w:lineRule="auto"/>
        <w:ind w:firstLine="720"/>
      </w:pPr>
      <w:r>
        <w:t>According to the Home Office (2021), legislative changes have expanded authorities to aid in the fight against crime while saving police resources and assisting intelligence activities, fuelling the need to extend forensic identification databases through preserving fingerprints and DNA samples. However, it is argued by Ram and Roberts (2020), although technology is still being developed, ethical arguments have been raised, leaving questions concerning human rights and civil liberties unaccounted for. Therefore, forensic science still has a long development ahead to increase efficiency and improve public confidence (Forensic Capability Network, 2021).</w:t>
      </w:r>
    </w:p>
    <w:p w14:paraId="77AA1719" w14:textId="5345224D" w:rsidR="008F43D6" w:rsidRDefault="008F43D6" w:rsidP="00801FF6">
      <w:pPr>
        <w:spacing w:line="480" w:lineRule="auto"/>
        <w:ind w:firstLine="720"/>
      </w:pPr>
    </w:p>
    <w:p w14:paraId="1E41C681" w14:textId="5C69173B" w:rsidR="008F43D6" w:rsidRDefault="008F43D6" w:rsidP="00801FF6">
      <w:pPr>
        <w:spacing w:line="480" w:lineRule="auto"/>
        <w:ind w:firstLine="720"/>
      </w:pPr>
    </w:p>
    <w:p w14:paraId="46AD2081" w14:textId="7AC4C82E" w:rsidR="008F43D6" w:rsidRDefault="008F43D6" w:rsidP="00801FF6">
      <w:pPr>
        <w:spacing w:line="480" w:lineRule="auto"/>
        <w:ind w:firstLine="720"/>
      </w:pPr>
    </w:p>
    <w:p w14:paraId="6A408C50" w14:textId="4953BFCA" w:rsidR="008F43D6" w:rsidRDefault="008F43D6" w:rsidP="00801FF6">
      <w:pPr>
        <w:spacing w:line="480" w:lineRule="auto"/>
        <w:ind w:firstLine="720"/>
      </w:pPr>
    </w:p>
    <w:p w14:paraId="2CF18359" w14:textId="4848B470" w:rsidR="008F43D6" w:rsidRDefault="008F43D6" w:rsidP="00801FF6">
      <w:pPr>
        <w:spacing w:line="480" w:lineRule="auto"/>
        <w:ind w:firstLine="720"/>
      </w:pPr>
    </w:p>
    <w:p w14:paraId="283F14FD" w14:textId="171501C2" w:rsidR="008F43D6" w:rsidRDefault="008F43D6" w:rsidP="00801FF6">
      <w:pPr>
        <w:spacing w:line="480" w:lineRule="auto"/>
        <w:ind w:firstLine="720"/>
      </w:pPr>
    </w:p>
    <w:p w14:paraId="1BF12CC5" w14:textId="0E4F4B60" w:rsidR="008F43D6" w:rsidRDefault="008F43D6" w:rsidP="00801FF6">
      <w:pPr>
        <w:spacing w:line="480" w:lineRule="auto"/>
        <w:ind w:firstLine="720"/>
      </w:pPr>
    </w:p>
    <w:p w14:paraId="130B5222" w14:textId="345A94EE" w:rsidR="008F43D6" w:rsidRDefault="008F43D6" w:rsidP="00801FF6">
      <w:pPr>
        <w:spacing w:line="480" w:lineRule="auto"/>
        <w:ind w:firstLine="720"/>
      </w:pPr>
    </w:p>
    <w:p w14:paraId="1210393E" w14:textId="1370BDA4" w:rsidR="008F43D6" w:rsidRDefault="008F43D6" w:rsidP="00801FF6">
      <w:pPr>
        <w:spacing w:line="480" w:lineRule="auto"/>
        <w:ind w:firstLine="720"/>
      </w:pPr>
    </w:p>
    <w:p w14:paraId="6728064E" w14:textId="0586D45A" w:rsidR="008F43D6" w:rsidRDefault="008F43D6" w:rsidP="00801FF6">
      <w:pPr>
        <w:spacing w:line="480" w:lineRule="auto"/>
        <w:ind w:firstLine="720"/>
      </w:pPr>
    </w:p>
    <w:p w14:paraId="208D3765" w14:textId="6492E818" w:rsidR="008F43D6" w:rsidRDefault="008F43D6" w:rsidP="00801FF6">
      <w:pPr>
        <w:spacing w:line="480" w:lineRule="auto"/>
        <w:ind w:firstLine="720"/>
      </w:pPr>
    </w:p>
    <w:p w14:paraId="06343B44" w14:textId="77777777" w:rsidR="003060C2" w:rsidRDefault="003060C2" w:rsidP="00843422"/>
    <w:p w14:paraId="49249C08" w14:textId="1C82C9E8" w:rsidR="003060C2" w:rsidRDefault="00C311A2" w:rsidP="00843422">
      <w:pPr>
        <w:rPr>
          <w:b/>
          <w:bCs/>
          <w:u w:val="single"/>
        </w:rPr>
      </w:pPr>
      <w:r w:rsidRPr="00C311A2">
        <w:rPr>
          <w:b/>
          <w:bCs/>
          <w:u w:val="single"/>
        </w:rPr>
        <w:lastRenderedPageBreak/>
        <w:t>Reference List</w:t>
      </w:r>
    </w:p>
    <w:p w14:paraId="730F7B70" w14:textId="7173210F"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Andrew, R., Jackson, J. and Jackson, W. (2017). </w:t>
      </w:r>
      <w:r w:rsidRPr="000F41CC">
        <w:rPr>
          <w:rFonts w:cstheme="minorHAnsi"/>
          <w:i/>
          <w:iCs/>
        </w:rPr>
        <w:t>Forensic Science</w:t>
      </w:r>
      <w:r w:rsidRPr="009B6962">
        <w:rPr>
          <w:rFonts w:cstheme="minorHAnsi"/>
        </w:rPr>
        <w:t>. 4th ed. Edinburgh: Pearson, pp.3–46.</w:t>
      </w:r>
    </w:p>
    <w:p w14:paraId="69204929" w14:textId="02B204B9"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Beck, U (1992) </w:t>
      </w:r>
      <w:r w:rsidRPr="000F41CC">
        <w:rPr>
          <w:rFonts w:cstheme="minorHAnsi"/>
          <w:i/>
          <w:iCs/>
        </w:rPr>
        <w:t>Risk society: Towards a new modernity</w:t>
      </w:r>
      <w:r w:rsidRPr="009B6962">
        <w:rPr>
          <w:rFonts w:cstheme="minorHAnsi"/>
        </w:rPr>
        <w:t>. London: Sage.</w:t>
      </w:r>
    </w:p>
    <w:p w14:paraId="1E7C815F" w14:textId="197A6F6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Bell S, Sah S, Albright T, Gates S, Denton M &amp; Casadevall A (2020) A call for more science in forensic science. </w:t>
      </w:r>
      <w:r w:rsidRPr="000F41CC">
        <w:rPr>
          <w:rFonts w:cstheme="minorHAnsi"/>
          <w:i/>
          <w:iCs/>
        </w:rPr>
        <w:t>Proceedings of the National Academy of Sciences</w:t>
      </w:r>
      <w:r w:rsidRPr="009B6962">
        <w:rPr>
          <w:rFonts w:cstheme="minorHAnsi"/>
        </w:rPr>
        <w:t>, 115(18), pp.4541-4544.</w:t>
      </w:r>
    </w:p>
    <w:p w14:paraId="0E2EAF2E" w14:textId="161EB600"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Bodziak, W (2017) </w:t>
      </w:r>
      <w:r w:rsidRPr="000F41CC">
        <w:rPr>
          <w:rFonts w:cstheme="minorHAnsi"/>
          <w:i/>
          <w:iCs/>
        </w:rPr>
        <w:t>Footwear impression evidence: detection, recovery, and examination</w:t>
      </w:r>
      <w:r w:rsidRPr="009B6962">
        <w:rPr>
          <w:rFonts w:cstheme="minorHAnsi"/>
        </w:rPr>
        <w:t>. CRC Press.</w:t>
      </w:r>
    </w:p>
    <w:p w14:paraId="04A541BA" w14:textId="5FB30C8A"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Buckleton, J (2009) Validation issues around DNA typing of </w:t>
      </w:r>
      <w:r w:rsidR="009B6962" w:rsidRPr="009B6962">
        <w:rPr>
          <w:rFonts w:cstheme="minorHAnsi"/>
        </w:rPr>
        <w:t>low-level</w:t>
      </w:r>
      <w:r w:rsidRPr="009B6962">
        <w:rPr>
          <w:rFonts w:cstheme="minorHAnsi"/>
        </w:rPr>
        <w:t xml:space="preserve"> DNA. </w:t>
      </w:r>
      <w:r w:rsidRPr="008B60B8">
        <w:rPr>
          <w:rFonts w:cstheme="minorHAnsi"/>
          <w:i/>
          <w:iCs/>
        </w:rPr>
        <w:t>Forensic Science International: Genetics</w:t>
      </w:r>
      <w:r w:rsidRPr="009B6962">
        <w:rPr>
          <w:rFonts w:cstheme="minorHAnsi"/>
        </w:rPr>
        <w:t>, 3(4), pp.255-260.</w:t>
      </w:r>
    </w:p>
    <w:p w14:paraId="226F8426" w14:textId="0201EE47"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Carew R, Morgan R &amp; Rando C (2019) A preliminary investigation into the accuracy of 3D modelling and 3D printing in forensic anthropology evidence reconstruction. </w:t>
      </w:r>
      <w:r w:rsidRPr="008B60B8">
        <w:rPr>
          <w:rFonts w:cstheme="minorHAnsi"/>
          <w:i/>
          <w:iCs/>
        </w:rPr>
        <w:t>Journal of forensic sciences</w:t>
      </w:r>
      <w:r w:rsidRPr="009B6962">
        <w:rPr>
          <w:rFonts w:cstheme="minorHAnsi"/>
        </w:rPr>
        <w:t>, 64(2), pp.342-352.</w:t>
      </w:r>
    </w:p>
    <w:p w14:paraId="07D4F92A" w14:textId="133ADA2E"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Charalambous, B. (2021). Debate: Forensic Science Regulator and Biometrics Strategy Bill - 25th Sep 2020. [online] www.parallelparliament.co.uk. Available at: </w:t>
      </w:r>
      <w:hyperlink r:id="rId8" w:history="1">
        <w:r w:rsidR="008B60B8" w:rsidRPr="008B60B8">
          <w:rPr>
            <w:rStyle w:val="Hyperlink"/>
            <w:rFonts w:cstheme="minorHAnsi"/>
            <w:i/>
            <w:iCs/>
          </w:rPr>
          <w:t>https://www.parallelparliament.co.uk/mp/bambos-charalambous/debate/2020-09-25/commons/commons-chamber/forensic-science-regulator-and-biometrics-strategy-bill</w:t>
        </w:r>
      </w:hyperlink>
      <w:r w:rsidR="008B60B8" w:rsidRPr="008B60B8">
        <w:rPr>
          <w:rFonts w:cstheme="minorHAnsi"/>
          <w:i/>
          <w:iCs/>
        </w:rPr>
        <w:t xml:space="preserve"> </w:t>
      </w:r>
      <w:r w:rsidRPr="009B6962">
        <w:rPr>
          <w:rFonts w:cstheme="minorHAnsi"/>
        </w:rPr>
        <w:t xml:space="preserve"> </w:t>
      </w:r>
      <w:r w:rsidR="008B60B8">
        <w:rPr>
          <w:rFonts w:cstheme="minorHAnsi"/>
        </w:rPr>
        <w:t>(</w:t>
      </w:r>
      <w:r w:rsidRPr="009B6962">
        <w:rPr>
          <w:rFonts w:cstheme="minorHAnsi"/>
        </w:rPr>
        <w:t>Accessed 3 Feb. 2022</w:t>
      </w:r>
      <w:r w:rsidR="008B60B8">
        <w:rPr>
          <w:rFonts w:cstheme="minorHAnsi"/>
        </w:rPr>
        <w:t>)</w:t>
      </w:r>
      <w:r w:rsidRPr="009B6962">
        <w:rPr>
          <w:rFonts w:cstheme="minorHAnsi"/>
        </w:rPr>
        <w:t>.</w:t>
      </w:r>
    </w:p>
    <w:p w14:paraId="6DB58F1C" w14:textId="539B5734" w:rsidR="00C311A2" w:rsidRPr="008B60B8" w:rsidRDefault="00C311A2" w:rsidP="008B60B8">
      <w:pPr>
        <w:pStyle w:val="ListParagraph"/>
        <w:numPr>
          <w:ilvl w:val="0"/>
          <w:numId w:val="1"/>
        </w:numPr>
        <w:spacing w:line="276" w:lineRule="auto"/>
        <w:rPr>
          <w:rFonts w:cstheme="minorHAnsi"/>
        </w:rPr>
      </w:pPr>
      <w:r w:rsidRPr="009B6962">
        <w:rPr>
          <w:rFonts w:cstheme="minorHAnsi"/>
        </w:rPr>
        <w:t xml:space="preserve">City of London Policing (2020). Undertaking an Investigation – Gathering Evidence. [online] FutureLearn. Available at: </w:t>
      </w:r>
      <w:hyperlink r:id="rId9" w:history="1">
        <w:r w:rsidR="008B60B8" w:rsidRPr="008B60B8">
          <w:rPr>
            <w:rStyle w:val="Hyperlink"/>
            <w:rFonts w:cstheme="minorHAnsi"/>
            <w:i/>
            <w:iCs/>
          </w:rPr>
          <w:t>https://www.futurelearn.com/info/courses/fraud-investigation-making-a-difference/0/steps/65545</w:t>
        </w:r>
      </w:hyperlink>
      <w:r w:rsidR="008B60B8">
        <w:rPr>
          <w:rFonts w:cstheme="minorHAnsi"/>
        </w:rPr>
        <w:t xml:space="preserve"> (</w:t>
      </w:r>
      <w:r w:rsidRPr="008B60B8">
        <w:rPr>
          <w:rFonts w:cstheme="minorHAnsi"/>
        </w:rPr>
        <w:t>Accessed 26 Feb. 2022</w:t>
      </w:r>
      <w:r w:rsidR="008B60B8">
        <w:rPr>
          <w:rFonts w:cstheme="minorHAnsi"/>
        </w:rPr>
        <w:t>)</w:t>
      </w:r>
      <w:r w:rsidRPr="008B60B8">
        <w:rPr>
          <w:rFonts w:cstheme="minorHAnsi"/>
        </w:rPr>
        <w:t>.</w:t>
      </w:r>
    </w:p>
    <w:p w14:paraId="5BF250B0" w14:textId="594F050D"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College of Policing (2013). Investigation Process. [online] Police.uk. Available at: </w:t>
      </w:r>
      <w:hyperlink r:id="rId10" w:history="1">
        <w:r w:rsidR="008B60B8" w:rsidRPr="008B60B8">
          <w:rPr>
            <w:rStyle w:val="Hyperlink"/>
            <w:rFonts w:cstheme="minorHAnsi"/>
            <w:i/>
            <w:iCs/>
          </w:rPr>
          <w:t>https://www.app.college.police.uk/app-content/investigations/investigation-process/</w:t>
        </w:r>
      </w:hyperlink>
      <w:r w:rsidR="008B60B8">
        <w:rPr>
          <w:rFonts w:cstheme="minorHAnsi"/>
        </w:rPr>
        <w:t xml:space="preserve"> </w:t>
      </w:r>
      <w:r w:rsidRPr="009B6962">
        <w:rPr>
          <w:rFonts w:cstheme="minorHAnsi"/>
        </w:rPr>
        <w:t xml:space="preserve"> </w:t>
      </w:r>
      <w:r w:rsidR="008B60B8">
        <w:rPr>
          <w:rFonts w:cstheme="minorHAnsi"/>
        </w:rPr>
        <w:t>(</w:t>
      </w:r>
      <w:r w:rsidRPr="009B6962">
        <w:rPr>
          <w:rFonts w:cstheme="minorHAnsi"/>
        </w:rPr>
        <w:t>Accessed 26 Feb. 2022</w:t>
      </w:r>
      <w:r w:rsidR="008B60B8">
        <w:rPr>
          <w:rFonts w:cstheme="minorHAnsi"/>
        </w:rPr>
        <w:t>)</w:t>
      </w:r>
      <w:r w:rsidRPr="009B6962">
        <w:rPr>
          <w:rFonts w:cstheme="minorHAnsi"/>
        </w:rPr>
        <w:t>.</w:t>
      </w:r>
    </w:p>
    <w:p w14:paraId="13F72906" w14:textId="32312E2B"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College of Policing (2017). </w:t>
      </w:r>
      <w:r w:rsidRPr="008B60B8">
        <w:rPr>
          <w:rFonts w:cstheme="minorHAnsi"/>
          <w:i/>
          <w:iCs/>
        </w:rPr>
        <w:t>Blackstone’s Handbook for Policing Students</w:t>
      </w:r>
      <w:r w:rsidRPr="009B6962">
        <w:rPr>
          <w:rFonts w:cstheme="minorHAnsi"/>
        </w:rPr>
        <w:t>. 11th ed. Oxford University Press, pp.569–596.</w:t>
      </w:r>
    </w:p>
    <w:p w14:paraId="33C16671" w14:textId="3D89BAE4"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College of Policing (2018). </w:t>
      </w:r>
      <w:r w:rsidRPr="008B60B8">
        <w:rPr>
          <w:rFonts w:cstheme="minorHAnsi"/>
          <w:i/>
          <w:iCs/>
        </w:rPr>
        <w:t>Blackstone’s Handbook for Policing Students</w:t>
      </w:r>
      <w:r w:rsidRPr="009B6962">
        <w:rPr>
          <w:rFonts w:cstheme="minorHAnsi"/>
        </w:rPr>
        <w:t>. 12th ed. Oxford University Press, pp.520–603.</w:t>
      </w:r>
    </w:p>
    <w:p w14:paraId="64FD4454" w14:textId="57DCBF5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College of Policing (2021a). </w:t>
      </w:r>
      <w:r w:rsidRPr="008B60B8">
        <w:rPr>
          <w:rFonts w:cstheme="minorHAnsi"/>
          <w:i/>
          <w:iCs/>
        </w:rPr>
        <w:t>Forensics</w:t>
      </w:r>
      <w:r w:rsidRPr="009B6962">
        <w:rPr>
          <w:rFonts w:cstheme="minorHAnsi"/>
        </w:rPr>
        <w:t xml:space="preserve">. [online] www.app.college.police.uk. Available at: </w:t>
      </w:r>
      <w:hyperlink r:id="rId11" w:history="1">
        <w:r w:rsidR="008B60B8" w:rsidRPr="008B60B8">
          <w:rPr>
            <w:rStyle w:val="Hyperlink"/>
            <w:rFonts w:cstheme="minorHAnsi"/>
            <w:i/>
            <w:iCs/>
          </w:rPr>
          <w:t>https://www.app.college.police.uk/app-content/investigations/forensics/#codes-of-conduct-and-practice</w:t>
        </w:r>
      </w:hyperlink>
      <w:r w:rsidR="008B60B8">
        <w:rPr>
          <w:rFonts w:cstheme="minorHAnsi"/>
        </w:rPr>
        <w:t xml:space="preserve"> (</w:t>
      </w:r>
      <w:r w:rsidRPr="009B6962">
        <w:rPr>
          <w:rFonts w:cstheme="minorHAnsi"/>
        </w:rPr>
        <w:t>Accessed 17 Feb. 2022</w:t>
      </w:r>
      <w:r w:rsidR="008B60B8">
        <w:rPr>
          <w:rFonts w:cstheme="minorHAnsi"/>
        </w:rPr>
        <w:t>)</w:t>
      </w:r>
      <w:r w:rsidRPr="009B6962">
        <w:rPr>
          <w:rFonts w:cstheme="minorHAnsi"/>
        </w:rPr>
        <w:t>.</w:t>
      </w:r>
    </w:p>
    <w:p w14:paraId="3CE6BEA5" w14:textId="1F94D74B"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College of Policing (2021b). Retention, Review and Disposal. [online] Police.uk. Available at: </w:t>
      </w:r>
      <w:hyperlink r:id="rId12" w:history="1">
        <w:r w:rsidR="008B60B8" w:rsidRPr="008B60B8">
          <w:rPr>
            <w:rStyle w:val="Hyperlink"/>
            <w:rFonts w:cstheme="minorHAnsi"/>
            <w:i/>
            <w:iCs/>
          </w:rPr>
          <w:t>https://www.app.college.police.uk/app-content/information-management/management-of-police-information/retention-review-and-disposal-of-police-information/</w:t>
        </w:r>
      </w:hyperlink>
      <w:r w:rsidR="008B60B8">
        <w:rPr>
          <w:rFonts w:cstheme="minorHAnsi"/>
        </w:rPr>
        <w:t xml:space="preserve"> (</w:t>
      </w:r>
      <w:r w:rsidRPr="009B6962">
        <w:rPr>
          <w:rFonts w:cstheme="minorHAnsi"/>
        </w:rPr>
        <w:t>Accessed 26 Feb. 2022</w:t>
      </w:r>
      <w:r w:rsidR="008B60B8">
        <w:rPr>
          <w:rFonts w:cstheme="minorHAnsi"/>
        </w:rPr>
        <w:t>)</w:t>
      </w:r>
      <w:r w:rsidRPr="009B6962">
        <w:rPr>
          <w:rFonts w:cstheme="minorHAnsi"/>
        </w:rPr>
        <w:t>.</w:t>
      </w:r>
    </w:p>
    <w:p w14:paraId="76D57931" w14:textId="6395067F"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Deane, P. (2019). Back to Basics: Golden Hour Principles in Serious Collision Investigation | Harper Shaw. [online] Harper Shaw. Available at: </w:t>
      </w:r>
      <w:hyperlink r:id="rId13" w:history="1">
        <w:r w:rsidR="008B60B8" w:rsidRPr="008B60B8">
          <w:rPr>
            <w:rStyle w:val="Hyperlink"/>
            <w:rFonts w:cstheme="minorHAnsi"/>
            <w:i/>
            <w:iCs/>
          </w:rPr>
          <w:t>https://harpershaw.co.uk/back-to-basics-golden-hour-principles-in-serious-collision-investigation/</w:t>
        </w:r>
      </w:hyperlink>
      <w:r w:rsidR="008B60B8">
        <w:rPr>
          <w:rFonts w:cstheme="minorHAnsi"/>
        </w:rPr>
        <w:t xml:space="preserve"> (</w:t>
      </w:r>
      <w:r w:rsidRPr="009B6962">
        <w:rPr>
          <w:rFonts w:cstheme="minorHAnsi"/>
        </w:rPr>
        <w:t>Accessed 26 Feb. 2022</w:t>
      </w:r>
      <w:r w:rsidR="008B60B8">
        <w:rPr>
          <w:rFonts w:cstheme="minorHAnsi"/>
        </w:rPr>
        <w:t>)</w:t>
      </w:r>
      <w:r w:rsidRPr="009B6962">
        <w:rPr>
          <w:rFonts w:cstheme="minorHAnsi"/>
        </w:rPr>
        <w:t>.</w:t>
      </w:r>
    </w:p>
    <w:p w14:paraId="226F93C6" w14:textId="46040CFA"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Dror E, Charlton D and Peron A (2006) Contextual information renders experts vulnerable to making erroneous identifications, </w:t>
      </w:r>
      <w:r w:rsidRPr="008B60B8">
        <w:rPr>
          <w:rFonts w:cstheme="minorHAnsi"/>
          <w:i/>
          <w:iCs/>
        </w:rPr>
        <w:t>Forensic Science International</w:t>
      </w:r>
      <w:r w:rsidRPr="009B6962">
        <w:rPr>
          <w:rFonts w:cstheme="minorHAnsi"/>
        </w:rPr>
        <w:t xml:space="preserve">. 156, pp.74 </w:t>
      </w:r>
      <w:r w:rsidR="009B6962" w:rsidRPr="009B6962">
        <w:rPr>
          <w:rFonts w:cstheme="minorHAnsi"/>
        </w:rPr>
        <w:t>–</w:t>
      </w:r>
      <w:r w:rsidRPr="009B6962">
        <w:rPr>
          <w:rFonts w:cstheme="minorHAnsi"/>
        </w:rPr>
        <w:t xml:space="preserve"> 78</w:t>
      </w:r>
      <w:r w:rsidR="009B6962" w:rsidRPr="009B6962">
        <w:rPr>
          <w:rFonts w:cstheme="minorHAnsi"/>
        </w:rPr>
        <w:t xml:space="preserve">. </w:t>
      </w:r>
    </w:p>
    <w:p w14:paraId="5982D80A" w14:textId="633575C4"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Dyfed Powys Police (2017). Our Priorities and Progress. [online] www.dyfed-powys.police.uk. Available at: </w:t>
      </w:r>
      <w:hyperlink r:id="rId14" w:history="1">
        <w:r w:rsidR="008B60B8" w:rsidRPr="008B60B8">
          <w:rPr>
            <w:rStyle w:val="Hyperlink"/>
            <w:rFonts w:cstheme="minorHAnsi"/>
            <w:i/>
            <w:iCs/>
          </w:rPr>
          <w:t>https://www.dyfed-powys.police.uk/police-forces/dyfed-powys-police/areas/about-us/about-us/our-priorities-and-progress/</w:t>
        </w:r>
      </w:hyperlink>
      <w:r w:rsidR="008B60B8" w:rsidRPr="008B60B8">
        <w:rPr>
          <w:rFonts w:cstheme="minorHAnsi"/>
          <w:i/>
          <w:iCs/>
        </w:rPr>
        <w:t xml:space="preserve"> </w:t>
      </w:r>
      <w:r w:rsidR="008B60B8">
        <w:rPr>
          <w:rFonts w:cstheme="minorHAnsi"/>
        </w:rPr>
        <w:t>(</w:t>
      </w:r>
      <w:r w:rsidRPr="009B6962">
        <w:rPr>
          <w:rFonts w:cstheme="minorHAnsi"/>
        </w:rPr>
        <w:t>Accessed 27 Feb. 2022</w:t>
      </w:r>
      <w:r w:rsidR="008B60B8">
        <w:rPr>
          <w:rFonts w:cstheme="minorHAnsi"/>
        </w:rPr>
        <w:t>)</w:t>
      </w:r>
      <w:r w:rsidRPr="009B6962">
        <w:rPr>
          <w:rFonts w:cstheme="minorHAnsi"/>
        </w:rPr>
        <w:t>.</w:t>
      </w:r>
    </w:p>
    <w:p w14:paraId="1A881794" w14:textId="64F3E118" w:rsidR="00C311A2" w:rsidRPr="009B6962" w:rsidRDefault="00C311A2" w:rsidP="009B6962">
      <w:pPr>
        <w:pStyle w:val="ListParagraph"/>
        <w:numPr>
          <w:ilvl w:val="0"/>
          <w:numId w:val="1"/>
        </w:numPr>
        <w:spacing w:line="276" w:lineRule="auto"/>
        <w:rPr>
          <w:rFonts w:cstheme="minorHAnsi"/>
        </w:rPr>
      </w:pPr>
      <w:r w:rsidRPr="009B6962">
        <w:rPr>
          <w:rFonts w:cstheme="minorHAnsi"/>
        </w:rPr>
        <w:lastRenderedPageBreak/>
        <w:t xml:space="preserve">Equality and Human Rights Commission (2018). The Human Rights Act | Equality and Human Rights Commission. [online] Equalityhumanrights.com. Available at: </w:t>
      </w:r>
      <w:hyperlink r:id="rId15" w:history="1">
        <w:r w:rsidR="008B60B8" w:rsidRPr="008B60B8">
          <w:rPr>
            <w:rStyle w:val="Hyperlink"/>
            <w:rFonts w:cstheme="minorHAnsi"/>
            <w:i/>
            <w:iCs/>
          </w:rPr>
          <w:t>https://www.equalityhumanrights.com/en/human-rights/human-rights-act</w:t>
        </w:r>
      </w:hyperlink>
      <w:r w:rsidR="008B60B8">
        <w:rPr>
          <w:rFonts w:cstheme="minorHAnsi"/>
        </w:rPr>
        <w:t xml:space="preserve"> (</w:t>
      </w:r>
      <w:r w:rsidRPr="009B6962">
        <w:rPr>
          <w:rFonts w:cstheme="minorHAnsi"/>
        </w:rPr>
        <w:t>Accessed 31 Jan. 2022</w:t>
      </w:r>
      <w:r w:rsidR="008B60B8">
        <w:rPr>
          <w:rFonts w:cstheme="minorHAnsi"/>
        </w:rPr>
        <w:t>)</w:t>
      </w:r>
      <w:r w:rsidRPr="009B6962">
        <w:rPr>
          <w:rFonts w:cstheme="minorHAnsi"/>
        </w:rPr>
        <w:t>.</w:t>
      </w:r>
    </w:p>
    <w:p w14:paraId="1DAEC929" w14:textId="021F91FE"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Forensic Academy (2012). Types of Evidence. [online] www.chem.fsu.edu. Available at: </w:t>
      </w:r>
      <w:hyperlink r:id="rId16" w:history="1">
        <w:r w:rsidR="008B60B8" w:rsidRPr="008B60B8">
          <w:rPr>
            <w:rStyle w:val="Hyperlink"/>
            <w:rFonts w:cstheme="minorHAnsi"/>
            <w:i/>
            <w:iCs/>
          </w:rPr>
          <w:t>https://www.chem.fsu.edu/chemlab/chm1020c/04.php</w:t>
        </w:r>
      </w:hyperlink>
      <w:r w:rsidR="008B60B8">
        <w:rPr>
          <w:rFonts w:cstheme="minorHAnsi"/>
        </w:rPr>
        <w:t xml:space="preserve"> (</w:t>
      </w:r>
      <w:r w:rsidRPr="009B6962">
        <w:rPr>
          <w:rFonts w:cstheme="minorHAnsi"/>
        </w:rPr>
        <w:t>Accessed 26 Feb. 2022</w:t>
      </w:r>
      <w:r w:rsidR="008B60B8">
        <w:rPr>
          <w:rFonts w:cstheme="minorHAnsi"/>
        </w:rPr>
        <w:t>)</w:t>
      </w:r>
      <w:r w:rsidRPr="009B6962">
        <w:rPr>
          <w:rFonts w:cstheme="minorHAnsi"/>
        </w:rPr>
        <w:t>.</w:t>
      </w:r>
    </w:p>
    <w:p w14:paraId="0DDAC938" w14:textId="058A5B72"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Forensic Capability Network (2021). UK’s Largest Forensic Capability Network Officially Launches | Forensic Capability Network. [online] www.fcn.police.uk. Available at: </w:t>
      </w:r>
      <w:hyperlink r:id="rId17" w:history="1">
        <w:r w:rsidR="008B60B8" w:rsidRPr="008B60B8">
          <w:rPr>
            <w:rStyle w:val="Hyperlink"/>
            <w:rFonts w:cstheme="minorHAnsi"/>
            <w:i/>
            <w:iCs/>
          </w:rPr>
          <w:t>https://www.fcn.police.uk/news/uks-largest-forensic-capability-network-officially-launches</w:t>
        </w:r>
      </w:hyperlink>
      <w:r w:rsidR="008B60B8">
        <w:rPr>
          <w:rFonts w:cstheme="minorHAnsi"/>
        </w:rPr>
        <w:t xml:space="preserve"> </w:t>
      </w:r>
      <w:r w:rsidRPr="009B6962">
        <w:rPr>
          <w:rFonts w:cstheme="minorHAnsi"/>
        </w:rPr>
        <w:t xml:space="preserve"> </w:t>
      </w:r>
      <w:r w:rsidR="008B60B8">
        <w:rPr>
          <w:rFonts w:cstheme="minorHAnsi"/>
        </w:rPr>
        <w:t>(</w:t>
      </w:r>
      <w:r w:rsidRPr="009B6962">
        <w:rPr>
          <w:rFonts w:cstheme="minorHAnsi"/>
        </w:rPr>
        <w:t>Accessed 3 Feb. 2022</w:t>
      </w:r>
      <w:r w:rsidR="008B60B8">
        <w:rPr>
          <w:rFonts w:cstheme="minorHAnsi"/>
        </w:rPr>
        <w:t>)</w:t>
      </w:r>
      <w:r w:rsidRPr="009B6962">
        <w:rPr>
          <w:rFonts w:cstheme="minorHAnsi"/>
        </w:rPr>
        <w:t>.</w:t>
      </w:r>
    </w:p>
    <w:p w14:paraId="73A59C5A" w14:textId="521377A0" w:rsidR="00C311A2" w:rsidRPr="008B60B8" w:rsidRDefault="00C311A2" w:rsidP="008B60B8">
      <w:pPr>
        <w:pStyle w:val="ListParagraph"/>
        <w:numPr>
          <w:ilvl w:val="0"/>
          <w:numId w:val="1"/>
        </w:numPr>
        <w:spacing w:line="276" w:lineRule="auto"/>
        <w:rPr>
          <w:rFonts w:cstheme="minorHAnsi"/>
        </w:rPr>
      </w:pPr>
      <w:r w:rsidRPr="009B6962">
        <w:rPr>
          <w:rFonts w:cstheme="minorHAnsi"/>
        </w:rPr>
        <w:t xml:space="preserve">Forensic Science Regulator (2017). Annual Report. [online] Available at: </w:t>
      </w:r>
      <w:hyperlink r:id="rId18" w:history="1">
        <w:r w:rsidR="008B60B8" w:rsidRPr="008B60B8">
          <w:rPr>
            <w:rStyle w:val="Hyperlink"/>
            <w:rFonts w:cstheme="minorHAnsi"/>
            <w:i/>
            <w:iCs/>
          </w:rPr>
          <w:t>https://assets.publishing.service.gov.uk/government/uploads/system/uploads/attachment_data/file/918342/FSRAnnual_Report_2018.pdf</w:t>
        </w:r>
      </w:hyperlink>
      <w:r w:rsidRPr="008B60B8">
        <w:rPr>
          <w:rFonts w:cstheme="minorHAnsi"/>
          <w:i/>
          <w:iCs/>
        </w:rPr>
        <w:t>.</w:t>
      </w:r>
      <w:r w:rsidR="008B60B8" w:rsidRPr="008B60B8">
        <w:rPr>
          <w:rFonts w:cstheme="minorHAnsi"/>
          <w:i/>
          <w:iCs/>
        </w:rPr>
        <w:t xml:space="preserve"> </w:t>
      </w:r>
      <w:r w:rsidR="008B60B8">
        <w:rPr>
          <w:rFonts w:cstheme="minorHAnsi"/>
        </w:rPr>
        <w:t>(</w:t>
      </w:r>
      <w:r w:rsidR="008B60B8" w:rsidRPr="009B6962">
        <w:rPr>
          <w:rFonts w:cstheme="minorHAnsi"/>
        </w:rPr>
        <w:t>Accessed 27 Jan. 2022</w:t>
      </w:r>
      <w:r w:rsidR="008B60B8">
        <w:rPr>
          <w:rFonts w:cstheme="minorHAnsi"/>
        </w:rPr>
        <w:t>)</w:t>
      </w:r>
      <w:r w:rsidR="008B60B8" w:rsidRPr="009B6962">
        <w:rPr>
          <w:rFonts w:cstheme="minorHAnsi"/>
        </w:rPr>
        <w:t>.</w:t>
      </w:r>
    </w:p>
    <w:p w14:paraId="55CBE3EC" w14:textId="6C0F19F4"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Forensics Library (2007). Crime Scenes – the Forensics Library. [online] Crime Scenes - First Officer Attending. Available at: </w:t>
      </w:r>
      <w:hyperlink r:id="rId19" w:history="1">
        <w:r w:rsidR="008B60B8" w:rsidRPr="008B60B8">
          <w:rPr>
            <w:rStyle w:val="Hyperlink"/>
            <w:rFonts w:cstheme="minorHAnsi"/>
            <w:i/>
            <w:iCs/>
          </w:rPr>
          <w:t>https://aboutforensics.co.uk/crime-scenes/</w:t>
        </w:r>
      </w:hyperlink>
      <w:r w:rsidR="008B60B8">
        <w:rPr>
          <w:rFonts w:cstheme="minorHAnsi"/>
        </w:rPr>
        <w:t xml:space="preserve"> (</w:t>
      </w:r>
      <w:r w:rsidRPr="009B6962">
        <w:rPr>
          <w:rFonts w:cstheme="minorHAnsi"/>
        </w:rPr>
        <w:t>Accessed 27 Jan. 2022</w:t>
      </w:r>
      <w:r w:rsidR="008B60B8">
        <w:rPr>
          <w:rFonts w:cstheme="minorHAnsi"/>
        </w:rPr>
        <w:t>)</w:t>
      </w:r>
      <w:r w:rsidRPr="009B6962">
        <w:rPr>
          <w:rFonts w:cstheme="minorHAnsi"/>
        </w:rPr>
        <w:t>.</w:t>
      </w:r>
    </w:p>
    <w:p w14:paraId="682904C8" w14:textId="0E9B56CE"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Friedman, J and Brand, J (2017) </w:t>
      </w:r>
      <w:r w:rsidRPr="008B60B8">
        <w:rPr>
          <w:rFonts w:cstheme="minorHAnsi"/>
          <w:i/>
          <w:iCs/>
        </w:rPr>
        <w:t>It Is Now up to the Courts: Forensic Science in Criminal Courts: Ensuring Scientific Validity of Feature-Comparison Methods</w:t>
      </w:r>
      <w:r w:rsidRPr="009B6962">
        <w:rPr>
          <w:rFonts w:cstheme="minorHAnsi"/>
        </w:rPr>
        <w:t>.57, pp. 367</w:t>
      </w:r>
      <w:r w:rsidRPr="009B6962">
        <w:rPr>
          <w:rFonts w:cstheme="minorHAnsi"/>
        </w:rPr>
        <w:t xml:space="preserve">. </w:t>
      </w:r>
    </w:p>
    <w:p w14:paraId="65F5EEC6" w14:textId="1494BEE3"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Galton, A (1888) </w:t>
      </w:r>
      <w:r w:rsidRPr="008B60B8">
        <w:rPr>
          <w:rFonts w:cstheme="minorHAnsi"/>
          <w:i/>
          <w:iCs/>
        </w:rPr>
        <w:t>English Prose: From Mandeville to Thackeray</w:t>
      </w:r>
      <w:r w:rsidRPr="009B6962">
        <w:rPr>
          <w:rFonts w:cstheme="minorHAnsi"/>
        </w:rPr>
        <w:t xml:space="preserve"> (Vol. 35). London. </w:t>
      </w:r>
    </w:p>
    <w:p w14:paraId="7DB1FD7F" w14:textId="4645CEE5"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Gillian, T. (2019). </w:t>
      </w:r>
      <w:r w:rsidRPr="008B60B8">
        <w:rPr>
          <w:rFonts w:cstheme="minorHAnsi"/>
          <w:i/>
          <w:iCs/>
        </w:rPr>
        <w:t>Annual Report - Forensic Science Regulator</w:t>
      </w:r>
      <w:r w:rsidRPr="009B6962">
        <w:rPr>
          <w:rFonts w:cstheme="minorHAnsi"/>
        </w:rPr>
        <w:t xml:space="preserve">. [online] Available at: </w:t>
      </w:r>
      <w:hyperlink r:id="rId20" w:history="1">
        <w:r w:rsidR="008B60B8" w:rsidRPr="008B60B8">
          <w:rPr>
            <w:rStyle w:val="Hyperlink"/>
            <w:rFonts w:cstheme="minorHAnsi"/>
            <w:i/>
            <w:iCs/>
          </w:rPr>
          <w:t>https://assets.publishing.service.gov.uk/government/uploads/system/uploads/attachment_data/file/950087/FSR_Annual_Report_2019-2020_Issue_1.pdf#page=3</w:t>
        </w:r>
      </w:hyperlink>
      <w:r w:rsidR="008B60B8">
        <w:rPr>
          <w:rFonts w:cstheme="minorHAnsi"/>
        </w:rPr>
        <w:t xml:space="preserve"> (</w:t>
      </w:r>
      <w:r w:rsidRPr="009B6962">
        <w:rPr>
          <w:rFonts w:cstheme="minorHAnsi"/>
        </w:rPr>
        <w:t>Accessed 3 Feb. 2022</w:t>
      </w:r>
      <w:r w:rsidR="008B60B8">
        <w:rPr>
          <w:rFonts w:cstheme="minorHAnsi"/>
        </w:rPr>
        <w:t>)</w:t>
      </w:r>
      <w:r w:rsidRPr="009B6962">
        <w:rPr>
          <w:rFonts w:cstheme="minorHAnsi"/>
        </w:rPr>
        <w:t>.</w:t>
      </w:r>
    </w:p>
    <w:p w14:paraId="1352BE53" w14:textId="094D29B6"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Goldsmith, P. (2005). </w:t>
      </w:r>
      <w:r w:rsidRPr="00165F9B">
        <w:rPr>
          <w:rFonts w:cstheme="minorHAnsi"/>
          <w:i/>
          <w:iCs/>
        </w:rPr>
        <w:t>Forensic Science on Trial: Follow-up</w:t>
      </w:r>
      <w:r w:rsidRPr="009B6962">
        <w:rPr>
          <w:rFonts w:cstheme="minorHAnsi"/>
        </w:rPr>
        <w:t xml:space="preserve">. [online] www.publications.parliament.uk. Available at: </w:t>
      </w:r>
      <w:hyperlink r:id="rId21" w:history="1">
        <w:r w:rsidR="00165F9B" w:rsidRPr="00165F9B">
          <w:rPr>
            <w:rStyle w:val="Hyperlink"/>
            <w:rFonts w:cstheme="minorHAnsi"/>
            <w:i/>
            <w:iCs/>
          </w:rPr>
          <w:t>https://publications.parliament.uk/pa/cm200506/cmselect/cmsctech/uc685-i/uc68502.htm</w:t>
        </w:r>
      </w:hyperlink>
      <w:r w:rsidR="00165F9B" w:rsidRPr="00165F9B">
        <w:rPr>
          <w:rFonts w:cstheme="minorHAnsi"/>
          <w:i/>
          <w:iCs/>
        </w:rPr>
        <w:t xml:space="preserve"> </w:t>
      </w:r>
      <w:r w:rsidRPr="00165F9B">
        <w:rPr>
          <w:rFonts w:cstheme="minorHAnsi"/>
          <w:i/>
          <w:iCs/>
        </w:rPr>
        <w:t xml:space="preserve"> </w:t>
      </w:r>
      <w:r w:rsidR="00165F9B">
        <w:rPr>
          <w:rFonts w:cstheme="minorHAnsi"/>
        </w:rPr>
        <w:t>(</w:t>
      </w:r>
      <w:r w:rsidRPr="009B6962">
        <w:rPr>
          <w:rFonts w:cstheme="minorHAnsi"/>
        </w:rPr>
        <w:t>Accessed 26 Feb. 2022</w:t>
      </w:r>
      <w:r w:rsidR="00165F9B">
        <w:rPr>
          <w:rFonts w:cstheme="minorHAnsi"/>
        </w:rPr>
        <w:t>)</w:t>
      </w:r>
      <w:r w:rsidRPr="009B6962">
        <w:rPr>
          <w:rFonts w:cstheme="minorHAnsi"/>
        </w:rPr>
        <w:t>.</w:t>
      </w:r>
    </w:p>
    <w:p w14:paraId="311509EA" w14:textId="47999C4C" w:rsidR="00C311A2" w:rsidRPr="009B6962" w:rsidRDefault="00C311A2" w:rsidP="009B6962">
      <w:pPr>
        <w:pStyle w:val="ListParagraph"/>
        <w:numPr>
          <w:ilvl w:val="0"/>
          <w:numId w:val="1"/>
        </w:numPr>
        <w:spacing w:line="276" w:lineRule="auto"/>
        <w:rPr>
          <w:rFonts w:cstheme="minorHAnsi"/>
        </w:rPr>
      </w:pPr>
      <w:r w:rsidRPr="009B6962">
        <w:rPr>
          <w:rFonts w:cstheme="minorHAnsi"/>
        </w:rPr>
        <w:t>Government Scientific Advisor (2015) Annual Report, Forensic science and beyond: Authenticity, Provenance and Assurance</w:t>
      </w:r>
      <w:r w:rsidRPr="00165F9B">
        <w:rPr>
          <w:rFonts w:cstheme="minorHAnsi"/>
          <w:i/>
          <w:iCs/>
        </w:rPr>
        <w:t>. Evidence and case studies</w:t>
      </w:r>
      <w:r w:rsidRPr="009B6962">
        <w:rPr>
          <w:rFonts w:cstheme="minorHAnsi"/>
        </w:rPr>
        <w:t>.</w:t>
      </w:r>
    </w:p>
    <w:p w14:paraId="5DF96658" w14:textId="1297CEC9"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Hayden, B. (2017). </w:t>
      </w:r>
      <w:r w:rsidRPr="00165F9B">
        <w:rPr>
          <w:rFonts w:cstheme="minorHAnsi"/>
          <w:i/>
          <w:iCs/>
        </w:rPr>
        <w:t>Crime Scene Contamination Issues</w:t>
      </w:r>
      <w:r w:rsidRPr="009B6962">
        <w:rPr>
          <w:rFonts w:cstheme="minorHAnsi"/>
        </w:rPr>
        <w:t xml:space="preserve">. [online] Crime-scene-investigator.net. Available at: </w:t>
      </w:r>
      <w:hyperlink r:id="rId22" w:history="1">
        <w:r w:rsidR="00165F9B" w:rsidRPr="00165F9B">
          <w:rPr>
            <w:rStyle w:val="Hyperlink"/>
            <w:rFonts w:cstheme="minorHAnsi"/>
            <w:i/>
            <w:iCs/>
          </w:rPr>
          <w:t>https://www.crime-scene-investigator.net/crime-scene-contamination-issues.html</w:t>
        </w:r>
      </w:hyperlink>
      <w:r w:rsidR="00165F9B">
        <w:rPr>
          <w:rFonts w:cstheme="minorHAnsi"/>
        </w:rPr>
        <w:t xml:space="preserve"> (</w:t>
      </w:r>
      <w:r w:rsidRPr="009B6962">
        <w:rPr>
          <w:rFonts w:cstheme="minorHAnsi"/>
        </w:rPr>
        <w:t>Accessed 26 Feb. 2022</w:t>
      </w:r>
      <w:r w:rsidR="00165F9B">
        <w:rPr>
          <w:rFonts w:cstheme="minorHAnsi"/>
        </w:rPr>
        <w:t>)</w:t>
      </w:r>
      <w:r w:rsidRPr="009B6962">
        <w:rPr>
          <w:rFonts w:cstheme="minorHAnsi"/>
        </w:rPr>
        <w:t>.</w:t>
      </w:r>
    </w:p>
    <w:p w14:paraId="53C2D59F" w14:textId="7AED484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Her Majesty's Inspectorate of Constabulary (2018). HMIC Inspection Report Dyfed Powys Police Major Crime. [online] Available at: </w:t>
      </w:r>
      <w:hyperlink r:id="rId23" w:history="1">
        <w:r w:rsidR="00165F9B" w:rsidRPr="00165F9B">
          <w:rPr>
            <w:rStyle w:val="Hyperlink"/>
            <w:rFonts w:cstheme="minorHAnsi"/>
            <w:i/>
            <w:iCs/>
          </w:rPr>
          <w:t>https://www.justiceinspectorates.gov.uk/hmicfrs/media/dyfed-powys-phase2-major-crime-20080629.pdf</w:t>
        </w:r>
      </w:hyperlink>
      <w:r w:rsidR="00165F9B">
        <w:rPr>
          <w:rFonts w:cstheme="minorHAnsi"/>
        </w:rPr>
        <w:t xml:space="preserve"> (</w:t>
      </w:r>
      <w:r w:rsidRPr="009B6962">
        <w:rPr>
          <w:rFonts w:cstheme="minorHAnsi"/>
        </w:rPr>
        <w:t>Accessed 26 Feb. 2022</w:t>
      </w:r>
      <w:r w:rsidR="00165F9B">
        <w:rPr>
          <w:rFonts w:cstheme="minorHAnsi"/>
        </w:rPr>
        <w:t>)</w:t>
      </w:r>
      <w:r w:rsidRPr="009B6962">
        <w:rPr>
          <w:rFonts w:cstheme="minorHAnsi"/>
        </w:rPr>
        <w:t>.</w:t>
      </w:r>
    </w:p>
    <w:p w14:paraId="6FF754C3" w14:textId="048F62B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(1984). Police and Criminal Evidence Act 1984. [online] Legislation.gov.uk. Available at: </w:t>
      </w:r>
      <w:hyperlink r:id="rId24" w:history="1">
        <w:r w:rsidR="00165F9B" w:rsidRPr="00165F9B">
          <w:rPr>
            <w:rStyle w:val="Hyperlink"/>
            <w:rFonts w:cstheme="minorHAnsi"/>
            <w:i/>
            <w:iCs/>
          </w:rPr>
          <w:t>https://www.legislation.gov.uk/ukpga/1984/60/contents</w:t>
        </w:r>
      </w:hyperlink>
      <w:r w:rsidR="00165F9B">
        <w:rPr>
          <w:rFonts w:cstheme="minorHAnsi"/>
        </w:rPr>
        <w:t xml:space="preserve"> (</w:t>
      </w:r>
      <w:r w:rsidRPr="009B6962">
        <w:rPr>
          <w:rFonts w:cstheme="minorHAnsi"/>
        </w:rPr>
        <w:t>Accessed 3 Feb. 2022</w:t>
      </w:r>
      <w:r w:rsidR="00165F9B">
        <w:rPr>
          <w:rFonts w:cstheme="minorHAnsi"/>
        </w:rPr>
        <w:t>)</w:t>
      </w:r>
      <w:r w:rsidRPr="009B6962">
        <w:rPr>
          <w:rFonts w:cstheme="minorHAnsi"/>
        </w:rPr>
        <w:t>.</w:t>
      </w:r>
    </w:p>
    <w:p w14:paraId="68054F4C" w14:textId="76EEDD7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(1996). Criminal Procedure and Investigations Act 1996. [online] www.legislation.gov.uk. Available at: </w:t>
      </w:r>
      <w:hyperlink r:id="rId25" w:history="1">
        <w:r w:rsidR="00165F9B" w:rsidRPr="00165F9B">
          <w:rPr>
            <w:rStyle w:val="Hyperlink"/>
            <w:rFonts w:cstheme="minorHAnsi"/>
            <w:i/>
            <w:iCs/>
          </w:rPr>
          <w:t>https://www.legislation.gov.uk/ukpga/1996/25/contents</w:t>
        </w:r>
      </w:hyperlink>
      <w:r w:rsidR="00165F9B">
        <w:rPr>
          <w:rFonts w:cstheme="minorHAnsi"/>
        </w:rPr>
        <w:t xml:space="preserve"> (</w:t>
      </w:r>
      <w:r w:rsidRPr="009B6962">
        <w:rPr>
          <w:rFonts w:cstheme="minorHAnsi"/>
        </w:rPr>
        <w:t>Accessed 3 Feb. 2022</w:t>
      </w:r>
      <w:r w:rsidR="00165F9B">
        <w:rPr>
          <w:rFonts w:cstheme="minorHAnsi"/>
        </w:rPr>
        <w:t>)</w:t>
      </w:r>
      <w:r w:rsidRPr="009B6962">
        <w:rPr>
          <w:rFonts w:cstheme="minorHAnsi"/>
        </w:rPr>
        <w:t>.</w:t>
      </w:r>
    </w:p>
    <w:p w14:paraId="19520595" w14:textId="0F6B1E17"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(1998). Human Rights Act 1998. [online] legislation.gov.uk. Available at: </w:t>
      </w:r>
      <w:hyperlink r:id="rId26" w:history="1">
        <w:r w:rsidR="00713B07" w:rsidRPr="00713B07">
          <w:rPr>
            <w:rStyle w:val="Hyperlink"/>
            <w:rFonts w:cstheme="minorHAnsi"/>
            <w:i/>
            <w:iCs/>
          </w:rPr>
          <w:t>https://www.legislation.gov.uk/ukpga/1998/42/content</w:t>
        </w:r>
      </w:hyperlink>
      <w:r w:rsidR="00713B07">
        <w:rPr>
          <w:rFonts w:cstheme="minorHAnsi"/>
        </w:rPr>
        <w:t xml:space="preserve"> (</w:t>
      </w:r>
      <w:r w:rsidRPr="009B6962">
        <w:rPr>
          <w:rFonts w:cstheme="minorHAnsi"/>
        </w:rPr>
        <w:t>Accessed 3 Feb. 2022</w:t>
      </w:r>
      <w:r w:rsidR="00713B07">
        <w:rPr>
          <w:rFonts w:cstheme="minorHAnsi"/>
        </w:rPr>
        <w:t>)</w:t>
      </w:r>
      <w:r w:rsidRPr="009B6962">
        <w:rPr>
          <w:rFonts w:cstheme="minorHAnsi"/>
        </w:rPr>
        <w:t>.</w:t>
      </w:r>
    </w:p>
    <w:p w14:paraId="57571D71" w14:textId="4220E3BF" w:rsidR="00C311A2" w:rsidRPr="009B6962" w:rsidRDefault="00C311A2" w:rsidP="009B6962">
      <w:pPr>
        <w:pStyle w:val="ListParagraph"/>
        <w:numPr>
          <w:ilvl w:val="0"/>
          <w:numId w:val="1"/>
        </w:numPr>
        <w:spacing w:line="276" w:lineRule="auto"/>
        <w:rPr>
          <w:rFonts w:cstheme="minorHAnsi"/>
        </w:rPr>
      </w:pPr>
      <w:r w:rsidRPr="009B6962">
        <w:rPr>
          <w:rFonts w:cstheme="minorHAnsi"/>
        </w:rPr>
        <w:lastRenderedPageBreak/>
        <w:t xml:space="preserve">Home Office (2003). Human Rights Act 1998. [online] legislation.gov.uk. Available at: </w:t>
      </w:r>
      <w:hyperlink r:id="rId27" w:history="1">
        <w:r w:rsidR="00713B07" w:rsidRPr="00713B07">
          <w:rPr>
            <w:rStyle w:val="Hyperlink"/>
            <w:rFonts w:cstheme="minorHAnsi"/>
            <w:i/>
            <w:iCs/>
          </w:rPr>
          <w:t>https://www.legislation.gov.uk/ukpga/1998/42/contents</w:t>
        </w:r>
      </w:hyperlink>
      <w:r w:rsidR="00713B07">
        <w:rPr>
          <w:rFonts w:cstheme="minorHAnsi"/>
        </w:rPr>
        <w:t xml:space="preserve"> (</w:t>
      </w:r>
      <w:r w:rsidRPr="009B6962">
        <w:rPr>
          <w:rFonts w:cstheme="minorHAnsi"/>
        </w:rPr>
        <w:t>Accessed 31 Jan. 2022</w:t>
      </w:r>
      <w:r w:rsidR="00713B07">
        <w:rPr>
          <w:rFonts w:cstheme="minorHAnsi"/>
        </w:rPr>
        <w:t>)</w:t>
      </w:r>
      <w:r w:rsidRPr="009B6962">
        <w:rPr>
          <w:rFonts w:cstheme="minorHAnsi"/>
        </w:rPr>
        <w:t>.</w:t>
      </w:r>
    </w:p>
    <w:p w14:paraId="675CEB0D" w14:textId="3519139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(2010). Equality Act 2010. [online] Legislation.gov.uk. Available at: </w:t>
      </w:r>
      <w:hyperlink r:id="rId28" w:history="1">
        <w:r w:rsidR="00713B07" w:rsidRPr="00713B07">
          <w:rPr>
            <w:rStyle w:val="Hyperlink"/>
            <w:rFonts w:cstheme="minorHAnsi"/>
            <w:i/>
            <w:iCs/>
          </w:rPr>
          <w:t>https://www.legislation.gov.uk/ukpga/2010/15/contents</w:t>
        </w:r>
      </w:hyperlink>
      <w:r w:rsidR="00713B07">
        <w:rPr>
          <w:rFonts w:cstheme="minorHAnsi"/>
        </w:rPr>
        <w:t xml:space="preserve"> (</w:t>
      </w:r>
      <w:r w:rsidRPr="009B6962">
        <w:rPr>
          <w:rFonts w:cstheme="minorHAnsi"/>
        </w:rPr>
        <w:t>Accessed 3 Feb. 2022</w:t>
      </w:r>
      <w:r w:rsidR="00713B07">
        <w:rPr>
          <w:rFonts w:cstheme="minorHAnsi"/>
        </w:rPr>
        <w:t>)</w:t>
      </w:r>
      <w:r w:rsidRPr="009B6962">
        <w:rPr>
          <w:rFonts w:cstheme="minorHAnsi"/>
        </w:rPr>
        <w:t>.</w:t>
      </w:r>
    </w:p>
    <w:p w14:paraId="39D6329F" w14:textId="6E0C0FBB"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(2013). Police and Criminal Evidence Act 1984 Section 19. [online] Legislation.gov.uk. Available at: </w:t>
      </w:r>
      <w:hyperlink r:id="rId29" w:history="1">
        <w:r w:rsidR="00713B07" w:rsidRPr="00713B07">
          <w:rPr>
            <w:rStyle w:val="Hyperlink"/>
            <w:rFonts w:cstheme="minorHAnsi"/>
            <w:i/>
            <w:iCs/>
          </w:rPr>
          <w:t>https://www.legislation.gov.uk/ukpga/1984/60/section/19</w:t>
        </w:r>
      </w:hyperlink>
      <w:r w:rsidR="00713B07" w:rsidRPr="00713B07">
        <w:rPr>
          <w:rFonts w:cstheme="minorHAnsi"/>
          <w:i/>
          <w:iCs/>
        </w:rPr>
        <w:t xml:space="preserve"> </w:t>
      </w:r>
      <w:r w:rsidRPr="00713B07">
        <w:rPr>
          <w:rFonts w:cstheme="minorHAnsi"/>
          <w:i/>
          <w:iCs/>
        </w:rPr>
        <w:t xml:space="preserve"> </w:t>
      </w:r>
      <w:r w:rsidR="00713B07">
        <w:rPr>
          <w:rFonts w:cstheme="minorHAnsi"/>
        </w:rPr>
        <w:t>(</w:t>
      </w:r>
      <w:r w:rsidRPr="009B6962">
        <w:rPr>
          <w:rFonts w:cstheme="minorHAnsi"/>
        </w:rPr>
        <w:t>Accessed 26 Feb. 2022</w:t>
      </w:r>
      <w:r w:rsidR="00713B07">
        <w:rPr>
          <w:rFonts w:cstheme="minorHAnsi"/>
        </w:rPr>
        <w:t>)</w:t>
      </w:r>
      <w:r w:rsidRPr="009B6962">
        <w:rPr>
          <w:rFonts w:cstheme="minorHAnsi"/>
        </w:rPr>
        <w:t>.</w:t>
      </w:r>
    </w:p>
    <w:p w14:paraId="41B51235" w14:textId="494E1649"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(2015). Forensic Science and beyond. [online] GOV.UK. Available at: </w:t>
      </w:r>
      <w:hyperlink r:id="rId30" w:history="1">
        <w:r w:rsidR="00713B07" w:rsidRPr="00713B07">
          <w:rPr>
            <w:rStyle w:val="Hyperlink"/>
            <w:rFonts w:cstheme="minorHAnsi"/>
            <w:i/>
            <w:iCs/>
          </w:rPr>
          <w:t>https://www.gov.uk/government/publications/forensic-science-and-beyond</w:t>
        </w:r>
      </w:hyperlink>
      <w:r w:rsidR="00713B07" w:rsidRPr="00713B07">
        <w:rPr>
          <w:rFonts w:cstheme="minorHAnsi"/>
          <w:i/>
          <w:iCs/>
        </w:rPr>
        <w:t xml:space="preserve"> </w:t>
      </w:r>
      <w:r w:rsidR="00713B07">
        <w:rPr>
          <w:rFonts w:cstheme="minorHAnsi"/>
        </w:rPr>
        <w:t>(</w:t>
      </w:r>
      <w:r w:rsidRPr="009B6962">
        <w:rPr>
          <w:rFonts w:cstheme="minorHAnsi"/>
        </w:rPr>
        <w:t>Accessed 1 Feb. 2022</w:t>
      </w:r>
      <w:r w:rsidR="00713B07">
        <w:rPr>
          <w:rFonts w:cstheme="minorHAnsi"/>
        </w:rPr>
        <w:t>)</w:t>
      </w:r>
      <w:r w:rsidRPr="009B6962">
        <w:rPr>
          <w:rFonts w:cstheme="minorHAnsi"/>
        </w:rPr>
        <w:t>.</w:t>
      </w:r>
    </w:p>
    <w:p w14:paraId="38E52608" w14:textId="2683672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Home Office (2021). Forensic Science Regulator Act 2021. [online] Legislation.gov.uk. Available at: </w:t>
      </w:r>
      <w:hyperlink r:id="rId31" w:history="1">
        <w:r w:rsidR="00713B07" w:rsidRPr="00713B07">
          <w:rPr>
            <w:rStyle w:val="Hyperlink"/>
            <w:rFonts w:cstheme="minorHAnsi"/>
            <w:i/>
            <w:iCs/>
          </w:rPr>
          <w:t>https://www.legislation.gov.uk/ukpga/2021/14/contents/enacte</w:t>
        </w:r>
      </w:hyperlink>
      <w:r w:rsidR="00713B07" w:rsidRPr="00713B07">
        <w:rPr>
          <w:rFonts w:cstheme="minorHAnsi"/>
          <w:i/>
          <w:iCs/>
        </w:rPr>
        <w:t xml:space="preserve"> </w:t>
      </w:r>
      <w:r w:rsidR="00713B07">
        <w:rPr>
          <w:rFonts w:cstheme="minorHAnsi"/>
        </w:rPr>
        <w:t>(</w:t>
      </w:r>
      <w:r w:rsidRPr="009B6962">
        <w:rPr>
          <w:rFonts w:cstheme="minorHAnsi"/>
        </w:rPr>
        <w:t>Accessed 3 Feb. 2022</w:t>
      </w:r>
      <w:r w:rsidR="00713B07">
        <w:rPr>
          <w:rFonts w:cstheme="minorHAnsi"/>
        </w:rPr>
        <w:t>)</w:t>
      </w:r>
      <w:r w:rsidRPr="009B6962">
        <w:rPr>
          <w:rFonts w:cstheme="minorHAnsi"/>
        </w:rPr>
        <w:t>.</w:t>
      </w:r>
    </w:p>
    <w:p w14:paraId="38B11B4D" w14:textId="081920F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Horsman G, Findlay B &amp; James T (2019) Developing a ‘router examination at scene standard operating procedure for crime scene investigators in the United Kingdom. </w:t>
      </w:r>
      <w:r w:rsidRPr="00713B07">
        <w:rPr>
          <w:rFonts w:cstheme="minorHAnsi"/>
          <w:i/>
          <w:iCs/>
        </w:rPr>
        <w:t>Digital Investigation</w:t>
      </w:r>
      <w:r w:rsidRPr="009B6962">
        <w:rPr>
          <w:rFonts w:cstheme="minorHAnsi"/>
        </w:rPr>
        <w:t>, 28, pp.152-162.</w:t>
      </w:r>
    </w:p>
    <w:p w14:paraId="7816857E" w14:textId="08DF629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House of Commons (2018) Justice Committee. </w:t>
      </w:r>
      <w:r w:rsidRPr="00713B07">
        <w:rPr>
          <w:rFonts w:cstheme="minorHAnsi"/>
          <w:i/>
          <w:iCs/>
        </w:rPr>
        <w:t>Disclosure of Evidence in Criminal Cases: Eleventh Report of Session 2017–19</w:t>
      </w:r>
      <w:r w:rsidRPr="009B6962">
        <w:rPr>
          <w:rFonts w:cstheme="minorHAnsi"/>
        </w:rPr>
        <w:t>.</w:t>
      </w:r>
    </w:p>
    <w:p w14:paraId="56C46A4A" w14:textId="0D459878" w:rsidR="00C311A2" w:rsidRPr="00713B07" w:rsidRDefault="00C311A2" w:rsidP="009B6962">
      <w:pPr>
        <w:pStyle w:val="ListParagraph"/>
        <w:numPr>
          <w:ilvl w:val="0"/>
          <w:numId w:val="1"/>
        </w:numPr>
        <w:spacing w:line="276" w:lineRule="auto"/>
        <w:rPr>
          <w:rFonts w:cstheme="minorHAnsi"/>
          <w:i/>
          <w:iCs/>
        </w:rPr>
      </w:pPr>
      <w:r w:rsidRPr="009B6962">
        <w:rPr>
          <w:rFonts w:cstheme="minorHAnsi"/>
        </w:rPr>
        <w:t xml:space="preserve">House of Commons (2019) </w:t>
      </w:r>
      <w:r w:rsidRPr="00713B07">
        <w:rPr>
          <w:rFonts w:cstheme="minorHAnsi"/>
          <w:i/>
          <w:iCs/>
        </w:rPr>
        <w:t>Disclosure of Evidence in Criminal Cases: Eleventh Report of Session 2018–19.</w:t>
      </w:r>
    </w:p>
    <w:p w14:paraId="3AA6015A" w14:textId="4020E335"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House of Commons (2021). Commons Select Committee. [online] Available at: </w:t>
      </w:r>
      <w:hyperlink r:id="rId32" w:history="1">
        <w:r w:rsidR="00713B07" w:rsidRPr="00713B07">
          <w:rPr>
            <w:rStyle w:val="Hyperlink"/>
            <w:rFonts w:cstheme="minorHAnsi"/>
            <w:i/>
            <w:iCs/>
          </w:rPr>
          <w:t>https://committees.parliament.uk/committee/135/science-and-technology-committee/</w:t>
        </w:r>
      </w:hyperlink>
      <w:r w:rsidR="00713B07" w:rsidRPr="00713B07">
        <w:rPr>
          <w:rFonts w:cstheme="minorHAnsi"/>
          <w:i/>
          <w:iCs/>
        </w:rPr>
        <w:t xml:space="preserve"> </w:t>
      </w:r>
      <w:r w:rsidRPr="00713B07">
        <w:rPr>
          <w:rFonts w:cstheme="minorHAnsi"/>
          <w:i/>
          <w:iCs/>
        </w:rPr>
        <w:t xml:space="preserve"> </w:t>
      </w:r>
      <w:r w:rsidR="00713B07">
        <w:rPr>
          <w:rFonts w:cstheme="minorHAnsi"/>
        </w:rPr>
        <w:t>(</w:t>
      </w:r>
      <w:r w:rsidRPr="009B6962">
        <w:rPr>
          <w:rFonts w:cstheme="minorHAnsi"/>
        </w:rPr>
        <w:t>Accessed 3 Feb. 2022</w:t>
      </w:r>
      <w:r w:rsidR="00713B07">
        <w:rPr>
          <w:rFonts w:cstheme="minorHAnsi"/>
        </w:rPr>
        <w:t>)</w:t>
      </w:r>
      <w:r w:rsidRPr="009B6962">
        <w:rPr>
          <w:rFonts w:cstheme="minorHAnsi"/>
        </w:rPr>
        <w:t>.</w:t>
      </w:r>
    </w:p>
    <w:p w14:paraId="35344FD5" w14:textId="2BE579E8"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House of Lords (2019). Forensic Science and the Criminal Justice system: a Blueprint for Change. [online] Available at: </w:t>
      </w:r>
      <w:hyperlink r:id="rId33" w:history="1">
        <w:r w:rsidR="00713B07" w:rsidRPr="00713B07">
          <w:rPr>
            <w:rStyle w:val="Hyperlink"/>
            <w:rFonts w:cstheme="minorHAnsi"/>
            <w:i/>
            <w:iCs/>
          </w:rPr>
          <w:t>https://publications.parliament.uk/pa/ld201719/ldselect/ldsctech/333/333.pdf</w:t>
        </w:r>
      </w:hyperlink>
      <w:r w:rsidR="00713B07">
        <w:rPr>
          <w:rFonts w:cstheme="minorHAnsi"/>
        </w:rPr>
        <w:t xml:space="preserve"> (</w:t>
      </w:r>
      <w:r w:rsidRPr="009B6962">
        <w:rPr>
          <w:rFonts w:cstheme="minorHAnsi"/>
        </w:rPr>
        <w:t>Accessed 1 Feb. 2022</w:t>
      </w:r>
      <w:r w:rsidR="00713B07">
        <w:rPr>
          <w:rFonts w:cstheme="minorHAnsi"/>
        </w:rPr>
        <w:t>)</w:t>
      </w:r>
      <w:r w:rsidRPr="009B6962">
        <w:rPr>
          <w:rFonts w:cstheme="minorHAnsi"/>
        </w:rPr>
        <w:t>.</w:t>
      </w:r>
    </w:p>
    <w:p w14:paraId="73AB7D25" w14:textId="58C21528"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House of Lords (2019). Forensic Science and the Criminal Justice system: a Blueprint for Change. [online] Available at: </w:t>
      </w:r>
      <w:hyperlink r:id="rId34" w:history="1">
        <w:r w:rsidR="00713B07" w:rsidRPr="00713B07">
          <w:rPr>
            <w:rStyle w:val="Hyperlink"/>
            <w:rFonts w:cstheme="minorHAnsi"/>
            <w:i/>
            <w:iCs/>
          </w:rPr>
          <w:t>https://publications.parliament.uk/pa/ld201719/ldselect/ldsctech/333/333.pdf</w:t>
        </w:r>
      </w:hyperlink>
      <w:r w:rsidR="00713B07" w:rsidRPr="00713B07">
        <w:rPr>
          <w:rFonts w:cstheme="minorHAnsi"/>
          <w:i/>
          <w:iCs/>
        </w:rPr>
        <w:t xml:space="preserve"> </w:t>
      </w:r>
      <w:r w:rsidR="00713B07">
        <w:rPr>
          <w:rFonts w:cstheme="minorHAnsi"/>
        </w:rPr>
        <w:t>(</w:t>
      </w:r>
      <w:r w:rsidRPr="009B6962">
        <w:rPr>
          <w:rFonts w:cstheme="minorHAnsi"/>
        </w:rPr>
        <w:t>Accessed 1 Feb. 2022</w:t>
      </w:r>
      <w:r w:rsidR="00713B07">
        <w:rPr>
          <w:rFonts w:cstheme="minorHAnsi"/>
        </w:rPr>
        <w:t>)</w:t>
      </w:r>
      <w:r w:rsidRPr="009B6962">
        <w:rPr>
          <w:rFonts w:cstheme="minorHAnsi"/>
        </w:rPr>
        <w:t>.</w:t>
      </w:r>
    </w:p>
    <w:p w14:paraId="5EE5ACF8" w14:textId="3AF2B93D"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House of Lords (2021). Forensic Science Regulator Bill. lordslibrary.parliament.uk. [online] Available at: </w:t>
      </w:r>
      <w:hyperlink r:id="rId35" w:history="1">
        <w:r w:rsidR="00713B07" w:rsidRPr="00713B07">
          <w:rPr>
            <w:rStyle w:val="Hyperlink"/>
            <w:rFonts w:cstheme="minorHAnsi"/>
            <w:i/>
            <w:iCs/>
          </w:rPr>
          <w:t>https://lordslibrary.parliament.uk/forensic-science-regulator-bill/</w:t>
        </w:r>
      </w:hyperlink>
      <w:r w:rsidR="00713B07" w:rsidRPr="00713B07">
        <w:rPr>
          <w:rFonts w:cstheme="minorHAnsi"/>
          <w:i/>
          <w:iCs/>
        </w:rPr>
        <w:t xml:space="preserve"> </w:t>
      </w:r>
      <w:r w:rsidR="00713B07">
        <w:rPr>
          <w:rFonts w:cstheme="minorHAnsi"/>
        </w:rPr>
        <w:t>(</w:t>
      </w:r>
      <w:r w:rsidRPr="009B6962">
        <w:rPr>
          <w:rFonts w:cstheme="minorHAnsi"/>
        </w:rPr>
        <w:t>Accessed 3 Feb. 2022</w:t>
      </w:r>
      <w:r w:rsidR="00713B07">
        <w:rPr>
          <w:rFonts w:cstheme="minorHAnsi"/>
        </w:rPr>
        <w:t>)</w:t>
      </w:r>
      <w:r w:rsidRPr="009B6962">
        <w:rPr>
          <w:rFonts w:cstheme="minorHAnsi"/>
        </w:rPr>
        <w:t>.</w:t>
      </w:r>
    </w:p>
    <w:p w14:paraId="5142CCCB" w14:textId="2C72F113"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Inman, K and Rudin, N (2002) The origin of evidence. </w:t>
      </w:r>
      <w:r w:rsidRPr="00713B07">
        <w:rPr>
          <w:rFonts w:cstheme="minorHAnsi"/>
          <w:i/>
          <w:iCs/>
        </w:rPr>
        <w:t>Forensic science international</w:t>
      </w:r>
      <w:r w:rsidRPr="009B6962">
        <w:rPr>
          <w:rFonts w:cstheme="minorHAnsi"/>
        </w:rPr>
        <w:t>, 126(1), pp.11-16.</w:t>
      </w:r>
    </w:p>
    <w:p w14:paraId="3ADC49FF" w14:textId="3A917BEF"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Jones, D. (2020). Forensic Science Regulator Act 2021 Contributions. [online] www.parallelparliament.co.uk. Available at: </w:t>
      </w:r>
      <w:hyperlink r:id="rId36" w:history="1">
        <w:r w:rsidR="00713B07" w:rsidRPr="00713B07">
          <w:rPr>
            <w:rStyle w:val="Hyperlink"/>
            <w:rFonts w:cstheme="minorHAnsi"/>
            <w:i/>
            <w:iCs/>
          </w:rPr>
          <w:t>https://www.parallelparliament.co.uk/mp/kit-malthouse/bill/2019-21/forensicscienceregulato</w:t>
        </w:r>
        <w:r w:rsidR="00713B07" w:rsidRPr="00713B07">
          <w:rPr>
            <w:rStyle w:val="Hyperlink"/>
            <w:rFonts w:cstheme="minorHAnsi"/>
            <w:i/>
            <w:iCs/>
          </w:rPr>
          <w:t>r</w:t>
        </w:r>
      </w:hyperlink>
      <w:r w:rsidR="00713B07">
        <w:rPr>
          <w:rFonts w:cstheme="minorHAnsi"/>
        </w:rPr>
        <w:t xml:space="preserve"> (</w:t>
      </w:r>
      <w:r w:rsidRPr="009B6962">
        <w:rPr>
          <w:rFonts w:cstheme="minorHAnsi"/>
        </w:rPr>
        <w:t>Accessed 3 Feb. 2022</w:t>
      </w:r>
      <w:r w:rsidR="00713B07">
        <w:rPr>
          <w:rFonts w:cstheme="minorHAnsi"/>
        </w:rPr>
        <w:t>)</w:t>
      </w:r>
      <w:r w:rsidRPr="009B6962">
        <w:rPr>
          <w:rFonts w:cstheme="minorHAnsi"/>
        </w:rPr>
        <w:t>.</w:t>
      </w:r>
    </w:p>
    <w:p w14:paraId="6178D465" w14:textId="286F5DBD"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Jones, N. (2018). Disclosure of Unused Material - a Cause for Training. [online] Sancus Solutions. Available at: </w:t>
      </w:r>
      <w:hyperlink r:id="rId37" w:history="1">
        <w:r w:rsidR="00713B07" w:rsidRPr="00713B07">
          <w:rPr>
            <w:rStyle w:val="Hyperlink"/>
            <w:rFonts w:cstheme="minorHAnsi"/>
            <w:i/>
            <w:iCs/>
          </w:rPr>
          <w:t>https://www.sancussolutions.co.uk/news/disclosure-of-unused-material-cpia-training/</w:t>
        </w:r>
      </w:hyperlink>
      <w:r w:rsidR="00713B07">
        <w:rPr>
          <w:rFonts w:cstheme="minorHAnsi"/>
        </w:rPr>
        <w:t xml:space="preserve"> (</w:t>
      </w:r>
      <w:r w:rsidRPr="009B6962">
        <w:rPr>
          <w:rFonts w:cstheme="minorHAnsi"/>
        </w:rPr>
        <w:t>Accessed 26 Feb. 2022</w:t>
      </w:r>
      <w:r w:rsidR="00713B07">
        <w:rPr>
          <w:rFonts w:cstheme="minorHAnsi"/>
        </w:rPr>
        <w:t>)</w:t>
      </w:r>
      <w:r w:rsidRPr="009B6962">
        <w:rPr>
          <w:rFonts w:cstheme="minorHAnsi"/>
        </w:rPr>
        <w:t>.</w:t>
      </w:r>
    </w:p>
    <w:p w14:paraId="07047154" w14:textId="0004E542" w:rsidR="00C311A2" w:rsidRPr="009B6962" w:rsidRDefault="00C311A2" w:rsidP="009B6962">
      <w:pPr>
        <w:pStyle w:val="ListParagraph"/>
        <w:numPr>
          <w:ilvl w:val="0"/>
          <w:numId w:val="1"/>
        </w:numPr>
        <w:spacing w:line="276" w:lineRule="auto"/>
        <w:rPr>
          <w:rFonts w:cstheme="minorHAnsi"/>
        </w:rPr>
      </w:pPr>
      <w:r w:rsidRPr="009B6962">
        <w:rPr>
          <w:rFonts w:cstheme="minorHAnsi"/>
        </w:rPr>
        <w:lastRenderedPageBreak/>
        <w:t xml:space="preserve">Judiciary England and Wales (2015). The Lord Chief Justice’s Report 2015. [online] Available at: </w:t>
      </w:r>
      <w:hyperlink r:id="rId38" w:history="1">
        <w:r w:rsidR="00713B07" w:rsidRPr="00713B07">
          <w:rPr>
            <w:rStyle w:val="Hyperlink"/>
            <w:rFonts w:cstheme="minorHAnsi"/>
            <w:i/>
            <w:iCs/>
          </w:rPr>
          <w:t>https://www.judiciary.uk/wp-content/uploads/2016/01/lcj_report_2015-final.pd</w:t>
        </w:r>
        <w:r w:rsidR="00713B07" w:rsidRPr="00713B07">
          <w:rPr>
            <w:rStyle w:val="Hyperlink"/>
            <w:rFonts w:cstheme="minorHAnsi"/>
            <w:i/>
            <w:iCs/>
          </w:rPr>
          <w:t>f</w:t>
        </w:r>
      </w:hyperlink>
      <w:r w:rsidR="00713B07" w:rsidRPr="00713B07">
        <w:rPr>
          <w:rFonts w:cstheme="minorHAnsi"/>
          <w:i/>
          <w:iCs/>
        </w:rPr>
        <w:t xml:space="preserve"> </w:t>
      </w:r>
      <w:r w:rsidRPr="00713B07">
        <w:rPr>
          <w:rFonts w:cstheme="minorHAnsi"/>
          <w:i/>
          <w:iCs/>
        </w:rPr>
        <w:t xml:space="preserve"> </w:t>
      </w:r>
      <w:r w:rsidR="00713B07">
        <w:rPr>
          <w:rFonts w:cstheme="minorHAnsi"/>
        </w:rPr>
        <w:t>(</w:t>
      </w:r>
      <w:r w:rsidRPr="009B6962">
        <w:rPr>
          <w:rFonts w:cstheme="minorHAnsi"/>
        </w:rPr>
        <w:t>Accessed 3 Feb. 2022</w:t>
      </w:r>
      <w:r w:rsidR="00713B07">
        <w:rPr>
          <w:rFonts w:cstheme="minorHAnsi"/>
        </w:rPr>
        <w:t>)</w:t>
      </w:r>
      <w:r w:rsidRPr="009B6962">
        <w:rPr>
          <w:rFonts w:cstheme="minorHAnsi"/>
        </w:rPr>
        <w:t>.</w:t>
      </w:r>
    </w:p>
    <w:p w14:paraId="4CDD230C" w14:textId="1DDE4ECE"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Kirk, P (1953) </w:t>
      </w:r>
      <w:r w:rsidRPr="00713B07">
        <w:rPr>
          <w:rFonts w:cstheme="minorHAnsi"/>
          <w:i/>
          <w:iCs/>
        </w:rPr>
        <w:t>Crime investigation; physical evidence and the police laboratory</w:t>
      </w:r>
      <w:r w:rsidRPr="009B6962">
        <w:rPr>
          <w:rFonts w:cstheme="minorHAnsi"/>
        </w:rPr>
        <w:t xml:space="preserve">. New York. </w:t>
      </w:r>
    </w:p>
    <w:p w14:paraId="58C3D9B2" w14:textId="0CC91A5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Law Commission (2011) </w:t>
      </w:r>
      <w:r w:rsidRPr="00713B07">
        <w:rPr>
          <w:rFonts w:cstheme="minorHAnsi"/>
          <w:i/>
          <w:iCs/>
        </w:rPr>
        <w:t>The forty-fifth annual report of the Law Commission</w:t>
      </w:r>
      <w:r w:rsidRPr="009B6962">
        <w:rPr>
          <w:rFonts w:cstheme="minorHAnsi"/>
        </w:rPr>
        <w:t>. London: Law Commission.</w:t>
      </w:r>
    </w:p>
    <w:p w14:paraId="0568C067" w14:textId="15CFA382"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Lehman, D. (2012). Introduction to Forensic Science. </w:t>
      </w:r>
      <w:r w:rsidRPr="00713B07">
        <w:rPr>
          <w:rFonts w:cstheme="minorHAnsi"/>
          <w:i/>
          <w:iCs/>
        </w:rPr>
        <w:t>American Society for Clinical Laboratory Science</w:t>
      </w:r>
      <w:r w:rsidRPr="009B6962">
        <w:rPr>
          <w:rFonts w:cstheme="minorHAnsi"/>
        </w:rPr>
        <w:t>, 25(2), pp.107–108.</w:t>
      </w:r>
    </w:p>
    <w:p w14:paraId="76893BD3" w14:textId="39E1830A"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Liberty (2021). The Human Rights Act. [online] Liberty. Available at: </w:t>
      </w:r>
      <w:hyperlink r:id="rId39" w:history="1">
        <w:r w:rsidR="00713B07" w:rsidRPr="00713B07">
          <w:rPr>
            <w:rStyle w:val="Hyperlink"/>
            <w:rFonts w:cstheme="minorHAnsi"/>
            <w:i/>
            <w:iCs/>
          </w:rPr>
          <w:t>https://www.libertyhumanrights.org.uk/your-rights/the-human-rights-act/</w:t>
        </w:r>
      </w:hyperlink>
      <w:r w:rsidR="00713B07">
        <w:rPr>
          <w:rFonts w:cstheme="minorHAnsi"/>
        </w:rPr>
        <w:t xml:space="preserve"> (</w:t>
      </w:r>
      <w:r w:rsidRPr="009B6962">
        <w:rPr>
          <w:rFonts w:cstheme="minorHAnsi"/>
        </w:rPr>
        <w:t>Accessed 31 Jan. 2022</w:t>
      </w:r>
      <w:r w:rsidR="00713B07">
        <w:rPr>
          <w:rFonts w:cstheme="minorHAnsi"/>
        </w:rPr>
        <w:t>)</w:t>
      </w:r>
      <w:r w:rsidRPr="009B6962">
        <w:rPr>
          <w:rFonts w:cstheme="minorHAnsi"/>
        </w:rPr>
        <w:t>.</w:t>
      </w:r>
    </w:p>
    <w:p w14:paraId="01E313C6" w14:textId="4724B2DA"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Liu, T., Chen, W., Liu, C.H. and Fu, X. (2012). Benefits and Costs of Uniqueness in Multiple Object tracking: the Role of Object Complexity. </w:t>
      </w:r>
      <w:r w:rsidRPr="00713B07">
        <w:rPr>
          <w:rFonts w:cstheme="minorHAnsi"/>
          <w:i/>
          <w:iCs/>
        </w:rPr>
        <w:t>Vision Research</w:t>
      </w:r>
      <w:r w:rsidRPr="009B6962">
        <w:rPr>
          <w:rFonts w:cstheme="minorHAnsi"/>
        </w:rPr>
        <w:t>, 66, pp.31–38.</w:t>
      </w:r>
    </w:p>
    <w:p w14:paraId="1161B028" w14:textId="3BFEF2E4"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Locard, E (1920) </w:t>
      </w:r>
      <w:r w:rsidRPr="00713B07">
        <w:rPr>
          <w:rFonts w:cstheme="minorHAnsi"/>
          <w:i/>
          <w:iCs/>
        </w:rPr>
        <w:t>The Criminal Investigation and Scientific Methods</w:t>
      </w:r>
      <w:r w:rsidRPr="009B6962">
        <w:rPr>
          <w:rFonts w:cstheme="minorHAnsi"/>
        </w:rPr>
        <w:t>, Paris.</w:t>
      </w:r>
    </w:p>
    <w:p w14:paraId="4CF52C3E" w14:textId="7321EEC8" w:rsidR="00C311A2" w:rsidRPr="009B6962" w:rsidRDefault="00C311A2" w:rsidP="009B6962">
      <w:pPr>
        <w:pStyle w:val="ListParagraph"/>
        <w:numPr>
          <w:ilvl w:val="0"/>
          <w:numId w:val="1"/>
        </w:numPr>
        <w:spacing w:line="276" w:lineRule="auto"/>
        <w:rPr>
          <w:rFonts w:cstheme="minorHAnsi"/>
        </w:rPr>
      </w:pPr>
      <w:r w:rsidRPr="009B6962">
        <w:rPr>
          <w:rFonts w:cstheme="minorHAnsi"/>
        </w:rPr>
        <w:t>Mayers, C (1788</w:t>
      </w:r>
      <w:r w:rsidRPr="00713B07">
        <w:rPr>
          <w:rFonts w:cstheme="minorHAnsi"/>
          <w:i/>
          <w:iCs/>
        </w:rPr>
        <w:t xml:space="preserve">) Anatomical </w:t>
      </w:r>
      <w:proofErr w:type="gramStart"/>
      <w:r w:rsidRPr="00713B07">
        <w:rPr>
          <w:rFonts w:cstheme="minorHAnsi"/>
          <w:i/>
          <w:iCs/>
        </w:rPr>
        <w:t>Copper-plates</w:t>
      </w:r>
      <w:proofErr w:type="gramEnd"/>
      <w:r w:rsidRPr="00713B07">
        <w:rPr>
          <w:rFonts w:cstheme="minorHAnsi"/>
          <w:i/>
          <w:iCs/>
        </w:rPr>
        <w:t xml:space="preserve"> with Appropriate Explanations</w:t>
      </w:r>
      <w:r w:rsidRPr="009B6962">
        <w:rPr>
          <w:rFonts w:cstheme="minorHAnsi"/>
        </w:rPr>
        <w:t>.</w:t>
      </w:r>
    </w:p>
    <w:p w14:paraId="7CD868B2" w14:textId="2214B5E7"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McCartney, C. (2006). </w:t>
      </w:r>
      <w:r w:rsidRPr="00713B07">
        <w:rPr>
          <w:rFonts w:cstheme="minorHAnsi"/>
          <w:i/>
          <w:iCs/>
        </w:rPr>
        <w:t>Forensic Identification and Criminal Justice</w:t>
      </w:r>
      <w:r w:rsidRPr="009B6962">
        <w:rPr>
          <w:rFonts w:cstheme="minorHAnsi"/>
        </w:rPr>
        <w:t>. Devon: Willian Publishing, pp.68–209.</w:t>
      </w:r>
    </w:p>
    <w:p w14:paraId="3EDCB9E1" w14:textId="7A51B958"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Miller, M. (2000). Crime Scene Investigation. [online] Available at: </w:t>
      </w:r>
      <w:hyperlink r:id="rId40" w:history="1">
        <w:r w:rsidR="00713B07" w:rsidRPr="00713B07">
          <w:rPr>
            <w:rStyle w:val="Hyperlink"/>
            <w:rFonts w:cstheme="minorHAnsi"/>
            <w:i/>
            <w:iCs/>
          </w:rPr>
          <w:t>https://www.cbsd.org/cms/lib07/PA01916442/Centricity/Domain/1908/CSI%20Text%20Marilyn%20Miller.pdf</w:t>
        </w:r>
      </w:hyperlink>
      <w:r w:rsidR="00713B07">
        <w:rPr>
          <w:rFonts w:cstheme="minorHAnsi"/>
        </w:rPr>
        <w:t xml:space="preserve"> (</w:t>
      </w:r>
      <w:r w:rsidRPr="009B6962">
        <w:rPr>
          <w:rFonts w:cstheme="minorHAnsi"/>
        </w:rPr>
        <w:t>Accessed 1 Feb. 2022</w:t>
      </w:r>
      <w:r w:rsidR="00713B07">
        <w:rPr>
          <w:rFonts w:cstheme="minorHAnsi"/>
        </w:rPr>
        <w:t>)</w:t>
      </w:r>
      <w:r w:rsidRPr="009B6962">
        <w:rPr>
          <w:rFonts w:cstheme="minorHAnsi"/>
        </w:rPr>
        <w:t>.</w:t>
      </w:r>
    </w:p>
    <w:p w14:paraId="39F79EA3" w14:textId="75769C71"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Morgan, M. and Levin, A. (2019). A Crisis for the Future of Forensic science: Lessons from the UK of the Importance of Epistemology for Funding Research and Development. </w:t>
      </w:r>
      <w:r w:rsidRPr="00713B07">
        <w:rPr>
          <w:rFonts w:cstheme="minorHAnsi"/>
          <w:i/>
          <w:iCs/>
        </w:rPr>
        <w:t>Forensic Science International</w:t>
      </w:r>
      <w:r w:rsidRPr="009B6962">
        <w:rPr>
          <w:rFonts w:cstheme="minorHAnsi"/>
        </w:rPr>
        <w:t>: Synergy, 1, pp.243–252.</w:t>
      </w:r>
    </w:p>
    <w:p w14:paraId="36CA1186" w14:textId="5E4E522F"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Morgan, R. (2019). </w:t>
      </w:r>
      <w:r w:rsidRPr="00713B07">
        <w:rPr>
          <w:rFonts w:cstheme="minorHAnsi"/>
          <w:i/>
          <w:iCs/>
        </w:rPr>
        <w:t>Forensic science. the Importance of Identity in Theory and Practice. Forensic Science International</w:t>
      </w:r>
      <w:r w:rsidRPr="009B6962">
        <w:rPr>
          <w:rFonts w:cstheme="minorHAnsi"/>
        </w:rPr>
        <w:t>: Synergy, 1, pp.239–242.</w:t>
      </w:r>
    </w:p>
    <w:p w14:paraId="3AB99956" w14:textId="49176776"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National Crime Agency (2019). Cyber Crime - National Crime Agency. [online] Nationalcrimeagency.gov.uk. Available at: </w:t>
      </w:r>
      <w:hyperlink r:id="rId41" w:history="1">
        <w:r w:rsidR="00713B07" w:rsidRPr="00713B07">
          <w:rPr>
            <w:rStyle w:val="Hyperlink"/>
            <w:rFonts w:cstheme="minorHAnsi"/>
            <w:i/>
            <w:iCs/>
          </w:rPr>
          <w:t>https://www.nationalcrimeagency.gov.uk/what-we-do/crime-threats/cyber-crime</w:t>
        </w:r>
      </w:hyperlink>
      <w:r w:rsidR="00713B07">
        <w:rPr>
          <w:rFonts w:cstheme="minorHAnsi"/>
        </w:rPr>
        <w:t xml:space="preserve"> (</w:t>
      </w:r>
      <w:r w:rsidRPr="009B6962">
        <w:rPr>
          <w:rFonts w:cstheme="minorHAnsi"/>
        </w:rPr>
        <w:t>Accessed 1 Feb. 2022</w:t>
      </w:r>
      <w:r w:rsidR="00713B07">
        <w:rPr>
          <w:rFonts w:cstheme="minorHAnsi"/>
        </w:rPr>
        <w:t>)</w:t>
      </w:r>
      <w:r w:rsidRPr="009B6962">
        <w:rPr>
          <w:rFonts w:cstheme="minorHAnsi"/>
        </w:rPr>
        <w:t>.</w:t>
      </w:r>
    </w:p>
    <w:p w14:paraId="0BBEA872" w14:textId="205BF75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National Research Council (2009) </w:t>
      </w:r>
      <w:r w:rsidRPr="00713B07">
        <w:rPr>
          <w:rFonts w:cstheme="minorHAnsi"/>
          <w:i/>
          <w:iCs/>
        </w:rPr>
        <w:t>Strengthening forensic science in the United States: a path forward.</w:t>
      </w:r>
      <w:r w:rsidRPr="009B6962">
        <w:rPr>
          <w:rFonts w:cstheme="minorHAnsi"/>
        </w:rPr>
        <w:t xml:space="preserve"> National Academies Press.</w:t>
      </w:r>
    </w:p>
    <w:p w14:paraId="32175BC3" w14:textId="3AAA0B40" w:rsidR="00C311A2" w:rsidRPr="009B6962" w:rsidRDefault="00C311A2" w:rsidP="009B6962">
      <w:pPr>
        <w:pStyle w:val="ListParagraph"/>
        <w:numPr>
          <w:ilvl w:val="0"/>
          <w:numId w:val="1"/>
        </w:numPr>
        <w:spacing w:line="276" w:lineRule="auto"/>
        <w:rPr>
          <w:rFonts w:cstheme="minorHAnsi"/>
        </w:rPr>
      </w:pPr>
      <w:r w:rsidRPr="009B6962">
        <w:rPr>
          <w:rFonts w:cstheme="minorHAnsi"/>
        </w:rPr>
        <w:t>Nowland, J (2008) The effect of national governance codes on firm disclosure practices: Evidence from analyst earnings forecasts</w:t>
      </w:r>
      <w:r w:rsidRPr="00713B07">
        <w:rPr>
          <w:rFonts w:cstheme="minorHAnsi"/>
          <w:i/>
          <w:iCs/>
        </w:rPr>
        <w:t>. Corporate Governance: An International Review,</w:t>
      </w:r>
      <w:r w:rsidRPr="009B6962">
        <w:rPr>
          <w:rFonts w:cstheme="minorHAnsi"/>
        </w:rPr>
        <w:t xml:space="preserve"> 16(6), pp.475-491.</w:t>
      </w:r>
    </w:p>
    <w:p w14:paraId="2DB27821" w14:textId="255A5B56" w:rsidR="00C311A2" w:rsidRPr="009B6962" w:rsidRDefault="00C311A2" w:rsidP="009B6962">
      <w:pPr>
        <w:pStyle w:val="ListParagraph"/>
        <w:numPr>
          <w:ilvl w:val="0"/>
          <w:numId w:val="1"/>
        </w:numPr>
        <w:spacing w:line="276" w:lineRule="auto"/>
        <w:rPr>
          <w:rFonts w:cstheme="minorHAnsi"/>
        </w:rPr>
      </w:pPr>
      <w:r w:rsidRPr="009B6962">
        <w:rPr>
          <w:rFonts w:cstheme="minorHAnsi"/>
        </w:rPr>
        <w:t>Office of Justice Programme (2005). First Officer’s Duties at the Homicide Scene | Office of Justice Programs. [online] www.ojp.gov. Available at:</w:t>
      </w:r>
      <w:r w:rsidRPr="00713B07">
        <w:rPr>
          <w:rFonts w:cstheme="minorHAnsi"/>
          <w:i/>
          <w:iCs/>
        </w:rPr>
        <w:t xml:space="preserve"> </w:t>
      </w:r>
      <w:hyperlink r:id="rId42" w:history="1">
        <w:r w:rsidR="00713B07" w:rsidRPr="00713B07">
          <w:rPr>
            <w:rStyle w:val="Hyperlink"/>
            <w:rFonts w:cstheme="minorHAnsi"/>
            <w:i/>
            <w:iCs/>
          </w:rPr>
          <w:t>https://www.ojp.gov/ncjrs/virtual-library/abstracts/first-officers-duties-homicide-scene</w:t>
        </w:r>
      </w:hyperlink>
      <w:r w:rsidR="00713B07" w:rsidRPr="00713B07">
        <w:rPr>
          <w:rFonts w:cstheme="minorHAnsi"/>
          <w:i/>
          <w:iCs/>
        </w:rPr>
        <w:t xml:space="preserve"> </w:t>
      </w:r>
      <w:r w:rsidR="00713B07">
        <w:rPr>
          <w:rFonts w:cstheme="minorHAnsi"/>
        </w:rPr>
        <w:t>(</w:t>
      </w:r>
      <w:r w:rsidRPr="009B6962">
        <w:rPr>
          <w:rFonts w:cstheme="minorHAnsi"/>
        </w:rPr>
        <w:t>Accessed 27 Jan. 2022</w:t>
      </w:r>
      <w:r w:rsidR="00713B07">
        <w:rPr>
          <w:rFonts w:cstheme="minorHAnsi"/>
        </w:rPr>
        <w:t>)</w:t>
      </w:r>
      <w:r w:rsidRPr="009B6962">
        <w:rPr>
          <w:rFonts w:cstheme="minorHAnsi"/>
        </w:rPr>
        <w:t>.</w:t>
      </w:r>
    </w:p>
    <w:p w14:paraId="3D69F120" w14:textId="47040E9E"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Organisation of Scientific Area (2021). Trace Materials Crime Scene Investigation Guide Draft Document. [online] Available at: </w:t>
      </w:r>
      <w:hyperlink r:id="rId43" w:history="1">
        <w:r w:rsidR="00713B07" w:rsidRPr="00713B07">
          <w:rPr>
            <w:rStyle w:val="Hyperlink"/>
            <w:rFonts w:cstheme="minorHAnsi"/>
            <w:i/>
            <w:iCs/>
          </w:rPr>
          <w:t>https://www.nist.gov/system/files/documents/2020/08/26/CSI_Guide_07302020_ForPublication.pdf</w:t>
        </w:r>
      </w:hyperlink>
      <w:r w:rsidR="00713B07">
        <w:rPr>
          <w:rFonts w:cstheme="minorHAnsi"/>
        </w:rPr>
        <w:t xml:space="preserve"> (</w:t>
      </w:r>
      <w:r w:rsidRPr="009B6962">
        <w:rPr>
          <w:rFonts w:cstheme="minorHAnsi"/>
        </w:rPr>
        <w:t>Accessed 26 Feb. 2022</w:t>
      </w:r>
      <w:r w:rsidR="00713B07">
        <w:rPr>
          <w:rFonts w:cstheme="minorHAnsi"/>
        </w:rPr>
        <w:t>)</w:t>
      </w:r>
      <w:r w:rsidRPr="009B6962">
        <w:rPr>
          <w:rFonts w:cstheme="minorHAnsi"/>
        </w:rPr>
        <w:t>.</w:t>
      </w:r>
    </w:p>
    <w:p w14:paraId="49CDF72F" w14:textId="090FD9F7"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Page M, Taylor J and Blenkin M (2011) Uniqueness in the forensic identification sciences—fact or </w:t>
      </w:r>
      <w:proofErr w:type="gramStart"/>
      <w:r w:rsidRPr="009B6962">
        <w:rPr>
          <w:rFonts w:cstheme="minorHAnsi"/>
        </w:rPr>
        <w:t>fiction?.</w:t>
      </w:r>
      <w:proofErr w:type="gramEnd"/>
      <w:r w:rsidRPr="009B6962">
        <w:rPr>
          <w:rFonts w:cstheme="minorHAnsi"/>
        </w:rPr>
        <w:t xml:space="preserve"> </w:t>
      </w:r>
      <w:r w:rsidRPr="00713B07">
        <w:rPr>
          <w:rFonts w:cstheme="minorHAnsi"/>
          <w:i/>
          <w:iCs/>
        </w:rPr>
        <w:t>Forensic science international</w:t>
      </w:r>
      <w:r w:rsidRPr="009B6962">
        <w:rPr>
          <w:rFonts w:cstheme="minorHAnsi"/>
        </w:rPr>
        <w:t>, 206(1-3), pp.12-18.</w:t>
      </w:r>
    </w:p>
    <w:p w14:paraId="2F1773E8" w14:textId="6530273F"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Pan K, Chen J &amp; Kafadar K (2020) Forensic Glass Evidence. </w:t>
      </w:r>
      <w:r w:rsidRPr="00713B07">
        <w:rPr>
          <w:rFonts w:cstheme="minorHAnsi"/>
          <w:i/>
          <w:iCs/>
        </w:rPr>
        <w:t>In Handbook of Forensic Statistics</w:t>
      </w:r>
      <w:r w:rsidRPr="009B6962">
        <w:rPr>
          <w:rFonts w:cstheme="minorHAnsi"/>
        </w:rPr>
        <w:t>. Chapman and Hall.</w:t>
      </w:r>
      <w:r w:rsidR="00713B07" w:rsidRPr="00713B07">
        <w:t xml:space="preserve"> </w:t>
      </w:r>
      <w:r w:rsidR="00713B07" w:rsidRPr="00713B07">
        <w:rPr>
          <w:rFonts w:cstheme="minorHAnsi"/>
        </w:rPr>
        <w:t>pp. 411-442</w:t>
      </w:r>
      <w:r w:rsidR="00713B07">
        <w:rPr>
          <w:rFonts w:cstheme="minorHAnsi"/>
        </w:rPr>
        <w:t xml:space="preserve">. </w:t>
      </w:r>
    </w:p>
    <w:p w14:paraId="2202B4DE" w14:textId="10D5D1A8" w:rsidR="00C311A2" w:rsidRPr="009B6962" w:rsidRDefault="00C311A2" w:rsidP="009B6962">
      <w:pPr>
        <w:pStyle w:val="ListParagraph"/>
        <w:numPr>
          <w:ilvl w:val="0"/>
          <w:numId w:val="1"/>
        </w:numPr>
        <w:spacing w:line="276" w:lineRule="auto"/>
        <w:rPr>
          <w:rFonts w:cstheme="minorHAnsi"/>
        </w:rPr>
      </w:pPr>
      <w:r w:rsidRPr="009B6962">
        <w:rPr>
          <w:rFonts w:cstheme="minorHAnsi"/>
        </w:rPr>
        <w:lastRenderedPageBreak/>
        <w:t xml:space="preserve">Perkins, S. (2022). How Technology Has Changed Crime. [online] Available at: </w:t>
      </w:r>
      <w:hyperlink r:id="rId44" w:history="1">
        <w:r w:rsidR="00713B07" w:rsidRPr="00713B07">
          <w:rPr>
            <w:rStyle w:val="Hyperlink"/>
            <w:rFonts w:cstheme="minorHAnsi"/>
            <w:i/>
            <w:iCs/>
          </w:rPr>
          <w:t>https://study.com/academy/lesson/how-technology-has-changed-crime.html</w:t>
        </w:r>
      </w:hyperlink>
      <w:r w:rsidR="00713B07">
        <w:rPr>
          <w:rFonts w:cstheme="minorHAnsi"/>
        </w:rPr>
        <w:t xml:space="preserve"> (</w:t>
      </w:r>
      <w:r w:rsidRPr="009B6962">
        <w:rPr>
          <w:rFonts w:cstheme="minorHAnsi"/>
        </w:rPr>
        <w:t>Accessed 1 Feb. 2022</w:t>
      </w:r>
      <w:r w:rsidR="00713B07">
        <w:rPr>
          <w:rFonts w:cstheme="minorHAnsi"/>
        </w:rPr>
        <w:t>)</w:t>
      </w:r>
      <w:r w:rsidRPr="009B6962">
        <w:rPr>
          <w:rFonts w:cstheme="minorHAnsi"/>
        </w:rPr>
        <w:t>.</w:t>
      </w:r>
    </w:p>
    <w:p w14:paraId="50CB18EE" w14:textId="5AC10730"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Ram, N. &amp; Roberts, J (2020) Forensic genealogy and the power of defaults. </w:t>
      </w:r>
      <w:r w:rsidRPr="00713B07">
        <w:rPr>
          <w:rFonts w:cstheme="minorHAnsi"/>
          <w:i/>
          <w:iCs/>
        </w:rPr>
        <w:t>Nature biotechnology</w:t>
      </w:r>
      <w:r w:rsidRPr="009B6962">
        <w:rPr>
          <w:rFonts w:cstheme="minorHAnsi"/>
        </w:rPr>
        <w:t>, 37(7), pp.707-708.</w:t>
      </w:r>
    </w:p>
    <w:p w14:paraId="766A340F" w14:textId="76DAF8B1" w:rsidR="00C311A2" w:rsidRPr="009B6962" w:rsidRDefault="00C311A2" w:rsidP="009B6962">
      <w:pPr>
        <w:pStyle w:val="ListParagraph"/>
        <w:numPr>
          <w:ilvl w:val="0"/>
          <w:numId w:val="1"/>
        </w:numPr>
        <w:spacing w:line="276" w:lineRule="auto"/>
        <w:rPr>
          <w:rFonts w:cstheme="minorHAnsi"/>
        </w:rPr>
      </w:pPr>
      <w:r w:rsidRPr="009B6962">
        <w:rPr>
          <w:rFonts w:cstheme="minorHAnsi"/>
        </w:rPr>
        <w:t>Smith, P (2005) “The Presumption of Guilt and the English Law of Theft, 1750–1850</w:t>
      </w:r>
      <w:r w:rsidRPr="00713B07">
        <w:rPr>
          <w:rFonts w:cstheme="minorHAnsi"/>
          <w:i/>
          <w:iCs/>
        </w:rPr>
        <w:t>,” Law and History Review</w:t>
      </w:r>
      <w:r w:rsidRPr="009B6962">
        <w:rPr>
          <w:rFonts w:cstheme="minorHAnsi"/>
        </w:rPr>
        <w:t xml:space="preserve">. Cambridge University Press, 23(1), pp. 133–171. </w:t>
      </w:r>
    </w:p>
    <w:p w14:paraId="5CCB7DB6" w14:textId="08F47D0D"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Tully, G (2019) Forensic science in England &amp; Wales, a commentary. </w:t>
      </w:r>
      <w:r w:rsidRPr="00713B07">
        <w:rPr>
          <w:rFonts w:cstheme="minorHAnsi"/>
          <w:i/>
          <w:iCs/>
        </w:rPr>
        <w:t>Forensic science international</w:t>
      </w:r>
      <w:r w:rsidRPr="009B6962">
        <w:rPr>
          <w:rFonts w:cstheme="minorHAnsi"/>
        </w:rPr>
        <w:t>, 290, pp. 29 - 31.</w:t>
      </w:r>
    </w:p>
    <w:p w14:paraId="4B07A729" w14:textId="3ABCB978" w:rsidR="00C311A2" w:rsidRPr="009B6962" w:rsidRDefault="00C311A2" w:rsidP="009B6962">
      <w:pPr>
        <w:pStyle w:val="ListParagraph"/>
        <w:numPr>
          <w:ilvl w:val="0"/>
          <w:numId w:val="1"/>
        </w:numPr>
        <w:spacing w:line="276" w:lineRule="auto"/>
        <w:rPr>
          <w:rFonts w:cstheme="minorHAnsi"/>
        </w:rPr>
      </w:pPr>
      <w:r w:rsidRPr="009B6962">
        <w:rPr>
          <w:rFonts w:cstheme="minorHAnsi"/>
        </w:rPr>
        <w:t>UK Parliment (2019). Reports, Special Reports and Government Responses. [online] Available at</w:t>
      </w:r>
      <w:r w:rsidRPr="00713B07">
        <w:rPr>
          <w:rFonts w:cstheme="minorHAnsi"/>
          <w:i/>
          <w:iCs/>
        </w:rPr>
        <w:t xml:space="preserve">: </w:t>
      </w:r>
      <w:hyperlink r:id="rId45" w:history="1">
        <w:r w:rsidR="00713B07" w:rsidRPr="00713B07">
          <w:rPr>
            <w:rStyle w:val="Hyperlink"/>
            <w:rFonts w:cstheme="minorHAnsi"/>
            <w:i/>
            <w:iCs/>
          </w:rPr>
          <w:t>https://committees.parliament.uk/committee/135/science-and-technology-committee/publications/reports-responses</w:t>
        </w:r>
        <w:r w:rsidR="00713B07" w:rsidRPr="00713B07">
          <w:rPr>
            <w:rStyle w:val="Hyperlink"/>
            <w:rFonts w:cstheme="minorHAnsi"/>
            <w:i/>
            <w:iCs/>
          </w:rPr>
          <w:t>/</w:t>
        </w:r>
      </w:hyperlink>
      <w:r w:rsidR="00713B07">
        <w:rPr>
          <w:rFonts w:cstheme="minorHAnsi"/>
        </w:rPr>
        <w:t xml:space="preserve"> (</w:t>
      </w:r>
      <w:r w:rsidRPr="009B6962">
        <w:rPr>
          <w:rFonts w:cstheme="minorHAnsi"/>
        </w:rPr>
        <w:t>Accessed 3 Feb. 2022</w:t>
      </w:r>
      <w:r w:rsidR="00713B07">
        <w:rPr>
          <w:rFonts w:cstheme="minorHAnsi"/>
        </w:rPr>
        <w:t>)</w:t>
      </w:r>
      <w:r w:rsidRPr="009B6962">
        <w:rPr>
          <w:rFonts w:cstheme="minorHAnsi"/>
        </w:rPr>
        <w:t>.</w:t>
      </w:r>
    </w:p>
    <w:p w14:paraId="6DF8E179" w14:textId="0EFAE976"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Verkaik, R. and Russell, B. (2006). Goldsmith Broke Rules on Disclosing Evidence. [online] Available at: </w:t>
      </w:r>
      <w:hyperlink r:id="rId46" w:history="1">
        <w:r w:rsidR="00713B07" w:rsidRPr="00713B07">
          <w:rPr>
            <w:rStyle w:val="Hyperlink"/>
            <w:rFonts w:cstheme="minorHAnsi"/>
            <w:i/>
            <w:iCs/>
          </w:rPr>
          <w:t>https://www.humanrightsinitiative.org/programs/ai/rti/international/laws_papers/uk/goldsmith_broke_rules_on_disclosing_iraq_war_advice.pdf</w:t>
        </w:r>
      </w:hyperlink>
      <w:r w:rsidR="00713B07">
        <w:rPr>
          <w:rFonts w:cstheme="minorHAnsi"/>
        </w:rPr>
        <w:t xml:space="preserve"> (</w:t>
      </w:r>
      <w:r w:rsidRPr="009B6962">
        <w:rPr>
          <w:rFonts w:cstheme="minorHAnsi"/>
        </w:rPr>
        <w:t>Accessed 26 Feb. 2022</w:t>
      </w:r>
      <w:r w:rsidR="00713B07">
        <w:rPr>
          <w:rFonts w:cstheme="minorHAnsi"/>
        </w:rPr>
        <w:t>)</w:t>
      </w:r>
      <w:r w:rsidRPr="009B6962">
        <w:rPr>
          <w:rFonts w:cstheme="minorHAnsi"/>
        </w:rPr>
        <w:t>.</w:t>
      </w:r>
    </w:p>
    <w:p w14:paraId="056D1A8B" w14:textId="7FEEBF3C" w:rsidR="00C311A2" w:rsidRPr="009B6962" w:rsidRDefault="00C311A2" w:rsidP="009B6962">
      <w:pPr>
        <w:pStyle w:val="ListParagraph"/>
        <w:numPr>
          <w:ilvl w:val="0"/>
          <w:numId w:val="1"/>
        </w:numPr>
        <w:spacing w:line="276" w:lineRule="auto"/>
        <w:rPr>
          <w:rFonts w:cstheme="minorHAnsi"/>
        </w:rPr>
      </w:pPr>
      <w:r w:rsidRPr="009B6962">
        <w:rPr>
          <w:rFonts w:cstheme="minorHAnsi"/>
        </w:rPr>
        <w:t xml:space="preserve">Wyatt, D (2019) Understanding crime scene examination through an ethnographic lens. </w:t>
      </w:r>
      <w:r w:rsidRPr="00713B07">
        <w:rPr>
          <w:rFonts w:cstheme="minorHAnsi"/>
          <w:i/>
          <w:iCs/>
        </w:rPr>
        <w:t>Wiley Interdisciplinary Reviews: Forensic Science</w:t>
      </w:r>
      <w:r w:rsidRPr="009B6962">
        <w:rPr>
          <w:rFonts w:cstheme="minorHAnsi"/>
        </w:rPr>
        <w:t>, 1(6), pp.13 - 57.</w:t>
      </w:r>
    </w:p>
    <w:p w14:paraId="57BD7AB3" w14:textId="54F459E2" w:rsidR="000130E3" w:rsidRPr="009B6962" w:rsidRDefault="004708B7" w:rsidP="009B6962">
      <w:pPr>
        <w:spacing w:line="276" w:lineRule="auto"/>
        <w:rPr>
          <w:rFonts w:cstheme="minorHAnsi"/>
        </w:rPr>
      </w:pPr>
      <w:r w:rsidRPr="009B6962">
        <w:rPr>
          <w:rFonts w:cstheme="minorHAnsi"/>
        </w:rPr>
        <w:t xml:space="preserve"> </w:t>
      </w:r>
    </w:p>
    <w:sectPr w:rsidR="000130E3" w:rsidRPr="009B6962" w:rsidSect="007E19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0C9C"/>
    <w:multiLevelType w:val="hybridMultilevel"/>
    <w:tmpl w:val="C60E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96"/>
    <w:rsid w:val="000130E3"/>
    <w:rsid w:val="00023796"/>
    <w:rsid w:val="00036FF5"/>
    <w:rsid w:val="000C3E64"/>
    <w:rsid w:val="000D3A0F"/>
    <w:rsid w:val="000F41CC"/>
    <w:rsid w:val="00163F2B"/>
    <w:rsid w:val="00165F9B"/>
    <w:rsid w:val="001714A9"/>
    <w:rsid w:val="002125BF"/>
    <w:rsid w:val="0021738E"/>
    <w:rsid w:val="003060C2"/>
    <w:rsid w:val="0032364C"/>
    <w:rsid w:val="003408A6"/>
    <w:rsid w:val="003469E6"/>
    <w:rsid w:val="003620C0"/>
    <w:rsid w:val="003E09C4"/>
    <w:rsid w:val="003F5292"/>
    <w:rsid w:val="004708B7"/>
    <w:rsid w:val="004D4392"/>
    <w:rsid w:val="0050430E"/>
    <w:rsid w:val="005A3973"/>
    <w:rsid w:val="005B161A"/>
    <w:rsid w:val="00614AB9"/>
    <w:rsid w:val="006A3F0E"/>
    <w:rsid w:val="006B3819"/>
    <w:rsid w:val="006F0C2E"/>
    <w:rsid w:val="00704034"/>
    <w:rsid w:val="007047DC"/>
    <w:rsid w:val="00713B07"/>
    <w:rsid w:val="0073703D"/>
    <w:rsid w:val="007723B8"/>
    <w:rsid w:val="007E1996"/>
    <w:rsid w:val="007F5979"/>
    <w:rsid w:val="00801FF6"/>
    <w:rsid w:val="008102B4"/>
    <w:rsid w:val="008128C7"/>
    <w:rsid w:val="00834CF3"/>
    <w:rsid w:val="00843422"/>
    <w:rsid w:val="008B60B8"/>
    <w:rsid w:val="008F43D6"/>
    <w:rsid w:val="0091380E"/>
    <w:rsid w:val="00952007"/>
    <w:rsid w:val="0099333B"/>
    <w:rsid w:val="009A6074"/>
    <w:rsid w:val="009B6962"/>
    <w:rsid w:val="009C07BB"/>
    <w:rsid w:val="009D2886"/>
    <w:rsid w:val="00A1090F"/>
    <w:rsid w:val="00A1167D"/>
    <w:rsid w:val="00A403C3"/>
    <w:rsid w:val="00AB747D"/>
    <w:rsid w:val="00B246AC"/>
    <w:rsid w:val="00B45126"/>
    <w:rsid w:val="00B65088"/>
    <w:rsid w:val="00B93933"/>
    <w:rsid w:val="00BA38C7"/>
    <w:rsid w:val="00BA7DAF"/>
    <w:rsid w:val="00BD576C"/>
    <w:rsid w:val="00C311A2"/>
    <w:rsid w:val="00C7159C"/>
    <w:rsid w:val="00C85E7F"/>
    <w:rsid w:val="00CB4CEC"/>
    <w:rsid w:val="00CE4ECE"/>
    <w:rsid w:val="00D81739"/>
    <w:rsid w:val="00D97645"/>
    <w:rsid w:val="00DB328C"/>
    <w:rsid w:val="00DC6826"/>
    <w:rsid w:val="00DF5811"/>
    <w:rsid w:val="00E0606F"/>
    <w:rsid w:val="00E503EE"/>
    <w:rsid w:val="00E55500"/>
    <w:rsid w:val="00E913B8"/>
    <w:rsid w:val="00EE2F9A"/>
    <w:rsid w:val="00F37316"/>
    <w:rsid w:val="00F50C6F"/>
    <w:rsid w:val="00F6626F"/>
    <w:rsid w:val="00F67ADB"/>
    <w:rsid w:val="00F722D6"/>
    <w:rsid w:val="00FA0222"/>
    <w:rsid w:val="00FA1500"/>
    <w:rsid w:val="00FB4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6339B"/>
  <w15:chartTrackingRefBased/>
  <w15:docId w15:val="{531F6771-F1E7-4625-866D-421F443DB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19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1996"/>
    <w:rPr>
      <w:rFonts w:eastAsiaTheme="minorEastAsia"/>
      <w:lang w:val="en-US"/>
    </w:rPr>
  </w:style>
  <w:style w:type="paragraph" w:styleId="ListParagraph">
    <w:name w:val="List Paragraph"/>
    <w:basedOn w:val="Normal"/>
    <w:uiPriority w:val="34"/>
    <w:qFormat/>
    <w:rsid w:val="00C311A2"/>
    <w:pPr>
      <w:ind w:left="720"/>
      <w:contextualSpacing/>
    </w:pPr>
  </w:style>
  <w:style w:type="character" w:styleId="Hyperlink">
    <w:name w:val="Hyperlink"/>
    <w:basedOn w:val="DefaultParagraphFont"/>
    <w:uiPriority w:val="99"/>
    <w:unhideWhenUsed/>
    <w:rsid w:val="008B60B8"/>
    <w:rPr>
      <w:color w:val="0563C1" w:themeColor="hyperlink"/>
      <w:u w:val="single"/>
    </w:rPr>
  </w:style>
  <w:style w:type="character" w:styleId="UnresolvedMention">
    <w:name w:val="Unresolved Mention"/>
    <w:basedOn w:val="DefaultParagraphFont"/>
    <w:uiPriority w:val="99"/>
    <w:semiHidden/>
    <w:unhideWhenUsed/>
    <w:rsid w:val="008B6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925414">
      <w:bodyDiv w:val="1"/>
      <w:marLeft w:val="0"/>
      <w:marRight w:val="0"/>
      <w:marTop w:val="0"/>
      <w:marBottom w:val="0"/>
      <w:divBdr>
        <w:top w:val="none" w:sz="0" w:space="0" w:color="auto"/>
        <w:left w:val="none" w:sz="0" w:space="0" w:color="auto"/>
        <w:bottom w:val="none" w:sz="0" w:space="0" w:color="auto"/>
        <w:right w:val="none" w:sz="0" w:space="0" w:color="auto"/>
      </w:divBdr>
    </w:div>
    <w:div w:id="205149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rpershaw.co.uk/back-to-basics-golden-hour-principles-in-serious-collision-investigation/" TargetMode="External"/><Relationship Id="rId18" Type="http://schemas.openxmlformats.org/officeDocument/2006/relationships/hyperlink" Target="https://assets.publishing.service.gov.uk/government/uploads/system/uploads/attachment_data/file/918342/FSRAnnual_Report_2018.pdf" TargetMode="External"/><Relationship Id="rId26" Type="http://schemas.openxmlformats.org/officeDocument/2006/relationships/hyperlink" Target="https://www.legislation.gov.uk/ukpga/1998/42/content" TargetMode="External"/><Relationship Id="rId39" Type="http://schemas.openxmlformats.org/officeDocument/2006/relationships/hyperlink" Target="https://www.libertyhumanrights.org.uk/your-rights/the-human-rights-act/" TargetMode="External"/><Relationship Id="rId3" Type="http://schemas.openxmlformats.org/officeDocument/2006/relationships/styles" Target="styles.xml"/><Relationship Id="rId21" Type="http://schemas.openxmlformats.org/officeDocument/2006/relationships/hyperlink" Target="https://publications.parliament.uk/pa/cm200506/cmselect/cmsctech/uc685-i/uc68502.htm" TargetMode="External"/><Relationship Id="rId34" Type="http://schemas.openxmlformats.org/officeDocument/2006/relationships/hyperlink" Target="https://publications.parliament.uk/pa/ld201719/ldselect/ldsctech/333/333.pdf" TargetMode="External"/><Relationship Id="rId42" Type="http://schemas.openxmlformats.org/officeDocument/2006/relationships/hyperlink" Target="https://www.ojp.gov/ncjrs/virtual-library/abstracts/first-officers-duties-homicide-scene" TargetMode="External"/><Relationship Id="rId47"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app.college.police.uk/app-content/information-management/management-of-police-information/retention-review-and-disposal-of-police-information/" TargetMode="External"/><Relationship Id="rId17" Type="http://schemas.openxmlformats.org/officeDocument/2006/relationships/hyperlink" Target="https://www.fcn.police.uk/news/uks-largest-forensic-capability-network-officially-launches" TargetMode="External"/><Relationship Id="rId25" Type="http://schemas.openxmlformats.org/officeDocument/2006/relationships/hyperlink" Target="https://www.legislation.gov.uk/ukpga/1996/25/contents" TargetMode="External"/><Relationship Id="rId33" Type="http://schemas.openxmlformats.org/officeDocument/2006/relationships/hyperlink" Target="https://publications.parliament.uk/pa/ld201719/ldselect/ldsctech/333/333.pdf" TargetMode="External"/><Relationship Id="rId38" Type="http://schemas.openxmlformats.org/officeDocument/2006/relationships/hyperlink" Target="https://www.judiciary.uk/wp-content/uploads/2016/01/lcj_report_2015-final.pdf" TargetMode="External"/><Relationship Id="rId46" Type="http://schemas.openxmlformats.org/officeDocument/2006/relationships/hyperlink" Target="https://www.humanrightsinitiative.org/programs/ai/rti/international/laws_papers/uk/goldsmith_broke_rules_on_disclosing_iraq_war_advice.pdf" TargetMode="External"/><Relationship Id="rId2" Type="http://schemas.openxmlformats.org/officeDocument/2006/relationships/numbering" Target="numbering.xml"/><Relationship Id="rId16" Type="http://schemas.openxmlformats.org/officeDocument/2006/relationships/hyperlink" Target="https://www.chem.fsu.edu/chemlab/chm1020c/04.php" TargetMode="External"/><Relationship Id="rId20" Type="http://schemas.openxmlformats.org/officeDocument/2006/relationships/hyperlink" Target="https://assets.publishing.service.gov.uk/government/uploads/system/uploads/attachment_data/file/950087/FSR_Annual_Report_2019-2020_Issue_1.pdf#page=3" TargetMode="External"/><Relationship Id="rId29" Type="http://schemas.openxmlformats.org/officeDocument/2006/relationships/hyperlink" Target="https://www.legislation.gov.uk/ukpga/1984/60/section/19" TargetMode="External"/><Relationship Id="rId41" Type="http://schemas.openxmlformats.org/officeDocument/2006/relationships/hyperlink" Target="https://www.nationalcrimeagency.gov.uk/what-we-do/crime-threats/cyber-crim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pp.college.police.uk/app-content/investigations/forensics/#codes-of-conduct-and-practice" TargetMode="External"/><Relationship Id="rId24" Type="http://schemas.openxmlformats.org/officeDocument/2006/relationships/hyperlink" Target="https://www.legislation.gov.uk/ukpga/1984/60/contents" TargetMode="External"/><Relationship Id="rId32" Type="http://schemas.openxmlformats.org/officeDocument/2006/relationships/hyperlink" Target="https://committees.parliament.uk/committee/135/science-and-technology-committee/" TargetMode="External"/><Relationship Id="rId37" Type="http://schemas.openxmlformats.org/officeDocument/2006/relationships/hyperlink" Target="https://www.sancussolutions.co.uk/news/disclosure-of-unused-material-cpia-training/" TargetMode="External"/><Relationship Id="rId40" Type="http://schemas.openxmlformats.org/officeDocument/2006/relationships/hyperlink" Target="https://www.cbsd.org/cms/lib07/PA01916442/Centricity/Domain/1908/CSI%20Text%20Marilyn%20Miller.pdf" TargetMode="External"/><Relationship Id="rId45" Type="http://schemas.openxmlformats.org/officeDocument/2006/relationships/hyperlink" Target="https://committees.parliament.uk/committee/135/science-and-technology-committee/publications/reports-responses/" TargetMode="External"/><Relationship Id="rId5" Type="http://schemas.openxmlformats.org/officeDocument/2006/relationships/webSettings" Target="webSettings.xml"/><Relationship Id="rId15" Type="http://schemas.openxmlformats.org/officeDocument/2006/relationships/hyperlink" Target="https://www.equalityhumanrights.com/en/human-rights/human-rights-act" TargetMode="External"/><Relationship Id="rId23" Type="http://schemas.openxmlformats.org/officeDocument/2006/relationships/hyperlink" Target="https://www.justiceinspectorates.gov.uk/hmicfrs/media/dyfed-powys-phase2-major-crime-20080629.pdf"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parallelparliament.co.uk/mp/kit-malthouse/bill/2019-21/forensicscienceregulator" TargetMode="External"/><Relationship Id="rId49" Type="http://schemas.openxmlformats.org/officeDocument/2006/relationships/theme" Target="theme/theme1.xml"/><Relationship Id="rId10" Type="http://schemas.openxmlformats.org/officeDocument/2006/relationships/hyperlink" Target="https://www.app.college.police.uk/app-content/investigations/investigation-process/" TargetMode="External"/><Relationship Id="rId19" Type="http://schemas.openxmlformats.org/officeDocument/2006/relationships/hyperlink" Target="https://aboutforensics.co.uk/crime-scenes/" TargetMode="External"/><Relationship Id="rId31" Type="http://schemas.openxmlformats.org/officeDocument/2006/relationships/hyperlink" Target="https://www.legislation.gov.uk/ukpga/2021/14/contents/enacte" TargetMode="External"/><Relationship Id="rId44" Type="http://schemas.openxmlformats.org/officeDocument/2006/relationships/hyperlink" Target="https://study.com/academy/lesson/how-technology-has-changed-crime.html" TargetMode="External"/><Relationship Id="rId4" Type="http://schemas.openxmlformats.org/officeDocument/2006/relationships/settings" Target="settings.xml"/><Relationship Id="rId9" Type="http://schemas.openxmlformats.org/officeDocument/2006/relationships/hyperlink" Target="https://www.futurelearn.com/info/courses/fraud-investigation-making-a-difference/0/steps/65545" TargetMode="External"/><Relationship Id="rId14" Type="http://schemas.openxmlformats.org/officeDocument/2006/relationships/hyperlink" Target="https://www.dyfed-powys.police.uk/police-forces/dyfed-powys-police/areas/about-us/about-us/our-priorities-and-progress/" TargetMode="External"/><Relationship Id="rId22" Type="http://schemas.openxmlformats.org/officeDocument/2006/relationships/hyperlink" Target="https://www.crime-scene-investigator.net/crime-scene-contamination-issues.html"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gov.uk/government/publications/forensic-science-and-beyond" TargetMode="External"/><Relationship Id="rId35" Type="http://schemas.openxmlformats.org/officeDocument/2006/relationships/hyperlink" Target="https://lordslibrary.parliament.uk/forensic-science-regulator-bill/" TargetMode="External"/><Relationship Id="rId43" Type="http://schemas.openxmlformats.org/officeDocument/2006/relationships/hyperlink" Target="https://www.nist.gov/system/files/documents/2020/08/26/CSI_Guide_07302020_ForPublication.pdf" TargetMode="External"/><Relationship Id="rId48" Type="http://schemas.openxmlformats.org/officeDocument/2006/relationships/glossaryDocument" Target="glossary/document.xml"/><Relationship Id="rId8" Type="http://schemas.openxmlformats.org/officeDocument/2006/relationships/hyperlink" Target="https://www.parallelparliament.co.uk/mp/bambos-charalambous/debate/2020-09-25/commons/commons-chamber/forensic-science-regulator-and-biometrics-strategy-bil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D333DAD0CC4650848EFCEA2A4FCEB3"/>
        <w:category>
          <w:name w:val="General"/>
          <w:gallery w:val="placeholder"/>
        </w:category>
        <w:types>
          <w:type w:val="bbPlcHdr"/>
        </w:types>
        <w:behaviors>
          <w:behavior w:val="content"/>
        </w:behaviors>
        <w:guid w:val="{BD4BE661-A5AD-488C-9A1F-321D9703E633}"/>
      </w:docPartPr>
      <w:docPartBody>
        <w:p w:rsidR="007A3920" w:rsidRDefault="00845B6A" w:rsidP="00845B6A">
          <w:pPr>
            <w:pStyle w:val="CDD333DAD0CC4650848EFCEA2A4FCEB3"/>
          </w:pPr>
          <w:r>
            <w:rPr>
              <w:rFonts w:asciiTheme="majorHAnsi" w:eastAsiaTheme="majorEastAsia" w:hAnsiTheme="majorHAnsi" w:cstheme="majorBidi"/>
              <w:caps/>
              <w:color w:val="4472C4" w:themeColor="accent1"/>
              <w:sz w:val="80"/>
              <w:szCs w:val="80"/>
            </w:rPr>
            <w:t>[Document title]</w:t>
          </w:r>
        </w:p>
      </w:docPartBody>
    </w:docPart>
    <w:docPart>
      <w:docPartPr>
        <w:name w:val="FBAA0B202A2042FDB5367A243687E57F"/>
        <w:category>
          <w:name w:val="General"/>
          <w:gallery w:val="placeholder"/>
        </w:category>
        <w:types>
          <w:type w:val="bbPlcHdr"/>
        </w:types>
        <w:behaviors>
          <w:behavior w:val="content"/>
        </w:behaviors>
        <w:guid w:val="{419742CB-C262-49A1-B4C9-B9604E135B2B}"/>
      </w:docPartPr>
      <w:docPartBody>
        <w:p w:rsidR="007A3920" w:rsidRDefault="00845B6A" w:rsidP="00845B6A">
          <w:pPr>
            <w:pStyle w:val="FBAA0B202A2042FDB5367A243687E57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B6A"/>
    <w:rsid w:val="00116634"/>
    <w:rsid w:val="00243651"/>
    <w:rsid w:val="004750E0"/>
    <w:rsid w:val="005A37F4"/>
    <w:rsid w:val="007A3920"/>
    <w:rsid w:val="00845B6A"/>
    <w:rsid w:val="00C04CA2"/>
    <w:rsid w:val="00F8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D333DAD0CC4650848EFCEA2A4FCEB3">
    <w:name w:val="CDD333DAD0CC4650848EFCEA2A4FCEB3"/>
    <w:rsid w:val="00845B6A"/>
  </w:style>
  <w:style w:type="paragraph" w:customStyle="1" w:styleId="FBAA0B202A2042FDB5367A243687E57F">
    <w:name w:val="FBAA0B202A2042FDB5367A243687E57F"/>
    <w:rsid w:val="00845B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EEA1A-94F2-4BBB-8C49-A3D13F2DB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16</Pages>
  <Words>5726</Words>
  <Characters>32643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Critically Evaluate the Processes and Procedures Adopted by the First Attending Officer (FAO) at a Crime Scene in order to Reduce the Possibilities of Cross Contamination</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Processes and Procedures Adopted by the First Attending Officer (FAO) at a Crime Scene in order to Reduce the Possibilities of Cross Contamination</dc:title>
  <dc:subject>Jack Jones</dc:subject>
  <dc:creator>Jack Jones (1902835)</dc:creator>
  <cp:keywords/>
  <dc:description/>
  <cp:lastModifiedBy>Jack Jones (1902835)</cp:lastModifiedBy>
  <cp:revision>63</cp:revision>
  <dcterms:created xsi:type="dcterms:W3CDTF">2022-01-31T23:13:00Z</dcterms:created>
  <dcterms:modified xsi:type="dcterms:W3CDTF">2022-02-27T18:35:00Z</dcterms:modified>
</cp:coreProperties>
</file>