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7D5" w:rsidRDefault="00A447D5" w:rsidP="00A447D5">
      <w:r>
        <w:t>Transcription Assignment January 2021</w:t>
      </w:r>
    </w:p>
    <w:p w:rsidR="000C18CD" w:rsidRDefault="000C18CD" w:rsidP="00A447D5">
      <w:r>
        <w:t>Magna Carta 1215 –Latin</w:t>
      </w:r>
    </w:p>
    <w:p w:rsidR="000C18CD" w:rsidRDefault="000C18CD" w:rsidP="00A447D5">
      <w:r>
        <w:t>Salisbury manuscript</w:t>
      </w:r>
    </w:p>
    <w:p w:rsidR="001939FA" w:rsidRDefault="001939FA" w:rsidP="00A447D5">
      <w:r w:rsidRPr="001939FA">
        <w:rPr>
          <w:noProof/>
          <w:lang w:eastAsia="en-GB"/>
        </w:rPr>
        <w:drawing>
          <wp:inline distT="0" distB="0" distL="0" distR="0">
            <wp:extent cx="5731510" cy="7482609"/>
            <wp:effectExtent l="0" t="0" r="2540" b="4445"/>
            <wp:docPr id="1" name="Picture 1" descr="The Magna Carta is not as large as you might think. As you can see in this copy that lives at the Salisbury Cathedral the text is rather ti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gna Carta is not as large as you might think. As you can see in this copy that lives at the Salisbury Cathedral the text is rather tin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482609"/>
                    </a:xfrm>
                    <a:prstGeom prst="rect">
                      <a:avLst/>
                    </a:prstGeom>
                    <a:noFill/>
                    <a:ln>
                      <a:noFill/>
                    </a:ln>
                  </pic:spPr>
                </pic:pic>
              </a:graphicData>
            </a:graphic>
          </wp:inline>
        </w:drawing>
      </w:r>
    </w:p>
    <w:p w:rsidR="00584BA3" w:rsidRDefault="00584BA3" w:rsidP="00522F82">
      <w:pPr>
        <w:jc w:val="both"/>
        <w:rPr>
          <w:b/>
        </w:rPr>
      </w:pPr>
    </w:p>
    <w:p w:rsidR="00EF119B" w:rsidRPr="00EF119B" w:rsidRDefault="00EF119B" w:rsidP="00522F82">
      <w:pPr>
        <w:jc w:val="both"/>
        <w:rPr>
          <w:b/>
        </w:rPr>
      </w:pPr>
      <w:r w:rsidRPr="00EF119B">
        <w:rPr>
          <w:b/>
        </w:rPr>
        <w:lastRenderedPageBreak/>
        <w:t>Context of Magna Carta</w:t>
      </w:r>
    </w:p>
    <w:p w:rsidR="00C10202" w:rsidRDefault="000C18CD" w:rsidP="00522F82">
      <w:pPr>
        <w:jc w:val="both"/>
      </w:pPr>
      <w:r>
        <w:t>The document universally known as Magna Carta, does not carry that title anywhere within its</w:t>
      </w:r>
      <w:r w:rsidR="00111A8C">
        <w:t xml:space="preserve"> own</w:t>
      </w:r>
      <w:r>
        <w:t xml:space="preserve"> text. The ‘great charter’, cited both as the progen</w:t>
      </w:r>
      <w:r w:rsidR="00111A8C">
        <w:t>i</w:t>
      </w:r>
      <w:r>
        <w:t xml:space="preserve">tor of modern global democracies and as </w:t>
      </w:r>
      <w:r w:rsidR="00DA5A6B">
        <w:t>the</w:t>
      </w:r>
      <w:r>
        <w:t xml:space="preserve"> supposed gold-standard of liberties that must not be transgressed, simply refers to itself as a ‘carta’, a charter of King John (r.1199 – 1216)</w:t>
      </w:r>
      <w:r w:rsidR="00111A8C">
        <w:t>, and in the years immediately following its creation, it was known as the ‘Charter of Runnymede’(1), the Thames-side meadow in Surrey where it was negotiated and agreed, on 15</w:t>
      </w:r>
      <w:r w:rsidR="00111A8C" w:rsidRPr="00111A8C">
        <w:rPr>
          <w:vertAlign w:val="superscript"/>
        </w:rPr>
        <w:t>th</w:t>
      </w:r>
      <w:r w:rsidR="00111A8C">
        <w:t xml:space="preserve"> June 1215.</w:t>
      </w:r>
    </w:p>
    <w:p w:rsidR="00795189" w:rsidRDefault="00111A8C" w:rsidP="00522F82">
      <w:pPr>
        <w:jc w:val="both"/>
      </w:pPr>
      <w:r>
        <w:t xml:space="preserve">The charter’s </w:t>
      </w:r>
      <w:r w:rsidR="00795189">
        <w:t xml:space="preserve">titular </w:t>
      </w:r>
      <w:r>
        <w:t xml:space="preserve">‘magnitude’ may </w:t>
      </w:r>
      <w:r w:rsidR="00795189">
        <w:t xml:space="preserve">actually </w:t>
      </w:r>
      <w:r>
        <w:t xml:space="preserve">have been rooted in </w:t>
      </w:r>
      <w:r w:rsidR="00795189">
        <w:t xml:space="preserve">something as banal as one scribe’s method of distinguishing </w:t>
      </w:r>
      <w:r w:rsidR="00522F82">
        <w:t>a 1217 version of it</w:t>
      </w:r>
      <w:r w:rsidR="00795189">
        <w:t xml:space="preserve"> from a </w:t>
      </w:r>
      <w:r w:rsidR="00522F82">
        <w:t>separate</w:t>
      </w:r>
      <w:r w:rsidR="008918B8">
        <w:t>,</w:t>
      </w:r>
      <w:r w:rsidR="00522F82">
        <w:t xml:space="preserve"> </w:t>
      </w:r>
      <w:r w:rsidR="00795189">
        <w:t xml:space="preserve">smaller </w:t>
      </w:r>
      <w:r w:rsidR="00522F82">
        <w:t>charter (Charter of the Forest), that happened to have been produced for proclamation at the  same time</w:t>
      </w:r>
      <w:r w:rsidR="00E56B51">
        <w:t xml:space="preserve"> (2)</w:t>
      </w:r>
      <w:r w:rsidR="00522F82">
        <w:t xml:space="preserve">. In other words, the greatness refers to its physical comparative size, as opposed to </w:t>
      </w:r>
      <w:r w:rsidR="00E56B51">
        <w:t>any foreseen or anticipated actual impact it would have within, and indeed well beyond, the confines of John’s reign (in terms of both</w:t>
      </w:r>
      <w:r w:rsidR="005650B0">
        <w:t xml:space="preserve"> space </w:t>
      </w:r>
      <w:r w:rsidR="005650B0" w:rsidRPr="005650B0">
        <w:rPr>
          <w:i/>
        </w:rPr>
        <w:t>and</w:t>
      </w:r>
      <w:r w:rsidR="00E56B51">
        <w:t xml:space="preserve"> time).</w:t>
      </w:r>
    </w:p>
    <w:p w:rsidR="00AD003B" w:rsidRDefault="005650B0" w:rsidP="00522F82">
      <w:pPr>
        <w:jc w:val="both"/>
      </w:pPr>
      <w:r>
        <w:t>However, through s</w:t>
      </w:r>
      <w:r w:rsidR="00E56B51">
        <w:t>erendip</w:t>
      </w:r>
      <w:r>
        <w:t>i</w:t>
      </w:r>
      <w:r w:rsidR="00E56B51">
        <w:t>tous accident or not, the charter</w:t>
      </w:r>
      <w:r>
        <w:t>’s name accurately reflects the significance of the circumstances in</w:t>
      </w:r>
      <w:r w:rsidR="00366580">
        <w:t xml:space="preserve"> both</w:t>
      </w:r>
      <w:r>
        <w:t xml:space="preserve"> the course of its creation</w:t>
      </w:r>
      <w:r w:rsidR="00366580">
        <w:t xml:space="preserve"> and the</w:t>
      </w:r>
      <w:r w:rsidR="00631DC6">
        <w:t xml:space="preserve"> ultimate</w:t>
      </w:r>
      <w:r w:rsidR="00366580">
        <w:t xml:space="preserve"> aftermath of its proclamation</w:t>
      </w:r>
      <w:r w:rsidR="00631DC6">
        <w:t xml:space="preserve"> (or at least that of </w:t>
      </w:r>
      <w:r w:rsidR="008918B8">
        <w:t>its</w:t>
      </w:r>
      <w:r w:rsidR="00631DC6">
        <w:t xml:space="preserve"> rebooted versions</w:t>
      </w:r>
      <w:r w:rsidR="001E34EC">
        <w:t xml:space="preserve"> in 1216, 1217 and 1225</w:t>
      </w:r>
      <w:r w:rsidR="00631DC6">
        <w:t>)</w:t>
      </w:r>
      <w:r w:rsidR="00366580">
        <w:t>.</w:t>
      </w:r>
    </w:p>
    <w:p w:rsidR="00DA5A6B" w:rsidRDefault="00AD003B" w:rsidP="00522F82">
      <w:pPr>
        <w:jc w:val="both"/>
      </w:pPr>
      <w:r>
        <w:t xml:space="preserve">The charter’s purpose as a document was to restore peace between the king and a collective of rebellious barons, aggrieved, amongst other issues, by the imposition of taxes to fund the recovery of Henry’s ancestral lands in France, lost to </w:t>
      </w:r>
      <w:r w:rsidRPr="00AD003B">
        <w:t>King Philip II</w:t>
      </w:r>
      <w:r w:rsidR="00C82441">
        <w:t xml:space="preserve"> in the early years of the thirteenth century. This grievance, no doubt exacerbated by </w:t>
      </w:r>
      <w:r w:rsidR="00C706B8">
        <w:t>John’s</w:t>
      </w:r>
      <w:r w:rsidR="00631DC6">
        <w:t xml:space="preserve"> own</w:t>
      </w:r>
      <w:r w:rsidR="00C706B8">
        <w:t xml:space="preserve"> personal unpopularity, as recorded in various</w:t>
      </w:r>
      <w:r w:rsidR="00C82441">
        <w:t xml:space="preserve"> accounts</w:t>
      </w:r>
      <w:r w:rsidR="00A2495C">
        <w:t xml:space="preserve">, and likely due to various reasons, not least power struggles with his brother Richard and </w:t>
      </w:r>
      <w:r w:rsidR="008918B8">
        <w:t xml:space="preserve">his </w:t>
      </w:r>
      <w:r w:rsidR="00A2495C">
        <w:t>nephew Arthur, t</w:t>
      </w:r>
      <w:r w:rsidR="00DA5A6B">
        <w:t>ook the country to the brink of civil war.</w:t>
      </w:r>
    </w:p>
    <w:p w:rsidR="00584BA3" w:rsidRDefault="00DA5A6B" w:rsidP="00522F82">
      <w:pPr>
        <w:jc w:val="both"/>
      </w:pPr>
      <w:r>
        <w:t xml:space="preserve">Despite the almost mythic status </w:t>
      </w:r>
      <w:r w:rsidR="008918B8">
        <w:t xml:space="preserve">that </w:t>
      </w:r>
      <w:r>
        <w:t>its name conjures</w:t>
      </w:r>
      <w:r w:rsidR="00A2495C">
        <w:t xml:space="preserve"> </w:t>
      </w:r>
      <w:r>
        <w:t xml:space="preserve">today, </w:t>
      </w:r>
      <w:r w:rsidR="00584BA3">
        <w:t xml:space="preserve">it was not intended to benefit </w:t>
      </w:r>
      <w:r w:rsidR="00A51C3E">
        <w:t>every subject of the realm, and beyond the Church and the barons themselves, there were no concessions of any advantage to the country’s peasantry</w:t>
      </w:r>
      <w:r w:rsidR="004A4F18">
        <w:t>, who were decidedly not ‘liberis hominibus’</w:t>
      </w:r>
      <w:r w:rsidR="00A51C3E">
        <w:t>.</w:t>
      </w:r>
    </w:p>
    <w:p w:rsidR="00AD003B" w:rsidRDefault="00A51C3E" w:rsidP="00522F82">
      <w:pPr>
        <w:jc w:val="both"/>
      </w:pPr>
      <w:r>
        <w:t xml:space="preserve">In fact, </w:t>
      </w:r>
      <w:r w:rsidR="00DA5A6B">
        <w:t xml:space="preserve">its early existence did not </w:t>
      </w:r>
      <w:r>
        <w:t xml:space="preserve">really benefit anyone and it did not </w:t>
      </w:r>
      <w:r w:rsidR="00DA5A6B">
        <w:t>produce the immediate restorative result that may have been hope</w:t>
      </w:r>
      <w:r w:rsidR="00F34B30">
        <w:t>d</w:t>
      </w:r>
      <w:r w:rsidR="00DA5A6B">
        <w:t xml:space="preserve"> for.</w:t>
      </w:r>
      <w:r w:rsidR="00F34B30">
        <w:t xml:space="preserve"> A mere two months after its creation, the charter was annulled by Pope Innocent III, and civil war ensued for the next two years.</w:t>
      </w:r>
    </w:p>
    <w:p w:rsidR="00F34B30" w:rsidRDefault="00F34B30" w:rsidP="00522F82">
      <w:pPr>
        <w:jc w:val="both"/>
      </w:pPr>
      <w:r>
        <w:t>The charter’s comeback was as a result of John’s death in October 1216 and the accession of his nine year old son Henry III to the throne</w:t>
      </w:r>
      <w:r w:rsidR="00D55C04">
        <w:t>, when a new version was issued in an attempt to end the war and a further re-issue of it in 2017 to help restore the peace (</w:t>
      </w:r>
      <w:r w:rsidR="008918B8">
        <w:t xml:space="preserve">triggering </w:t>
      </w:r>
      <w:r w:rsidR="00D55C04">
        <w:t>the first usage of the title ‘magna carta’). The ‘definitive’ version was issued again in Henry III’s reign, in 1225, and by the end of the thirteenth century, following further confirmation by Henry III’s son, Edward I, its reputation was assured</w:t>
      </w:r>
      <w:r w:rsidR="00CA64BE">
        <w:t xml:space="preserve"> </w:t>
      </w:r>
      <w:r w:rsidR="00AD71D4">
        <w:t>(3</w:t>
      </w:r>
      <w:r w:rsidR="00CD5215">
        <w:t>)</w:t>
      </w:r>
      <w:r w:rsidR="00D55C04">
        <w:t>.</w:t>
      </w:r>
    </w:p>
    <w:p w:rsidR="005C1961" w:rsidRDefault="005C1961" w:rsidP="00522F82">
      <w:pPr>
        <w:pBdr>
          <w:bottom w:val="single" w:sz="6" w:space="1" w:color="auto"/>
        </w:pBdr>
        <w:jc w:val="both"/>
      </w:pPr>
    </w:p>
    <w:p w:rsidR="00AD71D4" w:rsidRDefault="00AD71D4" w:rsidP="00AD71D4">
      <w:pPr>
        <w:jc w:val="both"/>
      </w:pPr>
      <w:r>
        <w:t>1  D. Carpenter,</w:t>
      </w:r>
      <w:r>
        <w:t xml:space="preserve"> </w:t>
      </w:r>
      <w:r w:rsidRPr="00AD71D4">
        <w:rPr>
          <w:i/>
        </w:rPr>
        <w:t>Magna Carta</w:t>
      </w:r>
      <w:r>
        <w:t>, (</w:t>
      </w:r>
      <w:r>
        <w:t>Penguin</w:t>
      </w:r>
      <w:r>
        <w:t xml:space="preserve">, </w:t>
      </w:r>
      <w:r>
        <w:t xml:space="preserve">London, 2015), </w:t>
      </w:r>
      <w:r>
        <w:t xml:space="preserve"> p. 6 </w:t>
      </w:r>
    </w:p>
    <w:p w:rsidR="005C1961" w:rsidRDefault="00AD71D4" w:rsidP="00AD71D4">
      <w:pPr>
        <w:jc w:val="both"/>
      </w:pPr>
      <w:r>
        <w:t xml:space="preserve">2  </w:t>
      </w:r>
      <w:r>
        <w:t xml:space="preserve">ibid., p. </w:t>
      </w:r>
      <w:r>
        <w:t>5</w:t>
      </w:r>
    </w:p>
    <w:p w:rsidR="005C1961" w:rsidRDefault="00AD71D4" w:rsidP="00522F82">
      <w:pPr>
        <w:jc w:val="both"/>
      </w:pPr>
      <w:r>
        <w:t>3</w:t>
      </w:r>
      <w:r w:rsidR="00A262C3">
        <w:t xml:space="preserve"> </w:t>
      </w:r>
      <w:r w:rsidRPr="00AD71D4">
        <w:t xml:space="preserve"> ibid., p. </w:t>
      </w:r>
      <w:r w:rsidR="00A262C3">
        <w:t>ix</w:t>
      </w:r>
    </w:p>
    <w:p w:rsidR="005C1961" w:rsidRDefault="005C1961" w:rsidP="00522F82">
      <w:pPr>
        <w:jc w:val="both"/>
      </w:pPr>
    </w:p>
    <w:p w:rsidR="005C1961" w:rsidRDefault="005C1961" w:rsidP="00522F82">
      <w:pPr>
        <w:jc w:val="both"/>
      </w:pPr>
    </w:p>
    <w:p w:rsidR="00AD003B" w:rsidRDefault="00D55C04" w:rsidP="00522F82">
      <w:pPr>
        <w:jc w:val="both"/>
      </w:pPr>
      <w:r>
        <w:lastRenderedPageBreak/>
        <w:t>Notwithstanding its comparative false-start</w:t>
      </w:r>
      <w:r w:rsidR="00BF1920">
        <w:t>, the proceedings around its negotiation</w:t>
      </w:r>
      <w:r w:rsidR="008918B8">
        <w:t xml:space="preserve"> </w:t>
      </w:r>
      <w:r w:rsidR="00563EE7">
        <w:t>(</w:t>
      </w:r>
      <w:r w:rsidR="008918B8">
        <w:t xml:space="preserve">brokered by </w:t>
      </w:r>
      <w:r w:rsidR="00563EE7">
        <w:t>Stephen Langton</w:t>
      </w:r>
      <w:r w:rsidR="00BF1920">
        <w:t>,</w:t>
      </w:r>
      <w:r w:rsidR="00563EE7">
        <w:t xml:space="preserve"> Archbishop of Canterbury),</w:t>
      </w:r>
      <w:r w:rsidR="00BF1920">
        <w:t xml:space="preserve"> agreement, composition and proclamation seem to have been taken seriously </w:t>
      </w:r>
      <w:r w:rsidR="008918B8">
        <w:t>at the time</w:t>
      </w:r>
      <w:r w:rsidR="00BF1920">
        <w:t>. Rather than being one authorised signed or sealed document, an unknown number of original documents, all of equal weight and standing (‘engrossments’)</w:t>
      </w:r>
      <w:r w:rsidR="00CA64BE">
        <w:t xml:space="preserve"> </w:t>
      </w:r>
      <w:r w:rsidR="00CD5215">
        <w:t>(</w:t>
      </w:r>
      <w:r w:rsidR="00A262C3">
        <w:t>4</w:t>
      </w:r>
      <w:r w:rsidR="00BF1920">
        <w:t xml:space="preserve">), </w:t>
      </w:r>
      <w:r w:rsidR="00A82BB6">
        <w:t xml:space="preserve">and all bearing John’s seal, </w:t>
      </w:r>
      <w:r w:rsidR="00BF1920">
        <w:t>were distributed around the country</w:t>
      </w:r>
      <w:r w:rsidR="00A82BB6">
        <w:t>. Views differ as to whether engrossments were produced for each county (approximately forty) or each bishopric (around thirteen)</w:t>
      </w:r>
      <w:r w:rsidR="00CA64BE">
        <w:t xml:space="preserve"> </w:t>
      </w:r>
      <w:r w:rsidR="007B0725">
        <w:t>(5)</w:t>
      </w:r>
      <w:r w:rsidR="00A82BB6">
        <w:t>. Whatever number were originally dispatched, four of the original</w:t>
      </w:r>
      <w:r w:rsidR="00F92685">
        <w:t xml:space="preserve"> versions have survived; two held by the British </w:t>
      </w:r>
      <w:r w:rsidR="00EF119B">
        <w:t>Library</w:t>
      </w:r>
      <w:r w:rsidR="00F92685">
        <w:t xml:space="preserve"> (Ci and Cii originally part of the Cotton Collection), and two belonging to the cathedral archives of</w:t>
      </w:r>
      <w:r w:rsidR="001E34EC">
        <w:t>,</w:t>
      </w:r>
      <w:r w:rsidR="00F92685">
        <w:t xml:space="preserve"> respectively, Lincoln and Salisbury.</w:t>
      </w:r>
    </w:p>
    <w:p w:rsidR="005C1961" w:rsidRDefault="005C1961" w:rsidP="00522F82">
      <w:pPr>
        <w:jc w:val="both"/>
        <w:rPr>
          <w:b/>
        </w:rPr>
      </w:pPr>
    </w:p>
    <w:p w:rsidR="00BF1920" w:rsidRDefault="00EF119B" w:rsidP="00522F82">
      <w:pPr>
        <w:jc w:val="both"/>
        <w:rPr>
          <w:b/>
        </w:rPr>
      </w:pPr>
      <w:r w:rsidRPr="00EF119B">
        <w:rPr>
          <w:b/>
        </w:rPr>
        <w:t>Surviving copies of Magna Carta</w:t>
      </w:r>
    </w:p>
    <w:p w:rsidR="00CD5215" w:rsidRDefault="00EF119B" w:rsidP="00522F82">
      <w:pPr>
        <w:jc w:val="both"/>
      </w:pPr>
      <w:r>
        <w:t xml:space="preserve">As with all documents of record of the period, Magna Carta was written in </w:t>
      </w:r>
      <w:r w:rsidR="005C1961">
        <w:t>Medieval</w:t>
      </w:r>
      <w:r>
        <w:t xml:space="preserve"> Latin. The four surviving copies, whilst all being identical in textual content (save for minor </w:t>
      </w:r>
      <w:r w:rsidR="0042063D">
        <w:t>differences</w:t>
      </w:r>
      <w:r>
        <w:t xml:space="preserve"> such as order of words or </w:t>
      </w:r>
      <w:r w:rsidR="0042063D">
        <w:t>missing prepositions or capitalisation)</w:t>
      </w:r>
      <w:r>
        <w:t xml:space="preserve"> and all bearing evidence of John’s royal seal in one way or another, differ in size and proportion</w:t>
      </w:r>
      <w:r w:rsidR="0042063D">
        <w:t xml:space="preserve"> and the hand</w:t>
      </w:r>
      <w:r>
        <w:t xml:space="preserve"> </w:t>
      </w:r>
      <w:r w:rsidR="0042063D">
        <w:t>of each scribe</w:t>
      </w:r>
      <w:r w:rsidR="001E34EC">
        <w:t>, confirming that various scribes were employed</w:t>
      </w:r>
      <w:r w:rsidR="0042063D">
        <w:t xml:space="preserve"> (on the basis that the </w:t>
      </w:r>
      <w:r w:rsidR="00CD5215">
        <w:t>authorised</w:t>
      </w:r>
      <w:r w:rsidR="0042063D">
        <w:t xml:space="preserve"> charter would have had to have been </w:t>
      </w:r>
      <w:r w:rsidR="00CD5215">
        <w:t xml:space="preserve">swiftly </w:t>
      </w:r>
      <w:r w:rsidR="0042063D">
        <w:t xml:space="preserve">copied out multiple times for </w:t>
      </w:r>
      <w:r w:rsidR="00CD5215">
        <w:t xml:space="preserve">its rapid national distribution, this is not surprising). With regard to the varying shapes and sizes, </w:t>
      </w:r>
      <w:r w:rsidR="001E34EC">
        <w:t xml:space="preserve">David </w:t>
      </w:r>
      <w:r w:rsidR="00CD5215">
        <w:t>Carpenter surmises that ‘the (various) clerks either took whatever size of parchment was at hand, or cut it themselves into the size with which they felt most comfortable’(6).</w:t>
      </w:r>
    </w:p>
    <w:p w:rsidR="00EF119B" w:rsidRDefault="00CD5215" w:rsidP="00522F82">
      <w:pPr>
        <w:jc w:val="both"/>
      </w:pPr>
      <w:r>
        <w:t xml:space="preserve">However, the effect of this possible personalisation of parchment selection, meant that another </w:t>
      </w:r>
      <w:r w:rsidR="00D20A3D">
        <w:t xml:space="preserve">difference between each copy was the ‘flow’ of the text in terms of the </w:t>
      </w:r>
      <w:r w:rsidR="00584BA3">
        <w:t>nature</w:t>
      </w:r>
      <w:r w:rsidR="00A51C3E">
        <w:t>, location</w:t>
      </w:r>
      <w:r w:rsidR="00584BA3">
        <w:t xml:space="preserve"> and </w:t>
      </w:r>
      <w:r w:rsidR="00D20A3D">
        <w:t>extent of the abbreviation</w:t>
      </w:r>
      <w:r w:rsidR="00584BA3">
        <w:t>s used and words being split between lines.</w:t>
      </w:r>
    </w:p>
    <w:p w:rsidR="00A51C3E" w:rsidRDefault="00A51C3E" w:rsidP="00522F82">
      <w:pPr>
        <w:jc w:val="both"/>
      </w:pPr>
      <w:r>
        <w:t>What is common to all the surviving copies however, is the text arranged as one continuous ‘block’, with</w:t>
      </w:r>
      <w:r w:rsidR="00C13920">
        <w:t xml:space="preserve"> the start of each new clause (of which four remain part of English law today), emphasised by the presence of a prominent capital letter</w:t>
      </w:r>
    </w:p>
    <w:p w:rsidR="00584BA3" w:rsidRDefault="00584BA3" w:rsidP="00522F82">
      <w:pPr>
        <w:jc w:val="both"/>
      </w:pPr>
    </w:p>
    <w:p w:rsidR="00A51C3E" w:rsidRDefault="00A51C3E" w:rsidP="00522F82">
      <w:pPr>
        <w:jc w:val="both"/>
        <w:rPr>
          <w:b/>
        </w:rPr>
      </w:pPr>
      <w:r w:rsidRPr="00A51C3E">
        <w:rPr>
          <w:b/>
        </w:rPr>
        <w:t xml:space="preserve">Salisbury </w:t>
      </w:r>
      <w:r>
        <w:rPr>
          <w:b/>
        </w:rPr>
        <w:t>manuscript</w:t>
      </w:r>
    </w:p>
    <w:p w:rsidR="006D1431" w:rsidRDefault="006D1431" w:rsidP="00522F82">
      <w:pPr>
        <w:jc w:val="both"/>
      </w:pPr>
      <w:r>
        <w:t>Carpenter suggests that the evidence of John’s original seal on this manuscript, thereby confirming its 1215 vintage, is from the two gashes at the bottom of the page, indicative of a seal connected by cords having been ripped off</w:t>
      </w:r>
      <w:r w:rsidR="00CA64BE">
        <w:t xml:space="preserve"> </w:t>
      </w:r>
      <w:r>
        <w:t>(7). The 1215 provenance of the Salisbury manuscript has been questioned on the basis that the script differs to that of the other three</w:t>
      </w:r>
      <w:r w:rsidR="00452F69">
        <w:t>, with Carpenter stating that it is ‘more formal, more akin to what might appear in bibles and psalters’(</w:t>
      </w:r>
      <w:r w:rsidR="00CA64BE">
        <w:t>8</w:t>
      </w:r>
      <w:r w:rsidR="00452F69">
        <w:t>).</w:t>
      </w:r>
    </w:p>
    <w:p w:rsidR="00F90A67" w:rsidRDefault="00F90A67" w:rsidP="00522F82">
      <w:pPr>
        <w:pBdr>
          <w:bottom w:val="single" w:sz="6" w:space="1" w:color="auto"/>
        </w:pBdr>
        <w:jc w:val="both"/>
      </w:pPr>
    </w:p>
    <w:p w:rsidR="00F90A67" w:rsidRDefault="00A262C3" w:rsidP="00522F82">
      <w:pPr>
        <w:jc w:val="both"/>
      </w:pPr>
      <w:r>
        <w:t>4</w:t>
      </w:r>
      <w:r w:rsidRPr="00A262C3">
        <w:t xml:space="preserve">  D. Carpenter, </w:t>
      </w:r>
      <w:r w:rsidRPr="00443549">
        <w:rPr>
          <w:i/>
        </w:rPr>
        <w:t>Magna Carta</w:t>
      </w:r>
      <w:r w:rsidRPr="00A262C3">
        <w:t xml:space="preserve">, (Penguin, London, 2015),  p. </w:t>
      </w:r>
      <w:r w:rsidR="007B0725">
        <w:t>9</w:t>
      </w:r>
    </w:p>
    <w:p w:rsidR="007B0725" w:rsidRDefault="007B0725" w:rsidP="00443549">
      <w:pPr>
        <w:tabs>
          <w:tab w:val="left" w:pos="284"/>
        </w:tabs>
        <w:ind w:left="142" w:hanging="142"/>
      </w:pPr>
      <w:r>
        <w:t xml:space="preserve">5 </w:t>
      </w:r>
      <w:r w:rsidR="00443549">
        <w:t xml:space="preserve"> N. Vincent, </w:t>
      </w:r>
      <w:r w:rsidR="00443549" w:rsidRPr="00443549">
        <w:t>‘</w:t>
      </w:r>
      <w:r w:rsidRPr="00443549">
        <w:t>Consequences of Magna Carta</w:t>
      </w:r>
      <w:r w:rsidR="00443549" w:rsidRPr="00443549">
        <w:t>’</w:t>
      </w:r>
      <w:r w:rsidR="00443549">
        <w:rPr>
          <w:i/>
        </w:rPr>
        <w:t xml:space="preserve">, British Library </w:t>
      </w:r>
      <w:r w:rsidR="00443549">
        <w:t xml:space="preserve"> </w:t>
      </w:r>
      <w:hyperlink r:id="rId8" w:history="1">
        <w:r w:rsidR="00443549" w:rsidRPr="00860D45">
          <w:rPr>
            <w:rStyle w:val="Hyperlink"/>
          </w:rPr>
          <w:t>www.bl.uk/magna-carta/</w:t>
        </w:r>
      </w:hyperlink>
      <w:r w:rsidR="00443549">
        <w:t xml:space="preserve">         </w:t>
      </w:r>
      <w:r w:rsidRPr="00443549">
        <w:rPr>
          <w:color w:val="0070C0"/>
          <w:u w:val="single"/>
        </w:rPr>
        <w:t>articles/consequences-of-magna-carta</w:t>
      </w:r>
      <w:r w:rsidR="00443549" w:rsidRPr="00443549">
        <w:rPr>
          <w:color w:val="0070C0"/>
        </w:rPr>
        <w:t xml:space="preserve"> </w:t>
      </w:r>
      <w:r w:rsidR="00443549" w:rsidRPr="00443549">
        <w:t>[accessed</w:t>
      </w:r>
      <w:r w:rsidR="00443549">
        <w:t xml:space="preserve"> 5 January 2021]</w:t>
      </w:r>
    </w:p>
    <w:p w:rsidR="00443549" w:rsidRDefault="00443549" w:rsidP="00443549">
      <w:pPr>
        <w:tabs>
          <w:tab w:val="left" w:pos="284"/>
        </w:tabs>
        <w:ind w:left="142" w:hanging="142"/>
      </w:pPr>
      <w:r>
        <w:t>6</w:t>
      </w:r>
      <w:r w:rsidRPr="00443549">
        <w:t xml:space="preserve"> D. Carpenter, Magna Carta, (Penguin, London, 2015),  p. </w:t>
      </w:r>
      <w:r>
        <w:t xml:space="preserve">11  </w:t>
      </w:r>
    </w:p>
    <w:p w:rsidR="00443549" w:rsidRDefault="00443549" w:rsidP="00443549">
      <w:pPr>
        <w:tabs>
          <w:tab w:val="left" w:pos="284"/>
        </w:tabs>
        <w:ind w:left="142" w:hanging="142"/>
      </w:pPr>
      <w:r>
        <w:t xml:space="preserve">7  </w:t>
      </w:r>
      <w:r w:rsidRPr="00443549">
        <w:t xml:space="preserve">ibid., p. </w:t>
      </w:r>
      <w:r>
        <w:t>1</w:t>
      </w:r>
      <w:r w:rsidR="00CA64BE">
        <w:t>3</w:t>
      </w:r>
    </w:p>
    <w:p w:rsidR="00CA64BE" w:rsidRPr="00443549" w:rsidRDefault="00CA64BE" w:rsidP="00443549">
      <w:pPr>
        <w:tabs>
          <w:tab w:val="left" w:pos="284"/>
        </w:tabs>
        <w:ind w:left="142" w:hanging="142"/>
      </w:pPr>
      <w:r>
        <w:t>8  ibid., p.12</w:t>
      </w:r>
    </w:p>
    <w:p w:rsidR="00452F69" w:rsidRDefault="00452F69" w:rsidP="00522F82">
      <w:pPr>
        <w:jc w:val="both"/>
      </w:pPr>
      <w:r>
        <w:lastRenderedPageBreak/>
        <w:t>In article published to coincide with the 800</w:t>
      </w:r>
      <w:r w:rsidRPr="00452F69">
        <w:rPr>
          <w:vertAlign w:val="superscript"/>
        </w:rPr>
        <w:t>th</w:t>
      </w:r>
      <w:r>
        <w:t xml:space="preserve"> anniversary in June 2015,</w:t>
      </w:r>
      <w:r w:rsidRPr="00452F69">
        <w:t xml:space="preserve"> Elaine Treharne</w:t>
      </w:r>
      <w:r>
        <w:t xml:space="preserve"> discusses the style of handwriting (</w:t>
      </w:r>
      <w:r w:rsidRPr="00452F69">
        <w:rPr>
          <w:i/>
        </w:rPr>
        <w:t>Textualis</w:t>
      </w:r>
      <w:r>
        <w:t xml:space="preserve">) which shows a number of identifiable features and a commonality with other contemporary documents in situ at Salisbury drafted around the same </w:t>
      </w:r>
      <w:r w:rsidR="00752267">
        <w:t>time</w:t>
      </w:r>
      <w:r>
        <w:t>, thereby arguing that the Salisbury version is a 1215</w:t>
      </w:r>
      <w:r w:rsidR="00752267">
        <w:t xml:space="preserve"> original, albeit produced</w:t>
      </w:r>
      <w:r>
        <w:t xml:space="preserve"> </w:t>
      </w:r>
      <w:r w:rsidR="00752267">
        <w:t>by the ‘beneficiary’ cathedral by a cathedral</w:t>
      </w:r>
      <w:r w:rsidR="001E34EC">
        <w:t>-</w:t>
      </w:r>
      <w:r w:rsidR="00752267">
        <w:t xml:space="preserve">appointed scribe and subsequently </w:t>
      </w:r>
      <w:r w:rsidR="001E34EC">
        <w:t xml:space="preserve">officially </w:t>
      </w:r>
      <w:r w:rsidR="00752267">
        <w:t>sealed</w:t>
      </w:r>
      <w:r w:rsidR="000239F2">
        <w:t xml:space="preserve"> </w:t>
      </w:r>
      <w:r w:rsidR="00752267">
        <w:t>(</w:t>
      </w:r>
      <w:r w:rsidR="00CA64BE">
        <w:t>9</w:t>
      </w:r>
      <w:r w:rsidR="00752267">
        <w:t>).</w:t>
      </w:r>
    </w:p>
    <w:p w:rsidR="00752267" w:rsidRDefault="00752267" w:rsidP="00522F82">
      <w:pPr>
        <w:jc w:val="both"/>
        <w:rPr>
          <w:b/>
        </w:rPr>
      </w:pPr>
    </w:p>
    <w:p w:rsidR="00C13920" w:rsidRDefault="00C13920" w:rsidP="00522F82">
      <w:pPr>
        <w:jc w:val="both"/>
        <w:rPr>
          <w:b/>
        </w:rPr>
      </w:pPr>
      <w:r w:rsidRPr="00C13920">
        <w:rPr>
          <w:b/>
        </w:rPr>
        <w:t>Transcribing exercise</w:t>
      </w:r>
    </w:p>
    <w:p w:rsidR="005F0392" w:rsidRDefault="00752267" w:rsidP="00522F82">
      <w:pPr>
        <w:jc w:val="both"/>
      </w:pPr>
      <w:r w:rsidRPr="00752267">
        <w:t xml:space="preserve">For the purposes of </w:t>
      </w:r>
      <w:r>
        <w:t xml:space="preserve">transcribing a section of the Salisbury manuscript, I obtained a hardcopy facsimile from the cathedral </w:t>
      </w:r>
      <w:r w:rsidR="005F0392">
        <w:t xml:space="preserve">shop, </w:t>
      </w:r>
      <w:r>
        <w:t xml:space="preserve">measuring approximately 420mm x </w:t>
      </w:r>
      <w:r w:rsidR="005F0392">
        <w:t>590mm and I examined this with a magnifying eyepiece.</w:t>
      </w:r>
    </w:p>
    <w:p w:rsidR="00752267" w:rsidRPr="00752267" w:rsidRDefault="005F0392" w:rsidP="00522F82">
      <w:pPr>
        <w:jc w:val="both"/>
      </w:pPr>
      <w:r>
        <w:t xml:space="preserve">Certain sections of the text were difficult to discern due to merged blots of ink etc, and in such instances, I photographed, enlarged and printed sections to provide better views. </w:t>
      </w:r>
      <w:r w:rsidR="00752267">
        <w:t xml:space="preserve"> </w:t>
      </w:r>
    </w:p>
    <w:p w:rsidR="005F0392" w:rsidRDefault="005F0392" w:rsidP="00522F82">
      <w:pPr>
        <w:jc w:val="both"/>
      </w:pPr>
      <w:r w:rsidRPr="00502B6D">
        <w:t>The text included many suspension and contraction abbreviations, some of which were difficult to ascertain merely from the context. However</w:t>
      </w:r>
      <w:r w:rsidR="00502B6D" w:rsidRPr="00502B6D">
        <w:t>, online versions of both the 1215 and 1225 charters (British Library and The National Archives respectively) assisted to the extent</w:t>
      </w:r>
      <w:r w:rsidR="005E0D96">
        <w:t xml:space="preserve"> that</w:t>
      </w:r>
      <w:r w:rsidR="00502B6D" w:rsidRPr="00502B6D">
        <w:t xml:space="preserve"> many words in these </w:t>
      </w:r>
      <w:r w:rsidR="005C1961">
        <w:t xml:space="preserve">other </w:t>
      </w:r>
      <w:r w:rsidR="00502B6D" w:rsidRPr="00502B6D">
        <w:t>documents were not so heavily abbreviated</w:t>
      </w:r>
      <w:r w:rsidR="00502B6D">
        <w:t>.</w:t>
      </w:r>
    </w:p>
    <w:p w:rsidR="00502B6D" w:rsidRDefault="005E0D96" w:rsidP="00522F82">
      <w:pPr>
        <w:jc w:val="both"/>
      </w:pPr>
      <w:r w:rsidRPr="005E0D96">
        <w:t>A further reference source was an online copy of Adriano Capelli’s Lexicon Abbreviaturarum</w:t>
      </w:r>
      <w:r>
        <w:t xml:space="preserve">. </w:t>
      </w:r>
      <w:r w:rsidR="00502B6D">
        <w:t>In addition, as a legal document, much of the</w:t>
      </w:r>
      <w:r w:rsidR="005C1961">
        <w:t xml:space="preserve"> manuscript’s</w:t>
      </w:r>
      <w:r w:rsidR="00502B6D">
        <w:t xml:space="preserve"> text is repeated and so many of the same abbreviations were </w:t>
      </w:r>
      <w:r>
        <w:t xml:space="preserve">likewise </w:t>
      </w:r>
      <w:r w:rsidR="00502B6D">
        <w:t>repeated and became familiar</w:t>
      </w:r>
      <w:r w:rsidR="00C948DD">
        <w:t xml:space="preserve"> and various patterns emerged</w:t>
      </w:r>
      <w:r w:rsidR="00502B6D">
        <w:t>.</w:t>
      </w:r>
    </w:p>
    <w:p w:rsidR="00502B6D" w:rsidRDefault="00502B6D" w:rsidP="00522F82">
      <w:pPr>
        <w:jc w:val="both"/>
      </w:pPr>
      <w:r>
        <w:t xml:space="preserve">If unable to establish </w:t>
      </w:r>
      <w:r w:rsidR="005E0D96">
        <w:t>the</w:t>
      </w:r>
      <w:r w:rsidR="005C1961">
        <w:t xml:space="preserve"> correct</w:t>
      </w:r>
      <w:r w:rsidR="005E0D96">
        <w:t xml:space="preserve"> abbreviation through</w:t>
      </w:r>
      <w:r w:rsidR="00C948DD">
        <w:t xml:space="preserve"> any of</w:t>
      </w:r>
      <w:r w:rsidR="005E0D96">
        <w:t xml:space="preserve"> the above </w:t>
      </w:r>
      <w:r w:rsidR="00C948DD">
        <w:t>resources, I referred to the Latin text provided in David Carpenter’s Magna Carta (Penguin Classics).</w:t>
      </w:r>
    </w:p>
    <w:p w:rsidR="00502B6D" w:rsidRPr="00502B6D" w:rsidRDefault="00C948DD" w:rsidP="00522F82">
      <w:pPr>
        <w:jc w:val="both"/>
      </w:pPr>
      <w:r>
        <w:t xml:space="preserve">The below transcription covers the initial preamble which sets out John’s greeting, the list of his titles and a list of those who provided counsel, followed ‘In primis’ by the granting of freedom to the Church, then a clarification of who the concessions of the charter are to apply to (‘free men’) and lastly </w:t>
      </w:r>
      <w:r w:rsidR="005766CD">
        <w:t>two</w:t>
      </w:r>
      <w:r>
        <w:t xml:space="preserve"> </w:t>
      </w:r>
      <w:r w:rsidR="005766CD">
        <w:t>clauses</w:t>
      </w:r>
      <w:r>
        <w:t xml:space="preserve"> </w:t>
      </w:r>
      <w:r w:rsidR="005766CD" w:rsidRPr="005766CD">
        <w:t xml:space="preserve">relating to </w:t>
      </w:r>
      <w:r w:rsidR="005766CD">
        <w:t xml:space="preserve">the </w:t>
      </w:r>
      <w:r w:rsidR="005766CD" w:rsidRPr="005766CD">
        <w:t>restrictions</w:t>
      </w:r>
      <w:r w:rsidR="005766CD">
        <w:t>,</w:t>
      </w:r>
      <w:r w:rsidR="005766CD" w:rsidRPr="005766CD">
        <w:t xml:space="preserve"> monetary obligations, inheritance tax etc</w:t>
      </w:r>
      <w:r w:rsidR="005766CD">
        <w:t>., on the deaths of noblemen.</w:t>
      </w:r>
    </w:p>
    <w:p w:rsidR="005F0392" w:rsidRPr="005766CD" w:rsidRDefault="005766CD" w:rsidP="00522F82">
      <w:pPr>
        <w:jc w:val="both"/>
      </w:pPr>
      <w:r w:rsidRPr="005766CD">
        <w:t>The below transcription is arranged with each paragraph representing a separate line o</w:t>
      </w:r>
      <w:r>
        <w:t>f</w:t>
      </w:r>
      <w:r w:rsidRPr="005766CD">
        <w:t xml:space="preserve"> the manuscript.</w:t>
      </w:r>
    </w:p>
    <w:p w:rsidR="00E56B51" w:rsidRDefault="005650B0" w:rsidP="00522F82">
      <w:pPr>
        <w:pBdr>
          <w:bottom w:val="single" w:sz="6" w:space="1" w:color="auto"/>
        </w:pBdr>
        <w:jc w:val="both"/>
      </w:pPr>
      <w:r>
        <w:t xml:space="preserve"> </w:t>
      </w:r>
      <w:r w:rsidR="00E56B51">
        <w:t xml:space="preserve"> </w:t>
      </w:r>
    </w:p>
    <w:p w:rsidR="00F90A67" w:rsidRDefault="00CA64BE" w:rsidP="000239F2">
      <w:pPr>
        <w:ind w:left="284" w:hanging="284"/>
      </w:pPr>
      <w:r>
        <w:t>9</w:t>
      </w:r>
      <w:r w:rsidR="00443549">
        <w:t xml:space="preserve">   </w:t>
      </w:r>
      <w:r w:rsidR="000239F2" w:rsidRPr="000239F2">
        <w:t>Elaine Treharne</w:t>
      </w:r>
      <w:r w:rsidR="000239F2">
        <w:t>,</w:t>
      </w:r>
      <w:r w:rsidR="000239F2" w:rsidRPr="000239F2">
        <w:t xml:space="preserve"> </w:t>
      </w:r>
      <w:r w:rsidR="00443549">
        <w:t>‘</w:t>
      </w:r>
      <w:r w:rsidR="00443549" w:rsidRPr="00443549">
        <w:t>The Scribes of the Salisbury Magna Carta</w:t>
      </w:r>
      <w:r w:rsidR="00443549">
        <w:t>’</w:t>
      </w:r>
      <w:r w:rsidR="000239F2">
        <w:t xml:space="preserve">, </w:t>
      </w:r>
      <w:r w:rsidR="000239F2" w:rsidRPr="000239F2">
        <w:rPr>
          <w:i/>
        </w:rPr>
        <w:t>History Today</w:t>
      </w:r>
      <w:r w:rsidR="000239F2">
        <w:t xml:space="preserve">, </w:t>
      </w:r>
      <w:hyperlink r:id="rId9" w:history="1">
        <w:r w:rsidR="000239F2" w:rsidRPr="00860D45">
          <w:rPr>
            <w:rStyle w:val="Hyperlink"/>
          </w:rPr>
          <w:t>www.historytoday.com/scribes-salisbury-magna-carta</w:t>
        </w:r>
      </w:hyperlink>
    </w:p>
    <w:p w:rsidR="000239F2" w:rsidRPr="00443549" w:rsidRDefault="000239F2" w:rsidP="000239F2">
      <w:pPr>
        <w:ind w:left="284" w:hanging="284"/>
      </w:pPr>
    </w:p>
    <w:p w:rsidR="00F90A67" w:rsidRDefault="00F90A67" w:rsidP="0096100C">
      <w:pPr>
        <w:jc w:val="both"/>
        <w:rPr>
          <w:b/>
        </w:rPr>
      </w:pPr>
    </w:p>
    <w:p w:rsidR="00F90A67" w:rsidRDefault="00F90A67" w:rsidP="0096100C">
      <w:pPr>
        <w:jc w:val="both"/>
        <w:rPr>
          <w:b/>
        </w:rPr>
      </w:pPr>
    </w:p>
    <w:p w:rsidR="00F90A67" w:rsidRDefault="00F90A67" w:rsidP="0096100C">
      <w:pPr>
        <w:jc w:val="both"/>
        <w:rPr>
          <w:b/>
        </w:rPr>
      </w:pPr>
    </w:p>
    <w:p w:rsidR="00F90A67" w:rsidRDefault="00F90A67" w:rsidP="0096100C">
      <w:pPr>
        <w:jc w:val="both"/>
        <w:rPr>
          <w:b/>
        </w:rPr>
      </w:pPr>
    </w:p>
    <w:p w:rsidR="00F90A67" w:rsidRDefault="00F90A67" w:rsidP="0096100C">
      <w:pPr>
        <w:jc w:val="both"/>
        <w:rPr>
          <w:b/>
        </w:rPr>
      </w:pPr>
    </w:p>
    <w:p w:rsidR="00F90A67" w:rsidRDefault="00F90A67" w:rsidP="0096100C">
      <w:pPr>
        <w:jc w:val="both"/>
        <w:rPr>
          <w:b/>
        </w:rPr>
      </w:pPr>
    </w:p>
    <w:p w:rsidR="004A4F18" w:rsidRPr="00A41D7C" w:rsidRDefault="005766CD" w:rsidP="0096100C">
      <w:pPr>
        <w:jc w:val="both"/>
        <w:rPr>
          <w:b/>
          <w:u w:val="single"/>
        </w:rPr>
      </w:pPr>
      <w:r w:rsidRPr="00A41D7C">
        <w:rPr>
          <w:b/>
          <w:u w:val="single"/>
        </w:rPr>
        <w:lastRenderedPageBreak/>
        <w:t>Salisbury Transcription</w:t>
      </w:r>
    </w:p>
    <w:p w:rsidR="00C10202" w:rsidRPr="005977EA" w:rsidRDefault="00C10202" w:rsidP="0096100C">
      <w:pPr>
        <w:jc w:val="both"/>
        <w:rPr>
          <w:b/>
        </w:rPr>
      </w:pPr>
      <w:r w:rsidRPr="005977EA">
        <w:rPr>
          <w:b/>
        </w:rPr>
        <w:t>Joh[ann]es d[e]i gr[ati]a Rex Anglie, D[omi]n[u]s Hibern[ia], Dux Normann[ie], Aquit[anie] et Comes Andeg[avie], Archiep</w:t>
      </w:r>
      <w:r w:rsidR="004D0100" w:rsidRPr="005977EA">
        <w:rPr>
          <w:b/>
        </w:rPr>
        <w:t>[is</w:t>
      </w:r>
      <w:r w:rsidRPr="005977EA">
        <w:rPr>
          <w:b/>
        </w:rPr>
        <w:t>cop</w:t>
      </w:r>
      <w:r w:rsidR="00B73754" w:rsidRPr="005977EA">
        <w:rPr>
          <w:b/>
        </w:rPr>
        <w:t>]</w:t>
      </w:r>
      <w:r w:rsidRPr="005977EA">
        <w:rPr>
          <w:b/>
        </w:rPr>
        <w:t>is, Ep</w:t>
      </w:r>
      <w:r w:rsidR="004D0100" w:rsidRPr="005977EA">
        <w:rPr>
          <w:b/>
        </w:rPr>
        <w:t>[</w:t>
      </w:r>
      <w:r w:rsidRPr="005977EA">
        <w:rPr>
          <w:b/>
        </w:rPr>
        <w:t>iscop</w:t>
      </w:r>
      <w:r w:rsidR="004D0100" w:rsidRPr="005977EA">
        <w:rPr>
          <w:b/>
        </w:rPr>
        <w:t>]</w:t>
      </w:r>
      <w:r w:rsidRPr="005977EA">
        <w:rPr>
          <w:b/>
        </w:rPr>
        <w:t>is, Abb[at]ib[us], Comitib[us], Baronib[us], Justiciariis, Forestariis, Vicecom[itibus], Prepositis, Minist[ri]s, et om[n]</w:t>
      </w:r>
      <w:r w:rsidR="0096100C" w:rsidRPr="005977EA">
        <w:rPr>
          <w:b/>
        </w:rPr>
        <w:t>ib[us] Ball[iv]is, et Fidelib[us] suis Sal[ut]e[m]. Sciatis nos Intuiti d[e]i et p[ro] salute anime n[ost]re et om[n]iu[m]</w:t>
      </w:r>
    </w:p>
    <w:p w:rsidR="0096100C" w:rsidRPr="005977EA" w:rsidRDefault="0096100C" w:rsidP="0096100C">
      <w:pPr>
        <w:jc w:val="both"/>
        <w:rPr>
          <w:b/>
        </w:rPr>
      </w:pPr>
    </w:p>
    <w:p w:rsidR="004D0100" w:rsidRPr="005977EA" w:rsidRDefault="004D0100" w:rsidP="0096100C">
      <w:pPr>
        <w:jc w:val="both"/>
        <w:rPr>
          <w:b/>
        </w:rPr>
      </w:pPr>
      <w:r w:rsidRPr="005977EA">
        <w:rPr>
          <w:b/>
        </w:rPr>
        <w:t>an[te]cesso[rum] et heredu[m] n[ost]o[rum] ad honore[m]</w:t>
      </w:r>
      <w:r w:rsidR="00B73754" w:rsidRPr="005977EA">
        <w:rPr>
          <w:b/>
        </w:rPr>
        <w:t xml:space="preserve"> d[e]i et exaltac[i]o[n]em S[anc]te Eccl[es]ie et em[en]datione[m] Regni n[ost]ri p[er] consiliu[m] ven[er]abiliu[m] partum n[ost]ro[rum] Steph[an]i Cantuar[iensis], Archiep[iscop]</w:t>
      </w:r>
      <w:r w:rsidR="005977EA" w:rsidRPr="005977EA">
        <w:rPr>
          <w:b/>
        </w:rPr>
        <w:t>i Toti[us] Angl[ie] primatis et S[anc]te Romane Eccle[es]ie Cardinal[is] , Henrici Dublin[iensis] Archiep[iscop]i, Will[elm]i London[iensis], Petri Wintoniens[is]</w:t>
      </w:r>
      <w:r w:rsidR="00E32B21">
        <w:rPr>
          <w:b/>
        </w:rPr>
        <w:t>,</w:t>
      </w:r>
    </w:p>
    <w:p w:rsidR="005977EA" w:rsidRDefault="005977EA" w:rsidP="0096100C">
      <w:pPr>
        <w:jc w:val="both"/>
      </w:pPr>
    </w:p>
    <w:p w:rsidR="004F7A11" w:rsidRDefault="004F7A11" w:rsidP="0096100C">
      <w:pPr>
        <w:jc w:val="both"/>
        <w:rPr>
          <w:b/>
        </w:rPr>
      </w:pPr>
      <w:r w:rsidRPr="000B2F0F">
        <w:rPr>
          <w:b/>
        </w:rPr>
        <w:t>Joscelin</w:t>
      </w:r>
      <w:r w:rsidR="00270CB4" w:rsidRPr="000B2F0F">
        <w:rPr>
          <w:b/>
        </w:rPr>
        <w:t>i</w:t>
      </w:r>
      <w:r w:rsidRPr="000B2F0F">
        <w:rPr>
          <w:b/>
        </w:rPr>
        <w:t xml:space="preserve"> Bath</w:t>
      </w:r>
      <w:r w:rsidR="00270CB4" w:rsidRPr="000B2F0F">
        <w:rPr>
          <w:b/>
        </w:rPr>
        <w:t>o</w:t>
      </w:r>
      <w:r w:rsidRPr="000B2F0F">
        <w:rPr>
          <w:b/>
        </w:rPr>
        <w:t>n[iensis]</w:t>
      </w:r>
      <w:r w:rsidR="00270CB4" w:rsidRPr="000B2F0F">
        <w:rPr>
          <w:b/>
        </w:rPr>
        <w:t xml:space="preserve"> et Glaston[iensis], Hug[onis] Lincoln[iensis], Walte</w:t>
      </w:r>
      <w:r w:rsidR="00AE2531" w:rsidRPr="000B2F0F">
        <w:rPr>
          <w:b/>
        </w:rPr>
        <w:t>[</w:t>
      </w:r>
      <w:r w:rsidR="00270CB4" w:rsidRPr="000B2F0F">
        <w:rPr>
          <w:b/>
        </w:rPr>
        <w:t>r</w:t>
      </w:r>
      <w:r w:rsidR="00AE2531" w:rsidRPr="000B2F0F">
        <w:rPr>
          <w:b/>
        </w:rPr>
        <w:t xml:space="preserve">]i Wigorn[iensis], Will[elm]i Coventr[ienis] et Benedicti </w:t>
      </w:r>
      <w:r w:rsidR="00325834" w:rsidRPr="000B2F0F">
        <w:rPr>
          <w:b/>
        </w:rPr>
        <w:t>Roffe</w:t>
      </w:r>
      <w:r w:rsidR="00E51797" w:rsidRPr="000B2F0F">
        <w:rPr>
          <w:b/>
        </w:rPr>
        <w:t>n[sis] Ep[iscop]o[rum]</w:t>
      </w:r>
      <w:r w:rsidR="00933DDB" w:rsidRPr="000B2F0F">
        <w:rPr>
          <w:b/>
        </w:rPr>
        <w:t>. Mag[ist]ri Pandulfi</w:t>
      </w:r>
      <w:r w:rsidR="00E44054" w:rsidRPr="000B2F0F">
        <w:rPr>
          <w:b/>
        </w:rPr>
        <w:t xml:space="preserve"> D[omi]ni </w:t>
      </w:r>
      <w:r w:rsidR="007B6AA5" w:rsidRPr="000B2F0F">
        <w:rPr>
          <w:b/>
        </w:rPr>
        <w:t xml:space="preserve">p[a]p[a] </w:t>
      </w:r>
      <w:r w:rsidR="00E44054" w:rsidRPr="000B2F0F">
        <w:rPr>
          <w:b/>
        </w:rPr>
        <w:t>Subdiaconi et familiaris</w:t>
      </w:r>
      <w:r w:rsidR="007B6AA5" w:rsidRPr="000B2F0F">
        <w:rPr>
          <w:b/>
        </w:rPr>
        <w:t>.</w:t>
      </w:r>
      <w:r w:rsidR="00E44054" w:rsidRPr="000B2F0F">
        <w:rPr>
          <w:b/>
        </w:rPr>
        <w:t xml:space="preserve"> </w:t>
      </w:r>
      <w:r w:rsidR="007B6AA5" w:rsidRPr="000B2F0F">
        <w:rPr>
          <w:b/>
        </w:rPr>
        <w:t xml:space="preserve"> Et fr[at]is Eimerici  Mag[ist]ri militie temple in Anglia. Et nobiliu[m] </w:t>
      </w:r>
      <w:r w:rsidR="00C24DE5" w:rsidRPr="000B2F0F">
        <w:rPr>
          <w:b/>
        </w:rPr>
        <w:t>viv</w:t>
      </w:r>
      <w:r w:rsidR="007B6AA5" w:rsidRPr="000B2F0F">
        <w:rPr>
          <w:b/>
        </w:rPr>
        <w:t>o[rum] Will[elm]</w:t>
      </w:r>
      <w:r w:rsidR="004600FE" w:rsidRPr="000B2F0F">
        <w:rPr>
          <w:b/>
        </w:rPr>
        <w:t>i</w:t>
      </w:r>
      <w:r w:rsidR="00C24DE5" w:rsidRPr="000B2F0F">
        <w:rPr>
          <w:b/>
        </w:rPr>
        <w:t xml:space="preserve"> Mar</w:t>
      </w:r>
      <w:r w:rsidR="004600FE" w:rsidRPr="000B2F0F">
        <w:rPr>
          <w:b/>
        </w:rPr>
        <w:t>escall[i]</w:t>
      </w:r>
      <w:r w:rsidR="000B2F0F" w:rsidRPr="000B2F0F">
        <w:rPr>
          <w:b/>
        </w:rPr>
        <w:t xml:space="preserve"> Comitis Penbrok</w:t>
      </w:r>
      <w:r w:rsidR="00E32B21">
        <w:rPr>
          <w:b/>
        </w:rPr>
        <w:t>,</w:t>
      </w:r>
    </w:p>
    <w:p w:rsidR="000B2F0F" w:rsidRDefault="000B2F0F" w:rsidP="0096100C">
      <w:pPr>
        <w:jc w:val="both"/>
        <w:rPr>
          <w:b/>
        </w:rPr>
      </w:pPr>
    </w:p>
    <w:p w:rsidR="000B2F0F" w:rsidRDefault="000B2F0F" w:rsidP="0096100C">
      <w:pPr>
        <w:jc w:val="both"/>
        <w:rPr>
          <w:b/>
        </w:rPr>
      </w:pPr>
      <w:r w:rsidRPr="000B2F0F">
        <w:rPr>
          <w:b/>
        </w:rPr>
        <w:t>Will[elm]</w:t>
      </w:r>
      <w:r>
        <w:rPr>
          <w:b/>
        </w:rPr>
        <w:t>i Com[itis]</w:t>
      </w:r>
      <w:r w:rsidR="00CF0C8F">
        <w:rPr>
          <w:b/>
        </w:rPr>
        <w:t xml:space="preserve"> </w:t>
      </w:r>
      <w:r w:rsidR="00CF0C8F" w:rsidRPr="00E32B21">
        <w:rPr>
          <w:b/>
        </w:rPr>
        <w:t>Sar</w:t>
      </w:r>
      <w:r w:rsidR="00524255" w:rsidRPr="00E32B21">
        <w:rPr>
          <w:b/>
        </w:rPr>
        <w:t xml:space="preserve">[isberia] </w:t>
      </w:r>
      <w:r w:rsidR="00524255" w:rsidRPr="005C1961">
        <w:t>(</w:t>
      </w:r>
      <w:r w:rsidR="00CA64BE">
        <w:t>10</w:t>
      </w:r>
      <w:r w:rsidR="00524255" w:rsidRPr="005C1961">
        <w:t>)</w:t>
      </w:r>
      <w:r w:rsidRPr="005C1961">
        <w:t>,</w:t>
      </w:r>
      <w:r>
        <w:rPr>
          <w:b/>
        </w:rPr>
        <w:t xml:space="preserve"> </w:t>
      </w:r>
      <w:r w:rsidRPr="000B2F0F">
        <w:rPr>
          <w:b/>
        </w:rPr>
        <w:t>Will[elm]</w:t>
      </w:r>
      <w:r>
        <w:rPr>
          <w:b/>
        </w:rPr>
        <w:t xml:space="preserve">i </w:t>
      </w:r>
      <w:r w:rsidRPr="000B2F0F">
        <w:rPr>
          <w:b/>
        </w:rPr>
        <w:t xml:space="preserve">Com[itis] </w:t>
      </w:r>
      <w:r w:rsidR="00524255">
        <w:rPr>
          <w:b/>
        </w:rPr>
        <w:t>Warenn</w:t>
      </w:r>
      <w:r w:rsidR="00801E3D">
        <w:rPr>
          <w:b/>
        </w:rPr>
        <w:t>[ie]</w:t>
      </w:r>
      <w:r>
        <w:rPr>
          <w:b/>
        </w:rPr>
        <w:t xml:space="preserve">, </w:t>
      </w:r>
      <w:r w:rsidRPr="000B2F0F">
        <w:rPr>
          <w:b/>
        </w:rPr>
        <w:t>Will[elm]</w:t>
      </w:r>
      <w:r>
        <w:rPr>
          <w:b/>
        </w:rPr>
        <w:t xml:space="preserve">i </w:t>
      </w:r>
      <w:r w:rsidRPr="000B2F0F">
        <w:rPr>
          <w:b/>
        </w:rPr>
        <w:t xml:space="preserve">Com[itis] </w:t>
      </w:r>
      <w:r w:rsidR="00801E3D">
        <w:rPr>
          <w:b/>
        </w:rPr>
        <w:t xml:space="preserve">Arundel, Alani de Galweia, constab[u]larii Scotie, </w:t>
      </w:r>
      <w:r w:rsidR="00E32B21">
        <w:rPr>
          <w:b/>
        </w:rPr>
        <w:t>Warini filii Geroldi, Hub[er]ti de Burgo Senescalli</w:t>
      </w:r>
      <w:r w:rsidR="00BD52E8">
        <w:rPr>
          <w:b/>
        </w:rPr>
        <w:t xml:space="preserve"> Pictavie, Pet[ri] filii Hereb[er]ti</w:t>
      </w:r>
      <w:r w:rsidR="00DB52E7">
        <w:rPr>
          <w:b/>
        </w:rPr>
        <w:t xml:space="preserve">, Hugo[n]is de Nevill, </w:t>
      </w:r>
      <w:r w:rsidR="00C74C1B">
        <w:rPr>
          <w:b/>
        </w:rPr>
        <w:t xml:space="preserve"> Math[e]i  filii</w:t>
      </w:r>
      <w:r w:rsidR="00C74C1B" w:rsidRPr="00C74C1B">
        <w:t xml:space="preserve"> </w:t>
      </w:r>
      <w:r w:rsidR="00C74C1B" w:rsidRPr="00C74C1B">
        <w:rPr>
          <w:b/>
        </w:rPr>
        <w:t>Hereb[er]ti</w:t>
      </w:r>
      <w:r w:rsidR="00C74C1B">
        <w:rPr>
          <w:b/>
        </w:rPr>
        <w:t>, Thome Basset, Alani Basset, Philippi de Albiniaco,</w:t>
      </w:r>
    </w:p>
    <w:p w:rsidR="00C74C1B" w:rsidRDefault="00C74C1B" w:rsidP="0096100C">
      <w:pPr>
        <w:jc w:val="both"/>
        <w:rPr>
          <w:b/>
        </w:rPr>
      </w:pPr>
    </w:p>
    <w:p w:rsidR="005977EA" w:rsidRDefault="006F2D21" w:rsidP="0096100C">
      <w:pPr>
        <w:jc w:val="both"/>
        <w:rPr>
          <w:b/>
        </w:rPr>
      </w:pPr>
      <w:r>
        <w:rPr>
          <w:b/>
        </w:rPr>
        <w:t xml:space="preserve">Rob[erti] de Roppele, Joh[ann]is Marescall[i], </w:t>
      </w:r>
      <w:r w:rsidR="00345E52">
        <w:rPr>
          <w:b/>
        </w:rPr>
        <w:t xml:space="preserve">Joh[ann]is filii Hug[onis] et alio[rum] fideliu[m] n[ost]ro[rum]. In </w:t>
      </w:r>
      <w:r w:rsidR="00DF1FE6">
        <w:rPr>
          <w:b/>
        </w:rPr>
        <w:t>p[ri]mis conce</w:t>
      </w:r>
      <w:r w:rsidR="00212BE7">
        <w:rPr>
          <w:b/>
        </w:rPr>
        <w:t>ssisse d[e]o et hac p[re]</w:t>
      </w:r>
      <w:r w:rsidR="005E0538" w:rsidRPr="005E0538">
        <w:rPr>
          <w:b/>
        </w:rPr>
        <w:t>senti Carta n[ost]ra co</w:t>
      </w:r>
      <w:r w:rsidR="005E0538">
        <w:rPr>
          <w:b/>
        </w:rPr>
        <w:t>nfirmasse p[ro] nob[is] et h[er]edib[us] n[ost]ris in p[er</w:t>
      </w:r>
      <w:r w:rsidR="007A6546">
        <w:rPr>
          <w:b/>
        </w:rPr>
        <w:t>]petuu[m] q[uo]d Anglicana Eccl[es]ia lib[er]a sit et h[abe]at jura sua integra et lib[</w:t>
      </w:r>
      <w:r w:rsidR="008F7C9B">
        <w:rPr>
          <w:b/>
        </w:rPr>
        <w:t>er</w:t>
      </w:r>
      <w:r w:rsidR="007A6546">
        <w:rPr>
          <w:b/>
        </w:rPr>
        <w:t>]</w:t>
      </w:r>
      <w:r w:rsidR="008F7C9B">
        <w:rPr>
          <w:b/>
        </w:rPr>
        <w:t>t</w:t>
      </w:r>
      <w:r w:rsidR="007A6546">
        <w:rPr>
          <w:b/>
        </w:rPr>
        <w:t>a</w:t>
      </w:r>
      <w:r w:rsidR="008F7C9B">
        <w:rPr>
          <w:b/>
        </w:rPr>
        <w:t>te</w:t>
      </w:r>
      <w:r w:rsidR="007A6546">
        <w:rPr>
          <w:b/>
        </w:rPr>
        <w:t xml:space="preserve">s suas illesas et </w:t>
      </w:r>
      <w:r w:rsidR="008F7C9B">
        <w:rPr>
          <w:b/>
        </w:rPr>
        <w:t>ita volum[us] observari, q[uo]d</w:t>
      </w:r>
    </w:p>
    <w:p w:rsidR="00D4212D" w:rsidRDefault="00D4212D" w:rsidP="0096100C">
      <w:pPr>
        <w:jc w:val="both"/>
        <w:rPr>
          <w:b/>
        </w:rPr>
      </w:pPr>
    </w:p>
    <w:p w:rsidR="00FA6E75" w:rsidRDefault="00FA6E75" w:rsidP="0096100C">
      <w:pPr>
        <w:pBdr>
          <w:bottom w:val="single" w:sz="6" w:space="1" w:color="auto"/>
        </w:pBdr>
        <w:jc w:val="both"/>
        <w:rPr>
          <w:b/>
        </w:rPr>
      </w:pPr>
    </w:p>
    <w:p w:rsidR="00F90A67" w:rsidRDefault="00CA64BE" w:rsidP="00A41D7C">
      <w:pPr>
        <w:ind w:left="284" w:hanging="284"/>
        <w:jc w:val="both"/>
      </w:pPr>
      <w:r>
        <w:t>10</w:t>
      </w:r>
      <w:r w:rsidR="000239F2" w:rsidRPr="000239F2">
        <w:t xml:space="preserve"> </w:t>
      </w:r>
      <w:r w:rsidR="00A41D7C">
        <w:t xml:space="preserve">This is </w:t>
      </w:r>
      <w:r w:rsidR="000239F2" w:rsidRPr="000239F2">
        <w:t>take</w:t>
      </w:r>
      <w:r w:rsidR="00A41D7C">
        <w:t>n</w:t>
      </w:r>
      <w:r w:rsidR="000239F2" w:rsidRPr="000239F2">
        <w:t xml:space="preserve"> to be Salisbury but </w:t>
      </w:r>
      <w:r w:rsidR="00A41D7C">
        <w:t>there appears to be no consistent</w:t>
      </w:r>
      <w:r w:rsidR="000239F2" w:rsidRPr="000239F2">
        <w:t xml:space="preserve"> definitive Latin version</w:t>
      </w:r>
      <w:r w:rsidR="00A41D7C">
        <w:t xml:space="preserve"> of the spelling</w:t>
      </w:r>
      <w:r w:rsidR="000239F2" w:rsidRPr="000239F2">
        <w:t>. David Carpenter</w:t>
      </w:r>
      <w:r w:rsidR="00A41D7C">
        <w:t xml:space="preserve">’s </w:t>
      </w:r>
      <w:r w:rsidR="00A41D7C" w:rsidRPr="00A41D7C">
        <w:rPr>
          <w:i/>
        </w:rPr>
        <w:t>Magna Carta</w:t>
      </w:r>
      <w:r w:rsidR="000239F2" w:rsidRPr="000239F2">
        <w:t xml:space="preserve"> provides Sarresbyrie, but I cannot find any other source for this spelling</w:t>
      </w:r>
    </w:p>
    <w:p w:rsidR="00A41D7C" w:rsidRDefault="00A41D7C" w:rsidP="0096100C">
      <w:pPr>
        <w:jc w:val="both"/>
        <w:rPr>
          <w:b/>
        </w:rPr>
      </w:pPr>
    </w:p>
    <w:p w:rsidR="00A41D7C" w:rsidRDefault="00A41D7C" w:rsidP="0096100C">
      <w:pPr>
        <w:jc w:val="both"/>
        <w:rPr>
          <w:b/>
        </w:rPr>
      </w:pPr>
    </w:p>
    <w:p w:rsidR="00A41D7C" w:rsidRDefault="00A41D7C" w:rsidP="0096100C">
      <w:pPr>
        <w:jc w:val="both"/>
        <w:rPr>
          <w:b/>
        </w:rPr>
      </w:pPr>
    </w:p>
    <w:p w:rsidR="00A41D7C" w:rsidRDefault="00A41D7C" w:rsidP="0096100C">
      <w:pPr>
        <w:jc w:val="both"/>
        <w:rPr>
          <w:b/>
        </w:rPr>
      </w:pPr>
    </w:p>
    <w:p w:rsidR="00A41D7C" w:rsidRDefault="00A41D7C" w:rsidP="0096100C">
      <w:pPr>
        <w:jc w:val="both"/>
        <w:rPr>
          <w:b/>
        </w:rPr>
      </w:pPr>
    </w:p>
    <w:p w:rsidR="00A41D7C" w:rsidRDefault="00A41D7C" w:rsidP="0096100C">
      <w:pPr>
        <w:jc w:val="both"/>
        <w:rPr>
          <w:b/>
        </w:rPr>
      </w:pPr>
    </w:p>
    <w:p w:rsidR="00A41D7C" w:rsidRDefault="00A41D7C" w:rsidP="0096100C">
      <w:pPr>
        <w:jc w:val="both"/>
        <w:rPr>
          <w:b/>
        </w:rPr>
      </w:pPr>
      <w:r w:rsidRPr="00A41D7C">
        <w:rPr>
          <w:b/>
        </w:rPr>
        <w:lastRenderedPageBreak/>
        <w:t xml:space="preserve">apparet ex eo q[uo]d lib[er]tate[m] elect[i]onum q[ue] maxima et mag[is] nec[essa]ria </w:t>
      </w:r>
      <w:r w:rsidRPr="00A41D7C">
        <w:t>(1</w:t>
      </w:r>
      <w:r w:rsidR="00CA64BE">
        <w:t>1</w:t>
      </w:r>
      <w:r w:rsidRPr="00A41D7C">
        <w:t>)</w:t>
      </w:r>
      <w:r w:rsidRPr="00A41D7C">
        <w:rPr>
          <w:b/>
        </w:rPr>
        <w:t xml:space="preserve"> reputat[ur] Eccl[es]ie Anglicane mera et spontanea voluntate an[te]</w:t>
      </w:r>
      <w:r w:rsidRPr="00A41D7C">
        <w:t>(1</w:t>
      </w:r>
      <w:r w:rsidR="00CA64BE">
        <w:t>2</w:t>
      </w:r>
      <w:r w:rsidRPr="00A41D7C">
        <w:t>)</w:t>
      </w:r>
      <w:r w:rsidRPr="00A41D7C">
        <w:rPr>
          <w:b/>
        </w:rPr>
        <w:t xml:space="preserve"> discordiam int[er] nos et Barones n[ost]ros motam conemssim[us], et Carta n[ost]ra confirmaui[mus], et eam obtinuim[us] a D[omi]no papa Innocentio T[er]tio confirmari, q[ua]m et  nos obser</w:t>
      </w:r>
    </w:p>
    <w:p w:rsidR="00A41D7C" w:rsidRDefault="00A41D7C" w:rsidP="0096100C">
      <w:pPr>
        <w:jc w:val="both"/>
        <w:rPr>
          <w:b/>
        </w:rPr>
      </w:pPr>
    </w:p>
    <w:p w:rsidR="006E1F7B" w:rsidRDefault="006E1F7B" w:rsidP="0096100C">
      <w:pPr>
        <w:jc w:val="both"/>
        <w:rPr>
          <w:b/>
        </w:rPr>
      </w:pPr>
      <w:r>
        <w:rPr>
          <w:b/>
        </w:rPr>
        <w:t xml:space="preserve">vabim[us] </w:t>
      </w:r>
      <w:r w:rsidRPr="005C1961">
        <w:t>(</w:t>
      </w:r>
      <w:r w:rsidR="005C1961">
        <w:t>1</w:t>
      </w:r>
      <w:r w:rsidR="00CA64BE">
        <w:t>3</w:t>
      </w:r>
      <w:r w:rsidRPr="005C1961">
        <w:t>),</w:t>
      </w:r>
      <w:r>
        <w:rPr>
          <w:b/>
        </w:rPr>
        <w:t xml:space="preserve"> et ab h[er]edib[us] n[ost]ris in p[er]petuu[m] bona fide volum[us] observari. Concessim[us] et[iam] om[n]ib[us] lib[er]is hominib[us] Regni n[ost]ri p[</w:t>
      </w:r>
      <w:r w:rsidR="007C669E">
        <w:rPr>
          <w:b/>
        </w:rPr>
        <w:t>ro</w:t>
      </w:r>
      <w:r>
        <w:rPr>
          <w:b/>
        </w:rPr>
        <w:t>]</w:t>
      </w:r>
      <w:r w:rsidR="007C669E">
        <w:rPr>
          <w:b/>
        </w:rPr>
        <w:t xml:space="preserve"> nob[is] et</w:t>
      </w:r>
      <w:r w:rsidR="003A3DDB">
        <w:rPr>
          <w:b/>
        </w:rPr>
        <w:t xml:space="preserve"> </w:t>
      </w:r>
      <w:r w:rsidR="003A3DDB" w:rsidRPr="003A3DDB">
        <w:rPr>
          <w:b/>
        </w:rPr>
        <w:t>h[er]edib[us]</w:t>
      </w:r>
      <w:r w:rsidR="003A3DDB">
        <w:rPr>
          <w:b/>
        </w:rPr>
        <w:t xml:space="preserve"> n[ost]ri</w:t>
      </w:r>
      <w:r w:rsidR="006771CB">
        <w:rPr>
          <w:b/>
        </w:rPr>
        <w:t>s i[n]</w:t>
      </w:r>
      <w:r w:rsidR="003A3DDB">
        <w:rPr>
          <w:b/>
        </w:rPr>
        <w:t xml:space="preserve"> p[er]petuu[m] om[n</w:t>
      </w:r>
      <w:r w:rsidR="006771CB">
        <w:rPr>
          <w:b/>
        </w:rPr>
        <w:t>e</w:t>
      </w:r>
      <w:r w:rsidR="003A3DDB">
        <w:rPr>
          <w:b/>
        </w:rPr>
        <w:t>]s lib</w:t>
      </w:r>
      <w:r w:rsidR="006771CB">
        <w:rPr>
          <w:b/>
        </w:rPr>
        <w:t>[er]tates subsc[ri]</w:t>
      </w:r>
      <w:r w:rsidR="00155D39">
        <w:rPr>
          <w:b/>
        </w:rPr>
        <w:t>p</w:t>
      </w:r>
      <w:r w:rsidR="006771CB">
        <w:rPr>
          <w:b/>
        </w:rPr>
        <w:t xml:space="preserve">tas h[abe]ndas et </w:t>
      </w:r>
      <w:r w:rsidR="004C0D53">
        <w:rPr>
          <w:b/>
        </w:rPr>
        <w:t>tenendas eis et he[er]edib[us] suis</w:t>
      </w:r>
      <w:r w:rsidR="00155D39">
        <w:rPr>
          <w:b/>
        </w:rPr>
        <w:t xml:space="preserve"> de nob[is] et h[er]edib[us] n[ost]ris. Siqu[ui]s </w:t>
      </w:r>
      <w:r w:rsidR="00902E9B">
        <w:rPr>
          <w:b/>
        </w:rPr>
        <w:t>Comit[um] [</w:t>
      </w:r>
      <w:r w:rsidR="00032329">
        <w:rPr>
          <w:b/>
        </w:rPr>
        <w:t>ve</w:t>
      </w:r>
      <w:r w:rsidR="00902E9B">
        <w:rPr>
          <w:b/>
        </w:rPr>
        <w:t>]</w:t>
      </w:r>
      <w:r w:rsidR="00032329">
        <w:rPr>
          <w:b/>
        </w:rPr>
        <w:t>l</w:t>
      </w:r>
      <w:r w:rsidR="00902E9B">
        <w:rPr>
          <w:b/>
        </w:rPr>
        <w:t xml:space="preserve"> Bar[onum] </w:t>
      </w:r>
      <w:r w:rsidR="002F6B05">
        <w:rPr>
          <w:b/>
        </w:rPr>
        <w:t>n[ost]ro[rum]</w:t>
      </w:r>
      <w:r w:rsidR="00032329">
        <w:rPr>
          <w:b/>
        </w:rPr>
        <w:t xml:space="preserve"> sive alio[rum] tenenti[um] </w:t>
      </w:r>
    </w:p>
    <w:p w:rsidR="00032329" w:rsidRDefault="00032329" w:rsidP="0096100C">
      <w:pPr>
        <w:jc w:val="both"/>
        <w:rPr>
          <w:b/>
        </w:rPr>
      </w:pPr>
    </w:p>
    <w:p w:rsidR="00EF7A29" w:rsidRDefault="00204AB6" w:rsidP="0096100C">
      <w:pPr>
        <w:jc w:val="both"/>
        <w:rPr>
          <w:b/>
        </w:rPr>
      </w:pPr>
      <w:r>
        <w:rPr>
          <w:b/>
        </w:rPr>
        <w:t xml:space="preserve">de nob[is] in capite p[er] serviciu[m] militare mortu[us] fu[er]it et </w:t>
      </w:r>
      <w:r w:rsidR="001C26D1">
        <w:rPr>
          <w:b/>
        </w:rPr>
        <w:t>c</w:t>
      </w:r>
      <w:r>
        <w:rPr>
          <w:b/>
        </w:rPr>
        <w:t>u[m] d</w:t>
      </w:r>
      <w:r w:rsidR="00897BD4">
        <w:rPr>
          <w:b/>
        </w:rPr>
        <w:t xml:space="preserve">ecesserit </w:t>
      </w:r>
      <w:r w:rsidR="001C26D1">
        <w:rPr>
          <w:b/>
        </w:rPr>
        <w:t xml:space="preserve">heres suus plene etatis fu[er]it et Releviu[m] debeat, h[abe]at </w:t>
      </w:r>
      <w:r w:rsidR="00582CDA">
        <w:rPr>
          <w:b/>
        </w:rPr>
        <w:t xml:space="preserve">h[er]editate[m] suam </w:t>
      </w:r>
      <w:r w:rsidR="000C3B80">
        <w:rPr>
          <w:b/>
        </w:rPr>
        <w:t>p[er] antiquu[m] Releviu[m]</w:t>
      </w:r>
      <w:r w:rsidR="00263DEC">
        <w:rPr>
          <w:b/>
        </w:rPr>
        <w:t xml:space="preserve">; Scil[ic]et heres </w:t>
      </w:r>
      <w:r w:rsidR="00101050">
        <w:rPr>
          <w:b/>
        </w:rPr>
        <w:t>v</w:t>
      </w:r>
      <w:r w:rsidR="00263DEC">
        <w:rPr>
          <w:b/>
        </w:rPr>
        <w:t xml:space="preserve">[e]l heredes comitis </w:t>
      </w:r>
      <w:r w:rsidR="00101050">
        <w:rPr>
          <w:b/>
        </w:rPr>
        <w:t>Baronia Comitis integ[ra] p[er] cent[um] Lib[ra]s. Heres v[e]l h[er]edes Baronis de Baronia</w:t>
      </w:r>
      <w:r w:rsidR="00367B72">
        <w:rPr>
          <w:b/>
        </w:rPr>
        <w:t xml:space="preserve"> integ[ra] p[er] cent[rum] Lib[ra]s. Heres v[e]l h[er]edes militis de feudo militis integr[o</w:t>
      </w:r>
      <w:r w:rsidR="00F7066E">
        <w:rPr>
          <w:b/>
        </w:rPr>
        <w:t xml:space="preserve">]; </w:t>
      </w:r>
    </w:p>
    <w:p w:rsidR="00EF7A29" w:rsidRDefault="00EF7A29" w:rsidP="0096100C">
      <w:pPr>
        <w:jc w:val="both"/>
        <w:rPr>
          <w:b/>
        </w:rPr>
      </w:pPr>
    </w:p>
    <w:p w:rsidR="00070250" w:rsidRDefault="00F7066E" w:rsidP="0096100C">
      <w:pPr>
        <w:jc w:val="both"/>
        <w:rPr>
          <w:b/>
        </w:rPr>
      </w:pPr>
      <w:r>
        <w:rPr>
          <w:b/>
        </w:rPr>
        <w:t>p[er] cent[rum] solidos ad plus. Et q[ui] min[us] debu[er]it; min[us] det</w:t>
      </w:r>
      <w:r w:rsidR="004071DB">
        <w:rPr>
          <w:b/>
        </w:rPr>
        <w:t>, se</w:t>
      </w:r>
      <w:r w:rsidR="001A489D">
        <w:rPr>
          <w:b/>
        </w:rPr>
        <w:t>[</w:t>
      </w:r>
      <w:r w:rsidR="004071DB">
        <w:rPr>
          <w:b/>
        </w:rPr>
        <w:t>c</w:t>
      </w:r>
      <w:r w:rsidR="001A489D">
        <w:rPr>
          <w:b/>
        </w:rPr>
        <w:t>un]d[u]m</w:t>
      </w:r>
      <w:r w:rsidR="004071DB">
        <w:rPr>
          <w:b/>
        </w:rPr>
        <w:t xml:space="preserve"> antiq[uu]m</w:t>
      </w:r>
      <w:r w:rsidR="00EF7A29">
        <w:rPr>
          <w:b/>
        </w:rPr>
        <w:t xml:space="preserve"> consuetudine[m] feudo[rum]. Si au[tem] h[er]es alic</w:t>
      </w:r>
      <w:r w:rsidR="00562B28">
        <w:rPr>
          <w:b/>
        </w:rPr>
        <w:t xml:space="preserve">ui[us] taliu[m] fu[er]it infra etate[m] et fu[er]it in custodia, cu[m] ad etate[m] p[er]ven[er]it; </w:t>
      </w:r>
      <w:r w:rsidR="00696D5E">
        <w:rPr>
          <w:b/>
        </w:rPr>
        <w:t>h[abe]</w:t>
      </w:r>
      <w:r w:rsidR="00070250">
        <w:rPr>
          <w:b/>
        </w:rPr>
        <w:t>at hereditate[m] suam sine relevio et sine fine.</w:t>
      </w:r>
    </w:p>
    <w:p w:rsidR="00070250" w:rsidRDefault="00070250" w:rsidP="0096100C">
      <w:pPr>
        <w:jc w:val="both"/>
        <w:rPr>
          <w:b/>
        </w:rPr>
      </w:pPr>
    </w:p>
    <w:p w:rsidR="00263DEC" w:rsidRDefault="00A315AC" w:rsidP="0096100C">
      <w:pPr>
        <w:jc w:val="both"/>
        <w:rPr>
          <w:b/>
        </w:rPr>
      </w:pPr>
      <w:r>
        <w:rPr>
          <w:b/>
        </w:rPr>
        <w:t>Custos t[er</w:t>
      </w:r>
      <w:r w:rsidR="005C4D9E">
        <w:rPr>
          <w:b/>
        </w:rPr>
        <w:t>]re h[</w:t>
      </w:r>
      <w:r w:rsidR="005C4D9E" w:rsidRPr="005C4D9E">
        <w:rPr>
          <w:b/>
        </w:rPr>
        <w:t>uius</w:t>
      </w:r>
      <w:r>
        <w:rPr>
          <w:b/>
        </w:rPr>
        <w:t>]modi h[er]edis q[</w:t>
      </w:r>
      <w:r w:rsidR="005C4D9E">
        <w:rPr>
          <w:b/>
        </w:rPr>
        <w:t>ui</w:t>
      </w:r>
      <w:r>
        <w:rPr>
          <w:b/>
        </w:rPr>
        <w:t xml:space="preserve">] </w:t>
      </w:r>
      <w:r w:rsidR="005C4D9E">
        <w:rPr>
          <w:b/>
        </w:rPr>
        <w:t xml:space="preserve">infra </w:t>
      </w:r>
      <w:r>
        <w:rPr>
          <w:b/>
        </w:rPr>
        <w:t>etate[m] fu[er]it n[</w:t>
      </w:r>
      <w:r w:rsidR="005C4D9E">
        <w:rPr>
          <w:b/>
        </w:rPr>
        <w:t>on</w:t>
      </w:r>
      <w:r>
        <w:rPr>
          <w:b/>
        </w:rPr>
        <w:t>] capiat de t[er]</w:t>
      </w:r>
      <w:r w:rsidR="00A236DD">
        <w:rPr>
          <w:b/>
        </w:rPr>
        <w:t>r</w:t>
      </w:r>
      <w:r>
        <w:rPr>
          <w:b/>
        </w:rPr>
        <w:t>a h</w:t>
      </w:r>
      <w:r w:rsidR="00A236DD">
        <w:rPr>
          <w:b/>
        </w:rPr>
        <w:t>[er]</w:t>
      </w:r>
      <w:r>
        <w:rPr>
          <w:b/>
        </w:rPr>
        <w:t>edis n[</w:t>
      </w:r>
      <w:r w:rsidR="00A236DD">
        <w:rPr>
          <w:b/>
        </w:rPr>
        <w:t>isi</w:t>
      </w:r>
      <w:r>
        <w:rPr>
          <w:b/>
        </w:rPr>
        <w:t>] rationab[</w:t>
      </w:r>
      <w:r w:rsidR="00A236DD">
        <w:rPr>
          <w:b/>
        </w:rPr>
        <w:t>i</w:t>
      </w:r>
      <w:r>
        <w:rPr>
          <w:b/>
        </w:rPr>
        <w:t>]lie</w:t>
      </w:r>
      <w:r w:rsidR="00A236DD">
        <w:rPr>
          <w:b/>
        </w:rPr>
        <w:t>s</w:t>
      </w:r>
      <w:r>
        <w:rPr>
          <w:b/>
        </w:rPr>
        <w:t xml:space="preserve"> exit[</w:t>
      </w:r>
      <w:r w:rsidR="00A236DD">
        <w:rPr>
          <w:b/>
        </w:rPr>
        <w:t>us</w:t>
      </w:r>
      <w:r>
        <w:rPr>
          <w:b/>
        </w:rPr>
        <w:t>] et r[</w:t>
      </w:r>
      <w:r w:rsidR="00A236DD">
        <w:rPr>
          <w:b/>
        </w:rPr>
        <w:t>ati</w:t>
      </w:r>
      <w:r>
        <w:rPr>
          <w:b/>
        </w:rPr>
        <w:t>]onabiles</w:t>
      </w:r>
      <w:r w:rsidR="00A236DD">
        <w:rPr>
          <w:b/>
        </w:rPr>
        <w:t xml:space="preserve"> consue</w:t>
      </w:r>
      <w:r w:rsidR="00133971">
        <w:rPr>
          <w:b/>
        </w:rPr>
        <w:t>t</w:t>
      </w:r>
      <w:r w:rsidR="00A236DD">
        <w:rPr>
          <w:b/>
        </w:rPr>
        <w:t>udines</w:t>
      </w:r>
      <w:r w:rsidR="00133971">
        <w:rPr>
          <w:b/>
        </w:rPr>
        <w:t>,</w:t>
      </w:r>
      <w:r w:rsidR="00A236DD">
        <w:rPr>
          <w:b/>
        </w:rPr>
        <w:t xml:space="preserve"> et</w:t>
      </w:r>
      <w:r w:rsidR="00133971">
        <w:rPr>
          <w:b/>
        </w:rPr>
        <w:t xml:space="preserve"> r[ati]onabilia servitia, et hoc sine destruct[io]ne et vasto</w:t>
      </w:r>
      <w:r w:rsidR="009D0B9E">
        <w:rPr>
          <w:b/>
        </w:rPr>
        <w:t xml:space="preserve"> ho[m]i[n]um v[e]l reru[m]</w:t>
      </w:r>
    </w:p>
    <w:p w:rsidR="00A135EB" w:rsidRDefault="00A135EB" w:rsidP="0096100C">
      <w:pPr>
        <w:pBdr>
          <w:bottom w:val="single" w:sz="6" w:space="1" w:color="auto"/>
        </w:pBdr>
        <w:jc w:val="both"/>
        <w:rPr>
          <w:b/>
        </w:rPr>
      </w:pPr>
    </w:p>
    <w:p w:rsidR="00265EEF" w:rsidRDefault="00A41D7C" w:rsidP="00CA64BE">
      <w:pPr>
        <w:ind w:left="851" w:hanging="851"/>
        <w:jc w:val="both"/>
      </w:pPr>
      <w:r w:rsidRPr="00A41D7C">
        <w:t>1</w:t>
      </w:r>
      <w:r w:rsidR="00CA64BE">
        <w:t>1</w:t>
      </w:r>
      <w:r w:rsidRPr="00A41D7C">
        <w:t xml:space="preserve"> &amp; 1</w:t>
      </w:r>
      <w:r w:rsidR="00CA64BE">
        <w:t>2</w:t>
      </w:r>
      <w:r w:rsidRPr="00A41D7C">
        <w:t xml:space="preserve"> </w:t>
      </w:r>
      <w:r w:rsidR="00CA64BE">
        <w:t xml:space="preserve"> </w:t>
      </w:r>
      <w:r w:rsidRPr="00A41D7C">
        <w:t>The four surviving manuscripts are all of differenrt size and shape as some have more words on each line</w:t>
      </w:r>
      <w:r w:rsidR="00CA64BE">
        <w:t>,</w:t>
      </w:r>
      <w:r w:rsidRPr="00A41D7C">
        <w:t xml:space="preserve"> and words</w:t>
      </w:r>
      <w:r>
        <w:t xml:space="preserve"> abbreviated in the Salisbury MS are not necessarily abbreviated in others</w:t>
      </w:r>
      <w:r w:rsidRPr="00A41D7C">
        <w:t>, E.g. Salisbury M</w:t>
      </w:r>
      <w:r>
        <w:t>S</w:t>
      </w:r>
      <w:r w:rsidRPr="00A41D7C">
        <w:t xml:space="preserve"> has th</w:t>
      </w:r>
      <w:r w:rsidR="00CA64BE">
        <w:t>e</w:t>
      </w:r>
      <w:r w:rsidRPr="00A41D7C">
        <w:t xml:space="preserve"> abbreviated </w:t>
      </w:r>
      <w:r w:rsidR="00CA64BE">
        <w:t>words</w:t>
      </w:r>
      <w:r w:rsidRPr="00A41D7C">
        <w:t xml:space="preserve"> </w:t>
      </w:r>
      <w:r w:rsidRPr="00CA64BE">
        <w:rPr>
          <w:i/>
        </w:rPr>
        <w:t>nec¯ria</w:t>
      </w:r>
      <w:r w:rsidRPr="00A41D7C">
        <w:t xml:space="preserve"> </w:t>
      </w:r>
      <w:r w:rsidR="00CA64BE">
        <w:t xml:space="preserve">and </w:t>
      </w:r>
      <w:r w:rsidR="00CA64BE" w:rsidRPr="00CA64BE">
        <w:rPr>
          <w:i/>
        </w:rPr>
        <w:t>an¯</w:t>
      </w:r>
      <w:r w:rsidR="00CA64BE">
        <w:t xml:space="preserve">, </w:t>
      </w:r>
      <w:r w:rsidRPr="00A41D7C">
        <w:t xml:space="preserve">but the BL </w:t>
      </w:r>
      <w:r>
        <w:t>C</w:t>
      </w:r>
      <w:r w:rsidR="00CA64BE">
        <w:t xml:space="preserve">ii </w:t>
      </w:r>
      <w:r w:rsidRPr="00A41D7C">
        <w:t>copy has the full</w:t>
      </w:r>
      <w:r w:rsidR="00CA64BE">
        <w:t>y written</w:t>
      </w:r>
      <w:r w:rsidRPr="00A41D7C">
        <w:t xml:space="preserve"> </w:t>
      </w:r>
      <w:r w:rsidRPr="00CA64BE">
        <w:rPr>
          <w:i/>
        </w:rPr>
        <w:t xml:space="preserve">necessaria </w:t>
      </w:r>
      <w:r w:rsidRPr="00A41D7C">
        <w:t xml:space="preserve">and </w:t>
      </w:r>
      <w:r w:rsidRPr="00CA64BE">
        <w:rPr>
          <w:i/>
        </w:rPr>
        <w:t>ante</w:t>
      </w:r>
      <w:r w:rsidR="00CA64BE">
        <w:t>.</w:t>
      </w:r>
    </w:p>
    <w:p w:rsidR="006E1F7B" w:rsidRDefault="00CA64BE" w:rsidP="0096100C">
      <w:pPr>
        <w:jc w:val="both"/>
        <w:rPr>
          <w:rFonts w:cstheme="minorHAnsi"/>
        </w:rPr>
      </w:pPr>
      <w:r w:rsidRPr="00CA64BE">
        <w:rPr>
          <w:rFonts w:cstheme="minorHAnsi"/>
        </w:rPr>
        <w:t>1</w:t>
      </w:r>
      <w:r>
        <w:rPr>
          <w:rFonts w:cstheme="minorHAnsi"/>
        </w:rPr>
        <w:t>3</w:t>
      </w:r>
      <w:r w:rsidR="006E1F7B" w:rsidRPr="00CA64BE">
        <w:rPr>
          <w:rFonts w:cstheme="minorHAnsi"/>
        </w:rPr>
        <w:t xml:space="preserve">  </w:t>
      </w:r>
      <w:r w:rsidRPr="00CA64BE">
        <w:rPr>
          <w:rFonts w:cstheme="minorHAnsi"/>
        </w:rPr>
        <w:t xml:space="preserve">The </w:t>
      </w:r>
      <w:r w:rsidR="006E1F7B" w:rsidRPr="00CA64BE">
        <w:rPr>
          <w:rFonts w:cstheme="minorHAnsi"/>
        </w:rPr>
        <w:t xml:space="preserve">word </w:t>
      </w:r>
      <w:r w:rsidR="006E1F7B" w:rsidRPr="00CA64BE">
        <w:rPr>
          <w:rFonts w:cstheme="minorHAnsi"/>
          <w:i/>
        </w:rPr>
        <w:t>observabimus</w:t>
      </w:r>
      <w:r w:rsidR="006E1F7B" w:rsidRPr="00CA64BE">
        <w:rPr>
          <w:rFonts w:cstheme="minorHAnsi"/>
        </w:rPr>
        <w:t xml:space="preserve"> is carried over two line</w:t>
      </w:r>
      <w:r w:rsidR="005B35EF">
        <w:rPr>
          <w:rFonts w:cstheme="minorHAnsi"/>
        </w:rPr>
        <w:t>s</w:t>
      </w:r>
      <w:r w:rsidR="006E1F7B" w:rsidRPr="00CA64BE">
        <w:rPr>
          <w:rFonts w:cstheme="minorHAnsi"/>
        </w:rPr>
        <w:t xml:space="preserve"> on the Salisbury copy</w:t>
      </w:r>
    </w:p>
    <w:p w:rsidR="00A315AC" w:rsidRDefault="00A315AC" w:rsidP="0096100C">
      <w:pPr>
        <w:jc w:val="both"/>
        <w:rPr>
          <w:rFonts w:cstheme="minorHAnsi"/>
        </w:rPr>
      </w:pPr>
    </w:p>
    <w:p w:rsidR="005C0877" w:rsidRDefault="005C0877" w:rsidP="0096100C">
      <w:pPr>
        <w:jc w:val="both"/>
        <w:rPr>
          <w:rFonts w:cstheme="minorHAnsi"/>
        </w:rPr>
      </w:pPr>
    </w:p>
    <w:p w:rsidR="005C0877" w:rsidRDefault="005C0877" w:rsidP="0096100C">
      <w:pPr>
        <w:jc w:val="both"/>
        <w:rPr>
          <w:rFonts w:cstheme="minorHAnsi"/>
        </w:rPr>
      </w:pPr>
    </w:p>
    <w:p w:rsidR="005C0877" w:rsidRDefault="005C0877" w:rsidP="0096100C">
      <w:pPr>
        <w:jc w:val="both"/>
        <w:rPr>
          <w:rFonts w:cstheme="minorHAnsi"/>
        </w:rPr>
      </w:pPr>
    </w:p>
    <w:p w:rsidR="005C0877" w:rsidRDefault="005C0877" w:rsidP="0096100C">
      <w:pPr>
        <w:jc w:val="both"/>
        <w:rPr>
          <w:rFonts w:cstheme="minorHAnsi"/>
        </w:rPr>
      </w:pPr>
    </w:p>
    <w:p w:rsidR="005C0877" w:rsidRDefault="005C0877" w:rsidP="0096100C">
      <w:pPr>
        <w:jc w:val="both"/>
        <w:rPr>
          <w:rFonts w:cstheme="minorHAnsi"/>
        </w:rPr>
      </w:pPr>
    </w:p>
    <w:p w:rsidR="005C0877" w:rsidRDefault="005C0877" w:rsidP="0096100C">
      <w:pPr>
        <w:jc w:val="both"/>
        <w:rPr>
          <w:rFonts w:cstheme="minorHAnsi"/>
        </w:rPr>
      </w:pPr>
    </w:p>
    <w:p w:rsidR="005C0877" w:rsidRDefault="005C0877" w:rsidP="005C0877">
      <w:pPr>
        <w:jc w:val="both"/>
        <w:rPr>
          <w:rFonts w:cstheme="minorHAnsi"/>
          <w:b/>
        </w:rPr>
      </w:pPr>
      <w:r w:rsidRPr="000D7115">
        <w:rPr>
          <w:rFonts w:cstheme="minorHAnsi"/>
          <w:b/>
        </w:rPr>
        <w:lastRenderedPageBreak/>
        <w:t>Secondary Sources</w:t>
      </w:r>
    </w:p>
    <w:p w:rsidR="00024884" w:rsidRPr="00024884" w:rsidRDefault="00024884" w:rsidP="005C0877">
      <w:pPr>
        <w:jc w:val="both"/>
        <w:rPr>
          <w:rFonts w:cstheme="minorHAnsi"/>
        </w:rPr>
      </w:pPr>
      <w:r w:rsidRPr="00836150">
        <w:rPr>
          <w:rFonts w:cstheme="minorHAnsi"/>
        </w:rPr>
        <w:t>Cappelli, A</w:t>
      </w:r>
      <w:r>
        <w:rPr>
          <w:rFonts w:cstheme="minorHAnsi"/>
          <w:i/>
        </w:rPr>
        <w:t>., Lexicon Abbreviaturarum</w:t>
      </w:r>
      <w:r>
        <w:rPr>
          <w:rFonts w:cstheme="minorHAnsi"/>
        </w:rPr>
        <w:t>, (Verlag</w:t>
      </w:r>
      <w:bookmarkStart w:id="0" w:name="_GoBack"/>
      <w:bookmarkEnd w:id="0"/>
      <w:r>
        <w:rPr>
          <w:rFonts w:cstheme="minorHAnsi"/>
        </w:rPr>
        <w:t>sbuchhandlung von J.J. Weber, Leipzig, 1928)</w:t>
      </w:r>
    </w:p>
    <w:p w:rsidR="000D7115" w:rsidRDefault="000D7115" w:rsidP="000D7115">
      <w:pPr>
        <w:jc w:val="both"/>
        <w:rPr>
          <w:rFonts w:cstheme="minorHAnsi"/>
        </w:rPr>
      </w:pPr>
      <w:r w:rsidRPr="000D7115">
        <w:rPr>
          <w:rFonts w:cstheme="minorHAnsi"/>
        </w:rPr>
        <w:t>Carpenter</w:t>
      </w:r>
      <w:r>
        <w:rPr>
          <w:rFonts w:cstheme="minorHAnsi"/>
        </w:rPr>
        <w:t>, D.</w:t>
      </w:r>
      <w:r w:rsidRPr="000D7115">
        <w:rPr>
          <w:rFonts w:cstheme="minorHAnsi"/>
        </w:rPr>
        <w:t xml:space="preserve">, </w:t>
      </w:r>
      <w:r w:rsidRPr="000D7115">
        <w:rPr>
          <w:rFonts w:cstheme="minorHAnsi"/>
          <w:i/>
        </w:rPr>
        <w:t>Magna Carta</w:t>
      </w:r>
      <w:r w:rsidRPr="000D7115">
        <w:rPr>
          <w:rFonts w:cstheme="minorHAnsi"/>
        </w:rPr>
        <w:t xml:space="preserve">, (Penguin, London, 2015) </w:t>
      </w:r>
    </w:p>
    <w:p w:rsidR="000D7115" w:rsidRDefault="000D7115" w:rsidP="000D7115">
      <w:pPr>
        <w:jc w:val="both"/>
        <w:rPr>
          <w:rFonts w:cstheme="minorHAnsi"/>
          <w:b/>
        </w:rPr>
      </w:pPr>
    </w:p>
    <w:p w:rsidR="000D7115" w:rsidRPr="000D7115" w:rsidRDefault="000D7115" w:rsidP="000D7115">
      <w:pPr>
        <w:jc w:val="both"/>
        <w:rPr>
          <w:rFonts w:cstheme="minorHAnsi"/>
          <w:b/>
        </w:rPr>
      </w:pPr>
      <w:r w:rsidRPr="000D7115">
        <w:rPr>
          <w:rFonts w:cstheme="minorHAnsi"/>
          <w:b/>
        </w:rPr>
        <w:t>Electronic Sources</w:t>
      </w:r>
    </w:p>
    <w:p w:rsidR="000D7115" w:rsidRDefault="000D7115" w:rsidP="000D7115">
      <w:pPr>
        <w:rPr>
          <w:rFonts w:cstheme="minorHAnsi"/>
        </w:rPr>
      </w:pPr>
      <w:r w:rsidRPr="000D7115">
        <w:rPr>
          <w:rFonts w:cstheme="minorHAnsi"/>
        </w:rPr>
        <w:t xml:space="preserve">‘Consequences of Magna Carta’, </w:t>
      </w:r>
      <w:r>
        <w:rPr>
          <w:rFonts w:cstheme="minorHAnsi"/>
        </w:rPr>
        <w:t xml:space="preserve">Vincent, N., </w:t>
      </w:r>
      <w:r w:rsidRPr="000D7115">
        <w:rPr>
          <w:rFonts w:cstheme="minorHAnsi"/>
          <w:i/>
        </w:rPr>
        <w:t>British Library</w:t>
      </w:r>
      <w:r>
        <w:rPr>
          <w:rFonts w:cstheme="minorHAnsi"/>
          <w:i/>
        </w:rPr>
        <w:t>,</w:t>
      </w:r>
      <w:r w:rsidRPr="000D7115">
        <w:rPr>
          <w:rFonts w:cstheme="minorHAnsi"/>
        </w:rPr>
        <w:t xml:space="preserve"> </w:t>
      </w:r>
      <w:hyperlink r:id="rId10" w:history="1">
        <w:r w:rsidRPr="00860D45">
          <w:rPr>
            <w:rStyle w:val="Hyperlink"/>
            <w:rFonts w:cstheme="minorHAnsi"/>
          </w:rPr>
          <w:t>www.bl.uk/magna-carta/articles/</w:t>
        </w:r>
      </w:hyperlink>
      <w:r>
        <w:rPr>
          <w:rFonts w:cstheme="minorHAnsi"/>
        </w:rPr>
        <w:t xml:space="preserve"> </w:t>
      </w:r>
      <w:r w:rsidRPr="000D7115">
        <w:rPr>
          <w:rFonts w:cstheme="minorHAnsi"/>
          <w:color w:val="0070C0"/>
          <w:u w:val="single"/>
        </w:rPr>
        <w:t>consequences-of-magna-carta</w:t>
      </w:r>
      <w:r w:rsidRPr="000D7115">
        <w:rPr>
          <w:rFonts w:cstheme="minorHAnsi"/>
          <w:color w:val="0070C0"/>
        </w:rPr>
        <w:t xml:space="preserve"> </w:t>
      </w:r>
      <w:r w:rsidRPr="000D7115">
        <w:rPr>
          <w:rFonts w:cstheme="minorHAnsi"/>
        </w:rPr>
        <w:t>[accessed 5 January 2021]</w:t>
      </w:r>
    </w:p>
    <w:p w:rsidR="000D23A4" w:rsidRDefault="000D23A4" w:rsidP="000D23A4">
      <w:pPr>
        <w:rPr>
          <w:rFonts w:cstheme="minorHAnsi"/>
        </w:rPr>
      </w:pPr>
      <w:r w:rsidRPr="000D23A4">
        <w:rPr>
          <w:rFonts w:cstheme="minorHAnsi"/>
        </w:rPr>
        <w:t xml:space="preserve">‘The David P. J. Ross Magna Carta Vault’, Historic Lincoln Trust </w:t>
      </w:r>
      <w:hyperlink r:id="rId11" w:history="1">
        <w:r w:rsidRPr="00860D45">
          <w:rPr>
            <w:rStyle w:val="Hyperlink"/>
            <w:rFonts w:cstheme="minorHAnsi"/>
          </w:rPr>
          <w:t>www.historiclincolntrust.org.uk/about/castle/plans-for-magna-carta-vault/</w:t>
        </w:r>
      </w:hyperlink>
      <w:r w:rsidRPr="000D23A4">
        <w:rPr>
          <w:rFonts w:cstheme="minorHAnsi"/>
        </w:rPr>
        <w:t xml:space="preserve"> [accessed 7 January 2021]</w:t>
      </w:r>
    </w:p>
    <w:p w:rsidR="00D9537C" w:rsidRDefault="00D9537C" w:rsidP="005C0877">
      <w:pPr>
        <w:jc w:val="both"/>
        <w:rPr>
          <w:rFonts w:cstheme="minorHAnsi"/>
        </w:rPr>
      </w:pPr>
      <w:r>
        <w:rPr>
          <w:rFonts w:cstheme="minorHAnsi"/>
        </w:rPr>
        <w:t xml:space="preserve">‘Magna Carta 1215’, </w:t>
      </w:r>
      <w:r w:rsidRPr="00D9537C">
        <w:rPr>
          <w:rFonts w:cstheme="minorHAnsi"/>
        </w:rPr>
        <w:t>Cotton MS Augustus ii.106</w:t>
      </w:r>
      <w:r>
        <w:rPr>
          <w:rFonts w:cstheme="minorHAnsi"/>
        </w:rPr>
        <w:t>,</w:t>
      </w:r>
      <w:r w:rsidR="00F82DE4">
        <w:rPr>
          <w:rFonts w:cstheme="minorHAnsi"/>
        </w:rPr>
        <w:t xml:space="preserve"> </w:t>
      </w:r>
      <w:r w:rsidR="00F82DE4" w:rsidRPr="00F82DE4">
        <w:rPr>
          <w:rFonts w:cstheme="minorHAnsi"/>
          <w:i/>
        </w:rPr>
        <w:t>British Library</w:t>
      </w:r>
      <w:r>
        <w:rPr>
          <w:rFonts w:cstheme="minorHAnsi"/>
        </w:rPr>
        <w:t xml:space="preserve"> </w:t>
      </w:r>
      <w:hyperlink r:id="rId12" w:history="1">
        <w:r w:rsidRPr="00860D45">
          <w:rPr>
            <w:rStyle w:val="Hyperlink"/>
            <w:rFonts w:cstheme="minorHAnsi"/>
          </w:rPr>
          <w:t>www.bl.uk/collection-items/magna-carta-1215</w:t>
        </w:r>
      </w:hyperlink>
      <w:r>
        <w:rPr>
          <w:rFonts w:cstheme="minorHAnsi"/>
        </w:rPr>
        <w:t xml:space="preserve">   </w:t>
      </w:r>
      <w:r w:rsidRPr="00D9537C">
        <w:rPr>
          <w:rFonts w:cstheme="minorHAnsi"/>
        </w:rPr>
        <w:t>[accessed 5 January 2021]</w:t>
      </w:r>
    </w:p>
    <w:p w:rsidR="00C47C51" w:rsidRPr="005C0877" w:rsidRDefault="00C47C51" w:rsidP="00C47C51">
      <w:pPr>
        <w:rPr>
          <w:rFonts w:cstheme="minorHAnsi"/>
        </w:rPr>
      </w:pPr>
      <w:r w:rsidRPr="00C47C51">
        <w:rPr>
          <w:rFonts w:cstheme="minorHAnsi"/>
        </w:rPr>
        <w:t xml:space="preserve">‘Magna Carta 1225’, The National archives, </w:t>
      </w:r>
      <w:r w:rsidRPr="00C47C51">
        <w:rPr>
          <w:rFonts w:cstheme="minorHAnsi"/>
          <w:color w:val="0070C0"/>
        </w:rPr>
        <w:t xml:space="preserve">www.nationalarchives.gov.uk/education/resources/magna-carta/magna-carta-1225-westminster/ </w:t>
      </w:r>
      <w:r w:rsidRPr="00C47C51">
        <w:rPr>
          <w:rFonts w:cstheme="minorHAnsi"/>
        </w:rPr>
        <w:t>[accessed 6 January 2020]</w:t>
      </w:r>
    </w:p>
    <w:p w:rsidR="00F82DE4" w:rsidRDefault="00F82DE4" w:rsidP="00F82DE4">
      <w:pPr>
        <w:rPr>
          <w:rFonts w:cstheme="minorHAnsi"/>
        </w:rPr>
      </w:pPr>
      <w:r w:rsidRPr="00F82DE4">
        <w:rPr>
          <w:rFonts w:cstheme="minorHAnsi"/>
        </w:rPr>
        <w:t xml:space="preserve">‘Magna Carta and Archives’, Salisbury Cathedral, </w:t>
      </w:r>
      <w:hyperlink r:id="rId13" w:history="1">
        <w:r w:rsidRPr="00860D45">
          <w:rPr>
            <w:rStyle w:val="Hyperlink"/>
            <w:rFonts w:cstheme="minorHAnsi"/>
          </w:rPr>
          <w:t>www.salisburycathedral.org.uk/magna-carta-and-archives</w:t>
        </w:r>
      </w:hyperlink>
      <w:r w:rsidRPr="00F82DE4">
        <w:rPr>
          <w:rFonts w:cstheme="minorHAnsi"/>
        </w:rPr>
        <w:t xml:space="preserve"> [accessed 4 January 2021]</w:t>
      </w:r>
    </w:p>
    <w:p w:rsidR="00D9537C" w:rsidRPr="00F82DE4" w:rsidRDefault="00F82DE4" w:rsidP="00F82DE4">
      <w:pPr>
        <w:rPr>
          <w:rFonts w:cstheme="minorHAnsi"/>
        </w:rPr>
      </w:pPr>
      <w:r w:rsidRPr="00F82DE4">
        <w:rPr>
          <w:rFonts w:cstheme="minorHAnsi"/>
        </w:rPr>
        <w:t>‘The Scribes of the Salisbury Magna Carta’, Treharne, E</w:t>
      </w:r>
      <w:r>
        <w:rPr>
          <w:rFonts w:cstheme="minorHAnsi"/>
        </w:rPr>
        <w:t>.</w:t>
      </w:r>
      <w:r w:rsidRPr="00F82DE4">
        <w:rPr>
          <w:rFonts w:cstheme="minorHAnsi"/>
        </w:rPr>
        <w:t xml:space="preserve">, </w:t>
      </w:r>
      <w:r w:rsidRPr="00F82DE4">
        <w:rPr>
          <w:rFonts w:cstheme="minorHAnsi"/>
          <w:i/>
        </w:rPr>
        <w:t>History Today,</w:t>
      </w:r>
      <w:r w:rsidRPr="00F82DE4">
        <w:rPr>
          <w:rFonts w:cstheme="minorHAnsi"/>
        </w:rPr>
        <w:t xml:space="preserve"> </w:t>
      </w:r>
      <w:r w:rsidRPr="00F82DE4">
        <w:rPr>
          <w:rFonts w:cstheme="minorHAnsi"/>
          <w:color w:val="0070C0"/>
          <w:u w:val="single"/>
        </w:rPr>
        <w:t>www.historytoday.com/                      scribes-salisbury-magna-carta</w:t>
      </w:r>
      <w:r w:rsidRPr="00F82DE4">
        <w:rPr>
          <w:rFonts w:cstheme="minorHAnsi"/>
          <w:color w:val="0070C0"/>
        </w:rPr>
        <w:t xml:space="preserve"> </w:t>
      </w:r>
      <w:r w:rsidRPr="00F82DE4">
        <w:rPr>
          <w:rFonts w:cstheme="minorHAnsi"/>
        </w:rPr>
        <w:t xml:space="preserve">[accessed </w:t>
      </w:r>
      <w:r>
        <w:rPr>
          <w:rFonts w:cstheme="minorHAnsi"/>
        </w:rPr>
        <w:t>4</w:t>
      </w:r>
      <w:r w:rsidRPr="00F82DE4">
        <w:rPr>
          <w:rFonts w:cstheme="minorHAnsi"/>
        </w:rPr>
        <w:t xml:space="preserve"> January 2021]</w:t>
      </w:r>
    </w:p>
    <w:p w:rsidR="00024884" w:rsidRDefault="00024884" w:rsidP="00C47C51">
      <w:pPr>
        <w:rPr>
          <w:rFonts w:cstheme="minorHAnsi"/>
        </w:rPr>
      </w:pPr>
    </w:p>
    <w:p w:rsidR="00024884" w:rsidRDefault="00024884" w:rsidP="005C0877">
      <w:pPr>
        <w:jc w:val="both"/>
        <w:rPr>
          <w:rFonts w:cstheme="minorHAnsi"/>
        </w:rPr>
      </w:pPr>
    </w:p>
    <w:p w:rsidR="00024884" w:rsidRDefault="00024884" w:rsidP="005C0877">
      <w:pPr>
        <w:jc w:val="both"/>
        <w:rPr>
          <w:rFonts w:cstheme="minorHAnsi"/>
        </w:rPr>
      </w:pPr>
    </w:p>
    <w:sectPr w:rsidR="000248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3C4" w:rsidRDefault="005663C4" w:rsidP="005663C4">
      <w:pPr>
        <w:spacing w:after="0" w:line="240" w:lineRule="auto"/>
      </w:pPr>
      <w:r>
        <w:separator/>
      </w:r>
    </w:p>
  </w:endnote>
  <w:endnote w:type="continuationSeparator" w:id="0">
    <w:p w:rsidR="005663C4" w:rsidRDefault="005663C4" w:rsidP="0056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3C4" w:rsidRDefault="005663C4" w:rsidP="005663C4">
      <w:pPr>
        <w:spacing w:after="0" w:line="240" w:lineRule="auto"/>
      </w:pPr>
      <w:r>
        <w:separator/>
      </w:r>
    </w:p>
  </w:footnote>
  <w:footnote w:type="continuationSeparator" w:id="0">
    <w:p w:rsidR="005663C4" w:rsidRDefault="005663C4" w:rsidP="005663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7D5"/>
    <w:rsid w:val="00000168"/>
    <w:rsid w:val="000239F2"/>
    <w:rsid w:val="00024884"/>
    <w:rsid w:val="00032329"/>
    <w:rsid w:val="00070250"/>
    <w:rsid w:val="000B2F0F"/>
    <w:rsid w:val="000C18CD"/>
    <w:rsid w:val="000C3B80"/>
    <w:rsid w:val="000D23A4"/>
    <w:rsid w:val="000D7115"/>
    <w:rsid w:val="00101050"/>
    <w:rsid w:val="00111A8C"/>
    <w:rsid w:val="00133971"/>
    <w:rsid w:val="00155D39"/>
    <w:rsid w:val="001939FA"/>
    <w:rsid w:val="001A489D"/>
    <w:rsid w:val="001C1285"/>
    <w:rsid w:val="001C26D1"/>
    <w:rsid w:val="001E34EC"/>
    <w:rsid w:val="00204AB6"/>
    <w:rsid w:val="00212BE7"/>
    <w:rsid w:val="00263DEC"/>
    <w:rsid w:val="00265EEF"/>
    <w:rsid w:val="00270CB4"/>
    <w:rsid w:val="002F6B05"/>
    <w:rsid w:val="00325834"/>
    <w:rsid w:val="00345E52"/>
    <w:rsid w:val="00366580"/>
    <w:rsid w:val="00367B72"/>
    <w:rsid w:val="003A3DDB"/>
    <w:rsid w:val="004071DB"/>
    <w:rsid w:val="0042063D"/>
    <w:rsid w:val="00443549"/>
    <w:rsid w:val="00452F69"/>
    <w:rsid w:val="0045695A"/>
    <w:rsid w:val="004600FE"/>
    <w:rsid w:val="004A4F18"/>
    <w:rsid w:val="004C0D53"/>
    <w:rsid w:val="004D0100"/>
    <w:rsid w:val="004D0511"/>
    <w:rsid w:val="004F7A11"/>
    <w:rsid w:val="00502B6D"/>
    <w:rsid w:val="00522F82"/>
    <w:rsid w:val="00524255"/>
    <w:rsid w:val="00526E69"/>
    <w:rsid w:val="00562B28"/>
    <w:rsid w:val="00563EE7"/>
    <w:rsid w:val="005650B0"/>
    <w:rsid w:val="005663C4"/>
    <w:rsid w:val="005766CD"/>
    <w:rsid w:val="00582CDA"/>
    <w:rsid w:val="00584BA3"/>
    <w:rsid w:val="005977EA"/>
    <w:rsid w:val="005B35EF"/>
    <w:rsid w:val="005C0877"/>
    <w:rsid w:val="005C1961"/>
    <w:rsid w:val="005C4D9E"/>
    <w:rsid w:val="005E0538"/>
    <w:rsid w:val="005E0D96"/>
    <w:rsid w:val="005F0392"/>
    <w:rsid w:val="00631DC6"/>
    <w:rsid w:val="006771CB"/>
    <w:rsid w:val="00696D5E"/>
    <w:rsid w:val="006D1431"/>
    <w:rsid w:val="006D2A17"/>
    <w:rsid w:val="006E1F7B"/>
    <w:rsid w:val="006F2D21"/>
    <w:rsid w:val="00752267"/>
    <w:rsid w:val="00795189"/>
    <w:rsid w:val="007A6546"/>
    <w:rsid w:val="007B0725"/>
    <w:rsid w:val="007B6AA5"/>
    <w:rsid w:val="007C669E"/>
    <w:rsid w:val="00801E3D"/>
    <w:rsid w:val="00836150"/>
    <w:rsid w:val="008907B6"/>
    <w:rsid w:val="008918B8"/>
    <w:rsid w:val="00897BD4"/>
    <w:rsid w:val="008F7C9B"/>
    <w:rsid w:val="00902307"/>
    <w:rsid w:val="00902E9B"/>
    <w:rsid w:val="00933DDB"/>
    <w:rsid w:val="0096100C"/>
    <w:rsid w:val="009968CE"/>
    <w:rsid w:val="009D0B9E"/>
    <w:rsid w:val="009D25CC"/>
    <w:rsid w:val="00A135EB"/>
    <w:rsid w:val="00A236DD"/>
    <w:rsid w:val="00A2495C"/>
    <w:rsid w:val="00A262C3"/>
    <w:rsid w:val="00A315AC"/>
    <w:rsid w:val="00A41D7C"/>
    <w:rsid w:val="00A447D5"/>
    <w:rsid w:val="00A51C3E"/>
    <w:rsid w:val="00A82BB6"/>
    <w:rsid w:val="00AD003B"/>
    <w:rsid w:val="00AD71D4"/>
    <w:rsid w:val="00AE2531"/>
    <w:rsid w:val="00B73754"/>
    <w:rsid w:val="00BC25D1"/>
    <w:rsid w:val="00BD52E8"/>
    <w:rsid w:val="00BF1920"/>
    <w:rsid w:val="00C10202"/>
    <w:rsid w:val="00C13920"/>
    <w:rsid w:val="00C24DE5"/>
    <w:rsid w:val="00C438EB"/>
    <w:rsid w:val="00C47C51"/>
    <w:rsid w:val="00C706B8"/>
    <w:rsid w:val="00C74C1B"/>
    <w:rsid w:val="00C82441"/>
    <w:rsid w:val="00C948DD"/>
    <w:rsid w:val="00CA64BE"/>
    <w:rsid w:val="00CD5215"/>
    <w:rsid w:val="00CF0C8F"/>
    <w:rsid w:val="00D20A3D"/>
    <w:rsid w:val="00D4212D"/>
    <w:rsid w:val="00D55C04"/>
    <w:rsid w:val="00D9537C"/>
    <w:rsid w:val="00DA5A6B"/>
    <w:rsid w:val="00DB52E7"/>
    <w:rsid w:val="00DF1FE6"/>
    <w:rsid w:val="00E32B21"/>
    <w:rsid w:val="00E44054"/>
    <w:rsid w:val="00E51797"/>
    <w:rsid w:val="00E56B51"/>
    <w:rsid w:val="00EB7BF9"/>
    <w:rsid w:val="00EF119B"/>
    <w:rsid w:val="00EF7A29"/>
    <w:rsid w:val="00F34B30"/>
    <w:rsid w:val="00F7066E"/>
    <w:rsid w:val="00F82DE4"/>
    <w:rsid w:val="00F90A67"/>
    <w:rsid w:val="00F92685"/>
    <w:rsid w:val="00FA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8336E"/>
  <w15:chartTrackingRefBased/>
  <w15:docId w15:val="{FEFC173D-3763-4F98-96E3-01CA9CE8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3C4"/>
  </w:style>
  <w:style w:type="paragraph" w:styleId="Footer">
    <w:name w:val="footer"/>
    <w:basedOn w:val="Normal"/>
    <w:link w:val="FooterChar"/>
    <w:uiPriority w:val="99"/>
    <w:unhideWhenUsed/>
    <w:rsid w:val="00566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3C4"/>
  </w:style>
  <w:style w:type="character" w:styleId="Hyperlink">
    <w:name w:val="Hyperlink"/>
    <w:basedOn w:val="DefaultParagraphFont"/>
    <w:uiPriority w:val="99"/>
    <w:unhideWhenUsed/>
    <w:rsid w:val="00443549"/>
    <w:rPr>
      <w:color w:val="0563C1" w:themeColor="hyperlink"/>
      <w:u w:val="single"/>
    </w:rPr>
  </w:style>
  <w:style w:type="character" w:styleId="FollowedHyperlink">
    <w:name w:val="FollowedHyperlink"/>
    <w:basedOn w:val="DefaultParagraphFont"/>
    <w:uiPriority w:val="99"/>
    <w:semiHidden/>
    <w:unhideWhenUsed/>
    <w:rsid w:val="000D23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uk/magna-carta/" TargetMode="External"/><Relationship Id="rId13" Type="http://schemas.openxmlformats.org/officeDocument/2006/relationships/hyperlink" Target="http://www.salisburycathedral.org.uk/magna-carta-and-archiv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l.uk/collection-items/magna-carta-12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istoriclincolntrust.org.uk/about/castle/plans-for-magna-carta-vau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l.uk/magna-carta/articles/" TargetMode="External"/><Relationship Id="rId4" Type="http://schemas.openxmlformats.org/officeDocument/2006/relationships/webSettings" Target="webSettings.xml"/><Relationship Id="rId9" Type="http://schemas.openxmlformats.org/officeDocument/2006/relationships/hyperlink" Target="http://www.historytoday.com/scribes-salisbury-magna-car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0D163-0681-40B7-B318-8CC4A1D25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10435</TotalTime>
  <Pages>7</Pages>
  <Words>2140</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38</cp:revision>
  <dcterms:created xsi:type="dcterms:W3CDTF">2020-12-28T12:16:00Z</dcterms:created>
  <dcterms:modified xsi:type="dcterms:W3CDTF">2021-01-07T21:31:00Z</dcterms:modified>
</cp:coreProperties>
</file>