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7407AD" w14:textId="77777777" w:rsidR="00952C3B" w:rsidRPr="0034557E" w:rsidRDefault="00952C3B" w:rsidP="00952C3B">
      <w:pPr>
        <w:tabs>
          <w:tab w:val="left" w:pos="0"/>
        </w:tabs>
        <w:suppressAutoHyphens/>
        <w:jc w:val="both"/>
        <w:rPr>
          <w:i/>
          <w:iCs/>
          <w:spacing w:val="-3"/>
          <w:sz w:val="28"/>
          <w:szCs w:val="28"/>
        </w:rPr>
      </w:pPr>
      <w:r w:rsidRPr="0034557E">
        <w:rPr>
          <w:i/>
          <w:iCs/>
          <w:sz w:val="28"/>
          <w:szCs w:val="28"/>
        </w:rPr>
        <w:t xml:space="preserve">(a) </w:t>
      </w:r>
      <w:r w:rsidRPr="0034557E">
        <w:rPr>
          <w:i/>
          <w:iCs/>
          <w:spacing w:val="-3"/>
          <w:sz w:val="28"/>
          <w:szCs w:val="28"/>
        </w:rPr>
        <w:t>Memorandum that the Thursday after the Assumption of the Blessed Virgin Mary in the 8</w:t>
      </w:r>
      <w:r w:rsidRPr="0034557E">
        <w:rPr>
          <w:i/>
          <w:iCs/>
          <w:spacing w:val="-3"/>
          <w:sz w:val="28"/>
          <w:szCs w:val="28"/>
          <w:vertAlign w:val="superscript"/>
        </w:rPr>
        <w:t>th</w:t>
      </w:r>
      <w:r w:rsidRPr="0034557E">
        <w:rPr>
          <w:i/>
          <w:iCs/>
          <w:spacing w:val="-3"/>
          <w:sz w:val="28"/>
          <w:szCs w:val="28"/>
        </w:rPr>
        <w:t xml:space="preserve"> year of King Richard II the abbot of Byland was accused in the wapentake court held at Pickering.</w:t>
      </w:r>
    </w:p>
    <w:p w14:paraId="34B916A7" w14:textId="341896BB" w:rsidR="00952C3B" w:rsidRDefault="00993D38" w:rsidP="003E678F">
      <w:pPr>
        <w:tabs>
          <w:tab w:val="left" w:pos="0"/>
        </w:tabs>
        <w:suppressAutoHyphens/>
        <w:jc w:val="both"/>
        <w:rPr>
          <w:sz w:val="28"/>
          <w:szCs w:val="28"/>
        </w:rPr>
      </w:pPr>
      <w:r w:rsidRPr="00993D38">
        <w:rPr>
          <w:sz w:val="28"/>
          <w:szCs w:val="28"/>
        </w:rPr>
        <w:t xml:space="preserve">The </w:t>
      </w:r>
      <w:r>
        <w:rPr>
          <w:sz w:val="28"/>
          <w:szCs w:val="28"/>
        </w:rPr>
        <w:t>first thing I did while tackling this passage was find the regnal years of Richard II. Logically, I believed it made sense to work backwards and narrow down the larger spaces of time first, therefore working on the year. I found the years of reign for Richard II to be 1377 to 1399.</w:t>
      </w:r>
      <w:r>
        <w:rPr>
          <w:rStyle w:val="FootnoteReference"/>
          <w:sz w:val="28"/>
          <w:szCs w:val="28"/>
        </w:rPr>
        <w:footnoteReference w:id="1"/>
      </w:r>
      <w:r>
        <w:rPr>
          <w:sz w:val="28"/>
          <w:szCs w:val="28"/>
        </w:rPr>
        <w:t xml:space="preserve"> I then found a second source to check these dates to make sure they were correct.</w:t>
      </w:r>
      <w:r>
        <w:rPr>
          <w:rStyle w:val="FootnoteReference"/>
          <w:sz w:val="28"/>
          <w:szCs w:val="28"/>
        </w:rPr>
        <w:footnoteReference w:id="2"/>
      </w:r>
      <w:r>
        <w:rPr>
          <w:sz w:val="28"/>
          <w:szCs w:val="28"/>
        </w:rPr>
        <w:t xml:space="preserve"> I then worked out the eight year of Richard II’s reign, taking into account his coronation day, and working this year out to be 1384. </w:t>
      </w:r>
    </w:p>
    <w:p w14:paraId="2E5B4DF7" w14:textId="4F9F354E" w:rsidR="00993D38" w:rsidRDefault="00993D38" w:rsidP="003E678F">
      <w:pPr>
        <w:tabs>
          <w:tab w:val="left" w:pos="0"/>
        </w:tabs>
        <w:suppressAutoHyphens/>
        <w:jc w:val="both"/>
        <w:rPr>
          <w:sz w:val="28"/>
          <w:szCs w:val="28"/>
        </w:rPr>
      </w:pPr>
      <w:r>
        <w:rPr>
          <w:sz w:val="28"/>
          <w:szCs w:val="28"/>
        </w:rPr>
        <w:t>Next, I researched the Assumption of the Blessed Virgin Mary, and found that it is a fixed date event, always held on the 15</w:t>
      </w:r>
      <w:r w:rsidRPr="00993D38">
        <w:rPr>
          <w:sz w:val="28"/>
          <w:szCs w:val="28"/>
          <w:vertAlign w:val="superscript"/>
        </w:rPr>
        <w:t>th</w:t>
      </w:r>
      <w:r>
        <w:rPr>
          <w:sz w:val="28"/>
          <w:szCs w:val="28"/>
        </w:rPr>
        <w:t xml:space="preserve"> August.</w:t>
      </w:r>
      <w:r>
        <w:rPr>
          <w:rStyle w:val="FootnoteReference"/>
          <w:sz w:val="28"/>
          <w:szCs w:val="28"/>
        </w:rPr>
        <w:footnoteReference w:id="3"/>
      </w:r>
      <w:r>
        <w:rPr>
          <w:sz w:val="28"/>
          <w:szCs w:val="28"/>
        </w:rPr>
        <w:t xml:space="preserve"> Since this information was found on a Saint’s Day literature, I again double checked the date against a secondary source.</w:t>
      </w:r>
      <w:r>
        <w:rPr>
          <w:rStyle w:val="FootnoteReference"/>
          <w:sz w:val="28"/>
          <w:szCs w:val="28"/>
        </w:rPr>
        <w:footnoteReference w:id="4"/>
      </w:r>
      <w:r>
        <w:rPr>
          <w:sz w:val="28"/>
          <w:szCs w:val="28"/>
        </w:rPr>
        <w:t xml:space="preserve"> </w:t>
      </w:r>
    </w:p>
    <w:p w14:paraId="29CCD8E3" w14:textId="63A59E7B" w:rsidR="00993D38" w:rsidRDefault="00993D38" w:rsidP="003E678F">
      <w:pPr>
        <w:tabs>
          <w:tab w:val="left" w:pos="0"/>
        </w:tabs>
        <w:suppressAutoHyphens/>
        <w:jc w:val="both"/>
        <w:rPr>
          <w:sz w:val="28"/>
          <w:szCs w:val="28"/>
        </w:rPr>
      </w:pPr>
      <w:r>
        <w:rPr>
          <w:sz w:val="28"/>
          <w:szCs w:val="28"/>
        </w:rPr>
        <w:t>I now know that I am looking for the Thursday after 15</w:t>
      </w:r>
      <w:r w:rsidRPr="00993D38">
        <w:rPr>
          <w:sz w:val="28"/>
          <w:szCs w:val="28"/>
          <w:vertAlign w:val="superscript"/>
        </w:rPr>
        <w:t>th</w:t>
      </w:r>
      <w:r>
        <w:rPr>
          <w:sz w:val="28"/>
          <w:szCs w:val="28"/>
        </w:rPr>
        <w:t xml:space="preserve"> August 1384. And so I set out to find what day of the week 15</w:t>
      </w:r>
      <w:r w:rsidRPr="00993D38">
        <w:rPr>
          <w:sz w:val="28"/>
          <w:szCs w:val="28"/>
          <w:vertAlign w:val="superscript"/>
        </w:rPr>
        <w:t>th</w:t>
      </w:r>
      <w:r>
        <w:rPr>
          <w:sz w:val="28"/>
          <w:szCs w:val="28"/>
        </w:rPr>
        <w:t xml:space="preserve"> August of that year fell on. This is something I struggled with as I could not find a source that dated this event. In the end, I found the date of Easter on the same year, and counted onwards, which was a tedious process. Easter </w:t>
      </w:r>
      <w:r w:rsidR="00F02E8A">
        <w:rPr>
          <w:sz w:val="28"/>
          <w:szCs w:val="28"/>
        </w:rPr>
        <w:t>Sunday was 10</w:t>
      </w:r>
      <w:r w:rsidR="00F02E8A" w:rsidRPr="00F02E8A">
        <w:rPr>
          <w:sz w:val="28"/>
          <w:szCs w:val="28"/>
          <w:vertAlign w:val="superscript"/>
        </w:rPr>
        <w:t>th</w:t>
      </w:r>
      <w:r w:rsidR="00F02E8A">
        <w:rPr>
          <w:sz w:val="28"/>
          <w:szCs w:val="28"/>
        </w:rPr>
        <w:t xml:space="preserve"> April 1384,</w:t>
      </w:r>
      <w:r w:rsidR="00F02E8A">
        <w:rPr>
          <w:rStyle w:val="FootnoteReference"/>
          <w:sz w:val="28"/>
          <w:szCs w:val="28"/>
        </w:rPr>
        <w:footnoteReference w:id="5"/>
      </w:r>
      <w:r w:rsidR="00F02E8A">
        <w:rPr>
          <w:sz w:val="28"/>
          <w:szCs w:val="28"/>
        </w:rPr>
        <w:t xml:space="preserve"> I then counted forwards to find the 15</w:t>
      </w:r>
      <w:r w:rsidR="00F02E8A" w:rsidRPr="00F02E8A">
        <w:rPr>
          <w:sz w:val="28"/>
          <w:szCs w:val="28"/>
          <w:vertAlign w:val="superscript"/>
        </w:rPr>
        <w:t>th</w:t>
      </w:r>
      <w:r w:rsidR="00F02E8A">
        <w:rPr>
          <w:sz w:val="28"/>
          <w:szCs w:val="28"/>
        </w:rPr>
        <w:t xml:space="preserve"> August on a Monday. I double checked this against a Medieval calendar website called Medieval Genealogy.</w:t>
      </w:r>
      <w:r w:rsidR="00F02E8A">
        <w:rPr>
          <w:rStyle w:val="FootnoteReference"/>
          <w:sz w:val="28"/>
          <w:szCs w:val="28"/>
        </w:rPr>
        <w:footnoteReference w:id="6"/>
      </w:r>
      <w:r w:rsidR="00F02E8A">
        <w:rPr>
          <w:sz w:val="28"/>
          <w:szCs w:val="28"/>
        </w:rPr>
        <w:t xml:space="preserve"> I did not feel comfortable using this site without checking the date myself, instead used it as validation of my maths as I did not deem it an appropriate secondary source. This site confirmed my dating and therefore I counted onwards from Monday 15</w:t>
      </w:r>
      <w:r w:rsidR="00F02E8A" w:rsidRPr="00F02E8A">
        <w:rPr>
          <w:sz w:val="28"/>
          <w:szCs w:val="28"/>
          <w:vertAlign w:val="superscript"/>
        </w:rPr>
        <w:t>th</w:t>
      </w:r>
      <w:r w:rsidR="00F02E8A">
        <w:rPr>
          <w:sz w:val="28"/>
          <w:szCs w:val="28"/>
        </w:rPr>
        <w:t xml:space="preserve"> August to the next Thursday. </w:t>
      </w:r>
    </w:p>
    <w:p w14:paraId="63BDAEBF" w14:textId="0675B7DA" w:rsidR="00F02E8A" w:rsidRDefault="00F02E8A" w:rsidP="003E678F">
      <w:pPr>
        <w:tabs>
          <w:tab w:val="left" w:pos="0"/>
        </w:tabs>
        <w:suppressAutoHyphens/>
        <w:jc w:val="both"/>
        <w:rPr>
          <w:sz w:val="28"/>
          <w:szCs w:val="28"/>
        </w:rPr>
      </w:pPr>
      <w:r>
        <w:rPr>
          <w:sz w:val="28"/>
          <w:szCs w:val="28"/>
        </w:rPr>
        <w:t>To conclude, I have found this passage to reference events being held on Thursday 18</w:t>
      </w:r>
      <w:r w:rsidRPr="00F02E8A">
        <w:rPr>
          <w:sz w:val="28"/>
          <w:szCs w:val="28"/>
          <w:vertAlign w:val="superscript"/>
        </w:rPr>
        <w:t>th</w:t>
      </w:r>
      <w:r>
        <w:rPr>
          <w:sz w:val="28"/>
          <w:szCs w:val="28"/>
        </w:rPr>
        <w:t xml:space="preserve"> August 1384. </w:t>
      </w:r>
    </w:p>
    <w:p w14:paraId="6D1ADDCA" w14:textId="3ABB860B" w:rsidR="00F02E8A" w:rsidRDefault="00F02E8A" w:rsidP="003E678F">
      <w:pPr>
        <w:tabs>
          <w:tab w:val="left" w:pos="0"/>
        </w:tabs>
        <w:suppressAutoHyphens/>
        <w:jc w:val="both"/>
        <w:rPr>
          <w:sz w:val="28"/>
          <w:szCs w:val="28"/>
        </w:rPr>
      </w:pPr>
    </w:p>
    <w:p w14:paraId="471230FB" w14:textId="1FEDF6FC" w:rsidR="00F02E8A" w:rsidRDefault="00F02E8A" w:rsidP="003E678F">
      <w:pPr>
        <w:tabs>
          <w:tab w:val="left" w:pos="0"/>
        </w:tabs>
        <w:suppressAutoHyphens/>
        <w:jc w:val="both"/>
        <w:rPr>
          <w:sz w:val="28"/>
          <w:szCs w:val="28"/>
        </w:rPr>
      </w:pPr>
    </w:p>
    <w:p w14:paraId="60B5D88F" w14:textId="1CD8BAAA" w:rsidR="00F02E8A" w:rsidRPr="0034557E" w:rsidRDefault="00F02E8A" w:rsidP="00F02E8A">
      <w:pPr>
        <w:tabs>
          <w:tab w:val="left" w:pos="0"/>
        </w:tabs>
        <w:suppressAutoHyphens/>
        <w:jc w:val="both"/>
        <w:rPr>
          <w:i/>
          <w:iCs/>
          <w:spacing w:val="-3"/>
          <w:sz w:val="28"/>
          <w:szCs w:val="28"/>
        </w:rPr>
      </w:pPr>
      <w:r w:rsidRPr="0034557E">
        <w:rPr>
          <w:i/>
          <w:iCs/>
          <w:sz w:val="28"/>
          <w:szCs w:val="28"/>
        </w:rPr>
        <w:lastRenderedPageBreak/>
        <w:t xml:space="preserve">(b) </w:t>
      </w:r>
      <w:r w:rsidRPr="0034557E">
        <w:rPr>
          <w:i/>
          <w:iCs/>
          <w:spacing w:val="-3"/>
          <w:sz w:val="28"/>
          <w:szCs w:val="28"/>
        </w:rPr>
        <w:t>Confirmation by Bishop Anian of St Asaph of the charters for Shrewsbury Abbey issued by his predecessors Bishops Reiner, Abraham, and Hugh. Given at Shrewsbury the day after St Mary Magdalene in the first year of his pontificate.</w:t>
      </w:r>
    </w:p>
    <w:p w14:paraId="01E3FF9B" w14:textId="1A53A0E5" w:rsidR="00F02E8A" w:rsidRDefault="00F02E8A" w:rsidP="00F02E8A">
      <w:pPr>
        <w:tabs>
          <w:tab w:val="left" w:pos="0"/>
        </w:tabs>
        <w:suppressAutoHyphens/>
        <w:jc w:val="both"/>
        <w:rPr>
          <w:spacing w:val="-3"/>
          <w:sz w:val="28"/>
          <w:szCs w:val="28"/>
        </w:rPr>
      </w:pPr>
      <w:r>
        <w:rPr>
          <w:spacing w:val="-3"/>
          <w:sz w:val="28"/>
          <w:szCs w:val="28"/>
        </w:rPr>
        <w:t>Like the previous passage, I decided to start with the year of this one. I deduced that the year was the same as the first year of Anian being the Bishop of St Asaph. I used the Handbook of British Chronology to search Bishop Anian and found an extract on him immediately. This dated his first year as Bishop of St Asaph as 1249.</w:t>
      </w:r>
      <w:r>
        <w:rPr>
          <w:rStyle w:val="FootnoteReference"/>
          <w:spacing w:val="-3"/>
          <w:sz w:val="28"/>
          <w:szCs w:val="28"/>
        </w:rPr>
        <w:footnoteReference w:id="7"/>
      </w:r>
      <w:r>
        <w:rPr>
          <w:spacing w:val="-3"/>
          <w:sz w:val="28"/>
          <w:szCs w:val="28"/>
        </w:rPr>
        <w:t xml:space="preserve"> I then set out to date “St Mary Magdalene” which I assumed was the Feast of St Mary Magdalene, again I searched this term to find secondary sources on it, finding the date to be 22</w:t>
      </w:r>
      <w:r w:rsidRPr="00F02E8A">
        <w:rPr>
          <w:spacing w:val="-3"/>
          <w:sz w:val="28"/>
          <w:szCs w:val="28"/>
          <w:vertAlign w:val="superscript"/>
        </w:rPr>
        <w:t>nd</w:t>
      </w:r>
      <w:r>
        <w:rPr>
          <w:spacing w:val="-3"/>
          <w:sz w:val="28"/>
          <w:szCs w:val="28"/>
        </w:rPr>
        <w:t xml:space="preserve"> July, as another unmovable event.</w:t>
      </w:r>
      <w:r w:rsidR="00B11436">
        <w:rPr>
          <w:rStyle w:val="FootnoteReference"/>
          <w:spacing w:val="-3"/>
          <w:sz w:val="28"/>
          <w:szCs w:val="28"/>
        </w:rPr>
        <w:footnoteReference w:id="8"/>
      </w:r>
      <w:r w:rsidR="00B11436">
        <w:rPr>
          <w:spacing w:val="-3"/>
          <w:sz w:val="28"/>
          <w:szCs w:val="28"/>
        </w:rPr>
        <w:t xml:space="preserve"> </w:t>
      </w:r>
      <w:r>
        <w:rPr>
          <w:spacing w:val="-3"/>
          <w:sz w:val="28"/>
          <w:szCs w:val="28"/>
        </w:rPr>
        <w:t>I once more found a second source to give me this information to check.</w:t>
      </w:r>
      <w:r>
        <w:rPr>
          <w:rStyle w:val="FootnoteReference"/>
          <w:spacing w:val="-3"/>
          <w:sz w:val="28"/>
          <w:szCs w:val="28"/>
        </w:rPr>
        <w:footnoteReference w:id="9"/>
      </w:r>
      <w:r>
        <w:rPr>
          <w:spacing w:val="-3"/>
          <w:sz w:val="28"/>
          <w:szCs w:val="28"/>
        </w:rPr>
        <w:t xml:space="preserve"> I therefore added the extra day on, as suggested in this passage. And found the confirmation of Bishop Anian to be 23</w:t>
      </w:r>
      <w:r w:rsidRPr="00F02E8A">
        <w:rPr>
          <w:spacing w:val="-3"/>
          <w:sz w:val="28"/>
          <w:szCs w:val="28"/>
          <w:vertAlign w:val="superscript"/>
        </w:rPr>
        <w:t>rd</w:t>
      </w:r>
      <w:r>
        <w:rPr>
          <w:spacing w:val="-3"/>
          <w:sz w:val="28"/>
          <w:szCs w:val="28"/>
        </w:rPr>
        <w:t xml:space="preserve"> July 1249. </w:t>
      </w:r>
    </w:p>
    <w:p w14:paraId="33F8C2A3" w14:textId="7D8C4159" w:rsidR="00F02E8A" w:rsidRDefault="00F02E8A" w:rsidP="00F02E8A">
      <w:pPr>
        <w:tabs>
          <w:tab w:val="left" w:pos="0"/>
        </w:tabs>
        <w:suppressAutoHyphens/>
        <w:jc w:val="both"/>
        <w:rPr>
          <w:spacing w:val="-3"/>
          <w:sz w:val="28"/>
          <w:szCs w:val="28"/>
        </w:rPr>
      </w:pPr>
    </w:p>
    <w:p w14:paraId="08B3DD82" w14:textId="77458689" w:rsidR="00563F7F" w:rsidRDefault="00563F7F" w:rsidP="00F02E8A">
      <w:pPr>
        <w:tabs>
          <w:tab w:val="left" w:pos="0"/>
        </w:tabs>
        <w:suppressAutoHyphens/>
        <w:jc w:val="both"/>
        <w:rPr>
          <w:spacing w:val="-3"/>
          <w:sz w:val="28"/>
          <w:szCs w:val="28"/>
        </w:rPr>
      </w:pPr>
    </w:p>
    <w:p w14:paraId="41472C75" w14:textId="6281538D" w:rsidR="00563F7F" w:rsidRDefault="00563F7F" w:rsidP="00F02E8A">
      <w:pPr>
        <w:tabs>
          <w:tab w:val="left" w:pos="0"/>
        </w:tabs>
        <w:suppressAutoHyphens/>
        <w:jc w:val="both"/>
        <w:rPr>
          <w:spacing w:val="-3"/>
          <w:sz w:val="28"/>
          <w:szCs w:val="28"/>
        </w:rPr>
      </w:pPr>
    </w:p>
    <w:p w14:paraId="166F3A44" w14:textId="441B07B6" w:rsidR="00563F7F" w:rsidRDefault="00563F7F" w:rsidP="00F02E8A">
      <w:pPr>
        <w:tabs>
          <w:tab w:val="left" w:pos="0"/>
        </w:tabs>
        <w:suppressAutoHyphens/>
        <w:jc w:val="both"/>
        <w:rPr>
          <w:spacing w:val="-3"/>
          <w:sz w:val="28"/>
          <w:szCs w:val="28"/>
        </w:rPr>
      </w:pPr>
    </w:p>
    <w:p w14:paraId="5C03B61E" w14:textId="156E9769" w:rsidR="00563F7F" w:rsidRDefault="00563F7F" w:rsidP="00F02E8A">
      <w:pPr>
        <w:tabs>
          <w:tab w:val="left" w:pos="0"/>
        </w:tabs>
        <w:suppressAutoHyphens/>
        <w:jc w:val="both"/>
        <w:rPr>
          <w:spacing w:val="-3"/>
          <w:sz w:val="28"/>
          <w:szCs w:val="28"/>
        </w:rPr>
      </w:pPr>
    </w:p>
    <w:p w14:paraId="4EB349F2" w14:textId="4F28A899" w:rsidR="00563F7F" w:rsidRDefault="00563F7F" w:rsidP="00F02E8A">
      <w:pPr>
        <w:tabs>
          <w:tab w:val="left" w:pos="0"/>
        </w:tabs>
        <w:suppressAutoHyphens/>
        <w:jc w:val="both"/>
        <w:rPr>
          <w:spacing w:val="-3"/>
          <w:sz w:val="28"/>
          <w:szCs w:val="28"/>
        </w:rPr>
      </w:pPr>
    </w:p>
    <w:p w14:paraId="65D8CDB2" w14:textId="495816E1" w:rsidR="00563F7F" w:rsidRDefault="00563F7F" w:rsidP="00F02E8A">
      <w:pPr>
        <w:tabs>
          <w:tab w:val="left" w:pos="0"/>
        </w:tabs>
        <w:suppressAutoHyphens/>
        <w:jc w:val="both"/>
        <w:rPr>
          <w:spacing w:val="-3"/>
          <w:sz w:val="28"/>
          <w:szCs w:val="28"/>
        </w:rPr>
      </w:pPr>
    </w:p>
    <w:p w14:paraId="5372A12F" w14:textId="6F9E740B" w:rsidR="00563F7F" w:rsidRDefault="00563F7F" w:rsidP="00F02E8A">
      <w:pPr>
        <w:tabs>
          <w:tab w:val="left" w:pos="0"/>
        </w:tabs>
        <w:suppressAutoHyphens/>
        <w:jc w:val="both"/>
        <w:rPr>
          <w:spacing w:val="-3"/>
          <w:sz w:val="28"/>
          <w:szCs w:val="28"/>
        </w:rPr>
      </w:pPr>
    </w:p>
    <w:p w14:paraId="6A9BB1FE" w14:textId="437973B3" w:rsidR="00563F7F" w:rsidRDefault="00563F7F" w:rsidP="00F02E8A">
      <w:pPr>
        <w:tabs>
          <w:tab w:val="left" w:pos="0"/>
        </w:tabs>
        <w:suppressAutoHyphens/>
        <w:jc w:val="both"/>
        <w:rPr>
          <w:rFonts w:cstheme="minorHAnsi"/>
          <w:b/>
          <w:bCs/>
          <w:sz w:val="20"/>
          <w:szCs w:val="20"/>
        </w:rPr>
      </w:pPr>
    </w:p>
    <w:p w14:paraId="4AF75E52" w14:textId="64A003B2" w:rsidR="00B11436" w:rsidRDefault="00B11436" w:rsidP="00F02E8A">
      <w:pPr>
        <w:tabs>
          <w:tab w:val="left" w:pos="0"/>
        </w:tabs>
        <w:suppressAutoHyphens/>
        <w:jc w:val="both"/>
        <w:rPr>
          <w:rFonts w:cstheme="minorHAnsi"/>
          <w:b/>
          <w:bCs/>
          <w:sz w:val="20"/>
          <w:szCs w:val="20"/>
        </w:rPr>
      </w:pPr>
    </w:p>
    <w:p w14:paraId="69BAC331" w14:textId="77777777" w:rsidR="00B11436" w:rsidRDefault="00B11436" w:rsidP="00F02E8A">
      <w:pPr>
        <w:tabs>
          <w:tab w:val="left" w:pos="0"/>
        </w:tabs>
        <w:suppressAutoHyphens/>
        <w:jc w:val="both"/>
        <w:rPr>
          <w:spacing w:val="-3"/>
          <w:sz w:val="28"/>
          <w:szCs w:val="28"/>
        </w:rPr>
      </w:pPr>
    </w:p>
    <w:p w14:paraId="45F6E2FE" w14:textId="2B6F03D0" w:rsidR="00563F7F" w:rsidRDefault="00563F7F" w:rsidP="00F02E8A">
      <w:pPr>
        <w:tabs>
          <w:tab w:val="left" w:pos="0"/>
        </w:tabs>
        <w:suppressAutoHyphens/>
        <w:jc w:val="both"/>
        <w:rPr>
          <w:spacing w:val="-3"/>
          <w:sz w:val="28"/>
          <w:szCs w:val="28"/>
        </w:rPr>
      </w:pPr>
    </w:p>
    <w:p w14:paraId="1D44B75C" w14:textId="77777777" w:rsidR="00563F7F" w:rsidRDefault="00563F7F" w:rsidP="00F02E8A">
      <w:pPr>
        <w:tabs>
          <w:tab w:val="left" w:pos="0"/>
        </w:tabs>
        <w:suppressAutoHyphens/>
        <w:jc w:val="both"/>
        <w:rPr>
          <w:spacing w:val="-3"/>
          <w:sz w:val="28"/>
          <w:szCs w:val="28"/>
        </w:rPr>
      </w:pPr>
    </w:p>
    <w:p w14:paraId="6929CE9F" w14:textId="263EAB57" w:rsidR="00F02E8A" w:rsidRPr="0034557E" w:rsidRDefault="00F02E8A" w:rsidP="00F02E8A">
      <w:pPr>
        <w:tabs>
          <w:tab w:val="left" w:pos="0"/>
        </w:tabs>
        <w:suppressAutoHyphens/>
        <w:jc w:val="both"/>
        <w:rPr>
          <w:i/>
          <w:iCs/>
          <w:spacing w:val="-3"/>
          <w:sz w:val="28"/>
          <w:szCs w:val="28"/>
        </w:rPr>
      </w:pPr>
      <w:r w:rsidRPr="0034557E">
        <w:rPr>
          <w:i/>
          <w:iCs/>
          <w:spacing w:val="-3"/>
          <w:sz w:val="28"/>
          <w:szCs w:val="28"/>
        </w:rPr>
        <w:lastRenderedPageBreak/>
        <w:t>(c) Downham: court held on Thursday the day after Ash Wednesday in the fourth year of the reign of King Edward and the first year of the episcopate of John de Ketene [</w:t>
      </w:r>
      <w:proofErr w:type="spellStart"/>
      <w:r w:rsidRPr="0034557E">
        <w:rPr>
          <w:i/>
          <w:iCs/>
          <w:spacing w:val="-3"/>
          <w:sz w:val="28"/>
          <w:szCs w:val="28"/>
        </w:rPr>
        <w:t>Ketton</w:t>
      </w:r>
      <w:proofErr w:type="spellEnd"/>
      <w:r w:rsidRPr="0034557E">
        <w:rPr>
          <w:i/>
          <w:iCs/>
          <w:spacing w:val="-3"/>
          <w:sz w:val="28"/>
          <w:szCs w:val="28"/>
        </w:rPr>
        <w:t>].</w:t>
      </w:r>
    </w:p>
    <w:p w14:paraId="4D400032" w14:textId="27A45156" w:rsidR="00F02E8A" w:rsidRDefault="00F02E8A" w:rsidP="00F02E8A">
      <w:pPr>
        <w:tabs>
          <w:tab w:val="left" w:pos="0"/>
        </w:tabs>
        <w:suppressAutoHyphens/>
        <w:jc w:val="both"/>
        <w:rPr>
          <w:spacing w:val="-3"/>
          <w:sz w:val="28"/>
          <w:szCs w:val="28"/>
        </w:rPr>
      </w:pPr>
      <w:r>
        <w:rPr>
          <w:spacing w:val="-3"/>
          <w:sz w:val="28"/>
          <w:szCs w:val="28"/>
        </w:rPr>
        <w:t xml:space="preserve">The first thing I noticed about this passage was that it does not specify which King Edward they are referring to. I therefore Used the term “first year </w:t>
      </w:r>
      <w:r w:rsidRPr="00C83612">
        <w:rPr>
          <w:spacing w:val="-3"/>
          <w:sz w:val="28"/>
          <w:szCs w:val="28"/>
        </w:rPr>
        <w:t>of the episcopate of John de Ketene</w:t>
      </w:r>
      <w:r>
        <w:rPr>
          <w:spacing w:val="-3"/>
          <w:sz w:val="28"/>
          <w:szCs w:val="28"/>
        </w:rPr>
        <w:t>” as my starting point for the year. I again searched him in the Handbook of British Chronology, as it had been a useful resource thus far and found his first year to be 1310.</w:t>
      </w:r>
      <w:r>
        <w:rPr>
          <w:rStyle w:val="FootnoteReference"/>
          <w:spacing w:val="-3"/>
          <w:sz w:val="28"/>
          <w:szCs w:val="28"/>
        </w:rPr>
        <w:footnoteReference w:id="10"/>
      </w:r>
      <w:r w:rsidR="00563F7F">
        <w:rPr>
          <w:spacing w:val="-3"/>
          <w:sz w:val="28"/>
          <w:szCs w:val="28"/>
        </w:rPr>
        <w:t xml:space="preserve"> I then used this to search against the King Edwards, and found this year to be in the reign of Edward II,</w:t>
      </w:r>
      <w:r w:rsidR="00563F7F">
        <w:rPr>
          <w:rStyle w:val="FootnoteReference"/>
          <w:spacing w:val="-3"/>
          <w:sz w:val="28"/>
          <w:szCs w:val="28"/>
        </w:rPr>
        <w:footnoteReference w:id="11"/>
      </w:r>
      <w:r w:rsidR="00563F7F">
        <w:rPr>
          <w:spacing w:val="-3"/>
          <w:sz w:val="28"/>
          <w:szCs w:val="28"/>
        </w:rPr>
        <w:t xml:space="preserve"> luckily as we are also given the information that this is in the forth year of his reign, I was able to validate my answer to confirm that 1310 is the fourth regnal year of Edward II.</w:t>
      </w:r>
      <w:r w:rsidR="00563F7F">
        <w:rPr>
          <w:rStyle w:val="FootnoteReference"/>
          <w:spacing w:val="-3"/>
          <w:sz w:val="28"/>
          <w:szCs w:val="28"/>
        </w:rPr>
        <w:footnoteReference w:id="12"/>
      </w:r>
    </w:p>
    <w:p w14:paraId="65D11074" w14:textId="0FAB47EA" w:rsidR="00563F7F" w:rsidRDefault="00563F7F" w:rsidP="00F02E8A">
      <w:pPr>
        <w:tabs>
          <w:tab w:val="left" w:pos="0"/>
        </w:tabs>
        <w:suppressAutoHyphens/>
        <w:jc w:val="both"/>
        <w:rPr>
          <w:spacing w:val="-3"/>
          <w:sz w:val="28"/>
          <w:szCs w:val="28"/>
        </w:rPr>
      </w:pPr>
      <w:r>
        <w:rPr>
          <w:spacing w:val="-3"/>
          <w:sz w:val="28"/>
          <w:szCs w:val="28"/>
        </w:rPr>
        <w:t>Now I knew the year was 1310, I used the Easter Dates table to find the day of Easter Sunday as Sunday 19</w:t>
      </w:r>
      <w:r w:rsidRPr="00563F7F">
        <w:rPr>
          <w:spacing w:val="-3"/>
          <w:sz w:val="28"/>
          <w:szCs w:val="28"/>
          <w:vertAlign w:val="superscript"/>
        </w:rPr>
        <w:t>th</w:t>
      </w:r>
      <w:r>
        <w:rPr>
          <w:spacing w:val="-3"/>
          <w:sz w:val="28"/>
          <w:szCs w:val="28"/>
        </w:rPr>
        <w:t xml:space="preserve"> April.</w:t>
      </w:r>
      <w:r>
        <w:rPr>
          <w:rStyle w:val="FootnoteReference"/>
          <w:spacing w:val="-3"/>
          <w:sz w:val="28"/>
          <w:szCs w:val="28"/>
        </w:rPr>
        <w:footnoteReference w:id="13"/>
      </w:r>
      <w:r>
        <w:rPr>
          <w:spacing w:val="-3"/>
          <w:sz w:val="28"/>
          <w:szCs w:val="28"/>
        </w:rPr>
        <w:t xml:space="preserve"> Once again, I struggled to find a specific date / day of the week. However, Ash Wednesday is always 46 days before Easter Sunday, when including Sundays in your count, otherwise it is 40 days (as per the biblical story) excluding Sundays. This is information I am familiar with, and therefore I counted backwards 46 days, and was able to confirm my answer was correct as, of course, the days of the week would add up. There are 31 days in March and therefore I counted to Wednesday 4</w:t>
      </w:r>
      <w:r w:rsidRPr="00563F7F">
        <w:rPr>
          <w:spacing w:val="-3"/>
          <w:sz w:val="28"/>
          <w:szCs w:val="28"/>
          <w:vertAlign w:val="superscript"/>
        </w:rPr>
        <w:t>th</w:t>
      </w:r>
      <w:r>
        <w:rPr>
          <w:spacing w:val="-3"/>
          <w:sz w:val="28"/>
          <w:szCs w:val="28"/>
        </w:rPr>
        <w:t xml:space="preserve"> March. </w:t>
      </w:r>
    </w:p>
    <w:p w14:paraId="38F29A46" w14:textId="20C0A5A7" w:rsidR="00563F7F" w:rsidRPr="00C83612" w:rsidRDefault="00563F7F" w:rsidP="00F02E8A">
      <w:pPr>
        <w:tabs>
          <w:tab w:val="left" w:pos="0"/>
        </w:tabs>
        <w:suppressAutoHyphens/>
        <w:jc w:val="both"/>
        <w:rPr>
          <w:spacing w:val="-3"/>
          <w:sz w:val="28"/>
          <w:szCs w:val="28"/>
        </w:rPr>
      </w:pPr>
      <w:r>
        <w:rPr>
          <w:spacing w:val="-3"/>
          <w:sz w:val="28"/>
          <w:szCs w:val="28"/>
        </w:rPr>
        <w:t>To conclude, I found that the court was held on Wednesday 4</w:t>
      </w:r>
      <w:r w:rsidRPr="00563F7F">
        <w:rPr>
          <w:spacing w:val="-3"/>
          <w:sz w:val="28"/>
          <w:szCs w:val="28"/>
          <w:vertAlign w:val="superscript"/>
        </w:rPr>
        <w:t>th</w:t>
      </w:r>
      <w:r>
        <w:rPr>
          <w:spacing w:val="-3"/>
          <w:sz w:val="28"/>
          <w:szCs w:val="28"/>
        </w:rPr>
        <w:t xml:space="preserve"> March 1310. </w:t>
      </w:r>
    </w:p>
    <w:p w14:paraId="320A5AA4" w14:textId="524412D4" w:rsidR="00F02E8A" w:rsidRDefault="00F02E8A" w:rsidP="00F02E8A">
      <w:pPr>
        <w:tabs>
          <w:tab w:val="left" w:pos="0"/>
        </w:tabs>
        <w:suppressAutoHyphens/>
        <w:jc w:val="both"/>
        <w:rPr>
          <w:spacing w:val="-3"/>
          <w:sz w:val="28"/>
          <w:szCs w:val="28"/>
        </w:rPr>
      </w:pPr>
    </w:p>
    <w:p w14:paraId="18933346" w14:textId="77777777" w:rsidR="00F02E8A" w:rsidRPr="000225C1" w:rsidRDefault="00F02E8A" w:rsidP="00F02E8A">
      <w:pPr>
        <w:tabs>
          <w:tab w:val="left" w:pos="0"/>
        </w:tabs>
        <w:suppressAutoHyphens/>
        <w:jc w:val="both"/>
        <w:rPr>
          <w:spacing w:val="-3"/>
          <w:sz w:val="28"/>
          <w:szCs w:val="28"/>
        </w:rPr>
      </w:pPr>
    </w:p>
    <w:p w14:paraId="3932AA0B" w14:textId="3B41C316" w:rsidR="00F02E8A" w:rsidRPr="00F02E8A" w:rsidRDefault="00F02E8A" w:rsidP="003E678F">
      <w:pPr>
        <w:tabs>
          <w:tab w:val="left" w:pos="0"/>
        </w:tabs>
        <w:suppressAutoHyphens/>
        <w:jc w:val="both"/>
        <w:rPr>
          <w:sz w:val="28"/>
          <w:szCs w:val="28"/>
        </w:rPr>
      </w:pPr>
    </w:p>
    <w:p w14:paraId="470AB158" w14:textId="77777777" w:rsidR="00952C3B" w:rsidRDefault="00952C3B" w:rsidP="003E678F">
      <w:pPr>
        <w:tabs>
          <w:tab w:val="left" w:pos="0"/>
        </w:tabs>
        <w:suppressAutoHyphens/>
        <w:jc w:val="both"/>
        <w:rPr>
          <w:sz w:val="24"/>
          <w:szCs w:val="24"/>
        </w:rPr>
      </w:pPr>
    </w:p>
    <w:p w14:paraId="0C5F50FF" w14:textId="77777777" w:rsidR="00952C3B" w:rsidRDefault="00952C3B" w:rsidP="003E678F">
      <w:pPr>
        <w:tabs>
          <w:tab w:val="left" w:pos="0"/>
        </w:tabs>
        <w:suppressAutoHyphens/>
        <w:jc w:val="both"/>
        <w:rPr>
          <w:sz w:val="24"/>
          <w:szCs w:val="24"/>
        </w:rPr>
      </w:pPr>
    </w:p>
    <w:p w14:paraId="4ED91A1A" w14:textId="77777777" w:rsidR="00952C3B" w:rsidRDefault="00952C3B" w:rsidP="003E678F">
      <w:pPr>
        <w:tabs>
          <w:tab w:val="left" w:pos="0"/>
        </w:tabs>
        <w:suppressAutoHyphens/>
        <w:jc w:val="both"/>
        <w:rPr>
          <w:sz w:val="24"/>
          <w:szCs w:val="24"/>
        </w:rPr>
      </w:pPr>
    </w:p>
    <w:p w14:paraId="0539B7A8" w14:textId="77777777" w:rsidR="00952C3B" w:rsidRDefault="00952C3B" w:rsidP="003E678F">
      <w:pPr>
        <w:tabs>
          <w:tab w:val="left" w:pos="0"/>
        </w:tabs>
        <w:suppressAutoHyphens/>
        <w:jc w:val="both"/>
        <w:rPr>
          <w:sz w:val="24"/>
          <w:szCs w:val="24"/>
        </w:rPr>
      </w:pPr>
    </w:p>
    <w:p w14:paraId="59123EEE" w14:textId="77777777" w:rsidR="00952C3B" w:rsidRDefault="00952C3B" w:rsidP="003E678F">
      <w:pPr>
        <w:tabs>
          <w:tab w:val="left" w:pos="0"/>
        </w:tabs>
        <w:suppressAutoHyphens/>
        <w:jc w:val="both"/>
        <w:rPr>
          <w:sz w:val="24"/>
          <w:szCs w:val="24"/>
        </w:rPr>
      </w:pPr>
    </w:p>
    <w:p w14:paraId="692D8A32" w14:textId="77777777" w:rsidR="00952C3B" w:rsidRDefault="00952C3B" w:rsidP="003E678F">
      <w:pPr>
        <w:tabs>
          <w:tab w:val="left" w:pos="0"/>
        </w:tabs>
        <w:suppressAutoHyphens/>
        <w:jc w:val="both"/>
        <w:rPr>
          <w:sz w:val="24"/>
          <w:szCs w:val="24"/>
        </w:rPr>
      </w:pPr>
    </w:p>
    <w:p w14:paraId="1B0277A6" w14:textId="34CE7A6E" w:rsidR="003E678F" w:rsidRPr="0034557E" w:rsidRDefault="00952C3B" w:rsidP="003E678F">
      <w:pPr>
        <w:tabs>
          <w:tab w:val="left" w:pos="0"/>
        </w:tabs>
        <w:suppressAutoHyphens/>
        <w:jc w:val="both"/>
        <w:rPr>
          <w:i/>
          <w:iCs/>
          <w:sz w:val="24"/>
          <w:szCs w:val="24"/>
        </w:rPr>
      </w:pPr>
      <w:r w:rsidRPr="0034557E">
        <w:rPr>
          <w:i/>
          <w:iCs/>
          <w:sz w:val="28"/>
          <w:szCs w:val="28"/>
        </w:rPr>
        <w:lastRenderedPageBreak/>
        <w:t xml:space="preserve">(d) </w:t>
      </w:r>
      <w:r w:rsidR="003E678F" w:rsidRPr="0034557E">
        <w:rPr>
          <w:i/>
          <w:iCs/>
          <w:spacing w:val="-3"/>
          <w:sz w:val="28"/>
          <w:szCs w:val="28"/>
        </w:rPr>
        <w:t xml:space="preserve">Henry, king of the English, greets the bishop of Lincoln and Earl David and the earl of Leicester, and Earl </w:t>
      </w:r>
      <w:proofErr w:type="spellStart"/>
      <w:r w:rsidR="003E678F" w:rsidRPr="0034557E">
        <w:rPr>
          <w:i/>
          <w:iCs/>
          <w:spacing w:val="-3"/>
          <w:sz w:val="28"/>
          <w:szCs w:val="28"/>
        </w:rPr>
        <w:t>Rannulf</w:t>
      </w:r>
      <w:proofErr w:type="spellEnd"/>
      <w:r w:rsidR="003E678F" w:rsidRPr="0034557E">
        <w:rPr>
          <w:i/>
          <w:iCs/>
          <w:spacing w:val="-3"/>
          <w:sz w:val="28"/>
          <w:szCs w:val="28"/>
        </w:rPr>
        <w:t xml:space="preserve"> of Chester, and all the barons and lords of whom Geoffrey </w:t>
      </w:r>
      <w:proofErr w:type="spellStart"/>
      <w:r w:rsidR="003E678F" w:rsidRPr="0034557E">
        <w:rPr>
          <w:i/>
          <w:iCs/>
          <w:spacing w:val="-3"/>
          <w:sz w:val="28"/>
          <w:szCs w:val="28"/>
        </w:rPr>
        <w:t>Ridel</w:t>
      </w:r>
      <w:proofErr w:type="spellEnd"/>
      <w:r w:rsidR="003E678F" w:rsidRPr="0034557E">
        <w:rPr>
          <w:i/>
          <w:iCs/>
          <w:spacing w:val="-3"/>
          <w:sz w:val="28"/>
          <w:szCs w:val="28"/>
        </w:rPr>
        <w:t xml:space="preserve"> held lands, and all the sheriffs within whose jurisdiction he held them. Know that I have given to Richard Basset the daughter of Geoffrey </w:t>
      </w:r>
      <w:proofErr w:type="spellStart"/>
      <w:r w:rsidR="003E678F" w:rsidRPr="0034557E">
        <w:rPr>
          <w:i/>
          <w:iCs/>
          <w:spacing w:val="-3"/>
          <w:sz w:val="28"/>
          <w:szCs w:val="28"/>
        </w:rPr>
        <w:t>Ridel</w:t>
      </w:r>
      <w:proofErr w:type="spellEnd"/>
      <w:r w:rsidR="003E678F" w:rsidRPr="0034557E">
        <w:rPr>
          <w:i/>
          <w:iCs/>
          <w:spacing w:val="-3"/>
          <w:sz w:val="28"/>
          <w:szCs w:val="28"/>
        </w:rPr>
        <w:t xml:space="preserve"> to wife, and the custody of Geoffrey </w:t>
      </w:r>
      <w:proofErr w:type="spellStart"/>
      <w:r w:rsidR="003E678F" w:rsidRPr="0034557E">
        <w:rPr>
          <w:i/>
          <w:iCs/>
          <w:spacing w:val="-3"/>
          <w:sz w:val="28"/>
          <w:szCs w:val="28"/>
        </w:rPr>
        <w:t>Ridel’s</w:t>
      </w:r>
      <w:proofErr w:type="spellEnd"/>
      <w:r w:rsidR="003E678F" w:rsidRPr="0034557E">
        <w:rPr>
          <w:i/>
          <w:iCs/>
          <w:spacing w:val="-3"/>
          <w:sz w:val="28"/>
          <w:szCs w:val="28"/>
        </w:rPr>
        <w:t xml:space="preserve"> land until Robert </w:t>
      </w:r>
      <w:proofErr w:type="spellStart"/>
      <w:r w:rsidR="003E678F" w:rsidRPr="0034557E">
        <w:rPr>
          <w:i/>
          <w:iCs/>
          <w:spacing w:val="-3"/>
          <w:sz w:val="28"/>
          <w:szCs w:val="28"/>
        </w:rPr>
        <w:t>Ridel</w:t>
      </w:r>
      <w:proofErr w:type="spellEnd"/>
      <w:r w:rsidR="003E678F" w:rsidRPr="0034557E">
        <w:rPr>
          <w:i/>
          <w:iCs/>
          <w:spacing w:val="-3"/>
          <w:sz w:val="28"/>
          <w:szCs w:val="28"/>
        </w:rPr>
        <w:t xml:space="preserve"> can be made a knight and marry the granddaughter of Ralph Basset, namely the daughter of one of his daughters. … And this gift and compact have been made at the request and with the advice of </w:t>
      </w:r>
      <w:proofErr w:type="spellStart"/>
      <w:r w:rsidR="003E678F" w:rsidRPr="0034557E">
        <w:rPr>
          <w:i/>
          <w:iCs/>
          <w:spacing w:val="-3"/>
          <w:sz w:val="28"/>
          <w:szCs w:val="28"/>
        </w:rPr>
        <w:t>Rannulf</w:t>
      </w:r>
      <w:proofErr w:type="spellEnd"/>
      <w:r w:rsidR="003E678F" w:rsidRPr="0034557E">
        <w:rPr>
          <w:i/>
          <w:iCs/>
          <w:spacing w:val="-3"/>
          <w:sz w:val="28"/>
          <w:szCs w:val="28"/>
        </w:rPr>
        <w:t xml:space="preserve">, earl of Chester, and William his brother, and Nigel </w:t>
      </w:r>
      <w:proofErr w:type="spellStart"/>
      <w:r w:rsidR="003E678F" w:rsidRPr="0034557E">
        <w:rPr>
          <w:i/>
          <w:iCs/>
          <w:spacing w:val="-3"/>
          <w:sz w:val="28"/>
          <w:szCs w:val="28"/>
        </w:rPr>
        <w:t>d’Aubigny</w:t>
      </w:r>
      <w:proofErr w:type="spellEnd"/>
      <w:r w:rsidR="003E678F" w:rsidRPr="0034557E">
        <w:rPr>
          <w:i/>
          <w:iCs/>
          <w:spacing w:val="-3"/>
          <w:sz w:val="28"/>
          <w:szCs w:val="28"/>
        </w:rPr>
        <w:t xml:space="preserve"> and Robert </w:t>
      </w:r>
      <w:proofErr w:type="spellStart"/>
      <w:r w:rsidR="003E678F" w:rsidRPr="0034557E">
        <w:rPr>
          <w:i/>
          <w:iCs/>
          <w:spacing w:val="-3"/>
          <w:sz w:val="28"/>
          <w:szCs w:val="28"/>
        </w:rPr>
        <w:t>Ridel’s</w:t>
      </w:r>
      <w:proofErr w:type="spellEnd"/>
      <w:r w:rsidR="003E678F" w:rsidRPr="0034557E">
        <w:rPr>
          <w:i/>
          <w:iCs/>
          <w:spacing w:val="-3"/>
          <w:sz w:val="28"/>
          <w:szCs w:val="28"/>
        </w:rPr>
        <w:t xml:space="preserve"> other kin and </w:t>
      </w:r>
      <w:proofErr w:type="spellStart"/>
      <w:r w:rsidR="003E678F" w:rsidRPr="0034557E">
        <w:rPr>
          <w:i/>
          <w:iCs/>
          <w:spacing w:val="-3"/>
          <w:sz w:val="28"/>
          <w:szCs w:val="28"/>
        </w:rPr>
        <w:t>Geva</w:t>
      </w:r>
      <w:proofErr w:type="spellEnd"/>
      <w:r w:rsidR="003E678F" w:rsidRPr="0034557E">
        <w:rPr>
          <w:i/>
          <w:iCs/>
          <w:spacing w:val="-3"/>
          <w:sz w:val="28"/>
          <w:szCs w:val="28"/>
        </w:rPr>
        <w:t xml:space="preserve"> his mother, and Geoffrey the earl’s chancellor, and Simon, dean of Lincoln, and William, son of </w:t>
      </w:r>
      <w:proofErr w:type="spellStart"/>
      <w:r w:rsidR="003E678F" w:rsidRPr="0034557E">
        <w:rPr>
          <w:i/>
          <w:iCs/>
          <w:spacing w:val="-3"/>
          <w:sz w:val="28"/>
          <w:szCs w:val="28"/>
        </w:rPr>
        <w:t>Rannulf</w:t>
      </w:r>
      <w:proofErr w:type="spellEnd"/>
      <w:r w:rsidR="003E678F" w:rsidRPr="0034557E">
        <w:rPr>
          <w:i/>
          <w:iCs/>
          <w:spacing w:val="-3"/>
          <w:sz w:val="28"/>
          <w:szCs w:val="28"/>
        </w:rPr>
        <w:t xml:space="preserve">, and Thomas of St John and Geoffrey de Clinton, and </w:t>
      </w:r>
      <w:proofErr w:type="spellStart"/>
      <w:r w:rsidR="003E678F" w:rsidRPr="0034557E">
        <w:rPr>
          <w:i/>
          <w:iCs/>
          <w:spacing w:val="-3"/>
          <w:sz w:val="28"/>
          <w:szCs w:val="28"/>
        </w:rPr>
        <w:t>Payn</w:t>
      </w:r>
      <w:proofErr w:type="spellEnd"/>
      <w:r w:rsidR="003E678F" w:rsidRPr="0034557E">
        <w:rPr>
          <w:i/>
          <w:iCs/>
          <w:spacing w:val="-3"/>
          <w:sz w:val="28"/>
          <w:szCs w:val="28"/>
        </w:rPr>
        <w:t xml:space="preserve"> son of John, and William </w:t>
      </w:r>
      <w:proofErr w:type="spellStart"/>
      <w:r w:rsidR="003E678F" w:rsidRPr="0034557E">
        <w:rPr>
          <w:i/>
          <w:iCs/>
          <w:spacing w:val="-3"/>
          <w:sz w:val="28"/>
          <w:szCs w:val="28"/>
        </w:rPr>
        <w:t>d’Aubigny</w:t>
      </w:r>
      <w:proofErr w:type="spellEnd"/>
      <w:r w:rsidR="003E678F" w:rsidRPr="0034557E">
        <w:rPr>
          <w:i/>
          <w:iCs/>
          <w:spacing w:val="-3"/>
          <w:sz w:val="28"/>
          <w:szCs w:val="28"/>
        </w:rPr>
        <w:t xml:space="preserve"> and Humphrey de </w:t>
      </w:r>
      <w:proofErr w:type="spellStart"/>
      <w:r w:rsidR="003E678F" w:rsidRPr="0034557E">
        <w:rPr>
          <w:i/>
          <w:iCs/>
          <w:spacing w:val="-3"/>
          <w:sz w:val="28"/>
          <w:szCs w:val="28"/>
        </w:rPr>
        <w:t>Bohun</w:t>
      </w:r>
      <w:proofErr w:type="spellEnd"/>
      <w:r w:rsidR="003E678F" w:rsidRPr="0034557E">
        <w:rPr>
          <w:i/>
          <w:iCs/>
          <w:spacing w:val="-3"/>
          <w:sz w:val="28"/>
          <w:szCs w:val="28"/>
        </w:rPr>
        <w:t xml:space="preserve"> and Robert </w:t>
      </w:r>
      <w:proofErr w:type="spellStart"/>
      <w:r w:rsidR="003E678F" w:rsidRPr="0034557E">
        <w:rPr>
          <w:i/>
          <w:iCs/>
          <w:spacing w:val="-3"/>
          <w:sz w:val="28"/>
          <w:szCs w:val="28"/>
        </w:rPr>
        <w:t>Musard</w:t>
      </w:r>
      <w:proofErr w:type="spellEnd"/>
      <w:r w:rsidR="003E678F" w:rsidRPr="0034557E">
        <w:rPr>
          <w:i/>
          <w:iCs/>
          <w:spacing w:val="-3"/>
          <w:sz w:val="28"/>
          <w:szCs w:val="28"/>
        </w:rPr>
        <w:t xml:space="preserve"> and Robert Basset and Osmund Basset and </w:t>
      </w:r>
      <w:proofErr w:type="spellStart"/>
      <w:r w:rsidR="003E678F" w:rsidRPr="0034557E">
        <w:rPr>
          <w:i/>
          <w:iCs/>
          <w:spacing w:val="-3"/>
          <w:sz w:val="28"/>
          <w:szCs w:val="28"/>
        </w:rPr>
        <w:t>Thurstan</w:t>
      </w:r>
      <w:proofErr w:type="spellEnd"/>
      <w:r w:rsidR="003E678F" w:rsidRPr="0034557E">
        <w:rPr>
          <w:i/>
          <w:iCs/>
          <w:spacing w:val="-3"/>
          <w:sz w:val="28"/>
          <w:szCs w:val="28"/>
        </w:rPr>
        <w:t xml:space="preserve"> Basset and William, constable of Earl </w:t>
      </w:r>
      <w:proofErr w:type="spellStart"/>
      <w:r w:rsidR="003E678F" w:rsidRPr="0034557E">
        <w:rPr>
          <w:i/>
          <w:iCs/>
          <w:spacing w:val="-3"/>
          <w:sz w:val="28"/>
          <w:szCs w:val="28"/>
        </w:rPr>
        <w:t>Rannulf</w:t>
      </w:r>
      <w:proofErr w:type="spellEnd"/>
      <w:r w:rsidR="003E678F" w:rsidRPr="0034557E">
        <w:rPr>
          <w:i/>
          <w:iCs/>
          <w:spacing w:val="-3"/>
          <w:sz w:val="28"/>
          <w:szCs w:val="28"/>
        </w:rPr>
        <w:t xml:space="preserve"> of Chester, and Ralph, son of Norman, and Hugh </w:t>
      </w:r>
      <w:proofErr w:type="spellStart"/>
      <w:r w:rsidR="003E678F" w:rsidRPr="0034557E">
        <w:rPr>
          <w:i/>
          <w:iCs/>
          <w:spacing w:val="-3"/>
          <w:sz w:val="28"/>
          <w:szCs w:val="28"/>
        </w:rPr>
        <w:t>Maubanc</w:t>
      </w:r>
      <w:proofErr w:type="spellEnd"/>
      <w:r w:rsidR="003E678F" w:rsidRPr="0034557E">
        <w:rPr>
          <w:i/>
          <w:iCs/>
          <w:spacing w:val="-3"/>
          <w:sz w:val="28"/>
          <w:szCs w:val="28"/>
        </w:rPr>
        <w:t>. At Woodstock.</w:t>
      </w:r>
    </w:p>
    <w:p w14:paraId="2B52B4A5" w14:textId="55D741EA" w:rsidR="003E678F" w:rsidRDefault="003E678F" w:rsidP="003E678F">
      <w:pPr>
        <w:tabs>
          <w:tab w:val="left" w:pos="0"/>
        </w:tabs>
        <w:suppressAutoHyphens/>
        <w:jc w:val="both"/>
        <w:rPr>
          <w:spacing w:val="-3"/>
          <w:sz w:val="28"/>
          <w:szCs w:val="28"/>
        </w:rPr>
      </w:pPr>
    </w:p>
    <w:p w14:paraId="3E088D51" w14:textId="65A6B4CF" w:rsidR="00DA2112" w:rsidRDefault="00DA2112" w:rsidP="003E678F">
      <w:pPr>
        <w:tabs>
          <w:tab w:val="left" w:pos="0"/>
        </w:tabs>
        <w:suppressAutoHyphens/>
        <w:jc w:val="both"/>
        <w:rPr>
          <w:spacing w:val="-3"/>
          <w:sz w:val="28"/>
          <w:szCs w:val="28"/>
        </w:rPr>
      </w:pPr>
      <w:r>
        <w:rPr>
          <w:spacing w:val="-3"/>
          <w:sz w:val="28"/>
          <w:szCs w:val="28"/>
        </w:rPr>
        <w:t>The first thing I did while attempting to date this passage, was pick out the significant names who could provide a timeline. The plan was to find as many dates as possible for the lives and roles of the people stated in order to find any dates which crossed over, in order to pinpoint as small a timeframe as possible where all these people could co-exist. The names I started with were King Henry, though of course we are not given an idea of which King Henry this could be. To counteract this, I found the regnal dates of all of England’s King Henrys, to again find a crossover. The two I found important for this specific passage were Henry I (1100 – 1135)</w:t>
      </w:r>
      <w:r>
        <w:rPr>
          <w:rStyle w:val="FootnoteReference"/>
          <w:spacing w:val="-3"/>
          <w:sz w:val="28"/>
          <w:szCs w:val="28"/>
        </w:rPr>
        <w:footnoteReference w:id="14"/>
      </w:r>
      <w:r>
        <w:rPr>
          <w:spacing w:val="-3"/>
          <w:sz w:val="28"/>
          <w:szCs w:val="28"/>
        </w:rPr>
        <w:t xml:space="preserve"> and Henry II (1154 – 1189)</w:t>
      </w:r>
      <w:r>
        <w:rPr>
          <w:rStyle w:val="FootnoteReference"/>
          <w:spacing w:val="-3"/>
          <w:sz w:val="28"/>
          <w:szCs w:val="28"/>
        </w:rPr>
        <w:footnoteReference w:id="15"/>
      </w:r>
      <w:r>
        <w:rPr>
          <w:spacing w:val="-3"/>
          <w:sz w:val="28"/>
          <w:szCs w:val="28"/>
        </w:rPr>
        <w:t xml:space="preserve">, though when starting this passage analysis I made note of all King Henrys from Henry I to Henry VIII. </w:t>
      </w:r>
    </w:p>
    <w:p w14:paraId="47734955" w14:textId="60BCB77A" w:rsidR="00DA2112" w:rsidRDefault="00DA2112" w:rsidP="003E678F">
      <w:pPr>
        <w:tabs>
          <w:tab w:val="left" w:pos="0"/>
        </w:tabs>
        <w:suppressAutoHyphens/>
        <w:jc w:val="both"/>
        <w:rPr>
          <w:spacing w:val="-3"/>
          <w:sz w:val="28"/>
          <w:szCs w:val="28"/>
        </w:rPr>
      </w:pPr>
      <w:r>
        <w:rPr>
          <w:spacing w:val="-3"/>
          <w:sz w:val="28"/>
          <w:szCs w:val="28"/>
        </w:rPr>
        <w:t xml:space="preserve">The other important names I picked out were Earl </w:t>
      </w:r>
      <w:proofErr w:type="spellStart"/>
      <w:r>
        <w:rPr>
          <w:spacing w:val="-3"/>
          <w:sz w:val="28"/>
          <w:szCs w:val="28"/>
        </w:rPr>
        <w:t>Rannulf</w:t>
      </w:r>
      <w:proofErr w:type="spellEnd"/>
      <w:r>
        <w:rPr>
          <w:spacing w:val="-3"/>
          <w:sz w:val="28"/>
          <w:szCs w:val="28"/>
        </w:rPr>
        <w:t xml:space="preserve"> of Chester, Geoffrey </w:t>
      </w:r>
      <w:proofErr w:type="spellStart"/>
      <w:r>
        <w:rPr>
          <w:spacing w:val="-3"/>
          <w:sz w:val="28"/>
          <w:szCs w:val="28"/>
        </w:rPr>
        <w:t>Ridel</w:t>
      </w:r>
      <w:proofErr w:type="spellEnd"/>
      <w:r>
        <w:rPr>
          <w:spacing w:val="-3"/>
          <w:sz w:val="28"/>
          <w:szCs w:val="28"/>
        </w:rPr>
        <w:t xml:space="preserve">, the Bishop of Lincoln, Earl David, William </w:t>
      </w:r>
      <w:proofErr w:type="spellStart"/>
      <w:r>
        <w:rPr>
          <w:spacing w:val="-3"/>
          <w:sz w:val="28"/>
          <w:szCs w:val="28"/>
        </w:rPr>
        <w:t>d’Aubigny</w:t>
      </w:r>
      <w:proofErr w:type="spellEnd"/>
      <w:r>
        <w:rPr>
          <w:spacing w:val="-3"/>
          <w:sz w:val="28"/>
          <w:szCs w:val="28"/>
        </w:rPr>
        <w:t xml:space="preserve"> and Richard Basset. I set out searching each of these names in the Handbook of British Chronology, as this is a text I found useful for a starting point of dates in previous passages. I found information on a William </w:t>
      </w:r>
      <w:proofErr w:type="spellStart"/>
      <w:r>
        <w:rPr>
          <w:spacing w:val="-3"/>
          <w:sz w:val="28"/>
          <w:szCs w:val="28"/>
        </w:rPr>
        <w:t>d’Aubigny</w:t>
      </w:r>
      <w:proofErr w:type="spellEnd"/>
      <w:r>
        <w:rPr>
          <w:spacing w:val="-3"/>
          <w:sz w:val="28"/>
          <w:szCs w:val="28"/>
        </w:rPr>
        <w:t xml:space="preserve"> as the Earl of Lincoln, circa 1139 – 1141,</w:t>
      </w:r>
      <w:r>
        <w:rPr>
          <w:rStyle w:val="FootnoteReference"/>
          <w:spacing w:val="-3"/>
          <w:sz w:val="28"/>
          <w:szCs w:val="28"/>
        </w:rPr>
        <w:footnoteReference w:id="16"/>
      </w:r>
      <w:r>
        <w:rPr>
          <w:spacing w:val="-3"/>
          <w:sz w:val="28"/>
          <w:szCs w:val="28"/>
        </w:rPr>
        <w:t xml:space="preserve"> which coincides with the dates of Henry II however there was no evidence to suggest this was the same man mentioned in the passage, other than a similar name and therefore I did not take this find too seriously. </w:t>
      </w:r>
    </w:p>
    <w:p w14:paraId="42D7A327" w14:textId="176FB487" w:rsidR="00DA2112" w:rsidRDefault="00DA2112" w:rsidP="003E678F">
      <w:pPr>
        <w:tabs>
          <w:tab w:val="left" w:pos="0"/>
        </w:tabs>
        <w:suppressAutoHyphens/>
        <w:jc w:val="both"/>
        <w:rPr>
          <w:spacing w:val="-3"/>
          <w:sz w:val="28"/>
          <w:szCs w:val="28"/>
        </w:rPr>
      </w:pPr>
      <w:r>
        <w:rPr>
          <w:spacing w:val="-3"/>
          <w:sz w:val="28"/>
          <w:szCs w:val="28"/>
        </w:rPr>
        <w:lastRenderedPageBreak/>
        <w:t xml:space="preserve">I struggled to find any of the other significant names in the Handbook, and so I </w:t>
      </w:r>
      <w:r w:rsidR="00A75130">
        <w:rPr>
          <w:spacing w:val="-3"/>
          <w:sz w:val="28"/>
          <w:szCs w:val="28"/>
        </w:rPr>
        <w:t xml:space="preserve">began searching databases for literature on each of them one by one, after narrowing down my search again. I went back through to decipher the roles of each person and used that in my search. Firstly, Geoffrey </w:t>
      </w:r>
      <w:proofErr w:type="spellStart"/>
      <w:r w:rsidR="00A75130">
        <w:rPr>
          <w:spacing w:val="-3"/>
          <w:sz w:val="28"/>
          <w:szCs w:val="28"/>
        </w:rPr>
        <w:t>Ridel</w:t>
      </w:r>
      <w:proofErr w:type="spellEnd"/>
      <w:r w:rsidR="00A75130">
        <w:rPr>
          <w:spacing w:val="-3"/>
          <w:sz w:val="28"/>
          <w:szCs w:val="28"/>
        </w:rPr>
        <w:t xml:space="preserve"> is mentioned in the Domesday Book as owning lands under Henry I</w:t>
      </w:r>
      <w:r w:rsidR="00A75130">
        <w:rPr>
          <w:rStyle w:val="FootnoteReference"/>
          <w:spacing w:val="-3"/>
          <w:sz w:val="28"/>
          <w:szCs w:val="28"/>
        </w:rPr>
        <w:footnoteReference w:id="17"/>
      </w:r>
      <w:r w:rsidR="00A75130">
        <w:rPr>
          <w:spacing w:val="-3"/>
          <w:sz w:val="28"/>
          <w:szCs w:val="28"/>
        </w:rPr>
        <w:t xml:space="preserve"> and he died in November 1120.</w:t>
      </w:r>
      <w:r w:rsidR="00A75130">
        <w:rPr>
          <w:rStyle w:val="FootnoteReference"/>
          <w:spacing w:val="-3"/>
          <w:sz w:val="28"/>
          <w:szCs w:val="28"/>
        </w:rPr>
        <w:footnoteReference w:id="18"/>
      </w:r>
      <w:r w:rsidR="00A75130">
        <w:rPr>
          <w:spacing w:val="-3"/>
          <w:sz w:val="28"/>
          <w:szCs w:val="28"/>
        </w:rPr>
        <w:t xml:space="preserve"> I then looked more into this person as it were likely he were the one mentioned in the passage and found out about his daughter, who married a man called Richard Basset between the years of 1120 and 1123,</w:t>
      </w:r>
      <w:r w:rsidR="00A75130">
        <w:rPr>
          <w:rStyle w:val="FootnoteReference"/>
          <w:spacing w:val="-3"/>
          <w:sz w:val="28"/>
          <w:szCs w:val="28"/>
        </w:rPr>
        <w:footnoteReference w:id="19"/>
      </w:r>
      <w:r w:rsidR="00A75130">
        <w:rPr>
          <w:spacing w:val="-3"/>
          <w:sz w:val="28"/>
          <w:szCs w:val="28"/>
        </w:rPr>
        <w:t xml:space="preserve"> I then traced Richard Basset to his father, Ralph Basset, who died in 1127.</w:t>
      </w:r>
      <w:r w:rsidR="00A75130">
        <w:rPr>
          <w:rStyle w:val="FootnoteReference"/>
          <w:spacing w:val="-3"/>
          <w:sz w:val="28"/>
          <w:szCs w:val="28"/>
        </w:rPr>
        <w:footnoteReference w:id="20"/>
      </w:r>
      <w:r w:rsidR="00A75130">
        <w:rPr>
          <w:spacing w:val="-3"/>
          <w:sz w:val="28"/>
          <w:szCs w:val="28"/>
        </w:rPr>
        <w:t xml:space="preserve"> This meant I then had three names mentioned in the passage under the reign of Henry I, so I felt confident in narrowing my search down to the years of Henry I’s reign. </w:t>
      </w:r>
    </w:p>
    <w:p w14:paraId="28CFAB82" w14:textId="368B6B74" w:rsidR="00A75130" w:rsidRDefault="00A75130" w:rsidP="00A75130">
      <w:pPr>
        <w:tabs>
          <w:tab w:val="left" w:pos="0"/>
        </w:tabs>
        <w:suppressAutoHyphens/>
        <w:jc w:val="both"/>
        <w:rPr>
          <w:spacing w:val="-3"/>
          <w:sz w:val="28"/>
          <w:szCs w:val="28"/>
        </w:rPr>
      </w:pPr>
      <w:r>
        <w:rPr>
          <w:spacing w:val="-3"/>
          <w:sz w:val="28"/>
          <w:szCs w:val="28"/>
        </w:rPr>
        <w:t xml:space="preserve">Next I looked into the Earl of Chester, and looked at all of the Earls named </w:t>
      </w:r>
      <w:proofErr w:type="spellStart"/>
      <w:r>
        <w:rPr>
          <w:spacing w:val="-3"/>
          <w:sz w:val="28"/>
          <w:szCs w:val="28"/>
        </w:rPr>
        <w:t>Rannulf</w:t>
      </w:r>
      <w:proofErr w:type="spellEnd"/>
      <w:r>
        <w:rPr>
          <w:spacing w:val="-3"/>
          <w:sz w:val="28"/>
          <w:szCs w:val="28"/>
        </w:rPr>
        <w:t xml:space="preserve">, of which I found three. </w:t>
      </w:r>
      <w:proofErr w:type="spellStart"/>
      <w:r>
        <w:rPr>
          <w:spacing w:val="-3"/>
          <w:sz w:val="28"/>
          <w:szCs w:val="28"/>
        </w:rPr>
        <w:t>Ranulf</w:t>
      </w:r>
      <w:proofErr w:type="spellEnd"/>
      <w:r>
        <w:rPr>
          <w:spacing w:val="-3"/>
          <w:sz w:val="28"/>
          <w:szCs w:val="28"/>
        </w:rPr>
        <w:t xml:space="preserve"> le </w:t>
      </w:r>
      <w:proofErr w:type="spellStart"/>
      <w:r>
        <w:rPr>
          <w:spacing w:val="-3"/>
          <w:sz w:val="28"/>
          <w:szCs w:val="28"/>
        </w:rPr>
        <w:t>Meschin</w:t>
      </w:r>
      <w:proofErr w:type="spellEnd"/>
      <w:r>
        <w:rPr>
          <w:spacing w:val="-3"/>
          <w:sz w:val="28"/>
          <w:szCs w:val="28"/>
        </w:rPr>
        <w:t>, 3</w:t>
      </w:r>
      <w:r w:rsidRPr="00F534BF">
        <w:rPr>
          <w:spacing w:val="-3"/>
          <w:sz w:val="28"/>
          <w:szCs w:val="28"/>
          <w:vertAlign w:val="superscript"/>
        </w:rPr>
        <w:t>rd</w:t>
      </w:r>
      <w:r>
        <w:rPr>
          <w:spacing w:val="-3"/>
          <w:sz w:val="28"/>
          <w:szCs w:val="28"/>
        </w:rPr>
        <w:t xml:space="preserve"> Earl of Chester from 1120 to 1129, </w:t>
      </w:r>
      <w:proofErr w:type="spellStart"/>
      <w:r>
        <w:rPr>
          <w:spacing w:val="-3"/>
          <w:sz w:val="28"/>
          <w:szCs w:val="28"/>
        </w:rPr>
        <w:t>Ranulf</w:t>
      </w:r>
      <w:proofErr w:type="spellEnd"/>
      <w:r>
        <w:rPr>
          <w:spacing w:val="-3"/>
          <w:sz w:val="28"/>
          <w:szCs w:val="28"/>
        </w:rPr>
        <w:t xml:space="preserve"> de </w:t>
      </w:r>
      <w:proofErr w:type="spellStart"/>
      <w:r>
        <w:rPr>
          <w:spacing w:val="-3"/>
          <w:sz w:val="28"/>
          <w:szCs w:val="28"/>
        </w:rPr>
        <w:t>Gernon</w:t>
      </w:r>
      <w:proofErr w:type="spellEnd"/>
      <w:r>
        <w:rPr>
          <w:spacing w:val="-3"/>
          <w:sz w:val="28"/>
          <w:szCs w:val="28"/>
        </w:rPr>
        <w:t>, 4</w:t>
      </w:r>
      <w:r w:rsidRPr="00F534BF">
        <w:rPr>
          <w:spacing w:val="-3"/>
          <w:sz w:val="28"/>
          <w:szCs w:val="28"/>
          <w:vertAlign w:val="superscript"/>
        </w:rPr>
        <w:t>th</w:t>
      </w:r>
      <w:r>
        <w:rPr>
          <w:spacing w:val="-3"/>
          <w:sz w:val="28"/>
          <w:szCs w:val="28"/>
        </w:rPr>
        <w:t xml:space="preserve"> Earl of Chester from 1129 to 1153 and </w:t>
      </w:r>
      <w:proofErr w:type="spellStart"/>
      <w:r>
        <w:rPr>
          <w:spacing w:val="-3"/>
          <w:sz w:val="28"/>
          <w:szCs w:val="28"/>
        </w:rPr>
        <w:t>Ranulf</w:t>
      </w:r>
      <w:proofErr w:type="spellEnd"/>
      <w:r>
        <w:rPr>
          <w:spacing w:val="-3"/>
          <w:sz w:val="28"/>
          <w:szCs w:val="28"/>
        </w:rPr>
        <w:t xml:space="preserve"> de </w:t>
      </w:r>
      <w:proofErr w:type="spellStart"/>
      <w:r>
        <w:rPr>
          <w:spacing w:val="-3"/>
          <w:sz w:val="28"/>
          <w:szCs w:val="28"/>
        </w:rPr>
        <w:t>Blondeville</w:t>
      </w:r>
      <w:proofErr w:type="spellEnd"/>
      <w:r>
        <w:rPr>
          <w:spacing w:val="-3"/>
          <w:sz w:val="28"/>
          <w:szCs w:val="28"/>
        </w:rPr>
        <w:t>, 6</w:t>
      </w:r>
      <w:r w:rsidRPr="00F534BF">
        <w:rPr>
          <w:spacing w:val="-3"/>
          <w:sz w:val="28"/>
          <w:szCs w:val="28"/>
          <w:vertAlign w:val="superscript"/>
        </w:rPr>
        <w:t>th</w:t>
      </w:r>
      <w:r>
        <w:rPr>
          <w:spacing w:val="-3"/>
          <w:sz w:val="28"/>
          <w:szCs w:val="28"/>
        </w:rPr>
        <w:t xml:space="preserve"> Earl of Chester from 1181 to 1232.</w:t>
      </w:r>
      <w:r>
        <w:rPr>
          <w:rStyle w:val="FootnoteReference"/>
          <w:spacing w:val="-3"/>
          <w:sz w:val="28"/>
          <w:szCs w:val="28"/>
        </w:rPr>
        <w:footnoteReference w:id="21"/>
      </w:r>
      <w:r>
        <w:rPr>
          <w:spacing w:val="-3"/>
          <w:sz w:val="28"/>
          <w:szCs w:val="28"/>
        </w:rPr>
        <w:t xml:space="preserve"> </w:t>
      </w:r>
    </w:p>
    <w:p w14:paraId="1DA624DF" w14:textId="3FCBC902" w:rsidR="00A75130" w:rsidRDefault="00A75130" w:rsidP="00A75130">
      <w:pPr>
        <w:tabs>
          <w:tab w:val="left" w:pos="0"/>
        </w:tabs>
        <w:suppressAutoHyphens/>
        <w:jc w:val="both"/>
        <w:rPr>
          <w:spacing w:val="-3"/>
          <w:sz w:val="28"/>
          <w:szCs w:val="28"/>
        </w:rPr>
      </w:pPr>
      <w:r>
        <w:rPr>
          <w:spacing w:val="-3"/>
          <w:sz w:val="28"/>
          <w:szCs w:val="28"/>
        </w:rPr>
        <w:t xml:space="preserve">I then crossed over the dates of all of these people to find a specific date. Here’s the information I had: Henry I’s reign was 1100 to 1135; We have two </w:t>
      </w:r>
      <w:proofErr w:type="spellStart"/>
      <w:r>
        <w:rPr>
          <w:spacing w:val="-3"/>
          <w:sz w:val="28"/>
          <w:szCs w:val="28"/>
        </w:rPr>
        <w:t>Rannulf</w:t>
      </w:r>
      <w:proofErr w:type="spellEnd"/>
      <w:r>
        <w:rPr>
          <w:spacing w:val="-3"/>
          <w:sz w:val="28"/>
          <w:szCs w:val="28"/>
        </w:rPr>
        <w:t xml:space="preserve">, Earl of Chester’s in this time period, one from 1120 to 1129, the other 1129 to 1153; Geoffrey </w:t>
      </w:r>
      <w:proofErr w:type="spellStart"/>
      <w:r>
        <w:rPr>
          <w:spacing w:val="-3"/>
          <w:sz w:val="28"/>
          <w:szCs w:val="28"/>
        </w:rPr>
        <w:t>Ridel</w:t>
      </w:r>
      <w:proofErr w:type="spellEnd"/>
      <w:r>
        <w:rPr>
          <w:spacing w:val="-3"/>
          <w:sz w:val="28"/>
          <w:szCs w:val="28"/>
        </w:rPr>
        <w:t xml:space="preserve"> is alive only until 1120; The marriage of his daughter to Basset is dated between 1120 and 1123, and referenced as an event to be held. This meant that for in order for </w:t>
      </w:r>
      <w:proofErr w:type="spellStart"/>
      <w:r>
        <w:rPr>
          <w:spacing w:val="-3"/>
          <w:sz w:val="28"/>
          <w:szCs w:val="28"/>
        </w:rPr>
        <w:t>Ridel</w:t>
      </w:r>
      <w:proofErr w:type="spellEnd"/>
      <w:r>
        <w:rPr>
          <w:spacing w:val="-3"/>
          <w:sz w:val="28"/>
          <w:szCs w:val="28"/>
        </w:rPr>
        <w:t xml:space="preserve"> and one of the </w:t>
      </w:r>
      <w:proofErr w:type="spellStart"/>
      <w:r>
        <w:rPr>
          <w:spacing w:val="-3"/>
          <w:sz w:val="28"/>
          <w:szCs w:val="28"/>
        </w:rPr>
        <w:t>Rannulf’s</w:t>
      </w:r>
      <w:proofErr w:type="spellEnd"/>
      <w:r>
        <w:rPr>
          <w:spacing w:val="-3"/>
          <w:sz w:val="28"/>
          <w:szCs w:val="28"/>
        </w:rPr>
        <w:t xml:space="preserve"> to coexist, it must be the 2</w:t>
      </w:r>
      <w:r w:rsidRPr="00A75130">
        <w:rPr>
          <w:spacing w:val="-3"/>
          <w:sz w:val="28"/>
          <w:szCs w:val="28"/>
          <w:vertAlign w:val="superscript"/>
        </w:rPr>
        <w:t>nd</w:t>
      </w:r>
      <w:r>
        <w:rPr>
          <w:spacing w:val="-3"/>
          <w:sz w:val="28"/>
          <w:szCs w:val="28"/>
        </w:rPr>
        <w:t xml:space="preserve"> Earl of Chester, and be held in the year 1120, while the two figures cross over. This also allows for the marriage to be in discussion and to be under the reign of Henry I. </w:t>
      </w:r>
    </w:p>
    <w:p w14:paraId="336D4CFA" w14:textId="079CACC9" w:rsidR="00A75130" w:rsidRDefault="00A75130" w:rsidP="003E678F">
      <w:pPr>
        <w:tabs>
          <w:tab w:val="left" w:pos="0"/>
        </w:tabs>
        <w:suppressAutoHyphens/>
        <w:jc w:val="both"/>
        <w:rPr>
          <w:spacing w:val="-3"/>
          <w:sz w:val="28"/>
          <w:szCs w:val="28"/>
        </w:rPr>
      </w:pPr>
      <w:r>
        <w:rPr>
          <w:spacing w:val="-3"/>
          <w:sz w:val="28"/>
          <w:szCs w:val="28"/>
        </w:rPr>
        <w:t xml:space="preserve">To conclude, I have dated this passage to the year 1120. If we had concrete evidence for </w:t>
      </w:r>
      <w:proofErr w:type="spellStart"/>
      <w:r>
        <w:rPr>
          <w:spacing w:val="-3"/>
          <w:sz w:val="28"/>
          <w:szCs w:val="28"/>
        </w:rPr>
        <w:t>Ridel</w:t>
      </w:r>
      <w:proofErr w:type="spellEnd"/>
      <w:r>
        <w:rPr>
          <w:spacing w:val="-3"/>
          <w:sz w:val="28"/>
          <w:szCs w:val="28"/>
        </w:rPr>
        <w:t xml:space="preserve"> to be alive while this passage takes place, as though he is mentioned it is not clear that he is present, we could further date this to before November 1120, as w</w:t>
      </w:r>
      <w:r w:rsidR="00952C3B">
        <w:rPr>
          <w:spacing w:val="-3"/>
          <w:sz w:val="28"/>
          <w:szCs w:val="28"/>
        </w:rPr>
        <w:t>e have reason to believe he died 25</w:t>
      </w:r>
      <w:r w:rsidR="00952C3B" w:rsidRPr="00952C3B">
        <w:rPr>
          <w:spacing w:val="-3"/>
          <w:sz w:val="28"/>
          <w:szCs w:val="28"/>
          <w:vertAlign w:val="superscript"/>
        </w:rPr>
        <w:t>th</w:t>
      </w:r>
      <w:r w:rsidR="00952C3B">
        <w:rPr>
          <w:spacing w:val="-3"/>
          <w:sz w:val="28"/>
          <w:szCs w:val="28"/>
        </w:rPr>
        <w:t xml:space="preserve"> November of that year.</w:t>
      </w:r>
      <w:r w:rsidR="00952C3B">
        <w:rPr>
          <w:rStyle w:val="FootnoteReference"/>
          <w:spacing w:val="-3"/>
          <w:sz w:val="28"/>
          <w:szCs w:val="28"/>
        </w:rPr>
        <w:footnoteReference w:id="22"/>
      </w:r>
    </w:p>
    <w:p w14:paraId="209D5C6F" w14:textId="4FEFD7C1" w:rsidR="00952C3B" w:rsidRDefault="00952C3B" w:rsidP="003E678F">
      <w:pPr>
        <w:tabs>
          <w:tab w:val="left" w:pos="0"/>
        </w:tabs>
        <w:suppressAutoHyphens/>
        <w:jc w:val="both"/>
        <w:rPr>
          <w:spacing w:val="-3"/>
          <w:sz w:val="28"/>
          <w:szCs w:val="28"/>
        </w:rPr>
      </w:pPr>
    </w:p>
    <w:p w14:paraId="197E4813" w14:textId="5EA129EB" w:rsidR="00ED2960" w:rsidRPr="00397E9E" w:rsidRDefault="00952C3B" w:rsidP="003E678F">
      <w:pPr>
        <w:tabs>
          <w:tab w:val="left" w:pos="0"/>
        </w:tabs>
        <w:suppressAutoHyphens/>
        <w:jc w:val="both"/>
        <w:rPr>
          <w:spacing w:val="-3"/>
          <w:sz w:val="28"/>
          <w:szCs w:val="28"/>
          <w:u w:val="single"/>
        </w:rPr>
      </w:pPr>
      <w:r w:rsidRPr="00397E9E">
        <w:rPr>
          <w:spacing w:val="-3"/>
          <w:sz w:val="28"/>
          <w:szCs w:val="28"/>
          <w:u w:val="single"/>
        </w:rPr>
        <w:lastRenderedPageBreak/>
        <w:t>Bibliography for Passage (</w:t>
      </w:r>
      <w:r w:rsidR="00ED2960" w:rsidRPr="00397E9E">
        <w:rPr>
          <w:spacing w:val="-3"/>
          <w:sz w:val="28"/>
          <w:szCs w:val="28"/>
          <w:u w:val="single"/>
        </w:rPr>
        <w:t>a</w:t>
      </w:r>
      <w:r w:rsidRPr="00397E9E">
        <w:rPr>
          <w:spacing w:val="-3"/>
          <w:sz w:val="28"/>
          <w:szCs w:val="28"/>
          <w:u w:val="single"/>
        </w:rPr>
        <w:t>)</w:t>
      </w:r>
      <w:r w:rsidR="00ED2960" w:rsidRPr="00397E9E">
        <w:rPr>
          <w:spacing w:val="-3"/>
          <w:sz w:val="28"/>
          <w:szCs w:val="28"/>
          <w:u w:val="single"/>
        </w:rPr>
        <w:t>:</w:t>
      </w:r>
    </w:p>
    <w:p w14:paraId="4AA6EAE4" w14:textId="77777777" w:rsidR="00397E9E" w:rsidRPr="00397E9E" w:rsidRDefault="00397E9E" w:rsidP="00397E9E">
      <w:pPr>
        <w:tabs>
          <w:tab w:val="left" w:pos="0"/>
        </w:tabs>
        <w:suppressAutoHyphens/>
        <w:jc w:val="both"/>
        <w:rPr>
          <w:sz w:val="24"/>
          <w:szCs w:val="24"/>
        </w:rPr>
      </w:pPr>
      <w:r w:rsidRPr="00397E9E">
        <w:rPr>
          <w:sz w:val="24"/>
          <w:szCs w:val="24"/>
        </w:rPr>
        <w:t xml:space="preserve">Medieval Genealogy, </w:t>
      </w:r>
      <w:r w:rsidRPr="00397E9E">
        <w:rPr>
          <w:i/>
          <w:iCs/>
          <w:sz w:val="24"/>
          <w:szCs w:val="24"/>
        </w:rPr>
        <w:t xml:space="preserve">A Medieval English Calendar </w:t>
      </w:r>
      <w:r w:rsidRPr="00397E9E">
        <w:rPr>
          <w:sz w:val="24"/>
          <w:szCs w:val="24"/>
        </w:rPr>
        <w:t xml:space="preserve">Available at: </w:t>
      </w:r>
      <w:hyperlink r:id="rId8" w:history="1">
        <w:r w:rsidRPr="00397E9E">
          <w:rPr>
            <w:rStyle w:val="Hyperlink"/>
            <w:sz w:val="24"/>
            <w:szCs w:val="24"/>
          </w:rPr>
          <w:t>http://www.medievalgenealogy.org.uk/cal/augmos.htm</w:t>
        </w:r>
      </w:hyperlink>
      <w:r w:rsidRPr="00397E9E">
        <w:rPr>
          <w:sz w:val="24"/>
          <w:szCs w:val="24"/>
        </w:rPr>
        <w:t xml:space="preserve"> [Accessed: 20/07/2020].</w:t>
      </w:r>
    </w:p>
    <w:p w14:paraId="67D1F6CF" w14:textId="4DF0C7B5" w:rsidR="00ED2960" w:rsidRPr="00397E9E" w:rsidRDefault="00136CBB" w:rsidP="003E678F">
      <w:pPr>
        <w:tabs>
          <w:tab w:val="left" w:pos="0"/>
        </w:tabs>
        <w:suppressAutoHyphens/>
        <w:jc w:val="both"/>
        <w:rPr>
          <w:spacing w:val="-3"/>
          <w:sz w:val="24"/>
          <w:szCs w:val="24"/>
        </w:rPr>
      </w:pPr>
      <w:r w:rsidRPr="00397E9E">
        <w:rPr>
          <w:sz w:val="24"/>
          <w:szCs w:val="24"/>
        </w:rPr>
        <w:t xml:space="preserve">Saul, N. </w:t>
      </w:r>
      <w:r w:rsidRPr="00397E9E">
        <w:rPr>
          <w:i/>
          <w:iCs/>
          <w:sz w:val="24"/>
          <w:szCs w:val="24"/>
        </w:rPr>
        <w:t>Richard II</w:t>
      </w:r>
      <w:r w:rsidRPr="00397E9E">
        <w:rPr>
          <w:sz w:val="24"/>
          <w:szCs w:val="24"/>
        </w:rPr>
        <w:t xml:space="preserve"> (New Haven: Yale University Press, 2008).</w:t>
      </w:r>
    </w:p>
    <w:p w14:paraId="5AE5436F" w14:textId="71C2771C" w:rsidR="00B11436" w:rsidRPr="00397E9E" w:rsidRDefault="00136CBB" w:rsidP="003E678F">
      <w:pPr>
        <w:tabs>
          <w:tab w:val="left" w:pos="0"/>
        </w:tabs>
        <w:suppressAutoHyphens/>
        <w:jc w:val="both"/>
        <w:rPr>
          <w:sz w:val="24"/>
          <w:szCs w:val="24"/>
        </w:rPr>
      </w:pPr>
      <w:r w:rsidRPr="00397E9E">
        <w:rPr>
          <w:sz w:val="24"/>
          <w:szCs w:val="24"/>
        </w:rPr>
        <w:t xml:space="preserve">Welch, A. </w:t>
      </w:r>
      <w:r w:rsidRPr="00397E9E">
        <w:rPr>
          <w:i/>
          <w:iCs/>
          <w:sz w:val="24"/>
          <w:szCs w:val="24"/>
        </w:rPr>
        <w:t xml:space="preserve">Liturgy, Books and Franciscan Identity in Medieval Umbria </w:t>
      </w:r>
      <w:r w:rsidRPr="00397E9E">
        <w:rPr>
          <w:sz w:val="24"/>
          <w:szCs w:val="24"/>
        </w:rPr>
        <w:t>(New York: BRILL, 2015).</w:t>
      </w:r>
    </w:p>
    <w:p w14:paraId="2FAFC985" w14:textId="77777777" w:rsidR="00397E9E" w:rsidRPr="00397E9E" w:rsidRDefault="00397E9E" w:rsidP="003E678F">
      <w:pPr>
        <w:tabs>
          <w:tab w:val="left" w:pos="0"/>
        </w:tabs>
        <w:suppressAutoHyphens/>
        <w:jc w:val="both"/>
        <w:rPr>
          <w:spacing w:val="-3"/>
          <w:sz w:val="24"/>
          <w:szCs w:val="24"/>
        </w:rPr>
      </w:pPr>
    </w:p>
    <w:p w14:paraId="322E39AC" w14:textId="7CF64640" w:rsidR="00ED2960" w:rsidRPr="00397E9E" w:rsidRDefault="00ED2960" w:rsidP="00ED2960">
      <w:pPr>
        <w:tabs>
          <w:tab w:val="left" w:pos="0"/>
        </w:tabs>
        <w:suppressAutoHyphens/>
        <w:jc w:val="both"/>
        <w:rPr>
          <w:spacing w:val="-3"/>
          <w:sz w:val="28"/>
          <w:szCs w:val="28"/>
          <w:u w:val="single"/>
        </w:rPr>
      </w:pPr>
      <w:r w:rsidRPr="00397E9E">
        <w:rPr>
          <w:spacing w:val="-3"/>
          <w:sz w:val="28"/>
          <w:szCs w:val="28"/>
          <w:u w:val="single"/>
        </w:rPr>
        <w:t>Bibliography for Passage (b):</w:t>
      </w:r>
    </w:p>
    <w:p w14:paraId="2A36FAF9" w14:textId="77777777" w:rsidR="00397E9E" w:rsidRPr="00397E9E" w:rsidRDefault="00397E9E" w:rsidP="00397E9E">
      <w:pPr>
        <w:tabs>
          <w:tab w:val="left" w:pos="0"/>
        </w:tabs>
        <w:suppressAutoHyphens/>
        <w:jc w:val="both"/>
        <w:rPr>
          <w:rFonts w:cstheme="minorHAnsi"/>
          <w:sz w:val="24"/>
          <w:szCs w:val="24"/>
        </w:rPr>
      </w:pPr>
      <w:r w:rsidRPr="00397E9E">
        <w:rPr>
          <w:rFonts w:cstheme="minorHAnsi"/>
          <w:sz w:val="24"/>
          <w:szCs w:val="24"/>
        </w:rPr>
        <w:t xml:space="preserve">Melton, J. G. </w:t>
      </w:r>
      <w:r w:rsidRPr="00397E9E">
        <w:rPr>
          <w:rFonts w:cstheme="minorHAnsi"/>
          <w:i/>
          <w:iCs/>
          <w:sz w:val="24"/>
          <w:szCs w:val="24"/>
        </w:rPr>
        <w:t>Religious Celebrations: An Encyclopedia of Holidays, Festivals, Solemn Observances, and Spiritual Commemorations</w:t>
      </w:r>
      <w:r w:rsidRPr="00397E9E">
        <w:rPr>
          <w:rFonts w:cstheme="minorHAnsi"/>
          <w:sz w:val="24"/>
          <w:szCs w:val="24"/>
        </w:rPr>
        <w:t xml:space="preserve"> (California: ABC-Clio Publishers, 2011).</w:t>
      </w:r>
    </w:p>
    <w:p w14:paraId="0EF20A67" w14:textId="290B035E" w:rsidR="00ED2960" w:rsidRPr="00397E9E" w:rsidRDefault="00B11436" w:rsidP="00ED2960">
      <w:pPr>
        <w:tabs>
          <w:tab w:val="left" w:pos="0"/>
        </w:tabs>
        <w:suppressAutoHyphens/>
        <w:jc w:val="both"/>
        <w:rPr>
          <w:sz w:val="24"/>
          <w:szCs w:val="24"/>
        </w:rPr>
      </w:pPr>
      <w:r w:rsidRPr="00397E9E">
        <w:rPr>
          <w:sz w:val="24"/>
          <w:szCs w:val="24"/>
        </w:rPr>
        <w:t xml:space="preserve">Pryde, E.B. et al., </w:t>
      </w:r>
      <w:r w:rsidRPr="00397E9E">
        <w:rPr>
          <w:i/>
          <w:iCs/>
          <w:sz w:val="24"/>
          <w:szCs w:val="24"/>
        </w:rPr>
        <w:t>Handbook of British Chronology</w:t>
      </w:r>
      <w:r w:rsidRPr="00397E9E">
        <w:rPr>
          <w:sz w:val="24"/>
          <w:szCs w:val="24"/>
        </w:rPr>
        <w:t xml:space="preserve"> (Cambridge: Cambridge University Press, 1996).</w:t>
      </w:r>
    </w:p>
    <w:p w14:paraId="093B65FA" w14:textId="294C201F" w:rsidR="00E70BA4" w:rsidRPr="00397E9E" w:rsidRDefault="00E70BA4" w:rsidP="00ED2960">
      <w:pPr>
        <w:tabs>
          <w:tab w:val="left" w:pos="0"/>
        </w:tabs>
        <w:suppressAutoHyphens/>
        <w:jc w:val="both"/>
        <w:rPr>
          <w:sz w:val="24"/>
          <w:szCs w:val="24"/>
        </w:rPr>
      </w:pPr>
      <w:r w:rsidRPr="00397E9E">
        <w:rPr>
          <w:sz w:val="24"/>
          <w:szCs w:val="24"/>
        </w:rPr>
        <w:t xml:space="preserve">Smith, J. </w:t>
      </w:r>
      <w:r w:rsidRPr="00397E9E">
        <w:rPr>
          <w:i/>
          <w:iCs/>
          <w:sz w:val="24"/>
          <w:szCs w:val="24"/>
        </w:rPr>
        <w:t>The Fly in the Ointment: The Mysteries of Mary Magdalene</w:t>
      </w:r>
      <w:r w:rsidRPr="00397E9E">
        <w:rPr>
          <w:sz w:val="24"/>
          <w:szCs w:val="24"/>
        </w:rPr>
        <w:t xml:space="preserve"> (London: Lulu, 2014).</w:t>
      </w:r>
    </w:p>
    <w:p w14:paraId="68790459" w14:textId="77777777" w:rsidR="00E70BA4" w:rsidRPr="00397E9E" w:rsidRDefault="00E70BA4" w:rsidP="00ED2960">
      <w:pPr>
        <w:tabs>
          <w:tab w:val="left" w:pos="0"/>
        </w:tabs>
        <w:suppressAutoHyphens/>
        <w:jc w:val="both"/>
        <w:rPr>
          <w:spacing w:val="-3"/>
          <w:sz w:val="24"/>
          <w:szCs w:val="24"/>
        </w:rPr>
      </w:pPr>
    </w:p>
    <w:p w14:paraId="3EE29E1D" w14:textId="7685BC59" w:rsidR="00ED2960" w:rsidRPr="00397E9E" w:rsidRDefault="00ED2960" w:rsidP="00ED2960">
      <w:pPr>
        <w:tabs>
          <w:tab w:val="left" w:pos="0"/>
        </w:tabs>
        <w:suppressAutoHyphens/>
        <w:jc w:val="both"/>
        <w:rPr>
          <w:spacing w:val="-3"/>
          <w:sz w:val="28"/>
          <w:szCs w:val="28"/>
          <w:u w:val="single"/>
        </w:rPr>
      </w:pPr>
      <w:r w:rsidRPr="00397E9E">
        <w:rPr>
          <w:spacing w:val="-3"/>
          <w:sz w:val="28"/>
          <w:szCs w:val="28"/>
          <w:u w:val="single"/>
        </w:rPr>
        <w:t>Bibliography for Passage (c):</w:t>
      </w:r>
    </w:p>
    <w:p w14:paraId="4DC6373D" w14:textId="2CB3DEB9" w:rsidR="00B11436" w:rsidRPr="00397E9E" w:rsidRDefault="00B11436" w:rsidP="00B11436">
      <w:pPr>
        <w:tabs>
          <w:tab w:val="left" w:pos="0"/>
        </w:tabs>
        <w:suppressAutoHyphens/>
        <w:jc w:val="both"/>
        <w:rPr>
          <w:sz w:val="24"/>
          <w:szCs w:val="24"/>
        </w:rPr>
      </w:pPr>
      <w:r w:rsidRPr="00397E9E">
        <w:rPr>
          <w:sz w:val="24"/>
          <w:szCs w:val="24"/>
        </w:rPr>
        <w:t xml:space="preserve">Pryde, E.B. et al., </w:t>
      </w:r>
      <w:r w:rsidRPr="00397E9E">
        <w:rPr>
          <w:i/>
          <w:iCs/>
          <w:sz w:val="24"/>
          <w:szCs w:val="24"/>
        </w:rPr>
        <w:t>Handbook of British Chronology</w:t>
      </w:r>
      <w:r w:rsidRPr="00397E9E">
        <w:rPr>
          <w:sz w:val="24"/>
          <w:szCs w:val="24"/>
        </w:rPr>
        <w:t xml:space="preserve"> (Cambridge: Cambridge University Press, 1996).</w:t>
      </w:r>
    </w:p>
    <w:p w14:paraId="0B743767" w14:textId="3486AAF4" w:rsidR="00E70BA4" w:rsidRPr="00397E9E" w:rsidRDefault="00E70BA4" w:rsidP="00B11436">
      <w:pPr>
        <w:tabs>
          <w:tab w:val="left" w:pos="0"/>
        </w:tabs>
        <w:suppressAutoHyphens/>
        <w:jc w:val="both"/>
        <w:rPr>
          <w:spacing w:val="-3"/>
          <w:sz w:val="24"/>
          <w:szCs w:val="24"/>
        </w:rPr>
      </w:pPr>
      <w:r w:rsidRPr="00397E9E">
        <w:rPr>
          <w:sz w:val="24"/>
          <w:szCs w:val="24"/>
        </w:rPr>
        <w:t xml:space="preserve">Warner, K. </w:t>
      </w:r>
      <w:r w:rsidRPr="00397E9E">
        <w:rPr>
          <w:i/>
          <w:iCs/>
          <w:sz w:val="24"/>
          <w:szCs w:val="24"/>
        </w:rPr>
        <w:t>Edward II: The Unconventional King</w:t>
      </w:r>
      <w:r w:rsidRPr="00397E9E">
        <w:rPr>
          <w:sz w:val="24"/>
          <w:szCs w:val="24"/>
        </w:rPr>
        <w:t xml:space="preserve"> (Stroud: Amberley Publishing Ltd, 2014).</w:t>
      </w:r>
    </w:p>
    <w:p w14:paraId="0397A59C" w14:textId="77777777" w:rsidR="00ED2960" w:rsidRPr="00397E9E" w:rsidRDefault="00ED2960" w:rsidP="00ED2960">
      <w:pPr>
        <w:tabs>
          <w:tab w:val="left" w:pos="0"/>
        </w:tabs>
        <w:suppressAutoHyphens/>
        <w:jc w:val="both"/>
        <w:rPr>
          <w:spacing w:val="-3"/>
          <w:sz w:val="24"/>
          <w:szCs w:val="24"/>
        </w:rPr>
      </w:pPr>
    </w:p>
    <w:p w14:paraId="16D88B1D" w14:textId="25D1045D" w:rsidR="00ED2960" w:rsidRPr="00397E9E" w:rsidRDefault="00ED2960" w:rsidP="00ED2960">
      <w:pPr>
        <w:tabs>
          <w:tab w:val="left" w:pos="0"/>
        </w:tabs>
        <w:suppressAutoHyphens/>
        <w:jc w:val="both"/>
        <w:rPr>
          <w:spacing w:val="-3"/>
          <w:sz w:val="28"/>
          <w:szCs w:val="28"/>
          <w:u w:val="single"/>
        </w:rPr>
      </w:pPr>
      <w:r w:rsidRPr="00397E9E">
        <w:rPr>
          <w:spacing w:val="-3"/>
          <w:sz w:val="28"/>
          <w:szCs w:val="28"/>
          <w:u w:val="single"/>
        </w:rPr>
        <w:t>Bibliography for Passage (d):</w:t>
      </w:r>
    </w:p>
    <w:p w14:paraId="29E4C13C" w14:textId="77777777" w:rsidR="00397E9E" w:rsidRPr="00397E9E" w:rsidRDefault="00397E9E" w:rsidP="00397E9E">
      <w:pPr>
        <w:tabs>
          <w:tab w:val="left" w:pos="0"/>
        </w:tabs>
        <w:suppressAutoHyphens/>
        <w:jc w:val="both"/>
        <w:rPr>
          <w:spacing w:val="-3"/>
          <w:sz w:val="24"/>
          <w:szCs w:val="24"/>
          <w:u w:val="single"/>
        </w:rPr>
      </w:pPr>
      <w:r w:rsidRPr="00397E9E">
        <w:rPr>
          <w:sz w:val="24"/>
          <w:szCs w:val="24"/>
        </w:rPr>
        <w:t xml:space="preserve">Aston, T. H. </w:t>
      </w:r>
      <w:r w:rsidRPr="00397E9E">
        <w:rPr>
          <w:i/>
          <w:iCs/>
          <w:sz w:val="24"/>
          <w:szCs w:val="24"/>
        </w:rPr>
        <w:t>Landlords, Peasants and Politics in Medieval England</w:t>
      </w:r>
      <w:r w:rsidRPr="00397E9E">
        <w:rPr>
          <w:sz w:val="24"/>
          <w:szCs w:val="24"/>
        </w:rPr>
        <w:t xml:space="preserve"> (Cambridge: Cambridge University Press, 2006).</w:t>
      </w:r>
    </w:p>
    <w:p w14:paraId="1E823232" w14:textId="77777777" w:rsidR="00397E9E" w:rsidRPr="00397E9E" w:rsidRDefault="00397E9E" w:rsidP="00397E9E">
      <w:pPr>
        <w:tabs>
          <w:tab w:val="left" w:pos="0"/>
        </w:tabs>
        <w:suppressAutoHyphens/>
        <w:jc w:val="both"/>
        <w:rPr>
          <w:spacing w:val="-3"/>
          <w:sz w:val="24"/>
          <w:szCs w:val="24"/>
        </w:rPr>
      </w:pPr>
      <w:r w:rsidRPr="00397E9E">
        <w:rPr>
          <w:sz w:val="24"/>
          <w:szCs w:val="24"/>
        </w:rPr>
        <w:t xml:space="preserve">Kahn, N. et al., </w:t>
      </w:r>
      <w:r w:rsidRPr="00397E9E">
        <w:rPr>
          <w:i/>
          <w:iCs/>
          <w:sz w:val="24"/>
          <w:szCs w:val="24"/>
        </w:rPr>
        <w:t>English Episcopal Acta 31, Ely 1109 – 1197</w:t>
      </w:r>
      <w:r w:rsidRPr="00397E9E">
        <w:rPr>
          <w:sz w:val="24"/>
          <w:szCs w:val="24"/>
        </w:rPr>
        <w:t xml:space="preserve"> (London: British Academy, 1980).</w:t>
      </w:r>
    </w:p>
    <w:p w14:paraId="0B2DF747" w14:textId="77777777" w:rsidR="00397E9E" w:rsidRPr="00397E9E" w:rsidRDefault="00397E9E" w:rsidP="00397E9E">
      <w:pPr>
        <w:rPr>
          <w:sz w:val="24"/>
          <w:szCs w:val="24"/>
        </w:rPr>
      </w:pPr>
      <w:r w:rsidRPr="00397E9E">
        <w:rPr>
          <w:sz w:val="24"/>
          <w:szCs w:val="24"/>
        </w:rPr>
        <w:t xml:space="preserve">Keats-Rohan, K. S. B. </w:t>
      </w:r>
      <w:r w:rsidRPr="00397E9E">
        <w:rPr>
          <w:i/>
          <w:iCs/>
          <w:sz w:val="24"/>
          <w:szCs w:val="24"/>
        </w:rPr>
        <w:t xml:space="preserve">Domesday Descendants </w:t>
      </w:r>
      <w:r w:rsidRPr="00397E9E">
        <w:rPr>
          <w:sz w:val="24"/>
          <w:szCs w:val="24"/>
        </w:rPr>
        <w:t>(New York: Boydell Press, 2002).</w:t>
      </w:r>
    </w:p>
    <w:p w14:paraId="1721F52C" w14:textId="3E5FFF28" w:rsidR="005862AA" w:rsidRPr="00397E9E" w:rsidRDefault="002C3946">
      <w:pPr>
        <w:rPr>
          <w:sz w:val="24"/>
          <w:szCs w:val="24"/>
        </w:rPr>
      </w:pPr>
      <w:r w:rsidRPr="00397E9E">
        <w:rPr>
          <w:sz w:val="24"/>
          <w:szCs w:val="24"/>
        </w:rPr>
        <w:t xml:space="preserve">Keats-Rohan, K. S. B. </w:t>
      </w:r>
      <w:r w:rsidRPr="00397E9E">
        <w:rPr>
          <w:i/>
          <w:iCs/>
          <w:sz w:val="24"/>
          <w:szCs w:val="24"/>
        </w:rPr>
        <w:t xml:space="preserve">Domesday People: Domesday Book </w:t>
      </w:r>
      <w:r w:rsidRPr="00397E9E">
        <w:rPr>
          <w:sz w:val="24"/>
          <w:szCs w:val="24"/>
        </w:rPr>
        <w:t>(New York: Boydell and Brewer ltd., 1999).</w:t>
      </w:r>
    </w:p>
    <w:p w14:paraId="389CDA16" w14:textId="77777777" w:rsidR="00397E9E" w:rsidRPr="00397E9E" w:rsidRDefault="00397E9E" w:rsidP="00397E9E">
      <w:pPr>
        <w:tabs>
          <w:tab w:val="left" w:pos="0"/>
        </w:tabs>
        <w:suppressAutoHyphens/>
        <w:jc w:val="both"/>
        <w:rPr>
          <w:spacing w:val="-3"/>
          <w:sz w:val="24"/>
          <w:szCs w:val="24"/>
        </w:rPr>
      </w:pPr>
      <w:r w:rsidRPr="00397E9E">
        <w:rPr>
          <w:sz w:val="24"/>
          <w:szCs w:val="24"/>
        </w:rPr>
        <w:t xml:space="preserve">Pryde, E.B. et al., </w:t>
      </w:r>
      <w:r w:rsidRPr="00397E9E">
        <w:rPr>
          <w:i/>
          <w:iCs/>
          <w:sz w:val="24"/>
          <w:szCs w:val="24"/>
        </w:rPr>
        <w:t>Handbook of British Chronology</w:t>
      </w:r>
      <w:r w:rsidRPr="00397E9E">
        <w:rPr>
          <w:sz w:val="24"/>
          <w:szCs w:val="24"/>
        </w:rPr>
        <w:t xml:space="preserve"> (Cambridge: Cambridge University Press, 1996).</w:t>
      </w:r>
    </w:p>
    <w:p w14:paraId="03CC5C2B" w14:textId="77777777" w:rsidR="00397E9E" w:rsidRPr="00397E9E" w:rsidRDefault="00397E9E">
      <w:pPr>
        <w:rPr>
          <w:sz w:val="24"/>
          <w:szCs w:val="24"/>
        </w:rPr>
      </w:pPr>
    </w:p>
    <w:sectPr w:rsidR="00397E9E" w:rsidRPr="00397E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46FB10" w14:textId="77777777" w:rsidR="006977FB" w:rsidRDefault="006977FB" w:rsidP="00DA2112">
      <w:pPr>
        <w:spacing w:after="0" w:line="240" w:lineRule="auto"/>
      </w:pPr>
      <w:r>
        <w:separator/>
      </w:r>
    </w:p>
  </w:endnote>
  <w:endnote w:type="continuationSeparator" w:id="0">
    <w:p w14:paraId="338C88E9" w14:textId="77777777" w:rsidR="006977FB" w:rsidRDefault="006977FB" w:rsidP="00DA2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06634C" w14:textId="77777777" w:rsidR="006977FB" w:rsidRDefault="006977FB" w:rsidP="00DA2112">
      <w:pPr>
        <w:spacing w:after="0" w:line="240" w:lineRule="auto"/>
      </w:pPr>
      <w:r>
        <w:separator/>
      </w:r>
    </w:p>
  </w:footnote>
  <w:footnote w:type="continuationSeparator" w:id="0">
    <w:p w14:paraId="2F2630AD" w14:textId="77777777" w:rsidR="006977FB" w:rsidRDefault="006977FB" w:rsidP="00DA2112">
      <w:pPr>
        <w:spacing w:after="0" w:line="240" w:lineRule="auto"/>
      </w:pPr>
      <w:r>
        <w:continuationSeparator/>
      </w:r>
    </w:p>
  </w:footnote>
  <w:footnote w:id="1">
    <w:p w14:paraId="0BA51267" w14:textId="6A2A4FB1" w:rsidR="002C3946" w:rsidRDefault="002C3946">
      <w:pPr>
        <w:pStyle w:val="FootnoteText"/>
      </w:pPr>
      <w:r>
        <w:rPr>
          <w:rStyle w:val="FootnoteReference"/>
        </w:rPr>
        <w:footnoteRef/>
      </w:r>
      <w:r>
        <w:t xml:space="preserve"> N. Saul, </w:t>
      </w:r>
      <w:r w:rsidRPr="00136CBB">
        <w:rPr>
          <w:i/>
          <w:iCs/>
        </w:rPr>
        <w:t>Richard II</w:t>
      </w:r>
      <w:r>
        <w:t xml:space="preserve"> (New Haven: Yale University Press, 2008), p.24.</w:t>
      </w:r>
    </w:p>
  </w:footnote>
  <w:footnote w:id="2">
    <w:p w14:paraId="2DBB7907" w14:textId="71CA9DDC" w:rsidR="002C3946" w:rsidRDefault="002C3946">
      <w:pPr>
        <w:pStyle w:val="FootnoteText"/>
      </w:pPr>
      <w:r>
        <w:rPr>
          <w:rStyle w:val="FootnoteReference"/>
        </w:rPr>
        <w:footnoteRef/>
      </w:r>
      <w:r>
        <w:t xml:space="preserve"> </w:t>
      </w:r>
      <w:r w:rsidRPr="002C3946">
        <w:rPr>
          <w:i/>
          <w:iCs/>
        </w:rPr>
        <w:t>ibid.</w:t>
      </w:r>
      <w:r>
        <w:t xml:space="preserve"> </w:t>
      </w:r>
    </w:p>
  </w:footnote>
  <w:footnote w:id="3">
    <w:p w14:paraId="213B24D5" w14:textId="7C81DC0B" w:rsidR="002C3946" w:rsidRDefault="002C3946">
      <w:pPr>
        <w:pStyle w:val="FootnoteText"/>
      </w:pPr>
      <w:r>
        <w:rPr>
          <w:rStyle w:val="FootnoteReference"/>
        </w:rPr>
        <w:footnoteRef/>
      </w:r>
      <w:r>
        <w:t xml:space="preserve"> </w:t>
      </w:r>
      <w:r w:rsidRPr="002C3946">
        <w:rPr>
          <w:i/>
          <w:iCs/>
        </w:rPr>
        <w:t>Saints Days and Festivals,</w:t>
      </w:r>
      <w:r>
        <w:t xml:space="preserve"> Supplied PDF.  </w:t>
      </w:r>
    </w:p>
  </w:footnote>
  <w:footnote w:id="4">
    <w:p w14:paraId="11B1CEDE" w14:textId="266594CC" w:rsidR="002C3946" w:rsidRDefault="002C3946">
      <w:pPr>
        <w:pStyle w:val="FootnoteText"/>
      </w:pPr>
      <w:r>
        <w:rPr>
          <w:rStyle w:val="FootnoteReference"/>
        </w:rPr>
        <w:footnoteRef/>
      </w:r>
      <w:r>
        <w:t xml:space="preserve"> A. Welch, </w:t>
      </w:r>
      <w:r w:rsidRPr="00136CBB">
        <w:rPr>
          <w:i/>
          <w:iCs/>
        </w:rPr>
        <w:t xml:space="preserve">Liturgy, Books and Franciscan Identity in Medieval Umbria </w:t>
      </w:r>
      <w:r>
        <w:t>(New York: BRILL, 2015), p.192.</w:t>
      </w:r>
    </w:p>
  </w:footnote>
  <w:footnote w:id="5">
    <w:p w14:paraId="753E8D9F" w14:textId="7832D38D" w:rsidR="002C3946" w:rsidRDefault="002C3946">
      <w:pPr>
        <w:pStyle w:val="FootnoteText"/>
      </w:pPr>
      <w:r>
        <w:rPr>
          <w:rStyle w:val="FootnoteReference"/>
        </w:rPr>
        <w:footnoteRef/>
      </w:r>
      <w:r>
        <w:t xml:space="preserve"> </w:t>
      </w:r>
      <w:r w:rsidRPr="002C3946">
        <w:rPr>
          <w:i/>
          <w:iCs/>
        </w:rPr>
        <w:t xml:space="preserve">Dates of Easter, </w:t>
      </w:r>
      <w:r>
        <w:t>Supplied PDF.</w:t>
      </w:r>
    </w:p>
  </w:footnote>
  <w:footnote w:id="6">
    <w:p w14:paraId="67E8E452" w14:textId="01CFF2BE" w:rsidR="002C3946" w:rsidRDefault="002C3946">
      <w:pPr>
        <w:pStyle w:val="FootnoteText"/>
      </w:pPr>
      <w:r>
        <w:rPr>
          <w:rStyle w:val="FootnoteReference"/>
        </w:rPr>
        <w:footnoteRef/>
      </w:r>
      <w:r>
        <w:t xml:space="preserve"> Medieval Genealogy, </w:t>
      </w:r>
      <w:r w:rsidRPr="002C3946">
        <w:rPr>
          <w:i/>
          <w:iCs/>
        </w:rPr>
        <w:t xml:space="preserve">A Medieval English Calendar </w:t>
      </w:r>
      <w:r>
        <w:t xml:space="preserve">Available at: </w:t>
      </w:r>
      <w:hyperlink r:id="rId1" w:history="1">
        <w:r w:rsidRPr="007429D8">
          <w:rPr>
            <w:rStyle w:val="Hyperlink"/>
          </w:rPr>
          <w:t>http://www.medievalgenealogy.org.uk/cal/augmos.htm</w:t>
        </w:r>
      </w:hyperlink>
      <w:r>
        <w:t xml:space="preserve"> [Accessed: 20/07/2020].</w:t>
      </w:r>
    </w:p>
  </w:footnote>
  <w:footnote w:id="7">
    <w:p w14:paraId="576D08D5" w14:textId="53FEB952" w:rsidR="002C3946" w:rsidRDefault="002C3946">
      <w:pPr>
        <w:pStyle w:val="FootnoteText"/>
      </w:pPr>
      <w:r>
        <w:rPr>
          <w:rStyle w:val="FootnoteReference"/>
        </w:rPr>
        <w:footnoteRef/>
      </w:r>
      <w:r>
        <w:t xml:space="preserve"> E. B. Pryde, et al., </w:t>
      </w:r>
      <w:r w:rsidRPr="00B11436">
        <w:rPr>
          <w:i/>
          <w:iCs/>
        </w:rPr>
        <w:t>Handbook of British Chronology</w:t>
      </w:r>
      <w:r>
        <w:t xml:space="preserve"> (Cambridge: Cambridge University Press, 1996), p.295.</w:t>
      </w:r>
    </w:p>
  </w:footnote>
  <w:footnote w:id="8">
    <w:p w14:paraId="15502D10" w14:textId="69C1CD58" w:rsidR="002C3946" w:rsidRDefault="002C3946">
      <w:pPr>
        <w:pStyle w:val="FootnoteText"/>
      </w:pPr>
      <w:r>
        <w:rPr>
          <w:rStyle w:val="FootnoteReference"/>
        </w:rPr>
        <w:footnoteRef/>
      </w:r>
      <w:r>
        <w:t xml:space="preserve"> </w:t>
      </w:r>
      <w:r w:rsidRPr="00B11436">
        <w:rPr>
          <w:rFonts w:cstheme="minorHAnsi"/>
        </w:rPr>
        <w:t xml:space="preserve">J. G. Melton, </w:t>
      </w:r>
      <w:r w:rsidRPr="00B11436">
        <w:rPr>
          <w:rFonts w:cstheme="minorHAnsi"/>
          <w:i/>
          <w:iCs/>
        </w:rPr>
        <w:t>Religious Celebrations: An Encyclopedia of Holidays, Festivals, Solemn Observances, and Spiritual Commemorations</w:t>
      </w:r>
      <w:r>
        <w:rPr>
          <w:rFonts w:cstheme="minorHAnsi"/>
        </w:rPr>
        <w:t xml:space="preserve"> (California: ABC-Clio Publishers, 2011), p.564.</w:t>
      </w:r>
    </w:p>
  </w:footnote>
  <w:footnote w:id="9">
    <w:p w14:paraId="5DCFB259" w14:textId="6480E360" w:rsidR="002C3946" w:rsidRDefault="002C3946">
      <w:pPr>
        <w:pStyle w:val="FootnoteText"/>
      </w:pPr>
      <w:r>
        <w:rPr>
          <w:rStyle w:val="FootnoteReference"/>
        </w:rPr>
        <w:footnoteRef/>
      </w:r>
      <w:r>
        <w:t xml:space="preserve"> J. Smith, </w:t>
      </w:r>
      <w:r w:rsidRPr="00E70BA4">
        <w:rPr>
          <w:i/>
          <w:iCs/>
        </w:rPr>
        <w:t>The Fly in the Ointment: The Mysteries of Mary Magdalene</w:t>
      </w:r>
      <w:r>
        <w:t xml:space="preserve"> (London: Lulu, 2014), p.224.</w:t>
      </w:r>
    </w:p>
  </w:footnote>
  <w:footnote w:id="10">
    <w:p w14:paraId="42B256BC" w14:textId="48BD77AF" w:rsidR="002C3946" w:rsidRDefault="002C3946">
      <w:pPr>
        <w:pStyle w:val="FootnoteText"/>
      </w:pPr>
      <w:r>
        <w:rPr>
          <w:rStyle w:val="FootnoteReference"/>
        </w:rPr>
        <w:footnoteRef/>
      </w:r>
      <w:r>
        <w:t xml:space="preserve"> Pryde, et al., </w:t>
      </w:r>
      <w:r w:rsidRPr="00B11436">
        <w:rPr>
          <w:i/>
          <w:iCs/>
        </w:rPr>
        <w:t>Handbook of British Chronology</w:t>
      </w:r>
      <w:r>
        <w:rPr>
          <w:i/>
          <w:iCs/>
        </w:rPr>
        <w:t>,</w:t>
      </w:r>
      <w:r>
        <w:t xml:space="preserve"> p.244.</w:t>
      </w:r>
    </w:p>
  </w:footnote>
  <w:footnote w:id="11">
    <w:p w14:paraId="7B4B2E55" w14:textId="15FCAEA2" w:rsidR="002C3946" w:rsidRDefault="002C3946">
      <w:pPr>
        <w:pStyle w:val="FootnoteText"/>
      </w:pPr>
      <w:r>
        <w:rPr>
          <w:rStyle w:val="FootnoteReference"/>
        </w:rPr>
        <w:footnoteRef/>
      </w:r>
      <w:r>
        <w:t xml:space="preserve"> K. Warner, </w:t>
      </w:r>
      <w:r w:rsidRPr="00E70BA4">
        <w:rPr>
          <w:i/>
          <w:iCs/>
        </w:rPr>
        <w:t>Edward II: The Unconventional King</w:t>
      </w:r>
      <w:r>
        <w:t xml:space="preserve"> (Stroud: Amberley Publishing Ltd, 2014), p.3.</w:t>
      </w:r>
    </w:p>
  </w:footnote>
  <w:footnote w:id="12">
    <w:p w14:paraId="6C6070C5" w14:textId="05232DE3" w:rsidR="002C3946" w:rsidRDefault="002C3946">
      <w:pPr>
        <w:pStyle w:val="FootnoteText"/>
      </w:pPr>
      <w:r>
        <w:rPr>
          <w:rStyle w:val="FootnoteReference"/>
        </w:rPr>
        <w:footnoteRef/>
      </w:r>
      <w:r>
        <w:t xml:space="preserve"> </w:t>
      </w:r>
      <w:r w:rsidRPr="002C3946">
        <w:rPr>
          <w:i/>
          <w:iCs/>
        </w:rPr>
        <w:t>Regnal Years,</w:t>
      </w:r>
      <w:r>
        <w:t xml:space="preserve"> Supplied PDF.</w:t>
      </w:r>
    </w:p>
  </w:footnote>
  <w:footnote w:id="13">
    <w:p w14:paraId="23747F30" w14:textId="4FD239BD" w:rsidR="002C3946" w:rsidRDefault="002C3946">
      <w:pPr>
        <w:pStyle w:val="FootnoteText"/>
      </w:pPr>
      <w:r>
        <w:rPr>
          <w:rStyle w:val="FootnoteReference"/>
        </w:rPr>
        <w:footnoteRef/>
      </w:r>
      <w:r>
        <w:t xml:space="preserve"> </w:t>
      </w:r>
      <w:r w:rsidRPr="002C3946">
        <w:rPr>
          <w:i/>
          <w:iCs/>
        </w:rPr>
        <w:t xml:space="preserve">Dates of Easter, </w:t>
      </w:r>
      <w:r>
        <w:t>Supplied PDF.</w:t>
      </w:r>
    </w:p>
  </w:footnote>
  <w:footnote w:id="14">
    <w:p w14:paraId="66B5832E" w14:textId="13C6B293" w:rsidR="002C3946" w:rsidRDefault="002C3946">
      <w:pPr>
        <w:pStyle w:val="FootnoteText"/>
      </w:pPr>
      <w:r>
        <w:rPr>
          <w:rStyle w:val="FootnoteReference"/>
        </w:rPr>
        <w:footnoteRef/>
      </w:r>
      <w:r>
        <w:t xml:space="preserve"> Pryde, et al., </w:t>
      </w:r>
      <w:r w:rsidRPr="00B11436">
        <w:rPr>
          <w:i/>
          <w:iCs/>
        </w:rPr>
        <w:t>Handbook of British Chronology</w:t>
      </w:r>
      <w:r>
        <w:rPr>
          <w:i/>
          <w:iCs/>
        </w:rPr>
        <w:t xml:space="preserve">, </w:t>
      </w:r>
      <w:r w:rsidRPr="00B11436">
        <w:t>p.32</w:t>
      </w:r>
      <w:r>
        <w:t>.</w:t>
      </w:r>
    </w:p>
  </w:footnote>
  <w:footnote w:id="15">
    <w:p w14:paraId="7EAD1DFB" w14:textId="5ADD5B01" w:rsidR="002C3946" w:rsidRDefault="002C3946">
      <w:pPr>
        <w:pStyle w:val="FootnoteText"/>
      </w:pPr>
      <w:r>
        <w:rPr>
          <w:rStyle w:val="FootnoteReference"/>
        </w:rPr>
        <w:footnoteRef/>
      </w:r>
      <w:r>
        <w:t xml:space="preserve"> </w:t>
      </w:r>
      <w:r w:rsidRPr="00B11436">
        <w:rPr>
          <w:i/>
          <w:iCs/>
        </w:rPr>
        <w:t>ibid.</w:t>
      </w:r>
    </w:p>
  </w:footnote>
  <w:footnote w:id="16">
    <w:p w14:paraId="164F405A" w14:textId="666AA9DD" w:rsidR="002C3946" w:rsidRDefault="002C3946">
      <w:pPr>
        <w:pStyle w:val="FootnoteText"/>
      </w:pPr>
      <w:r>
        <w:rPr>
          <w:rStyle w:val="FootnoteReference"/>
        </w:rPr>
        <w:footnoteRef/>
      </w:r>
      <w:r>
        <w:t xml:space="preserve"> </w:t>
      </w:r>
      <w:r w:rsidRPr="00B11436">
        <w:rPr>
          <w:i/>
          <w:iCs/>
        </w:rPr>
        <w:t>ibid.,</w:t>
      </w:r>
      <w:r>
        <w:t xml:space="preserve"> p.469.</w:t>
      </w:r>
    </w:p>
  </w:footnote>
  <w:footnote w:id="17">
    <w:p w14:paraId="28704E52" w14:textId="7CB82375" w:rsidR="002C3946" w:rsidRDefault="002C3946">
      <w:pPr>
        <w:pStyle w:val="FootnoteText"/>
      </w:pPr>
      <w:r>
        <w:rPr>
          <w:rStyle w:val="FootnoteReference"/>
        </w:rPr>
        <w:footnoteRef/>
      </w:r>
      <w:r>
        <w:t xml:space="preserve"> K. S. B. Keats-Rohan, </w:t>
      </w:r>
      <w:r w:rsidRPr="002C3946">
        <w:rPr>
          <w:i/>
          <w:iCs/>
        </w:rPr>
        <w:t xml:space="preserve">Domesday People: Domesday Book </w:t>
      </w:r>
      <w:r>
        <w:t>(New York: Boydell and Brewer ltd., 1999), p.231.</w:t>
      </w:r>
    </w:p>
  </w:footnote>
  <w:footnote w:id="18">
    <w:p w14:paraId="1DAE7FA9" w14:textId="56D2C494" w:rsidR="002C3946" w:rsidRDefault="002C3946">
      <w:pPr>
        <w:pStyle w:val="FootnoteText"/>
      </w:pPr>
      <w:r>
        <w:rPr>
          <w:rStyle w:val="FootnoteReference"/>
        </w:rPr>
        <w:footnoteRef/>
      </w:r>
      <w:r>
        <w:t xml:space="preserve"> </w:t>
      </w:r>
      <w:r w:rsidRPr="002C3946">
        <w:rPr>
          <w:i/>
          <w:iCs/>
        </w:rPr>
        <w:t>ibid.</w:t>
      </w:r>
      <w:r>
        <w:t xml:space="preserve"> </w:t>
      </w:r>
    </w:p>
  </w:footnote>
  <w:footnote w:id="19">
    <w:p w14:paraId="5812A146" w14:textId="4536BF6B" w:rsidR="002C3946" w:rsidRDefault="002C3946">
      <w:pPr>
        <w:pStyle w:val="FootnoteText"/>
      </w:pPr>
      <w:r>
        <w:rPr>
          <w:rStyle w:val="FootnoteReference"/>
        </w:rPr>
        <w:footnoteRef/>
      </w:r>
      <w:r>
        <w:t xml:space="preserve"> K. S. B. Keats-Rohan, </w:t>
      </w:r>
      <w:r w:rsidRPr="002C3946">
        <w:rPr>
          <w:i/>
          <w:iCs/>
        </w:rPr>
        <w:t xml:space="preserve">Domesday Descendants </w:t>
      </w:r>
      <w:r>
        <w:t>(New York: Boydell Press, 2002), p.166.</w:t>
      </w:r>
    </w:p>
  </w:footnote>
  <w:footnote w:id="20">
    <w:p w14:paraId="2A7C9756" w14:textId="064EB531" w:rsidR="002C3946" w:rsidRDefault="002C3946">
      <w:pPr>
        <w:pStyle w:val="FootnoteText"/>
      </w:pPr>
      <w:r>
        <w:rPr>
          <w:rStyle w:val="FootnoteReference"/>
        </w:rPr>
        <w:footnoteRef/>
      </w:r>
      <w:r>
        <w:t xml:space="preserve"> N. Kahn, et al., </w:t>
      </w:r>
      <w:r w:rsidRPr="002C3946">
        <w:rPr>
          <w:i/>
          <w:iCs/>
        </w:rPr>
        <w:t>English Episcopal Acta 31, Ely 1109 – 1197</w:t>
      </w:r>
      <w:r>
        <w:t xml:space="preserve"> (London: British Academy, 1980), </w:t>
      </w:r>
      <w:proofErr w:type="spellStart"/>
      <w:r>
        <w:t>p.lxxix</w:t>
      </w:r>
      <w:proofErr w:type="spellEnd"/>
      <w:r>
        <w:t>.</w:t>
      </w:r>
    </w:p>
  </w:footnote>
  <w:footnote w:id="21">
    <w:p w14:paraId="32C4A12D" w14:textId="6B3868E5" w:rsidR="002C3946" w:rsidRDefault="002C3946">
      <w:pPr>
        <w:pStyle w:val="FootnoteText"/>
      </w:pPr>
      <w:r>
        <w:rPr>
          <w:rStyle w:val="FootnoteReference"/>
        </w:rPr>
        <w:footnoteRef/>
      </w:r>
      <w:r>
        <w:t xml:space="preserve"> T. H. Aston, </w:t>
      </w:r>
      <w:r w:rsidRPr="00B11436">
        <w:rPr>
          <w:i/>
          <w:iCs/>
        </w:rPr>
        <w:t>Landlords, Peasants and Politics in Medieval England</w:t>
      </w:r>
      <w:r>
        <w:t xml:space="preserve"> (Cambridge: Cambridge University Press, 2006), p.113 – 115.</w:t>
      </w:r>
    </w:p>
  </w:footnote>
  <w:footnote w:id="22">
    <w:p w14:paraId="1CD3BC6D" w14:textId="314A21DD" w:rsidR="002C3946" w:rsidRDefault="002C3946">
      <w:pPr>
        <w:pStyle w:val="FootnoteText"/>
      </w:pPr>
      <w:r>
        <w:rPr>
          <w:rStyle w:val="FootnoteReference"/>
        </w:rPr>
        <w:footnoteRef/>
      </w:r>
      <w:r>
        <w:t xml:space="preserve"> Kahn, </w:t>
      </w:r>
      <w:r w:rsidRPr="002C3946">
        <w:rPr>
          <w:i/>
          <w:iCs/>
        </w:rPr>
        <w:t>English Episcopal Acta 31,</w:t>
      </w:r>
      <w:r>
        <w:t xml:space="preserve"> </w:t>
      </w:r>
      <w:proofErr w:type="spellStart"/>
      <w:r>
        <w:t>p.lxxix</w:t>
      </w:r>
      <w:proofErr w:type="spellEnd"/>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7A7CCC"/>
    <w:multiLevelType w:val="hybridMultilevel"/>
    <w:tmpl w:val="A25AE0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E41D58"/>
    <w:multiLevelType w:val="hybridMultilevel"/>
    <w:tmpl w:val="A7782F68"/>
    <w:lvl w:ilvl="0" w:tplc="6B46CF2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78F"/>
    <w:rsid w:val="00136CBB"/>
    <w:rsid w:val="00153937"/>
    <w:rsid w:val="002C3946"/>
    <w:rsid w:val="0034557E"/>
    <w:rsid w:val="00397E9E"/>
    <w:rsid w:val="003E678F"/>
    <w:rsid w:val="00563F7F"/>
    <w:rsid w:val="005862AA"/>
    <w:rsid w:val="006977FB"/>
    <w:rsid w:val="00952C3B"/>
    <w:rsid w:val="00993D38"/>
    <w:rsid w:val="00A75130"/>
    <w:rsid w:val="00B11436"/>
    <w:rsid w:val="00DA2112"/>
    <w:rsid w:val="00E70BA4"/>
    <w:rsid w:val="00ED2960"/>
    <w:rsid w:val="00F02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3FC058"/>
  <w15:chartTrackingRefBased/>
  <w15:docId w15:val="{9C6FB154-3785-411A-9695-1EEB18DDE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78F"/>
  </w:style>
  <w:style w:type="paragraph" w:styleId="Heading1">
    <w:name w:val="heading 1"/>
    <w:basedOn w:val="Normal"/>
    <w:link w:val="Heading1Char"/>
    <w:uiPriority w:val="9"/>
    <w:qFormat/>
    <w:rsid w:val="00B1143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A21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2112"/>
    <w:rPr>
      <w:sz w:val="20"/>
      <w:szCs w:val="20"/>
    </w:rPr>
  </w:style>
  <w:style w:type="character" w:styleId="FootnoteReference">
    <w:name w:val="footnote reference"/>
    <w:basedOn w:val="DefaultParagraphFont"/>
    <w:uiPriority w:val="99"/>
    <w:semiHidden/>
    <w:unhideWhenUsed/>
    <w:rsid w:val="00DA2112"/>
    <w:rPr>
      <w:vertAlign w:val="superscript"/>
    </w:rPr>
  </w:style>
  <w:style w:type="paragraph" w:styleId="ListParagraph">
    <w:name w:val="List Paragraph"/>
    <w:basedOn w:val="Normal"/>
    <w:uiPriority w:val="34"/>
    <w:qFormat/>
    <w:rsid w:val="00952C3B"/>
    <w:pPr>
      <w:ind w:left="720"/>
      <w:contextualSpacing/>
    </w:pPr>
  </w:style>
  <w:style w:type="character" w:styleId="Hyperlink">
    <w:name w:val="Hyperlink"/>
    <w:basedOn w:val="DefaultParagraphFont"/>
    <w:uiPriority w:val="99"/>
    <w:unhideWhenUsed/>
    <w:rsid w:val="00F02E8A"/>
    <w:rPr>
      <w:color w:val="0000FF"/>
      <w:u w:val="single"/>
    </w:rPr>
  </w:style>
  <w:style w:type="character" w:customStyle="1" w:styleId="Heading1Char">
    <w:name w:val="Heading 1 Char"/>
    <w:basedOn w:val="DefaultParagraphFont"/>
    <w:link w:val="Heading1"/>
    <w:uiPriority w:val="9"/>
    <w:rsid w:val="00B11436"/>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B11436"/>
  </w:style>
  <w:style w:type="character" w:styleId="UnresolvedMention">
    <w:name w:val="Unresolved Mention"/>
    <w:basedOn w:val="DefaultParagraphFont"/>
    <w:uiPriority w:val="99"/>
    <w:semiHidden/>
    <w:unhideWhenUsed/>
    <w:rsid w:val="002C39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8165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dievalgenealogy.org.uk/cal/augmos.ht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medievalgenealogy.org.uk/cal/augmo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AA10A-E7F1-4D0A-9D33-4896D3274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1909</Words>
  <Characters>8629</Characters>
  <Application>Microsoft Office Word</Application>
  <DocSecurity>0</DocSecurity>
  <Lines>183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12</cp:revision>
  <dcterms:created xsi:type="dcterms:W3CDTF">2020-07-20T12:38:00Z</dcterms:created>
  <dcterms:modified xsi:type="dcterms:W3CDTF">2020-07-20T16:41:00Z</dcterms:modified>
</cp:coreProperties>
</file>