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4295F" w14:textId="3301C3C5" w:rsidR="00B13653" w:rsidRPr="00C85663" w:rsidRDefault="00B13653" w:rsidP="005417DC">
      <w:pPr>
        <w:spacing w:line="480" w:lineRule="auto"/>
        <w:jc w:val="center"/>
        <w:rPr>
          <w:rFonts w:ascii="Arial" w:hAnsi="Arial" w:cs="Arial"/>
          <w:b/>
          <w:bCs/>
          <w:sz w:val="32"/>
          <w:szCs w:val="32"/>
        </w:rPr>
      </w:pPr>
      <w:r w:rsidRPr="00C85663">
        <w:rPr>
          <w:rFonts w:ascii="Arial" w:hAnsi="Arial" w:cs="Arial"/>
          <w:b/>
          <w:bCs/>
          <w:sz w:val="32"/>
          <w:szCs w:val="32"/>
        </w:rPr>
        <w:t>Module: Children, Young People and Families</w:t>
      </w:r>
    </w:p>
    <w:p w14:paraId="65C02B50" w14:textId="7EC79E4A" w:rsidR="00B13653" w:rsidRPr="00C85663" w:rsidRDefault="00B13653" w:rsidP="005417DC">
      <w:pPr>
        <w:spacing w:line="480" w:lineRule="auto"/>
        <w:jc w:val="center"/>
        <w:rPr>
          <w:rFonts w:ascii="Arial" w:hAnsi="Arial" w:cs="Arial"/>
          <w:b/>
          <w:bCs/>
          <w:sz w:val="32"/>
          <w:szCs w:val="32"/>
        </w:rPr>
      </w:pPr>
      <w:bookmarkStart w:id="0" w:name="_GoBack"/>
      <w:bookmarkEnd w:id="0"/>
      <w:r w:rsidRPr="00C85663">
        <w:rPr>
          <w:rFonts w:ascii="Arial" w:hAnsi="Arial" w:cs="Arial"/>
          <w:b/>
          <w:bCs/>
          <w:sz w:val="32"/>
          <w:szCs w:val="32"/>
        </w:rPr>
        <w:t>Module Code: BMHP5004</w:t>
      </w:r>
    </w:p>
    <w:p w14:paraId="4B107212" w14:textId="3C009C09" w:rsidR="00B13653" w:rsidRPr="00C85663" w:rsidRDefault="00B13653" w:rsidP="005417DC">
      <w:pPr>
        <w:spacing w:line="480" w:lineRule="auto"/>
        <w:jc w:val="center"/>
        <w:rPr>
          <w:rFonts w:ascii="Arial" w:hAnsi="Arial" w:cs="Arial"/>
          <w:b/>
          <w:bCs/>
          <w:sz w:val="32"/>
          <w:szCs w:val="32"/>
        </w:rPr>
      </w:pPr>
      <w:r w:rsidRPr="00C85663">
        <w:rPr>
          <w:rFonts w:ascii="Arial" w:hAnsi="Arial" w:cs="Arial"/>
          <w:b/>
          <w:bCs/>
          <w:sz w:val="32"/>
          <w:szCs w:val="32"/>
        </w:rPr>
        <w:t>Lecturer: Dr Mark Gallagher-Read</w:t>
      </w:r>
    </w:p>
    <w:p w14:paraId="7E6EE4F3" w14:textId="32B28D6A" w:rsidR="00B13653" w:rsidRPr="00C85663" w:rsidRDefault="00B13653" w:rsidP="005417DC">
      <w:pPr>
        <w:spacing w:line="480" w:lineRule="auto"/>
        <w:jc w:val="center"/>
        <w:rPr>
          <w:rFonts w:ascii="Arial" w:hAnsi="Arial" w:cs="Arial"/>
          <w:b/>
          <w:bCs/>
          <w:sz w:val="32"/>
          <w:szCs w:val="32"/>
        </w:rPr>
      </w:pPr>
      <w:r w:rsidRPr="00C85663">
        <w:rPr>
          <w:rFonts w:ascii="Arial" w:hAnsi="Arial" w:cs="Arial"/>
          <w:b/>
          <w:bCs/>
          <w:sz w:val="32"/>
          <w:szCs w:val="32"/>
        </w:rPr>
        <w:t xml:space="preserve">Student: </w:t>
      </w:r>
      <w:proofErr w:type="spellStart"/>
      <w:r w:rsidRPr="00C85663">
        <w:rPr>
          <w:rFonts w:ascii="Arial" w:hAnsi="Arial" w:cs="Arial"/>
          <w:b/>
          <w:bCs/>
          <w:sz w:val="32"/>
          <w:szCs w:val="32"/>
        </w:rPr>
        <w:t>Tahira</w:t>
      </w:r>
      <w:proofErr w:type="spellEnd"/>
      <w:r w:rsidRPr="00C85663">
        <w:rPr>
          <w:rFonts w:ascii="Arial" w:hAnsi="Arial" w:cs="Arial"/>
          <w:b/>
          <w:bCs/>
          <w:sz w:val="32"/>
          <w:szCs w:val="32"/>
        </w:rPr>
        <w:t xml:space="preserve"> </w:t>
      </w:r>
      <w:proofErr w:type="spellStart"/>
      <w:r w:rsidRPr="00C85663">
        <w:rPr>
          <w:rFonts w:ascii="Arial" w:hAnsi="Arial" w:cs="Arial"/>
          <w:b/>
          <w:bCs/>
          <w:sz w:val="32"/>
          <w:szCs w:val="32"/>
        </w:rPr>
        <w:t>Jabeen</w:t>
      </w:r>
      <w:proofErr w:type="spellEnd"/>
    </w:p>
    <w:p w14:paraId="06E7D967" w14:textId="0DAF680E" w:rsidR="00B13653" w:rsidRPr="00C85663" w:rsidRDefault="00B13653" w:rsidP="005417DC">
      <w:pPr>
        <w:spacing w:line="480" w:lineRule="auto"/>
        <w:jc w:val="center"/>
        <w:rPr>
          <w:rFonts w:ascii="Arial" w:hAnsi="Arial" w:cs="Arial"/>
          <w:b/>
          <w:bCs/>
          <w:sz w:val="32"/>
          <w:szCs w:val="32"/>
        </w:rPr>
      </w:pPr>
      <w:r w:rsidRPr="00C85663">
        <w:rPr>
          <w:rFonts w:ascii="Arial" w:hAnsi="Arial" w:cs="Arial"/>
          <w:b/>
          <w:bCs/>
          <w:sz w:val="32"/>
          <w:szCs w:val="32"/>
        </w:rPr>
        <w:t>Student ID: 1715952</w:t>
      </w:r>
    </w:p>
    <w:p w14:paraId="1D37A127" w14:textId="7A2E1441" w:rsidR="00C85663" w:rsidRPr="00C85663" w:rsidRDefault="00C85663" w:rsidP="005417DC">
      <w:pPr>
        <w:spacing w:line="480" w:lineRule="auto"/>
        <w:jc w:val="center"/>
        <w:rPr>
          <w:rFonts w:ascii="Arial" w:hAnsi="Arial" w:cs="Arial"/>
          <w:b/>
          <w:bCs/>
          <w:sz w:val="32"/>
          <w:szCs w:val="32"/>
        </w:rPr>
      </w:pPr>
    </w:p>
    <w:p w14:paraId="54CBFF91" w14:textId="3118448E" w:rsidR="00C85663" w:rsidRPr="00C85663" w:rsidRDefault="00C85663" w:rsidP="005417DC">
      <w:pPr>
        <w:spacing w:line="480" w:lineRule="auto"/>
        <w:jc w:val="center"/>
        <w:rPr>
          <w:rFonts w:ascii="Arial" w:hAnsi="Arial" w:cs="Arial"/>
          <w:b/>
          <w:bCs/>
          <w:sz w:val="32"/>
          <w:szCs w:val="32"/>
        </w:rPr>
      </w:pPr>
    </w:p>
    <w:p w14:paraId="0B0ABE20" w14:textId="33A1408C" w:rsidR="00C85663" w:rsidRPr="00C85663" w:rsidRDefault="00C85663" w:rsidP="005417DC">
      <w:pPr>
        <w:spacing w:line="480" w:lineRule="auto"/>
        <w:jc w:val="center"/>
        <w:rPr>
          <w:rFonts w:ascii="Arial" w:hAnsi="Arial" w:cs="Arial"/>
          <w:b/>
          <w:bCs/>
          <w:sz w:val="32"/>
          <w:szCs w:val="32"/>
        </w:rPr>
      </w:pPr>
      <w:r w:rsidRPr="00C85663">
        <w:rPr>
          <w:rFonts w:ascii="Arial" w:hAnsi="Arial" w:cs="Arial"/>
          <w:b/>
          <w:bCs/>
          <w:sz w:val="32"/>
          <w:szCs w:val="32"/>
        </w:rPr>
        <w:t>Supporting Paper – 1078 words</w:t>
      </w:r>
    </w:p>
    <w:p w14:paraId="2BAC9074" w14:textId="162E6A44" w:rsidR="00C85663" w:rsidRPr="00B13653" w:rsidRDefault="00B13653" w:rsidP="00B13653">
      <w:pPr>
        <w:rPr>
          <w:rFonts w:ascii="Arial" w:hAnsi="Arial" w:cs="Arial"/>
          <w:b/>
          <w:bCs/>
          <w:sz w:val="24"/>
          <w:szCs w:val="24"/>
        </w:rPr>
      </w:pPr>
      <w:r>
        <w:rPr>
          <w:rFonts w:ascii="Arial" w:hAnsi="Arial" w:cs="Arial"/>
          <w:b/>
          <w:bCs/>
          <w:sz w:val="24"/>
          <w:szCs w:val="24"/>
        </w:rPr>
        <w:br w:type="page"/>
      </w:r>
    </w:p>
    <w:p w14:paraId="25F8E55A" w14:textId="323F746A" w:rsidR="00C72672" w:rsidRPr="00B13653" w:rsidRDefault="00027625" w:rsidP="005417DC">
      <w:pPr>
        <w:spacing w:line="480" w:lineRule="auto"/>
        <w:jc w:val="both"/>
        <w:rPr>
          <w:rFonts w:ascii="Arial" w:hAnsi="Arial" w:cs="Arial"/>
          <w:sz w:val="24"/>
          <w:szCs w:val="24"/>
        </w:rPr>
      </w:pPr>
      <w:r w:rsidRPr="00B13653">
        <w:rPr>
          <w:rFonts w:ascii="Arial" w:hAnsi="Arial" w:cs="Arial"/>
          <w:sz w:val="24"/>
          <w:szCs w:val="24"/>
        </w:rPr>
        <w:lastRenderedPageBreak/>
        <w:t>In this essay, I will examine</w:t>
      </w:r>
      <w:r w:rsidR="00564485" w:rsidRPr="00B13653">
        <w:rPr>
          <w:rFonts w:ascii="Arial" w:hAnsi="Arial" w:cs="Arial"/>
          <w:sz w:val="24"/>
          <w:szCs w:val="24"/>
        </w:rPr>
        <w:t xml:space="preserve"> the issues faced by</w:t>
      </w:r>
      <w:r w:rsidRPr="00B13653">
        <w:rPr>
          <w:rFonts w:ascii="Arial" w:hAnsi="Arial" w:cs="Arial"/>
          <w:sz w:val="24"/>
          <w:szCs w:val="24"/>
        </w:rPr>
        <w:t xml:space="preserve"> ‘Family C’</w:t>
      </w:r>
      <w:r w:rsidR="00564485" w:rsidRPr="00B13653">
        <w:rPr>
          <w:rFonts w:ascii="Arial" w:hAnsi="Arial" w:cs="Arial"/>
          <w:sz w:val="24"/>
          <w:szCs w:val="24"/>
        </w:rPr>
        <w:t xml:space="preserve"> and the subsequent actions taken in order to support them by relevant authorities</w:t>
      </w:r>
      <w:r w:rsidRPr="00B13653">
        <w:rPr>
          <w:rFonts w:ascii="Arial" w:hAnsi="Arial" w:cs="Arial"/>
          <w:sz w:val="24"/>
          <w:szCs w:val="24"/>
        </w:rPr>
        <w:t>. The family consists of a mother and her four children: a young woman aged 17, two adolescent boys and a nursery school aged daughter. The mother also had two other daughters of adult age who are living independently.</w:t>
      </w:r>
      <w:r w:rsidR="00564485" w:rsidRPr="00B13653">
        <w:rPr>
          <w:rFonts w:ascii="Arial" w:hAnsi="Arial" w:cs="Arial"/>
          <w:sz w:val="24"/>
          <w:szCs w:val="24"/>
        </w:rPr>
        <w:t xml:space="preserve"> The family’s issues stem from the mother’s poor health in the form of depression and anxiety. This led to further difficulties with the children, one of the boys in particular, showing behavioural and attendance challenges. </w:t>
      </w:r>
    </w:p>
    <w:p w14:paraId="4761D974" w14:textId="77777777" w:rsidR="00C72672" w:rsidRPr="00B13653" w:rsidRDefault="00C72672" w:rsidP="005417DC">
      <w:pPr>
        <w:spacing w:line="480" w:lineRule="auto"/>
        <w:jc w:val="both"/>
        <w:rPr>
          <w:rFonts w:ascii="Arial" w:hAnsi="Arial" w:cs="Arial"/>
          <w:sz w:val="24"/>
          <w:szCs w:val="24"/>
        </w:rPr>
      </w:pPr>
    </w:p>
    <w:p w14:paraId="7C21F401" w14:textId="66B4E693" w:rsidR="00564485" w:rsidRPr="00B13653" w:rsidRDefault="00C72672" w:rsidP="005417DC">
      <w:pPr>
        <w:spacing w:line="480" w:lineRule="auto"/>
        <w:jc w:val="both"/>
        <w:rPr>
          <w:rFonts w:ascii="Arial" w:hAnsi="Arial" w:cs="Arial"/>
          <w:sz w:val="24"/>
          <w:szCs w:val="24"/>
        </w:rPr>
      </w:pPr>
      <w:r w:rsidRPr="00B13653">
        <w:rPr>
          <w:rFonts w:ascii="Arial" w:hAnsi="Arial" w:cs="Arial"/>
          <w:sz w:val="24"/>
          <w:szCs w:val="24"/>
        </w:rPr>
        <w:t>This family shows a relatively high level of vulnerability. The case study indicates that the environment in which the family were living was sub-standard. The house was in need of important repair, and we can assume that due to the mother’s depression and anxiety she was unable to do this independently. Furthermore, the mother needed support with finding career opportunities</w:t>
      </w:r>
      <w:r w:rsidR="00A63D5E" w:rsidRPr="00B13653">
        <w:rPr>
          <w:rFonts w:ascii="Arial" w:hAnsi="Arial" w:cs="Arial"/>
          <w:sz w:val="24"/>
          <w:szCs w:val="24"/>
        </w:rPr>
        <w:t xml:space="preserve"> and we know Jobcentre Plus were involved</w:t>
      </w:r>
      <w:r w:rsidRPr="00B13653">
        <w:rPr>
          <w:rFonts w:ascii="Arial" w:hAnsi="Arial" w:cs="Arial"/>
          <w:sz w:val="24"/>
          <w:szCs w:val="24"/>
        </w:rPr>
        <w:t xml:space="preserve">. Not having stable employment but having to care for four dependent children would have meant that the children were not being provided with the same quality of life as many families. There also leads to the absence of a positive role model. These factors combining to create an unstable home life can explain the behaviour issues the children displayed at school. The risk factors created by this situation could arise from what the children are exposed to whilst absent from school. The lack of income from employment is also a risk in terms of ensuring the children and mother’s basic needs are met. And the condition of the house is also a risk as it could potentially be hazardous for the children, the youngest daughter in particular. </w:t>
      </w:r>
    </w:p>
    <w:p w14:paraId="6230A462" w14:textId="77777777" w:rsidR="008C2A3B" w:rsidRPr="00B13653" w:rsidRDefault="008C2A3B" w:rsidP="005417DC">
      <w:pPr>
        <w:spacing w:line="480" w:lineRule="auto"/>
        <w:jc w:val="both"/>
        <w:rPr>
          <w:rFonts w:ascii="Arial" w:hAnsi="Arial" w:cs="Arial"/>
          <w:sz w:val="24"/>
          <w:szCs w:val="24"/>
        </w:rPr>
      </w:pPr>
    </w:p>
    <w:p w14:paraId="0098A79F" w14:textId="681734DE" w:rsidR="00C72672" w:rsidRDefault="00C72672" w:rsidP="005417DC">
      <w:pPr>
        <w:spacing w:line="480" w:lineRule="auto"/>
        <w:jc w:val="both"/>
        <w:rPr>
          <w:rFonts w:ascii="Arial" w:hAnsi="Arial" w:cs="Arial"/>
          <w:sz w:val="24"/>
          <w:szCs w:val="24"/>
        </w:rPr>
      </w:pPr>
      <w:r w:rsidRPr="00B13653">
        <w:rPr>
          <w:rFonts w:ascii="Arial" w:hAnsi="Arial" w:cs="Arial"/>
          <w:sz w:val="24"/>
          <w:szCs w:val="24"/>
        </w:rPr>
        <w:t>Maslow’s hierarchy of needs was broken down into five</w:t>
      </w:r>
      <w:r w:rsidR="008C2A3B" w:rsidRPr="00B13653">
        <w:rPr>
          <w:rFonts w:ascii="Arial" w:hAnsi="Arial" w:cs="Arial"/>
          <w:sz w:val="24"/>
          <w:szCs w:val="24"/>
        </w:rPr>
        <w:t xml:space="preserve"> categories</w:t>
      </w:r>
      <w:r w:rsidRPr="00B13653">
        <w:rPr>
          <w:rFonts w:ascii="Arial" w:hAnsi="Arial" w:cs="Arial"/>
          <w:sz w:val="24"/>
          <w:szCs w:val="24"/>
        </w:rPr>
        <w:t xml:space="preserve">. </w:t>
      </w:r>
      <w:r w:rsidR="008C2A3B" w:rsidRPr="00B13653">
        <w:rPr>
          <w:rFonts w:ascii="Arial" w:hAnsi="Arial" w:cs="Arial"/>
          <w:sz w:val="24"/>
          <w:szCs w:val="24"/>
        </w:rPr>
        <w:t xml:space="preserve">The first category is physiological needs such as food, drink, shelter and warmth (McLeod, 2007). It is </w:t>
      </w:r>
      <w:r w:rsidR="008C2A3B" w:rsidRPr="00B13653">
        <w:rPr>
          <w:rFonts w:ascii="Arial" w:hAnsi="Arial" w:cs="Arial"/>
          <w:sz w:val="24"/>
          <w:szCs w:val="24"/>
        </w:rPr>
        <w:lastRenderedPageBreak/>
        <w:t xml:space="preserve">clear from the case study that the family’s access to these needs is at risk, as explained above due to the mother’s employment situation and the condition of the house. The second and third categories are safety and social needs (McLeod, 2007). I believe the children are at risk in these categories due to their absence from school. This could lead to them forming inappropriate friendships and being in precarious situations. </w:t>
      </w:r>
    </w:p>
    <w:p w14:paraId="5D54161E" w14:textId="77777777" w:rsidR="00B13653" w:rsidRPr="00B13653" w:rsidRDefault="00B13653" w:rsidP="005417DC">
      <w:pPr>
        <w:spacing w:line="480" w:lineRule="auto"/>
        <w:jc w:val="both"/>
        <w:rPr>
          <w:rFonts w:ascii="Arial" w:hAnsi="Arial" w:cs="Arial"/>
          <w:sz w:val="24"/>
          <w:szCs w:val="24"/>
        </w:rPr>
      </w:pPr>
    </w:p>
    <w:p w14:paraId="018C33D7" w14:textId="53565E39" w:rsidR="00A63D5E" w:rsidRPr="00B13653" w:rsidRDefault="008C2A3B" w:rsidP="005417DC">
      <w:pPr>
        <w:spacing w:line="480" w:lineRule="auto"/>
        <w:jc w:val="both"/>
        <w:rPr>
          <w:rFonts w:ascii="Arial" w:hAnsi="Arial" w:cs="Arial"/>
          <w:sz w:val="24"/>
          <w:szCs w:val="24"/>
        </w:rPr>
      </w:pPr>
      <w:r w:rsidRPr="00B13653">
        <w:rPr>
          <w:rFonts w:ascii="Arial" w:hAnsi="Arial" w:cs="Arial"/>
          <w:sz w:val="24"/>
          <w:szCs w:val="24"/>
        </w:rPr>
        <w:t xml:space="preserve">Indeed, we can be relatively certain that the absence of the above needs put at least one child in particular risk. The family became the subject of assessment after being referred by the Youth Offending Team parenting division. This meant one of the children was </w:t>
      </w:r>
      <w:r w:rsidR="00A63D5E" w:rsidRPr="00B13653">
        <w:rPr>
          <w:rFonts w:ascii="Arial" w:hAnsi="Arial" w:cs="Arial"/>
          <w:sz w:val="24"/>
          <w:szCs w:val="24"/>
        </w:rPr>
        <w:t>in trouble with Youth Offending services so was potentially engaging in criminal activity. This confirms the risk factors above being accurate and could also lead to the other children being in similar situations.</w:t>
      </w:r>
    </w:p>
    <w:p w14:paraId="33699C15" w14:textId="75959044" w:rsidR="00A63D5E" w:rsidRPr="00B13653" w:rsidRDefault="00A63D5E" w:rsidP="005417DC">
      <w:pPr>
        <w:spacing w:line="480" w:lineRule="auto"/>
        <w:jc w:val="both"/>
        <w:rPr>
          <w:rFonts w:ascii="Arial" w:hAnsi="Arial" w:cs="Arial"/>
          <w:sz w:val="24"/>
          <w:szCs w:val="24"/>
        </w:rPr>
      </w:pPr>
    </w:p>
    <w:p w14:paraId="05CC7B37" w14:textId="1F3D5DE0" w:rsidR="00A63D5E" w:rsidRPr="00B13653" w:rsidRDefault="00A63D5E" w:rsidP="005417DC">
      <w:pPr>
        <w:spacing w:line="480" w:lineRule="auto"/>
        <w:jc w:val="both"/>
        <w:rPr>
          <w:rFonts w:ascii="Arial" w:hAnsi="Arial" w:cs="Arial"/>
          <w:sz w:val="24"/>
          <w:szCs w:val="24"/>
        </w:rPr>
      </w:pPr>
      <w:r w:rsidRPr="00B13653">
        <w:rPr>
          <w:rFonts w:ascii="Arial" w:hAnsi="Arial" w:cs="Arial"/>
          <w:sz w:val="24"/>
          <w:szCs w:val="24"/>
        </w:rPr>
        <w:t xml:space="preserve">The Youth Offending parenting division, and other agencies including relevant schools, nurseries, colleges. CAMHS, the Anti-Social behaviour team, and more were involved as an action plan was created. Recent legislation and policy statements have highlighted the important of joined-up and collaborative working in order to support children with complex needs and their families (Watson et al, 2002). </w:t>
      </w:r>
    </w:p>
    <w:p w14:paraId="10471CB1" w14:textId="13245C44" w:rsidR="00300F42" w:rsidRPr="00B13653" w:rsidRDefault="00300F42" w:rsidP="005417DC">
      <w:pPr>
        <w:spacing w:line="480" w:lineRule="auto"/>
        <w:jc w:val="both"/>
        <w:rPr>
          <w:rFonts w:ascii="Arial" w:hAnsi="Arial" w:cs="Arial"/>
          <w:sz w:val="24"/>
          <w:szCs w:val="24"/>
        </w:rPr>
      </w:pPr>
    </w:p>
    <w:p w14:paraId="5D345D67" w14:textId="0DDEB41A" w:rsidR="009171E2" w:rsidRPr="00B13653" w:rsidRDefault="00300F42" w:rsidP="005417DC">
      <w:pPr>
        <w:spacing w:line="480" w:lineRule="auto"/>
        <w:jc w:val="both"/>
        <w:rPr>
          <w:rFonts w:ascii="Arial" w:hAnsi="Arial" w:cs="Arial"/>
          <w:sz w:val="24"/>
          <w:szCs w:val="24"/>
        </w:rPr>
      </w:pPr>
      <w:r w:rsidRPr="00B13653">
        <w:rPr>
          <w:rFonts w:ascii="Arial" w:hAnsi="Arial" w:cs="Arial"/>
          <w:sz w:val="24"/>
          <w:szCs w:val="24"/>
        </w:rPr>
        <w:t>One of the actions the agencies undertook was to have the children attend extracurricular activities. Extracurricular activities are the most likely school activities to engage teenagers fully (</w:t>
      </w:r>
      <w:proofErr w:type="spellStart"/>
      <w:r w:rsidRPr="00B13653">
        <w:rPr>
          <w:rFonts w:ascii="Arial" w:hAnsi="Arial" w:cs="Arial"/>
          <w:sz w:val="24"/>
          <w:szCs w:val="24"/>
        </w:rPr>
        <w:t>Rathunde</w:t>
      </w:r>
      <w:proofErr w:type="spellEnd"/>
      <w:r w:rsidRPr="00B13653">
        <w:rPr>
          <w:rFonts w:ascii="Arial" w:hAnsi="Arial" w:cs="Arial"/>
          <w:sz w:val="24"/>
          <w:szCs w:val="24"/>
        </w:rPr>
        <w:t xml:space="preserve">, 1993) and by supporting the children accessing this it could lead to them having more motivation to attend school regularly. This particular action point could have been improved by bringing the activities and skills </w:t>
      </w:r>
      <w:r w:rsidRPr="00B13653">
        <w:rPr>
          <w:rFonts w:ascii="Arial" w:hAnsi="Arial" w:cs="Arial"/>
          <w:sz w:val="24"/>
          <w:szCs w:val="24"/>
        </w:rPr>
        <w:lastRenderedPageBreak/>
        <w:t xml:space="preserve">the children were learning into the home so they could also do it with their mother. This would have improved their relationship and allowed the mother to feel more involved in her children’s school life. </w:t>
      </w:r>
      <w:r w:rsidR="009171E2" w:rsidRPr="00B13653">
        <w:rPr>
          <w:rFonts w:ascii="Arial" w:hAnsi="Arial" w:cs="Arial"/>
          <w:sz w:val="24"/>
          <w:szCs w:val="24"/>
        </w:rPr>
        <w:t>It is also important, and unclear whether this was done in this case, to develop a whole-school approach (</w:t>
      </w:r>
      <w:proofErr w:type="spellStart"/>
      <w:r w:rsidR="009171E2" w:rsidRPr="00B13653">
        <w:rPr>
          <w:rFonts w:ascii="Arial" w:hAnsi="Arial" w:cs="Arial"/>
          <w:sz w:val="24"/>
          <w:szCs w:val="24"/>
        </w:rPr>
        <w:t>Dongen</w:t>
      </w:r>
      <w:proofErr w:type="spellEnd"/>
      <w:r w:rsidR="009171E2" w:rsidRPr="00B13653">
        <w:rPr>
          <w:rFonts w:ascii="Arial" w:hAnsi="Arial" w:cs="Arial"/>
          <w:sz w:val="24"/>
          <w:szCs w:val="24"/>
        </w:rPr>
        <w:t xml:space="preserve"> et al, 2019). Children, in particular the adolescent boy, should have access to a counsellor in school and behavioural support. Vulnerable children cannot often cope with the traditional behaviour system so ensuring all staff are aware of the need for a bespoke approach is vital. The boy, who is accessing anger management counselling from the action plan, should also be supported with his anger in school if a situation arises. Having someone at school to deescalate his anger would be very important.</w:t>
      </w:r>
    </w:p>
    <w:p w14:paraId="6382E26B" w14:textId="77777777" w:rsidR="009171E2" w:rsidRPr="00B13653" w:rsidRDefault="009171E2" w:rsidP="005417DC">
      <w:pPr>
        <w:spacing w:line="480" w:lineRule="auto"/>
        <w:jc w:val="both"/>
        <w:rPr>
          <w:rFonts w:ascii="Arial" w:hAnsi="Arial" w:cs="Arial"/>
          <w:sz w:val="24"/>
          <w:szCs w:val="24"/>
        </w:rPr>
      </w:pPr>
    </w:p>
    <w:p w14:paraId="74F44563" w14:textId="312DEFA6" w:rsidR="00300F42" w:rsidRPr="00B13653" w:rsidRDefault="009171E2" w:rsidP="005417DC">
      <w:pPr>
        <w:spacing w:line="480" w:lineRule="auto"/>
        <w:jc w:val="both"/>
        <w:rPr>
          <w:rFonts w:ascii="Arial" w:hAnsi="Arial" w:cs="Arial"/>
          <w:sz w:val="24"/>
          <w:szCs w:val="24"/>
        </w:rPr>
      </w:pPr>
      <w:r w:rsidRPr="00B13653">
        <w:rPr>
          <w:rFonts w:ascii="Arial" w:hAnsi="Arial" w:cs="Arial"/>
          <w:sz w:val="24"/>
          <w:szCs w:val="24"/>
        </w:rPr>
        <w:t>Another key action was for Neighbourhood Services to carry out property repairs. The family themselves reported the positive impact of this and felt ‘happy’ according to the case study. The mother believed it would encourage her children to stay at home and away from unfavourable activities. This addresses Maslow’s two needs described above – physiological and safety. It would have been beneficial as the repairs were happening, to involve the mother in DIY projects so that she has the skills and confidence to maintain the house for the long-term.</w:t>
      </w:r>
    </w:p>
    <w:p w14:paraId="4A4F8E1E" w14:textId="690BF46E" w:rsidR="009171E2" w:rsidRPr="00B13653" w:rsidRDefault="009171E2" w:rsidP="005417DC">
      <w:pPr>
        <w:spacing w:line="480" w:lineRule="auto"/>
        <w:jc w:val="both"/>
        <w:rPr>
          <w:rFonts w:ascii="Arial" w:hAnsi="Arial" w:cs="Arial"/>
          <w:sz w:val="24"/>
          <w:szCs w:val="24"/>
        </w:rPr>
      </w:pPr>
    </w:p>
    <w:p w14:paraId="7A2B911F" w14:textId="11064D39" w:rsidR="005E1AFA" w:rsidRPr="00B13653" w:rsidRDefault="009171E2" w:rsidP="005417DC">
      <w:pPr>
        <w:spacing w:line="480" w:lineRule="auto"/>
        <w:jc w:val="both"/>
        <w:rPr>
          <w:rFonts w:ascii="Arial" w:hAnsi="Arial" w:cs="Arial"/>
          <w:sz w:val="24"/>
          <w:szCs w:val="24"/>
        </w:rPr>
      </w:pPr>
      <w:r w:rsidRPr="00B13653">
        <w:rPr>
          <w:rFonts w:ascii="Arial" w:hAnsi="Arial" w:cs="Arial"/>
          <w:sz w:val="24"/>
          <w:szCs w:val="24"/>
        </w:rPr>
        <w:t>The mother did not access the full range of support required because she was not comfortable with the format.</w:t>
      </w:r>
      <w:r w:rsidR="005E1AFA" w:rsidRPr="00B13653">
        <w:rPr>
          <w:rFonts w:ascii="Arial" w:hAnsi="Arial" w:cs="Arial"/>
          <w:sz w:val="24"/>
          <w:szCs w:val="24"/>
        </w:rPr>
        <w:t xml:space="preserve"> She would have preferred one-to-one sessions as opposed to meetings with the core team. Whilst group interventions have proven to be an effective means of supporting parents (Jarrett et al, 2000), this mother’s mental health needs made it inaccessible for her. Going forward, the multi-agency team must stay in contact with the family and offer one-to-one sessions for the mother. The </w:t>
      </w:r>
      <w:r w:rsidR="005E1AFA" w:rsidRPr="00B13653">
        <w:rPr>
          <w:rFonts w:ascii="Arial" w:hAnsi="Arial" w:cs="Arial"/>
          <w:sz w:val="24"/>
          <w:szCs w:val="24"/>
        </w:rPr>
        <w:lastRenderedPageBreak/>
        <w:t>mother’s lack of external engagement (anything outside of her home) has also impacted the ability to collect data on positive outcomes. Whilst the family themselves reported satisfaction and increased happiness, increased data and engagement would allow us to better judge the effectiveness of the interventions. It would allow us to see which interventions should be continued and which could be modified or stopped altogether. Supporting the mother with finding employment, as one of the action points, may lead to her being more comfortable attending external sessions so this could be revisited in the future.</w:t>
      </w:r>
    </w:p>
    <w:p w14:paraId="39CD395B" w14:textId="111E3400" w:rsidR="005E1AFA" w:rsidRPr="00B13653" w:rsidRDefault="005E1AFA" w:rsidP="005417DC">
      <w:pPr>
        <w:spacing w:line="480" w:lineRule="auto"/>
        <w:jc w:val="both"/>
        <w:rPr>
          <w:rFonts w:ascii="Arial" w:hAnsi="Arial" w:cs="Arial"/>
          <w:sz w:val="24"/>
          <w:szCs w:val="24"/>
        </w:rPr>
      </w:pPr>
    </w:p>
    <w:p w14:paraId="4EBD929B" w14:textId="1DFA8A60" w:rsidR="005E1AFA" w:rsidRPr="00B13653" w:rsidRDefault="005E1AFA" w:rsidP="005417DC">
      <w:pPr>
        <w:spacing w:line="480" w:lineRule="auto"/>
        <w:jc w:val="both"/>
        <w:rPr>
          <w:rFonts w:ascii="Arial" w:hAnsi="Arial" w:cs="Arial"/>
          <w:sz w:val="24"/>
          <w:szCs w:val="24"/>
        </w:rPr>
      </w:pPr>
      <w:r w:rsidRPr="00B13653">
        <w:rPr>
          <w:rFonts w:ascii="Arial" w:hAnsi="Arial" w:cs="Arial"/>
          <w:sz w:val="24"/>
          <w:szCs w:val="24"/>
        </w:rPr>
        <w:t>In conclusion, the family and mother report positive feedback as a result of the interventions. This indicates a reasonable level of success. However, it is now vital that further support is offered on the remaining issues such as parenting and attending training sessions. The behaviour and attendance at school must be monitored</w:t>
      </w:r>
      <w:r w:rsidR="00B13653" w:rsidRPr="00B13653">
        <w:rPr>
          <w:rFonts w:ascii="Arial" w:hAnsi="Arial" w:cs="Arial"/>
          <w:sz w:val="24"/>
          <w:szCs w:val="24"/>
        </w:rPr>
        <w:t xml:space="preserve"> and effective communication between all the agencies will be vital to monitor progress or lack thereof. Nevertheless, the first stage of interventions indicates a positive change for the family, and the mother seems to be receptive to further help and support.</w:t>
      </w:r>
    </w:p>
    <w:p w14:paraId="65DA48AF" w14:textId="1F7CAF6B" w:rsidR="008C2A3B" w:rsidRPr="00B13653" w:rsidRDefault="008C2A3B" w:rsidP="005417DC">
      <w:pPr>
        <w:spacing w:line="480" w:lineRule="auto"/>
        <w:jc w:val="both"/>
        <w:rPr>
          <w:rFonts w:ascii="Arial" w:hAnsi="Arial" w:cs="Arial"/>
          <w:sz w:val="24"/>
          <w:szCs w:val="24"/>
        </w:rPr>
      </w:pPr>
    </w:p>
    <w:p w14:paraId="0D6253EC" w14:textId="77777777" w:rsidR="008C2A3B" w:rsidRPr="00B13653" w:rsidRDefault="008C2A3B">
      <w:pPr>
        <w:rPr>
          <w:rFonts w:ascii="Arial" w:hAnsi="Arial" w:cs="Arial"/>
          <w:sz w:val="24"/>
          <w:szCs w:val="24"/>
        </w:rPr>
      </w:pPr>
      <w:r w:rsidRPr="00B13653">
        <w:rPr>
          <w:rFonts w:ascii="Arial" w:hAnsi="Arial" w:cs="Arial"/>
          <w:sz w:val="24"/>
          <w:szCs w:val="24"/>
        </w:rPr>
        <w:br w:type="page"/>
      </w:r>
    </w:p>
    <w:p w14:paraId="03744B62" w14:textId="584ED670" w:rsidR="00564485" w:rsidRPr="00B13653" w:rsidRDefault="008C2A3B" w:rsidP="005417DC">
      <w:pPr>
        <w:spacing w:line="480" w:lineRule="auto"/>
        <w:jc w:val="both"/>
        <w:rPr>
          <w:rFonts w:ascii="Arial" w:hAnsi="Arial" w:cs="Arial"/>
          <w:sz w:val="24"/>
          <w:szCs w:val="24"/>
        </w:rPr>
      </w:pPr>
      <w:r w:rsidRPr="00B13653">
        <w:rPr>
          <w:rFonts w:ascii="Arial" w:hAnsi="Arial" w:cs="Arial"/>
          <w:sz w:val="24"/>
          <w:szCs w:val="24"/>
        </w:rPr>
        <w:lastRenderedPageBreak/>
        <w:t>References</w:t>
      </w:r>
    </w:p>
    <w:p w14:paraId="3174A8D0" w14:textId="77777777" w:rsidR="009171E2" w:rsidRPr="00B13653" w:rsidRDefault="009171E2" w:rsidP="009171E2">
      <w:pPr>
        <w:spacing w:line="360" w:lineRule="auto"/>
        <w:ind w:left="720" w:hanging="720"/>
        <w:rPr>
          <w:rFonts w:ascii="Arial" w:eastAsia="Times New Roman" w:hAnsi="Arial" w:cs="Arial"/>
          <w:color w:val="222222"/>
          <w:sz w:val="24"/>
          <w:szCs w:val="24"/>
          <w:shd w:val="clear" w:color="auto" w:fill="FFFFFF"/>
          <w:lang w:eastAsia="en-GB"/>
        </w:rPr>
      </w:pPr>
      <w:proofErr w:type="spellStart"/>
      <w:r w:rsidRPr="00B13653">
        <w:rPr>
          <w:rFonts w:ascii="Arial" w:eastAsia="Times New Roman" w:hAnsi="Arial" w:cs="Arial"/>
          <w:color w:val="222222"/>
          <w:sz w:val="24"/>
          <w:szCs w:val="24"/>
          <w:shd w:val="clear" w:color="auto" w:fill="FFFFFF"/>
          <w:lang w:eastAsia="en-GB"/>
        </w:rPr>
        <w:t>Dongen</w:t>
      </w:r>
      <w:proofErr w:type="spellEnd"/>
      <w:r w:rsidRPr="00B13653">
        <w:rPr>
          <w:rFonts w:ascii="Arial" w:eastAsia="Times New Roman" w:hAnsi="Arial" w:cs="Arial"/>
          <w:color w:val="222222"/>
          <w:sz w:val="24"/>
          <w:szCs w:val="24"/>
          <w:shd w:val="clear" w:color="auto" w:fill="FFFFFF"/>
          <w:lang w:eastAsia="en-GB"/>
        </w:rPr>
        <w:t xml:space="preserve">, T. V., </w:t>
      </w:r>
      <w:proofErr w:type="spellStart"/>
      <w:r w:rsidRPr="00B13653">
        <w:rPr>
          <w:rFonts w:ascii="Arial" w:eastAsia="Times New Roman" w:hAnsi="Arial" w:cs="Arial"/>
          <w:color w:val="222222"/>
          <w:sz w:val="24"/>
          <w:szCs w:val="24"/>
          <w:shd w:val="clear" w:color="auto" w:fill="FFFFFF"/>
          <w:lang w:eastAsia="en-GB"/>
        </w:rPr>
        <w:t>Sabbe</w:t>
      </w:r>
      <w:proofErr w:type="spellEnd"/>
      <w:r w:rsidRPr="00B13653">
        <w:rPr>
          <w:rFonts w:ascii="Arial" w:eastAsia="Times New Roman" w:hAnsi="Arial" w:cs="Arial"/>
          <w:color w:val="222222"/>
          <w:sz w:val="24"/>
          <w:szCs w:val="24"/>
          <w:shd w:val="clear" w:color="auto" w:fill="FFFFFF"/>
          <w:lang w:eastAsia="en-GB"/>
        </w:rPr>
        <w:t xml:space="preserve">, B., </w:t>
      </w:r>
      <w:proofErr w:type="spellStart"/>
      <w:r w:rsidRPr="00B13653">
        <w:rPr>
          <w:rFonts w:ascii="Arial" w:eastAsia="Times New Roman" w:hAnsi="Arial" w:cs="Arial"/>
          <w:color w:val="222222"/>
          <w:sz w:val="24"/>
          <w:szCs w:val="24"/>
          <w:shd w:val="clear" w:color="auto" w:fill="FFFFFF"/>
          <w:lang w:eastAsia="en-GB"/>
        </w:rPr>
        <w:t>Glazemarkers</w:t>
      </w:r>
      <w:proofErr w:type="spellEnd"/>
      <w:r w:rsidRPr="00B13653">
        <w:rPr>
          <w:rFonts w:ascii="Arial" w:eastAsia="Times New Roman" w:hAnsi="Arial" w:cs="Arial"/>
          <w:color w:val="222222"/>
          <w:sz w:val="24"/>
          <w:szCs w:val="24"/>
          <w:shd w:val="clear" w:color="auto" w:fill="FFFFFF"/>
          <w:lang w:eastAsia="en-GB"/>
        </w:rPr>
        <w:t>, I. (2019) Collaboration for children with complex needs:</w:t>
      </w:r>
    </w:p>
    <w:p w14:paraId="569CA94C" w14:textId="592D39ED" w:rsidR="009171E2" w:rsidRPr="00B13653" w:rsidRDefault="009171E2" w:rsidP="009171E2">
      <w:pPr>
        <w:spacing w:line="360" w:lineRule="auto"/>
        <w:ind w:left="720" w:hanging="720"/>
        <w:rPr>
          <w:rFonts w:ascii="Arial" w:eastAsia="Times New Roman" w:hAnsi="Arial" w:cs="Arial"/>
          <w:color w:val="222222"/>
          <w:sz w:val="24"/>
          <w:szCs w:val="24"/>
          <w:shd w:val="clear" w:color="auto" w:fill="FFFFFF"/>
          <w:lang w:eastAsia="en-GB"/>
        </w:rPr>
      </w:pPr>
      <w:r w:rsidRPr="00B13653">
        <w:rPr>
          <w:rFonts w:ascii="Arial" w:eastAsia="Times New Roman" w:hAnsi="Arial" w:cs="Arial"/>
          <w:color w:val="222222"/>
          <w:sz w:val="24"/>
          <w:szCs w:val="24"/>
          <w:shd w:val="clear" w:color="auto" w:fill="FFFFFF"/>
          <w:lang w:eastAsia="en-GB"/>
        </w:rPr>
        <w:t>What adolescents, parents and practitioners tell us</w:t>
      </w:r>
      <w:r w:rsidRPr="00B13653">
        <w:rPr>
          <w:rFonts w:ascii="Arial" w:eastAsia="Times New Roman" w:hAnsi="Arial" w:cs="Arial"/>
          <w:color w:val="222222"/>
          <w:sz w:val="24"/>
          <w:szCs w:val="24"/>
          <w:shd w:val="clear" w:color="auto" w:fill="FFFFFF"/>
          <w:lang w:eastAsia="en-GB"/>
        </w:rPr>
        <w:t>.</w:t>
      </w:r>
      <w:r w:rsidRPr="00B13653">
        <w:rPr>
          <w:rFonts w:ascii="Arial" w:eastAsia="Times New Roman" w:hAnsi="Arial" w:cs="Arial"/>
          <w:color w:val="222222"/>
          <w:sz w:val="24"/>
          <w:szCs w:val="24"/>
          <w:shd w:val="clear" w:color="auto" w:fill="FFFFFF"/>
          <w:lang w:eastAsia="en-GB"/>
        </w:rPr>
        <w:t xml:space="preserve"> </w:t>
      </w:r>
      <w:r w:rsidRPr="00B13653">
        <w:rPr>
          <w:rFonts w:ascii="Arial" w:eastAsia="Times New Roman" w:hAnsi="Arial" w:cs="Arial"/>
          <w:i/>
          <w:iCs/>
          <w:color w:val="222222"/>
          <w:sz w:val="24"/>
          <w:szCs w:val="24"/>
          <w:shd w:val="clear" w:color="auto" w:fill="FFFFFF"/>
          <w:lang w:eastAsia="en-GB"/>
        </w:rPr>
        <w:t>Journal of Child Health Care, Vol. 24, Issue 1</w:t>
      </w:r>
    </w:p>
    <w:p w14:paraId="0B48924C" w14:textId="6F3FEB78" w:rsidR="009171E2" w:rsidRPr="00B13653" w:rsidRDefault="009171E2" w:rsidP="009171E2">
      <w:pPr>
        <w:spacing w:line="360" w:lineRule="auto"/>
        <w:ind w:left="720" w:hanging="720"/>
        <w:rPr>
          <w:rFonts w:ascii="Arial" w:eastAsia="Times New Roman" w:hAnsi="Arial" w:cs="Arial"/>
          <w:color w:val="222222"/>
          <w:sz w:val="24"/>
          <w:szCs w:val="24"/>
          <w:shd w:val="clear" w:color="auto" w:fill="FFFFFF"/>
          <w:lang w:eastAsia="en-GB"/>
        </w:rPr>
      </w:pPr>
      <w:hyperlink r:id="rId4" w:history="1">
        <w:r w:rsidRPr="00B13653">
          <w:rPr>
            <w:rStyle w:val="Hyperlink"/>
            <w:rFonts w:ascii="Arial" w:eastAsia="Times New Roman" w:hAnsi="Arial" w:cs="Arial"/>
            <w:sz w:val="24"/>
            <w:szCs w:val="24"/>
            <w:shd w:val="clear" w:color="auto" w:fill="FFFFFF"/>
            <w:lang w:eastAsia="en-GB"/>
          </w:rPr>
          <w:t>https://journals.sagepub.com/doi/10.1177/1367493518823906</w:t>
        </w:r>
      </w:hyperlink>
      <w:r w:rsidRPr="00B13653">
        <w:rPr>
          <w:rFonts w:ascii="Arial" w:eastAsia="Times New Roman" w:hAnsi="Arial" w:cs="Arial"/>
          <w:color w:val="222222"/>
          <w:sz w:val="24"/>
          <w:szCs w:val="24"/>
          <w:shd w:val="clear" w:color="auto" w:fill="FFFFFF"/>
          <w:lang w:eastAsia="en-GB"/>
        </w:rPr>
        <w:t xml:space="preserve"> (</w:t>
      </w:r>
      <w:r w:rsidRPr="00B13653">
        <w:rPr>
          <w:rFonts w:ascii="Arial" w:eastAsia="Times New Roman" w:hAnsi="Arial" w:cs="Arial"/>
          <w:color w:val="222222"/>
          <w:sz w:val="24"/>
          <w:szCs w:val="24"/>
          <w:shd w:val="clear" w:color="auto" w:fill="FFFFFF"/>
          <w:lang w:eastAsia="en-GB"/>
        </w:rPr>
        <w:t xml:space="preserve">Accessed on </w:t>
      </w:r>
      <w:r w:rsidR="005E1AFA" w:rsidRPr="00B13653">
        <w:rPr>
          <w:rFonts w:ascii="Arial" w:eastAsia="Times New Roman" w:hAnsi="Arial" w:cs="Arial"/>
          <w:color w:val="222222"/>
          <w:sz w:val="24"/>
          <w:szCs w:val="24"/>
          <w:shd w:val="clear" w:color="auto" w:fill="FFFFFF"/>
          <w:lang w:eastAsia="en-GB"/>
        </w:rPr>
        <w:t>20</w:t>
      </w:r>
      <w:r w:rsidRPr="00B13653">
        <w:rPr>
          <w:rFonts w:ascii="Arial" w:eastAsia="Times New Roman" w:hAnsi="Arial" w:cs="Arial"/>
          <w:color w:val="222222"/>
          <w:sz w:val="24"/>
          <w:szCs w:val="24"/>
          <w:shd w:val="clear" w:color="auto" w:fill="FFFFFF"/>
          <w:lang w:eastAsia="en-GB"/>
        </w:rPr>
        <w:t>t</w:t>
      </w:r>
      <w:r w:rsidRPr="00B13653">
        <w:rPr>
          <w:rFonts w:ascii="Arial" w:eastAsia="Times New Roman" w:hAnsi="Arial" w:cs="Arial"/>
          <w:color w:val="222222"/>
          <w:sz w:val="24"/>
          <w:szCs w:val="24"/>
          <w:shd w:val="clear" w:color="auto" w:fill="FFFFFF"/>
          <w:lang w:eastAsia="en-GB"/>
        </w:rPr>
        <w:t>h</w:t>
      </w:r>
    </w:p>
    <w:p w14:paraId="2E4499ED" w14:textId="269020ED" w:rsidR="009171E2" w:rsidRPr="00B13653" w:rsidRDefault="009171E2" w:rsidP="009171E2">
      <w:pPr>
        <w:spacing w:line="360" w:lineRule="auto"/>
        <w:ind w:left="720" w:hanging="720"/>
        <w:rPr>
          <w:rFonts w:ascii="Arial" w:eastAsia="Times New Roman" w:hAnsi="Arial" w:cs="Arial"/>
          <w:color w:val="222222"/>
          <w:sz w:val="24"/>
          <w:szCs w:val="24"/>
          <w:shd w:val="clear" w:color="auto" w:fill="FFFFFF"/>
          <w:lang w:eastAsia="en-GB"/>
        </w:rPr>
      </w:pPr>
      <w:r w:rsidRPr="00B13653">
        <w:rPr>
          <w:rFonts w:ascii="Arial" w:eastAsia="Times New Roman" w:hAnsi="Arial" w:cs="Arial"/>
          <w:color w:val="222222"/>
          <w:sz w:val="24"/>
          <w:szCs w:val="24"/>
          <w:shd w:val="clear" w:color="auto" w:fill="FFFFFF"/>
          <w:lang w:eastAsia="en-GB"/>
        </w:rPr>
        <w:t>March 2020</w:t>
      </w:r>
      <w:r w:rsidRPr="00B13653">
        <w:rPr>
          <w:rFonts w:ascii="Arial" w:eastAsia="Times New Roman" w:hAnsi="Arial" w:cs="Arial"/>
          <w:color w:val="222222"/>
          <w:sz w:val="24"/>
          <w:szCs w:val="24"/>
          <w:shd w:val="clear" w:color="auto" w:fill="FFFFFF"/>
          <w:lang w:eastAsia="en-GB"/>
        </w:rPr>
        <w:t>)</w:t>
      </w:r>
    </w:p>
    <w:p w14:paraId="024BE5D0" w14:textId="34BC1B81" w:rsidR="005E1AFA" w:rsidRPr="00B13653" w:rsidRDefault="005E1AFA" w:rsidP="009171E2">
      <w:pPr>
        <w:spacing w:line="360" w:lineRule="auto"/>
        <w:ind w:left="720" w:hanging="720"/>
        <w:rPr>
          <w:rFonts w:ascii="Arial" w:eastAsia="Times New Roman" w:hAnsi="Arial" w:cs="Arial"/>
          <w:color w:val="222222"/>
          <w:sz w:val="24"/>
          <w:szCs w:val="24"/>
          <w:shd w:val="clear" w:color="auto" w:fill="FFFFFF"/>
          <w:lang w:eastAsia="en-GB"/>
        </w:rPr>
      </w:pPr>
    </w:p>
    <w:p w14:paraId="7297AAB4" w14:textId="4DF0B6A5" w:rsidR="005E1AFA" w:rsidRPr="005E1AFA" w:rsidRDefault="005E1AFA" w:rsidP="005E1AFA">
      <w:pPr>
        <w:rPr>
          <w:rFonts w:ascii="Arial" w:eastAsia="Times New Roman" w:hAnsi="Arial" w:cs="Arial"/>
          <w:color w:val="auto"/>
          <w:sz w:val="24"/>
          <w:szCs w:val="24"/>
          <w:lang w:eastAsia="en-GB"/>
        </w:rPr>
      </w:pPr>
      <w:r w:rsidRPr="005E1AFA">
        <w:rPr>
          <w:rFonts w:ascii="Arial" w:eastAsia="Times New Roman" w:hAnsi="Arial" w:cs="Arial"/>
          <w:color w:val="222222"/>
          <w:sz w:val="24"/>
          <w:szCs w:val="24"/>
          <w:shd w:val="clear" w:color="auto" w:fill="FFFFFF"/>
          <w:lang w:eastAsia="en-GB"/>
        </w:rPr>
        <w:t>Jarrett, M.H., Diamond, L.T. and El-</w:t>
      </w:r>
      <w:proofErr w:type="spellStart"/>
      <w:r w:rsidRPr="005E1AFA">
        <w:rPr>
          <w:rFonts w:ascii="Arial" w:eastAsia="Times New Roman" w:hAnsi="Arial" w:cs="Arial"/>
          <w:color w:val="222222"/>
          <w:sz w:val="24"/>
          <w:szCs w:val="24"/>
          <w:shd w:val="clear" w:color="auto" w:fill="FFFFFF"/>
          <w:lang w:eastAsia="en-GB"/>
        </w:rPr>
        <w:t>Mobandes</w:t>
      </w:r>
      <w:proofErr w:type="spellEnd"/>
      <w:r w:rsidRPr="005E1AFA">
        <w:rPr>
          <w:rFonts w:ascii="Arial" w:eastAsia="Times New Roman" w:hAnsi="Arial" w:cs="Arial"/>
          <w:color w:val="222222"/>
          <w:sz w:val="24"/>
          <w:szCs w:val="24"/>
          <w:shd w:val="clear" w:color="auto" w:fill="FFFFFF"/>
          <w:lang w:eastAsia="en-GB"/>
        </w:rPr>
        <w:t>, A., 2000. Group intervention as one facet of a multi-component intervention with high risk mothers and their babies. </w:t>
      </w:r>
      <w:r w:rsidRPr="005E1AFA">
        <w:rPr>
          <w:rFonts w:ascii="Arial" w:eastAsia="Times New Roman" w:hAnsi="Arial" w:cs="Arial"/>
          <w:i/>
          <w:iCs/>
          <w:color w:val="222222"/>
          <w:sz w:val="24"/>
          <w:szCs w:val="24"/>
          <w:lang w:eastAsia="en-GB"/>
        </w:rPr>
        <w:t>Infants &amp; Young Children</w:t>
      </w:r>
      <w:r w:rsidRPr="005E1AFA">
        <w:rPr>
          <w:rFonts w:ascii="Arial" w:eastAsia="Times New Roman" w:hAnsi="Arial" w:cs="Arial"/>
          <w:color w:val="222222"/>
          <w:sz w:val="24"/>
          <w:szCs w:val="24"/>
          <w:shd w:val="clear" w:color="auto" w:fill="FFFFFF"/>
          <w:lang w:eastAsia="en-GB"/>
        </w:rPr>
        <w:t>, </w:t>
      </w:r>
      <w:r w:rsidRPr="005E1AFA">
        <w:rPr>
          <w:rFonts w:ascii="Arial" w:eastAsia="Times New Roman" w:hAnsi="Arial" w:cs="Arial"/>
          <w:i/>
          <w:iCs/>
          <w:color w:val="222222"/>
          <w:sz w:val="24"/>
          <w:szCs w:val="24"/>
          <w:lang w:eastAsia="en-GB"/>
        </w:rPr>
        <w:t>13</w:t>
      </w:r>
      <w:r w:rsidRPr="005E1AFA">
        <w:rPr>
          <w:rFonts w:ascii="Arial" w:eastAsia="Times New Roman" w:hAnsi="Arial" w:cs="Arial"/>
          <w:color w:val="222222"/>
          <w:sz w:val="24"/>
          <w:szCs w:val="24"/>
          <w:shd w:val="clear" w:color="auto" w:fill="FFFFFF"/>
          <w:lang w:eastAsia="en-GB"/>
        </w:rPr>
        <w:t>(1), pp.15-24.</w:t>
      </w:r>
      <w:r w:rsidRPr="00B13653">
        <w:rPr>
          <w:rFonts w:ascii="Arial" w:eastAsia="Times New Roman" w:hAnsi="Arial" w:cs="Arial"/>
          <w:color w:val="222222"/>
          <w:sz w:val="24"/>
          <w:szCs w:val="24"/>
          <w:shd w:val="clear" w:color="auto" w:fill="FFFFFF"/>
          <w:lang w:eastAsia="en-GB"/>
        </w:rPr>
        <w:t xml:space="preserve"> </w:t>
      </w:r>
      <w:hyperlink r:id="rId5" w:history="1">
        <w:r w:rsidRPr="00B13653">
          <w:rPr>
            <w:rStyle w:val="Hyperlink"/>
            <w:rFonts w:ascii="Arial" w:eastAsia="Times New Roman" w:hAnsi="Arial" w:cs="Arial"/>
            <w:sz w:val="24"/>
            <w:szCs w:val="24"/>
            <w:shd w:val="clear" w:color="auto" w:fill="FFFFFF"/>
            <w:lang w:eastAsia="en-GB"/>
          </w:rPr>
          <w:t>https://journals.lww.com/iycjournal/Citation/2000/13010/Group_Intervention_as_One_Facet_of_a.5.aspx</w:t>
        </w:r>
      </w:hyperlink>
      <w:r w:rsidRPr="00B13653">
        <w:rPr>
          <w:rFonts w:ascii="Arial" w:eastAsia="Times New Roman" w:hAnsi="Arial" w:cs="Arial"/>
          <w:color w:val="222222"/>
          <w:sz w:val="24"/>
          <w:szCs w:val="24"/>
          <w:shd w:val="clear" w:color="auto" w:fill="FFFFFF"/>
          <w:lang w:eastAsia="en-GB"/>
        </w:rPr>
        <w:t xml:space="preserve"> (accessed on 20th March 2020)</w:t>
      </w:r>
    </w:p>
    <w:p w14:paraId="208CA2DE" w14:textId="77777777" w:rsidR="009171E2" w:rsidRPr="00B13653" w:rsidRDefault="009171E2" w:rsidP="008C2A3B">
      <w:pPr>
        <w:rPr>
          <w:rFonts w:ascii="Arial" w:eastAsia="Times New Roman" w:hAnsi="Arial" w:cs="Arial"/>
          <w:color w:val="222222"/>
          <w:sz w:val="24"/>
          <w:szCs w:val="24"/>
          <w:shd w:val="clear" w:color="auto" w:fill="FFFFFF"/>
          <w:lang w:eastAsia="en-GB"/>
        </w:rPr>
      </w:pPr>
    </w:p>
    <w:p w14:paraId="12BE6C12" w14:textId="77777777" w:rsidR="009171E2" w:rsidRPr="00B13653" w:rsidRDefault="009171E2" w:rsidP="008C2A3B">
      <w:pPr>
        <w:rPr>
          <w:rFonts w:ascii="Arial" w:eastAsia="Times New Roman" w:hAnsi="Arial" w:cs="Arial"/>
          <w:color w:val="222222"/>
          <w:sz w:val="24"/>
          <w:szCs w:val="24"/>
          <w:shd w:val="clear" w:color="auto" w:fill="FFFFFF"/>
          <w:lang w:eastAsia="en-GB"/>
        </w:rPr>
      </w:pPr>
    </w:p>
    <w:p w14:paraId="3E437FDB" w14:textId="02A20F9D" w:rsidR="008C2A3B" w:rsidRPr="00B13653" w:rsidRDefault="008C2A3B" w:rsidP="008C2A3B">
      <w:pPr>
        <w:rPr>
          <w:rFonts w:ascii="Arial" w:eastAsia="Times New Roman" w:hAnsi="Arial" w:cs="Arial"/>
          <w:color w:val="222222"/>
          <w:sz w:val="24"/>
          <w:szCs w:val="24"/>
          <w:shd w:val="clear" w:color="auto" w:fill="FFFFFF"/>
          <w:lang w:eastAsia="en-GB"/>
        </w:rPr>
      </w:pPr>
      <w:r w:rsidRPr="008C2A3B">
        <w:rPr>
          <w:rFonts w:ascii="Arial" w:eastAsia="Times New Roman" w:hAnsi="Arial" w:cs="Arial"/>
          <w:color w:val="222222"/>
          <w:sz w:val="24"/>
          <w:szCs w:val="24"/>
          <w:shd w:val="clear" w:color="auto" w:fill="FFFFFF"/>
          <w:lang w:eastAsia="en-GB"/>
        </w:rPr>
        <w:t>McLeod, S., 2007. Maslow's hierarchy of needs. </w:t>
      </w:r>
      <w:r w:rsidRPr="008C2A3B">
        <w:rPr>
          <w:rFonts w:ascii="Arial" w:eastAsia="Times New Roman" w:hAnsi="Arial" w:cs="Arial"/>
          <w:i/>
          <w:iCs/>
          <w:color w:val="222222"/>
          <w:sz w:val="24"/>
          <w:szCs w:val="24"/>
          <w:lang w:eastAsia="en-GB"/>
        </w:rPr>
        <w:t>Simply psychology</w:t>
      </w:r>
      <w:r w:rsidRPr="008C2A3B">
        <w:rPr>
          <w:rFonts w:ascii="Arial" w:eastAsia="Times New Roman" w:hAnsi="Arial" w:cs="Arial"/>
          <w:color w:val="222222"/>
          <w:sz w:val="24"/>
          <w:szCs w:val="24"/>
          <w:shd w:val="clear" w:color="auto" w:fill="FFFFFF"/>
          <w:lang w:eastAsia="en-GB"/>
        </w:rPr>
        <w:t>, </w:t>
      </w:r>
      <w:r w:rsidRPr="008C2A3B">
        <w:rPr>
          <w:rFonts w:ascii="Arial" w:eastAsia="Times New Roman" w:hAnsi="Arial" w:cs="Arial"/>
          <w:i/>
          <w:iCs/>
          <w:color w:val="222222"/>
          <w:sz w:val="24"/>
          <w:szCs w:val="24"/>
          <w:lang w:eastAsia="en-GB"/>
        </w:rPr>
        <w:t>1</w:t>
      </w:r>
      <w:r w:rsidRPr="008C2A3B">
        <w:rPr>
          <w:rFonts w:ascii="Arial" w:eastAsia="Times New Roman" w:hAnsi="Arial" w:cs="Arial"/>
          <w:color w:val="222222"/>
          <w:sz w:val="24"/>
          <w:szCs w:val="24"/>
          <w:shd w:val="clear" w:color="auto" w:fill="FFFFFF"/>
          <w:lang w:eastAsia="en-GB"/>
        </w:rPr>
        <w:t>, pp.1-8.</w:t>
      </w:r>
      <w:r w:rsidR="00B13653" w:rsidRPr="00B13653">
        <w:rPr>
          <w:rFonts w:ascii="Arial" w:eastAsia="Times New Roman" w:hAnsi="Arial" w:cs="Arial"/>
          <w:color w:val="222222"/>
          <w:sz w:val="24"/>
          <w:szCs w:val="24"/>
          <w:shd w:val="clear" w:color="auto" w:fill="FFFFFF"/>
          <w:lang w:eastAsia="en-GB"/>
        </w:rPr>
        <w:t xml:space="preserve"> </w:t>
      </w:r>
      <w:hyperlink r:id="rId6" w:history="1">
        <w:r w:rsidR="00B13653" w:rsidRPr="00B13653">
          <w:rPr>
            <w:rStyle w:val="Hyperlink"/>
            <w:rFonts w:ascii="Arial" w:eastAsia="Times New Roman" w:hAnsi="Arial" w:cs="Arial"/>
            <w:sz w:val="24"/>
            <w:szCs w:val="24"/>
            <w:shd w:val="clear" w:color="auto" w:fill="FFFFFF"/>
            <w:lang w:eastAsia="en-GB"/>
          </w:rPr>
          <w:t>http://highgatecounselling.org.uk/members/certificate/CT2%20Paper%201.pdf</w:t>
        </w:r>
      </w:hyperlink>
      <w:r w:rsidR="00B13653" w:rsidRPr="00B13653">
        <w:rPr>
          <w:rFonts w:ascii="Arial" w:eastAsia="Times New Roman" w:hAnsi="Arial" w:cs="Arial"/>
          <w:color w:val="222222"/>
          <w:sz w:val="24"/>
          <w:szCs w:val="24"/>
          <w:shd w:val="clear" w:color="auto" w:fill="FFFFFF"/>
          <w:lang w:eastAsia="en-GB"/>
        </w:rPr>
        <w:t xml:space="preserve"> (Accessed on 20</w:t>
      </w:r>
      <w:r w:rsidR="00B13653" w:rsidRPr="00B13653">
        <w:rPr>
          <w:rFonts w:ascii="Arial" w:eastAsia="Times New Roman" w:hAnsi="Arial" w:cs="Arial"/>
          <w:color w:val="222222"/>
          <w:sz w:val="24"/>
          <w:szCs w:val="24"/>
          <w:shd w:val="clear" w:color="auto" w:fill="FFFFFF"/>
          <w:vertAlign w:val="superscript"/>
          <w:lang w:eastAsia="en-GB"/>
        </w:rPr>
        <w:t>th</w:t>
      </w:r>
      <w:r w:rsidR="00B13653" w:rsidRPr="00B13653">
        <w:rPr>
          <w:rFonts w:ascii="Arial" w:eastAsia="Times New Roman" w:hAnsi="Arial" w:cs="Arial"/>
          <w:color w:val="222222"/>
          <w:sz w:val="24"/>
          <w:szCs w:val="24"/>
          <w:shd w:val="clear" w:color="auto" w:fill="FFFFFF"/>
          <w:lang w:eastAsia="en-GB"/>
        </w:rPr>
        <w:t xml:space="preserve"> March 2020)</w:t>
      </w:r>
    </w:p>
    <w:p w14:paraId="1EACB766" w14:textId="6304852A" w:rsidR="00300F42" w:rsidRPr="00B13653" w:rsidRDefault="00300F42" w:rsidP="008C2A3B">
      <w:pPr>
        <w:rPr>
          <w:rFonts w:ascii="Arial" w:eastAsia="Times New Roman" w:hAnsi="Arial" w:cs="Arial"/>
          <w:color w:val="222222"/>
          <w:sz w:val="24"/>
          <w:szCs w:val="24"/>
          <w:shd w:val="clear" w:color="auto" w:fill="FFFFFF"/>
          <w:lang w:eastAsia="en-GB"/>
        </w:rPr>
      </w:pPr>
    </w:p>
    <w:p w14:paraId="3F75968B" w14:textId="38987728" w:rsidR="00300F42" w:rsidRPr="00B13653" w:rsidRDefault="00300F42" w:rsidP="008C2A3B">
      <w:pPr>
        <w:rPr>
          <w:rFonts w:ascii="Arial" w:eastAsia="Times New Roman" w:hAnsi="Arial" w:cs="Arial"/>
          <w:color w:val="auto"/>
          <w:sz w:val="24"/>
          <w:szCs w:val="24"/>
          <w:lang w:eastAsia="en-GB"/>
        </w:rPr>
      </w:pPr>
      <w:proofErr w:type="spellStart"/>
      <w:r w:rsidRPr="00300F42">
        <w:rPr>
          <w:rFonts w:ascii="Arial" w:eastAsia="Times New Roman" w:hAnsi="Arial" w:cs="Arial"/>
          <w:color w:val="222222"/>
          <w:sz w:val="24"/>
          <w:szCs w:val="24"/>
          <w:shd w:val="clear" w:color="auto" w:fill="FFFFFF"/>
          <w:lang w:eastAsia="en-GB"/>
        </w:rPr>
        <w:t>Rathunde</w:t>
      </w:r>
      <w:proofErr w:type="spellEnd"/>
      <w:r w:rsidRPr="00300F42">
        <w:rPr>
          <w:rFonts w:ascii="Arial" w:eastAsia="Times New Roman" w:hAnsi="Arial" w:cs="Arial"/>
          <w:color w:val="222222"/>
          <w:sz w:val="24"/>
          <w:szCs w:val="24"/>
          <w:shd w:val="clear" w:color="auto" w:fill="FFFFFF"/>
          <w:lang w:eastAsia="en-GB"/>
        </w:rPr>
        <w:t>, K., 1993. The Motivational Importance of Extracurricular Activities for Adolescent Development: Cultivating Undivided Attention.</w:t>
      </w:r>
      <w:r w:rsidRPr="00B13653">
        <w:rPr>
          <w:rFonts w:ascii="Arial" w:eastAsia="Times New Roman" w:hAnsi="Arial" w:cs="Arial"/>
          <w:color w:val="222222"/>
          <w:sz w:val="24"/>
          <w:szCs w:val="24"/>
          <w:shd w:val="clear" w:color="auto" w:fill="FFFFFF"/>
          <w:lang w:eastAsia="en-GB"/>
        </w:rPr>
        <w:t xml:space="preserve"> </w:t>
      </w:r>
      <w:hyperlink r:id="rId7" w:history="1">
        <w:r w:rsidRPr="00B13653">
          <w:rPr>
            <w:rStyle w:val="Hyperlink"/>
            <w:rFonts w:ascii="Arial" w:eastAsia="Times New Roman" w:hAnsi="Arial" w:cs="Arial"/>
            <w:sz w:val="24"/>
            <w:szCs w:val="24"/>
            <w:shd w:val="clear" w:color="auto" w:fill="FFFFFF"/>
            <w:lang w:eastAsia="en-GB"/>
          </w:rPr>
          <w:t>https://eric.ed.gov/?id=ED360373</w:t>
        </w:r>
      </w:hyperlink>
      <w:r w:rsidRPr="00B13653">
        <w:rPr>
          <w:rFonts w:ascii="Arial" w:eastAsia="Times New Roman" w:hAnsi="Arial" w:cs="Arial"/>
          <w:color w:val="222222"/>
          <w:sz w:val="24"/>
          <w:szCs w:val="24"/>
          <w:shd w:val="clear" w:color="auto" w:fill="FFFFFF"/>
          <w:lang w:eastAsia="en-GB"/>
        </w:rPr>
        <w:t xml:space="preserve"> (Accessed on 20</w:t>
      </w:r>
      <w:r w:rsidRPr="00B13653">
        <w:rPr>
          <w:rFonts w:ascii="Arial" w:eastAsia="Times New Roman" w:hAnsi="Arial" w:cs="Arial"/>
          <w:color w:val="222222"/>
          <w:sz w:val="24"/>
          <w:szCs w:val="24"/>
          <w:shd w:val="clear" w:color="auto" w:fill="FFFFFF"/>
          <w:vertAlign w:val="superscript"/>
          <w:lang w:eastAsia="en-GB"/>
        </w:rPr>
        <w:t>th</w:t>
      </w:r>
      <w:r w:rsidRPr="00B13653">
        <w:rPr>
          <w:rFonts w:ascii="Arial" w:eastAsia="Times New Roman" w:hAnsi="Arial" w:cs="Arial"/>
          <w:color w:val="222222"/>
          <w:sz w:val="24"/>
          <w:szCs w:val="24"/>
          <w:shd w:val="clear" w:color="auto" w:fill="FFFFFF"/>
          <w:lang w:eastAsia="en-GB"/>
        </w:rPr>
        <w:t xml:space="preserve"> March 20</w:t>
      </w:r>
      <w:r w:rsidR="00B13653" w:rsidRPr="00B13653">
        <w:rPr>
          <w:rFonts w:ascii="Arial" w:eastAsia="Times New Roman" w:hAnsi="Arial" w:cs="Arial"/>
          <w:color w:val="222222"/>
          <w:sz w:val="24"/>
          <w:szCs w:val="24"/>
          <w:shd w:val="clear" w:color="auto" w:fill="FFFFFF"/>
          <w:lang w:eastAsia="en-GB"/>
        </w:rPr>
        <w:t>20</w:t>
      </w:r>
      <w:r w:rsidRPr="00B13653">
        <w:rPr>
          <w:rFonts w:ascii="Arial" w:eastAsia="Times New Roman" w:hAnsi="Arial" w:cs="Arial"/>
          <w:color w:val="222222"/>
          <w:sz w:val="24"/>
          <w:szCs w:val="24"/>
          <w:shd w:val="clear" w:color="auto" w:fill="FFFFFF"/>
          <w:lang w:eastAsia="en-GB"/>
        </w:rPr>
        <w:t>)</w:t>
      </w:r>
    </w:p>
    <w:p w14:paraId="7C59D6BC" w14:textId="1D8FECD3" w:rsidR="00A63D5E" w:rsidRPr="00B13653" w:rsidRDefault="00A63D5E" w:rsidP="008C2A3B">
      <w:pPr>
        <w:rPr>
          <w:rFonts w:ascii="Arial" w:eastAsia="Times New Roman" w:hAnsi="Arial" w:cs="Arial"/>
          <w:color w:val="222222"/>
          <w:sz w:val="24"/>
          <w:szCs w:val="24"/>
          <w:shd w:val="clear" w:color="auto" w:fill="FFFFFF"/>
          <w:lang w:eastAsia="en-GB"/>
        </w:rPr>
      </w:pPr>
    </w:p>
    <w:p w14:paraId="7D2B5AD4" w14:textId="676D5307" w:rsidR="00A63D5E" w:rsidRPr="00A63D5E" w:rsidRDefault="00A63D5E" w:rsidP="00A63D5E">
      <w:pPr>
        <w:rPr>
          <w:rFonts w:ascii="Arial" w:eastAsia="Times New Roman" w:hAnsi="Arial" w:cs="Arial"/>
          <w:color w:val="auto"/>
          <w:sz w:val="24"/>
          <w:szCs w:val="24"/>
          <w:lang w:eastAsia="en-GB"/>
        </w:rPr>
      </w:pPr>
      <w:r w:rsidRPr="00A63D5E">
        <w:rPr>
          <w:rFonts w:ascii="Arial" w:eastAsia="Times New Roman" w:hAnsi="Arial" w:cs="Arial"/>
          <w:color w:val="222222"/>
          <w:sz w:val="24"/>
          <w:szCs w:val="24"/>
          <w:shd w:val="clear" w:color="auto" w:fill="FFFFFF"/>
          <w:lang w:eastAsia="en-GB"/>
        </w:rPr>
        <w:t xml:space="preserve">Watson, D., </w:t>
      </w:r>
      <w:proofErr w:type="spellStart"/>
      <w:r w:rsidRPr="00A63D5E">
        <w:rPr>
          <w:rFonts w:ascii="Arial" w:eastAsia="Times New Roman" w:hAnsi="Arial" w:cs="Arial"/>
          <w:color w:val="222222"/>
          <w:sz w:val="24"/>
          <w:szCs w:val="24"/>
          <w:shd w:val="clear" w:color="auto" w:fill="FFFFFF"/>
          <w:lang w:eastAsia="en-GB"/>
        </w:rPr>
        <w:t>Townsley</w:t>
      </w:r>
      <w:proofErr w:type="spellEnd"/>
      <w:r w:rsidRPr="00A63D5E">
        <w:rPr>
          <w:rFonts w:ascii="Arial" w:eastAsia="Times New Roman" w:hAnsi="Arial" w:cs="Arial"/>
          <w:color w:val="222222"/>
          <w:sz w:val="24"/>
          <w:szCs w:val="24"/>
          <w:shd w:val="clear" w:color="auto" w:fill="FFFFFF"/>
          <w:lang w:eastAsia="en-GB"/>
        </w:rPr>
        <w:t>, R. and Abbott, D., 2002. Exploring multi</w:t>
      </w:r>
      <w:r w:rsidRPr="00A63D5E">
        <w:rPr>
          <w:rFonts w:ascii="Cambria Math" w:eastAsia="Times New Roman" w:hAnsi="Cambria Math" w:cs="Cambria Math"/>
          <w:color w:val="222222"/>
          <w:sz w:val="24"/>
          <w:szCs w:val="24"/>
          <w:shd w:val="clear" w:color="auto" w:fill="FFFFFF"/>
          <w:lang w:eastAsia="en-GB"/>
        </w:rPr>
        <w:t>‐</w:t>
      </w:r>
      <w:r w:rsidRPr="00A63D5E">
        <w:rPr>
          <w:rFonts w:ascii="Arial" w:eastAsia="Times New Roman" w:hAnsi="Arial" w:cs="Arial"/>
          <w:color w:val="222222"/>
          <w:sz w:val="24"/>
          <w:szCs w:val="24"/>
          <w:shd w:val="clear" w:color="auto" w:fill="FFFFFF"/>
          <w:lang w:eastAsia="en-GB"/>
        </w:rPr>
        <w:t>agency working in services to disabled children with complex healthcare needs and their families. </w:t>
      </w:r>
      <w:r w:rsidRPr="00A63D5E">
        <w:rPr>
          <w:rFonts w:ascii="Arial" w:eastAsia="Times New Roman" w:hAnsi="Arial" w:cs="Arial"/>
          <w:i/>
          <w:iCs/>
          <w:color w:val="222222"/>
          <w:sz w:val="24"/>
          <w:szCs w:val="24"/>
          <w:lang w:eastAsia="en-GB"/>
        </w:rPr>
        <w:t>Journal of Clinical Nursing</w:t>
      </w:r>
      <w:r w:rsidRPr="00A63D5E">
        <w:rPr>
          <w:rFonts w:ascii="Arial" w:eastAsia="Times New Roman" w:hAnsi="Arial" w:cs="Arial"/>
          <w:color w:val="222222"/>
          <w:sz w:val="24"/>
          <w:szCs w:val="24"/>
          <w:shd w:val="clear" w:color="auto" w:fill="FFFFFF"/>
          <w:lang w:eastAsia="en-GB"/>
        </w:rPr>
        <w:t>, </w:t>
      </w:r>
      <w:r w:rsidRPr="00A63D5E">
        <w:rPr>
          <w:rFonts w:ascii="Arial" w:eastAsia="Times New Roman" w:hAnsi="Arial" w:cs="Arial"/>
          <w:i/>
          <w:iCs/>
          <w:color w:val="222222"/>
          <w:sz w:val="24"/>
          <w:szCs w:val="24"/>
          <w:lang w:eastAsia="en-GB"/>
        </w:rPr>
        <w:t>11</w:t>
      </w:r>
      <w:r w:rsidRPr="00A63D5E">
        <w:rPr>
          <w:rFonts w:ascii="Arial" w:eastAsia="Times New Roman" w:hAnsi="Arial" w:cs="Arial"/>
          <w:color w:val="222222"/>
          <w:sz w:val="24"/>
          <w:szCs w:val="24"/>
          <w:shd w:val="clear" w:color="auto" w:fill="FFFFFF"/>
          <w:lang w:eastAsia="en-GB"/>
        </w:rPr>
        <w:t>(3), pp.367-375.</w:t>
      </w:r>
      <w:r w:rsidR="00B13653" w:rsidRPr="00B13653">
        <w:rPr>
          <w:rFonts w:ascii="Arial" w:eastAsia="Times New Roman" w:hAnsi="Arial" w:cs="Arial"/>
          <w:color w:val="222222"/>
          <w:sz w:val="24"/>
          <w:szCs w:val="24"/>
          <w:shd w:val="clear" w:color="auto" w:fill="FFFFFF"/>
          <w:lang w:eastAsia="en-GB"/>
        </w:rPr>
        <w:t xml:space="preserve"> </w:t>
      </w:r>
      <w:hyperlink r:id="rId8" w:history="1">
        <w:r w:rsidR="00B13653" w:rsidRPr="00B13653">
          <w:rPr>
            <w:rStyle w:val="Hyperlink"/>
            <w:rFonts w:ascii="Arial" w:eastAsia="Times New Roman" w:hAnsi="Arial" w:cs="Arial"/>
            <w:sz w:val="24"/>
            <w:szCs w:val="24"/>
            <w:shd w:val="clear" w:color="auto" w:fill="FFFFFF"/>
            <w:lang w:eastAsia="en-GB"/>
          </w:rPr>
          <w:t>https://onlinelibrary.wiley.com/doi/abs/10.1046/j.1365-2702.2002.00623.x</w:t>
        </w:r>
      </w:hyperlink>
      <w:r w:rsidR="00B13653" w:rsidRPr="00B13653">
        <w:rPr>
          <w:rFonts w:ascii="Arial" w:eastAsia="Times New Roman" w:hAnsi="Arial" w:cs="Arial"/>
          <w:color w:val="222222"/>
          <w:sz w:val="24"/>
          <w:szCs w:val="24"/>
          <w:shd w:val="clear" w:color="auto" w:fill="FFFFFF"/>
          <w:lang w:eastAsia="en-GB"/>
        </w:rPr>
        <w:t xml:space="preserve"> (Accessed on 20th March 2020)</w:t>
      </w:r>
    </w:p>
    <w:p w14:paraId="357D1E50" w14:textId="77777777" w:rsidR="00A63D5E" w:rsidRPr="008C2A3B" w:rsidRDefault="00A63D5E" w:rsidP="008C2A3B">
      <w:pPr>
        <w:rPr>
          <w:rFonts w:ascii="Arial" w:eastAsia="Times New Roman" w:hAnsi="Arial" w:cs="Arial"/>
          <w:color w:val="auto"/>
          <w:sz w:val="24"/>
          <w:szCs w:val="24"/>
          <w:lang w:eastAsia="en-GB"/>
        </w:rPr>
      </w:pPr>
    </w:p>
    <w:p w14:paraId="63856578" w14:textId="77777777" w:rsidR="008C2A3B" w:rsidRPr="00B13653" w:rsidRDefault="008C2A3B" w:rsidP="005417DC">
      <w:pPr>
        <w:spacing w:line="480" w:lineRule="auto"/>
        <w:jc w:val="both"/>
        <w:rPr>
          <w:rFonts w:ascii="Arial" w:hAnsi="Arial" w:cs="Arial"/>
          <w:sz w:val="24"/>
          <w:szCs w:val="24"/>
        </w:rPr>
      </w:pPr>
    </w:p>
    <w:p w14:paraId="21E14436" w14:textId="77777777" w:rsidR="005417DC" w:rsidRPr="00B13653" w:rsidRDefault="005417DC" w:rsidP="005417DC">
      <w:pPr>
        <w:rPr>
          <w:rFonts w:ascii="Arial" w:hAnsi="Arial" w:cs="Arial"/>
          <w:b/>
          <w:bCs/>
          <w:sz w:val="24"/>
          <w:szCs w:val="24"/>
        </w:rPr>
      </w:pPr>
    </w:p>
    <w:sectPr w:rsidR="005417DC" w:rsidRPr="00B13653" w:rsidSect="003A459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DC"/>
    <w:rsid w:val="00027625"/>
    <w:rsid w:val="00300F42"/>
    <w:rsid w:val="00386C49"/>
    <w:rsid w:val="003A4591"/>
    <w:rsid w:val="005417DC"/>
    <w:rsid w:val="00564485"/>
    <w:rsid w:val="005E1AFA"/>
    <w:rsid w:val="005E46C3"/>
    <w:rsid w:val="0064235C"/>
    <w:rsid w:val="008C2A3B"/>
    <w:rsid w:val="009171E2"/>
    <w:rsid w:val="00A63D5E"/>
    <w:rsid w:val="00AA7FC8"/>
    <w:rsid w:val="00B13653"/>
    <w:rsid w:val="00B41104"/>
    <w:rsid w:val="00C72672"/>
    <w:rsid w:val="00C85663"/>
    <w:rsid w:val="00D51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E4B7BA"/>
  <w15:chartTrackingRefBased/>
  <w15:docId w15:val="{89CFDB4B-C9A0-AB49-BA8B-D30B7A5DE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themeColor="text1"/>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C2A3B"/>
  </w:style>
  <w:style w:type="character" w:styleId="Hyperlink">
    <w:name w:val="Hyperlink"/>
    <w:basedOn w:val="DefaultParagraphFont"/>
    <w:uiPriority w:val="99"/>
    <w:unhideWhenUsed/>
    <w:rsid w:val="00300F42"/>
    <w:rPr>
      <w:color w:val="0563C1" w:themeColor="hyperlink"/>
      <w:u w:val="single"/>
    </w:rPr>
  </w:style>
  <w:style w:type="character" w:styleId="UnresolvedMention">
    <w:name w:val="Unresolved Mention"/>
    <w:basedOn w:val="DefaultParagraphFont"/>
    <w:uiPriority w:val="99"/>
    <w:semiHidden/>
    <w:unhideWhenUsed/>
    <w:rsid w:val="00300F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55532">
      <w:bodyDiv w:val="1"/>
      <w:marLeft w:val="0"/>
      <w:marRight w:val="0"/>
      <w:marTop w:val="0"/>
      <w:marBottom w:val="0"/>
      <w:divBdr>
        <w:top w:val="none" w:sz="0" w:space="0" w:color="auto"/>
        <w:left w:val="none" w:sz="0" w:space="0" w:color="auto"/>
        <w:bottom w:val="none" w:sz="0" w:space="0" w:color="auto"/>
        <w:right w:val="none" w:sz="0" w:space="0" w:color="auto"/>
      </w:divBdr>
    </w:div>
    <w:div w:id="238952562">
      <w:bodyDiv w:val="1"/>
      <w:marLeft w:val="0"/>
      <w:marRight w:val="0"/>
      <w:marTop w:val="0"/>
      <w:marBottom w:val="0"/>
      <w:divBdr>
        <w:top w:val="none" w:sz="0" w:space="0" w:color="auto"/>
        <w:left w:val="none" w:sz="0" w:space="0" w:color="auto"/>
        <w:bottom w:val="none" w:sz="0" w:space="0" w:color="auto"/>
        <w:right w:val="none" w:sz="0" w:space="0" w:color="auto"/>
      </w:divBdr>
    </w:div>
    <w:div w:id="1852378986">
      <w:bodyDiv w:val="1"/>
      <w:marLeft w:val="0"/>
      <w:marRight w:val="0"/>
      <w:marTop w:val="0"/>
      <w:marBottom w:val="0"/>
      <w:divBdr>
        <w:top w:val="none" w:sz="0" w:space="0" w:color="auto"/>
        <w:left w:val="none" w:sz="0" w:space="0" w:color="auto"/>
        <w:bottom w:val="none" w:sz="0" w:space="0" w:color="auto"/>
        <w:right w:val="none" w:sz="0" w:space="0" w:color="auto"/>
      </w:divBdr>
    </w:div>
    <w:div w:id="214481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046/j.1365-2702.2002.00623.x" TargetMode="External"/><Relationship Id="rId3" Type="http://schemas.openxmlformats.org/officeDocument/2006/relationships/webSettings" Target="webSettings.xml"/><Relationship Id="rId7" Type="http://schemas.openxmlformats.org/officeDocument/2006/relationships/hyperlink" Target="https://eric.ed.gov/?id=ED36037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ighgatecounselling.org.uk/members/certificate/CT2%20Paper%201.pdf" TargetMode="External"/><Relationship Id="rId5" Type="http://schemas.openxmlformats.org/officeDocument/2006/relationships/hyperlink" Target="https://journals.lww.com/iycjournal/Citation/2000/13010/Group_Intervention_as_One_Facet_of_a.5.aspx" TargetMode="External"/><Relationship Id="rId10" Type="http://schemas.openxmlformats.org/officeDocument/2006/relationships/theme" Target="theme/theme1.xml"/><Relationship Id="rId4" Type="http://schemas.openxmlformats.org/officeDocument/2006/relationships/hyperlink" Target="https://journals.sagepub.com/doi/10.1177/1367493518823906"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6</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Hajra (Student)</dc:creator>
  <cp:keywords/>
  <dc:description/>
  <cp:lastModifiedBy>Hussain, Hajra (Student)</cp:lastModifiedBy>
  <cp:revision>2</cp:revision>
  <dcterms:created xsi:type="dcterms:W3CDTF">2020-03-25T21:42:00Z</dcterms:created>
  <dcterms:modified xsi:type="dcterms:W3CDTF">2020-03-26T21:21:00Z</dcterms:modified>
</cp:coreProperties>
</file>